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478E86" w14:textId="77777777" w:rsidR="00D72E35" w:rsidRDefault="00D72E35">
      <w:pPr>
        <w:shd w:val="clear" w:color="auto" w:fill="FFFFFF"/>
        <w:spacing w:after="0" w:line="480" w:lineRule="auto"/>
        <w:jc w:val="left"/>
        <w:rPr>
          <w:rFonts w:ascii="Arial" w:eastAsia="Arial" w:hAnsi="Arial" w:cs="Arial"/>
          <w:b/>
          <w:color w:val="222222"/>
        </w:rPr>
      </w:pPr>
    </w:p>
    <w:p w14:paraId="2733A8F0" w14:textId="172A81E1" w:rsidR="00D72E35" w:rsidRPr="00201209" w:rsidRDefault="00201209" w:rsidP="00201209">
      <w:pPr>
        <w:shd w:val="clear" w:color="auto" w:fill="FFFFFF"/>
        <w:spacing w:after="0" w:line="480" w:lineRule="auto"/>
        <w:jc w:val="center"/>
        <w:rPr>
          <w:rFonts w:ascii="Arial" w:eastAsia="Arial" w:hAnsi="Arial" w:cs="Arial"/>
          <w:b/>
          <w:color w:val="222222"/>
          <w:sz w:val="28"/>
          <w:szCs w:val="28"/>
        </w:rPr>
      </w:pPr>
      <w:r w:rsidRPr="00201209">
        <w:rPr>
          <w:rFonts w:ascii="Arial" w:eastAsia="Arial" w:hAnsi="Arial" w:cs="Arial"/>
          <w:b/>
          <w:color w:val="222222"/>
          <w:sz w:val="28"/>
          <w:szCs w:val="28"/>
        </w:rPr>
        <w:t>Mr Parbes Ali</w:t>
      </w:r>
    </w:p>
    <w:p w14:paraId="03E4B537" w14:textId="3A50E21F" w:rsidR="00D72E35" w:rsidRDefault="00FD1ACF">
      <w:pPr>
        <w:pBdr>
          <w:top w:val="nil"/>
          <w:left w:val="nil"/>
          <w:bottom w:val="nil"/>
          <w:right w:val="nil"/>
          <w:between w:val="nil"/>
        </w:pBdr>
        <w:spacing w:line="240" w:lineRule="auto"/>
        <w:jc w:val="center"/>
        <w:rPr>
          <w:rFonts w:ascii="Arial" w:eastAsia="Arial" w:hAnsi="Arial" w:cs="Arial"/>
          <w:b/>
          <w:color w:val="000000"/>
          <w:sz w:val="28"/>
          <w:szCs w:val="28"/>
        </w:rPr>
      </w:pPr>
      <w:r>
        <w:rPr>
          <w:rFonts w:ascii="Arial" w:eastAsia="Arial" w:hAnsi="Arial" w:cs="Arial"/>
          <w:b/>
          <w:color w:val="000000"/>
          <w:sz w:val="28"/>
          <w:szCs w:val="28"/>
        </w:rPr>
        <w:t>Student ID number:</w:t>
      </w:r>
      <w:r w:rsidR="00201209">
        <w:rPr>
          <w:rFonts w:ascii="Arial" w:eastAsia="Arial" w:hAnsi="Arial" w:cs="Arial"/>
          <w:b/>
          <w:color w:val="000000"/>
          <w:sz w:val="28"/>
          <w:szCs w:val="28"/>
        </w:rPr>
        <w:t>2127517</w:t>
      </w:r>
    </w:p>
    <w:p w14:paraId="7808B108" w14:textId="77777777" w:rsidR="00D72E35" w:rsidRDefault="00FD1ACF">
      <w:pPr>
        <w:pBdr>
          <w:top w:val="nil"/>
          <w:left w:val="nil"/>
          <w:bottom w:val="nil"/>
          <w:right w:val="nil"/>
          <w:between w:val="nil"/>
        </w:pBdr>
        <w:spacing w:line="240" w:lineRule="auto"/>
        <w:jc w:val="center"/>
        <w:rPr>
          <w:rFonts w:ascii="Arial" w:eastAsia="Arial" w:hAnsi="Arial" w:cs="Arial"/>
          <w:b/>
          <w:color w:val="000000"/>
          <w:sz w:val="28"/>
          <w:szCs w:val="28"/>
        </w:rPr>
      </w:pPr>
      <w:r>
        <w:rPr>
          <w:rFonts w:ascii="Arial" w:eastAsia="Arial" w:hAnsi="Arial" w:cs="Arial"/>
          <w:b/>
          <w:color w:val="000000"/>
          <w:sz w:val="28"/>
          <w:szCs w:val="28"/>
        </w:rPr>
        <w:t>Module: Management &amp; Organisational Behaviour</w:t>
      </w:r>
    </w:p>
    <w:p w14:paraId="007C66A3" w14:textId="77777777" w:rsidR="00D72E35" w:rsidRDefault="00FD1ACF">
      <w:pPr>
        <w:pBdr>
          <w:top w:val="nil"/>
          <w:left w:val="nil"/>
          <w:bottom w:val="nil"/>
          <w:right w:val="nil"/>
          <w:between w:val="nil"/>
        </w:pBdr>
        <w:spacing w:line="240" w:lineRule="auto"/>
        <w:jc w:val="center"/>
        <w:rPr>
          <w:rFonts w:ascii="Arial" w:eastAsia="Arial" w:hAnsi="Arial" w:cs="Arial"/>
          <w:b/>
          <w:color w:val="000000"/>
          <w:sz w:val="28"/>
          <w:szCs w:val="28"/>
        </w:rPr>
      </w:pPr>
      <w:r>
        <w:rPr>
          <w:rFonts w:ascii="Arial" w:eastAsia="Arial" w:hAnsi="Arial" w:cs="Arial"/>
          <w:b/>
          <w:color w:val="000000"/>
          <w:sz w:val="28"/>
          <w:szCs w:val="28"/>
        </w:rPr>
        <w:t>Module code: BMIH5004</w:t>
      </w:r>
    </w:p>
    <w:p w14:paraId="4D8C0BE7" w14:textId="3E53AD34" w:rsidR="00201209" w:rsidRDefault="00FD1ACF" w:rsidP="00201209">
      <w:pPr>
        <w:pBdr>
          <w:top w:val="nil"/>
          <w:left w:val="nil"/>
          <w:bottom w:val="nil"/>
          <w:right w:val="nil"/>
          <w:between w:val="nil"/>
        </w:pBdr>
        <w:spacing w:line="240" w:lineRule="auto"/>
        <w:jc w:val="center"/>
        <w:rPr>
          <w:rFonts w:ascii="Arial" w:eastAsia="Arial" w:hAnsi="Arial" w:cs="Arial"/>
          <w:b/>
          <w:color w:val="000000"/>
          <w:sz w:val="28"/>
          <w:szCs w:val="28"/>
        </w:rPr>
      </w:pPr>
      <w:r>
        <w:rPr>
          <w:rFonts w:ascii="Arial" w:eastAsia="Arial" w:hAnsi="Arial" w:cs="Arial"/>
          <w:b/>
          <w:color w:val="000000"/>
          <w:sz w:val="28"/>
          <w:szCs w:val="28"/>
        </w:rPr>
        <w:t xml:space="preserve">Lecturer: Charlotte </w:t>
      </w:r>
      <w:r w:rsidR="00201209">
        <w:rPr>
          <w:rFonts w:ascii="Arial" w:eastAsia="Arial" w:hAnsi="Arial" w:cs="Arial"/>
          <w:b/>
          <w:color w:val="000000"/>
          <w:sz w:val="28"/>
          <w:szCs w:val="28"/>
        </w:rPr>
        <w:t>Joyner</w:t>
      </w:r>
    </w:p>
    <w:p w14:paraId="10B18C90" w14:textId="4BFF853F" w:rsidR="00D72E35" w:rsidRDefault="00D72E35">
      <w:pPr>
        <w:pBdr>
          <w:top w:val="nil"/>
          <w:left w:val="nil"/>
          <w:bottom w:val="nil"/>
          <w:right w:val="nil"/>
          <w:between w:val="nil"/>
        </w:pBdr>
        <w:spacing w:line="240" w:lineRule="auto"/>
        <w:jc w:val="center"/>
        <w:rPr>
          <w:rFonts w:ascii="Arial" w:eastAsia="Arial" w:hAnsi="Arial" w:cs="Arial"/>
          <w:b/>
          <w:color w:val="000000"/>
          <w:sz w:val="28"/>
          <w:szCs w:val="28"/>
        </w:rPr>
      </w:pPr>
    </w:p>
    <w:p w14:paraId="08114866" w14:textId="77777777" w:rsidR="00D72E35" w:rsidRDefault="00D72E35">
      <w:pPr>
        <w:shd w:val="clear" w:color="auto" w:fill="FFFFFF"/>
        <w:spacing w:after="0" w:line="480" w:lineRule="auto"/>
        <w:jc w:val="left"/>
        <w:rPr>
          <w:rFonts w:ascii="Arial" w:eastAsia="Arial" w:hAnsi="Arial" w:cs="Arial"/>
          <w:b/>
          <w:color w:val="222222"/>
        </w:rPr>
      </w:pPr>
    </w:p>
    <w:p w14:paraId="1A132176" w14:textId="77777777" w:rsidR="00D72E35" w:rsidRDefault="00D72E35">
      <w:pPr>
        <w:shd w:val="clear" w:color="auto" w:fill="FFFFFF"/>
        <w:spacing w:after="0" w:line="480" w:lineRule="auto"/>
        <w:jc w:val="left"/>
        <w:rPr>
          <w:rFonts w:ascii="Arial" w:eastAsia="Arial" w:hAnsi="Arial" w:cs="Arial"/>
          <w:b/>
          <w:color w:val="222222"/>
        </w:rPr>
      </w:pPr>
    </w:p>
    <w:p w14:paraId="6AF76C61" w14:textId="412A9B84" w:rsidR="00D72E35" w:rsidRPr="00FD1ACF" w:rsidRDefault="00FD1ACF" w:rsidP="00FD1ACF">
      <w:pPr>
        <w:pStyle w:val="Heading1"/>
        <w:jc w:val="center"/>
        <w:rPr>
          <w:rFonts w:eastAsia="Arial"/>
          <w:sz w:val="44"/>
          <w:szCs w:val="44"/>
        </w:rPr>
      </w:pPr>
      <w:r w:rsidRPr="00FD1ACF">
        <w:rPr>
          <w:rFonts w:eastAsia="Arial"/>
          <w:sz w:val="44"/>
          <w:szCs w:val="44"/>
        </w:rPr>
        <w:t>Audit Report</w:t>
      </w:r>
    </w:p>
    <w:p w14:paraId="3105AE24" w14:textId="77777777" w:rsidR="00D72E35" w:rsidRDefault="00D72E35">
      <w:pPr>
        <w:shd w:val="clear" w:color="auto" w:fill="FFFFFF"/>
        <w:spacing w:after="0" w:line="480" w:lineRule="auto"/>
        <w:jc w:val="left"/>
        <w:rPr>
          <w:rFonts w:ascii="Arial" w:eastAsia="Arial" w:hAnsi="Arial" w:cs="Arial"/>
          <w:b/>
          <w:color w:val="222222"/>
        </w:rPr>
      </w:pPr>
    </w:p>
    <w:p w14:paraId="41F659F1" w14:textId="77777777" w:rsidR="00D72E35" w:rsidRDefault="00D72E35">
      <w:pPr>
        <w:shd w:val="clear" w:color="auto" w:fill="FFFFFF"/>
        <w:spacing w:after="0" w:line="480" w:lineRule="auto"/>
        <w:jc w:val="left"/>
        <w:rPr>
          <w:rFonts w:ascii="Arial" w:eastAsia="Arial" w:hAnsi="Arial" w:cs="Arial"/>
          <w:b/>
          <w:color w:val="222222"/>
        </w:rPr>
      </w:pPr>
    </w:p>
    <w:p w14:paraId="22E55B9A" w14:textId="77777777" w:rsidR="00D72E35" w:rsidRDefault="00D72E35">
      <w:pPr>
        <w:shd w:val="clear" w:color="auto" w:fill="FFFFFF"/>
        <w:spacing w:after="0" w:line="480" w:lineRule="auto"/>
        <w:jc w:val="left"/>
        <w:rPr>
          <w:rFonts w:ascii="Arial" w:eastAsia="Arial" w:hAnsi="Arial" w:cs="Arial"/>
          <w:b/>
          <w:color w:val="222222"/>
        </w:rPr>
      </w:pPr>
    </w:p>
    <w:p w14:paraId="53F7EFBF" w14:textId="77777777" w:rsidR="00D72E35" w:rsidRDefault="00D72E35">
      <w:pPr>
        <w:shd w:val="clear" w:color="auto" w:fill="FFFFFF"/>
        <w:spacing w:after="0" w:line="480" w:lineRule="auto"/>
        <w:jc w:val="left"/>
        <w:rPr>
          <w:rFonts w:ascii="Arial" w:eastAsia="Arial" w:hAnsi="Arial" w:cs="Arial"/>
          <w:b/>
          <w:color w:val="222222"/>
        </w:rPr>
      </w:pPr>
    </w:p>
    <w:p w14:paraId="69B55331" w14:textId="77777777" w:rsidR="00D72E35" w:rsidRDefault="00FD1ACF">
      <w:pPr>
        <w:keepNext/>
        <w:keepLines/>
        <w:pBdr>
          <w:top w:val="nil"/>
          <w:left w:val="nil"/>
          <w:bottom w:val="nil"/>
          <w:right w:val="nil"/>
          <w:between w:val="nil"/>
        </w:pBdr>
        <w:spacing w:before="240" w:after="0" w:line="259" w:lineRule="auto"/>
        <w:jc w:val="left"/>
        <w:rPr>
          <w:rFonts w:ascii="Calibri" w:eastAsia="Calibri" w:hAnsi="Calibri" w:cs="Calibri"/>
          <w:color w:val="2E75B5"/>
          <w:sz w:val="28"/>
          <w:szCs w:val="28"/>
        </w:rPr>
      </w:pPr>
      <w:r>
        <w:rPr>
          <w:rFonts w:ascii="Calibri" w:eastAsia="Calibri" w:hAnsi="Calibri" w:cs="Calibri"/>
          <w:color w:val="2E75B5"/>
          <w:sz w:val="28"/>
          <w:szCs w:val="28"/>
        </w:rPr>
        <w:t>Table of Contents</w:t>
      </w:r>
    </w:p>
    <w:sdt>
      <w:sdtPr>
        <w:id w:val="791013328"/>
        <w:docPartObj>
          <w:docPartGallery w:val="Table of Contents"/>
          <w:docPartUnique/>
        </w:docPartObj>
      </w:sdtPr>
      <w:sdtEndPr/>
      <w:sdtContent>
        <w:p w14:paraId="6C4572B6" w14:textId="77777777" w:rsidR="00D72E35" w:rsidRDefault="00FD1ACF">
          <w:pPr>
            <w:pBdr>
              <w:top w:val="nil"/>
              <w:left w:val="nil"/>
              <w:bottom w:val="nil"/>
              <w:right w:val="nil"/>
              <w:between w:val="single" w:sz="6" w:space="0" w:color="000000"/>
            </w:pBdr>
            <w:tabs>
              <w:tab w:val="right" w:leader="dot" w:pos="9016"/>
            </w:tabs>
            <w:spacing w:before="120" w:after="120"/>
            <w:jc w:val="center"/>
            <w:rPr>
              <w:rFonts w:ascii="Calibri" w:eastAsia="Calibri" w:hAnsi="Calibri" w:cs="Calibri"/>
              <w:b/>
              <w:i/>
              <w:color w:val="000000"/>
              <w:sz w:val="28"/>
              <w:szCs w:val="28"/>
            </w:rPr>
          </w:pPr>
          <w:r>
            <w:fldChar w:fldCharType="begin"/>
          </w:r>
          <w:r>
            <w:instrText xml:space="preserve"> TOC \h \u \z \t "Heading 1,1,Heading 2,2,Heading 3,3,"</w:instrText>
          </w:r>
          <w:r>
            <w:fldChar w:fldCharType="separate"/>
          </w:r>
          <w:hyperlink w:anchor="_gjdgxs">
            <w:r>
              <w:rPr>
                <w:rFonts w:ascii="Calibri" w:eastAsia="Calibri" w:hAnsi="Calibri" w:cs="Calibri"/>
                <w:b/>
                <w:i/>
                <w:color w:val="000000"/>
                <w:sz w:val="28"/>
                <w:szCs w:val="28"/>
              </w:rPr>
              <w:t>Executive Summary:</w:t>
            </w:r>
            <w:r>
              <w:rPr>
                <w:rFonts w:ascii="Calibri" w:eastAsia="Calibri" w:hAnsi="Calibri" w:cs="Calibri"/>
                <w:b/>
                <w:i/>
                <w:color w:val="000000"/>
                <w:sz w:val="28"/>
                <w:szCs w:val="28"/>
              </w:rPr>
              <w:tab/>
              <w:t>3</w:t>
            </w:r>
          </w:hyperlink>
        </w:p>
        <w:p w14:paraId="3F4EB03F" w14:textId="77777777" w:rsidR="00D72E35" w:rsidRDefault="00FD1ACF">
          <w:pPr>
            <w:pBdr>
              <w:top w:val="nil"/>
              <w:left w:val="nil"/>
              <w:bottom w:val="nil"/>
              <w:right w:val="nil"/>
              <w:between w:val="single" w:sz="6" w:space="0" w:color="000000"/>
            </w:pBdr>
            <w:tabs>
              <w:tab w:val="right" w:leader="dot" w:pos="9016"/>
            </w:tabs>
            <w:spacing w:before="120" w:after="120"/>
            <w:jc w:val="center"/>
            <w:rPr>
              <w:rFonts w:ascii="Calibri" w:eastAsia="Calibri" w:hAnsi="Calibri" w:cs="Calibri"/>
              <w:b/>
              <w:i/>
              <w:color w:val="000000"/>
              <w:sz w:val="28"/>
              <w:szCs w:val="28"/>
            </w:rPr>
          </w:pPr>
          <w:hyperlink w:anchor="_30j0zll">
            <w:r>
              <w:rPr>
                <w:rFonts w:ascii="Calibri" w:eastAsia="Calibri" w:hAnsi="Calibri" w:cs="Calibri"/>
                <w:b/>
                <w:i/>
                <w:color w:val="000000"/>
                <w:sz w:val="28"/>
                <w:szCs w:val="28"/>
              </w:rPr>
              <w:t>Introduction</w:t>
            </w:r>
            <w:r>
              <w:rPr>
                <w:rFonts w:ascii="Calibri" w:eastAsia="Calibri" w:hAnsi="Calibri" w:cs="Calibri"/>
                <w:b/>
                <w:i/>
                <w:color w:val="000000"/>
                <w:sz w:val="28"/>
                <w:szCs w:val="28"/>
              </w:rPr>
              <w:tab/>
              <w:t>4</w:t>
            </w:r>
          </w:hyperlink>
        </w:p>
        <w:p w14:paraId="48CC2BBD" w14:textId="77777777" w:rsidR="00D72E35" w:rsidRDefault="00FD1ACF">
          <w:pPr>
            <w:pBdr>
              <w:top w:val="nil"/>
              <w:left w:val="nil"/>
              <w:bottom w:val="nil"/>
              <w:right w:val="nil"/>
              <w:between w:val="single" w:sz="6" w:space="0" w:color="000000"/>
            </w:pBdr>
            <w:tabs>
              <w:tab w:val="right" w:leader="dot" w:pos="9016"/>
            </w:tabs>
            <w:spacing w:before="120" w:after="120"/>
            <w:jc w:val="center"/>
            <w:rPr>
              <w:rFonts w:ascii="Calibri" w:eastAsia="Calibri" w:hAnsi="Calibri" w:cs="Calibri"/>
              <w:b/>
              <w:i/>
              <w:color w:val="000000"/>
              <w:sz w:val="28"/>
              <w:szCs w:val="28"/>
            </w:rPr>
          </w:pPr>
          <w:hyperlink w:anchor="_1fob9te">
            <w:r>
              <w:rPr>
                <w:rFonts w:ascii="Calibri" w:eastAsia="Calibri" w:hAnsi="Calibri" w:cs="Calibri"/>
                <w:b/>
                <w:i/>
                <w:color w:val="000000"/>
                <w:sz w:val="28"/>
                <w:szCs w:val="28"/>
              </w:rPr>
              <w:t>Organisational Culture, Goals, and Structure</w:t>
            </w:r>
            <w:r>
              <w:rPr>
                <w:rFonts w:ascii="Calibri" w:eastAsia="Calibri" w:hAnsi="Calibri" w:cs="Calibri"/>
                <w:b/>
                <w:i/>
                <w:color w:val="000000"/>
                <w:sz w:val="28"/>
                <w:szCs w:val="28"/>
              </w:rPr>
              <w:tab/>
              <w:t>5</w:t>
            </w:r>
          </w:hyperlink>
        </w:p>
        <w:p w14:paraId="5BB6DD1B" w14:textId="77777777" w:rsidR="00D72E35" w:rsidRDefault="00FD1ACF">
          <w:pPr>
            <w:pBdr>
              <w:top w:val="nil"/>
              <w:left w:val="nil"/>
              <w:bottom w:val="nil"/>
              <w:right w:val="nil"/>
              <w:between w:val="single" w:sz="6" w:space="0" w:color="000000"/>
            </w:pBdr>
            <w:tabs>
              <w:tab w:val="right" w:leader="dot" w:pos="9016"/>
            </w:tabs>
            <w:spacing w:before="120" w:after="120"/>
            <w:jc w:val="center"/>
            <w:rPr>
              <w:rFonts w:ascii="Calibri" w:eastAsia="Calibri" w:hAnsi="Calibri" w:cs="Calibri"/>
              <w:b/>
              <w:i/>
              <w:color w:val="000000"/>
              <w:sz w:val="28"/>
              <w:szCs w:val="28"/>
            </w:rPr>
          </w:pPr>
          <w:hyperlink w:anchor="_3znysh7">
            <w:r>
              <w:rPr>
                <w:rFonts w:ascii="Calibri" w:eastAsia="Calibri" w:hAnsi="Calibri" w:cs="Calibri"/>
                <w:b/>
                <w:i/>
                <w:color w:val="000000"/>
                <w:sz w:val="28"/>
                <w:szCs w:val="28"/>
              </w:rPr>
              <w:t>Recent Change Initiatives and Their Effects</w:t>
            </w:r>
            <w:r>
              <w:rPr>
                <w:rFonts w:ascii="Calibri" w:eastAsia="Calibri" w:hAnsi="Calibri" w:cs="Calibri"/>
                <w:b/>
                <w:i/>
                <w:color w:val="000000"/>
                <w:sz w:val="28"/>
                <w:szCs w:val="28"/>
              </w:rPr>
              <w:tab/>
              <w:t>7</w:t>
            </w:r>
          </w:hyperlink>
        </w:p>
        <w:p w14:paraId="114D40C9" w14:textId="77777777" w:rsidR="00D72E35" w:rsidRDefault="00FD1ACF">
          <w:pPr>
            <w:pBdr>
              <w:top w:val="nil"/>
              <w:left w:val="nil"/>
              <w:bottom w:val="nil"/>
              <w:right w:val="nil"/>
              <w:between w:val="single" w:sz="6" w:space="0" w:color="000000"/>
            </w:pBdr>
            <w:tabs>
              <w:tab w:val="right" w:leader="dot" w:pos="9016"/>
            </w:tabs>
            <w:spacing w:before="120" w:after="120"/>
            <w:jc w:val="center"/>
            <w:rPr>
              <w:rFonts w:ascii="Calibri" w:eastAsia="Calibri" w:hAnsi="Calibri" w:cs="Calibri"/>
              <w:b/>
              <w:i/>
              <w:color w:val="000000"/>
              <w:sz w:val="28"/>
              <w:szCs w:val="28"/>
            </w:rPr>
          </w:pPr>
          <w:hyperlink w:anchor="_2et92p0">
            <w:r>
              <w:rPr>
                <w:rFonts w:ascii="Calibri" w:eastAsia="Calibri" w:hAnsi="Calibri" w:cs="Calibri"/>
                <w:b/>
                <w:i/>
                <w:color w:val="000000"/>
                <w:sz w:val="28"/>
                <w:szCs w:val="28"/>
              </w:rPr>
              <w:t>Present business performance and strategic direction.</w:t>
            </w:r>
            <w:r>
              <w:rPr>
                <w:rFonts w:ascii="Calibri" w:eastAsia="Calibri" w:hAnsi="Calibri" w:cs="Calibri"/>
                <w:b/>
                <w:i/>
                <w:color w:val="000000"/>
                <w:sz w:val="28"/>
                <w:szCs w:val="28"/>
              </w:rPr>
              <w:tab/>
              <w:t>9</w:t>
            </w:r>
          </w:hyperlink>
        </w:p>
        <w:p w14:paraId="5BBB08AE" w14:textId="77777777" w:rsidR="00D72E35" w:rsidRDefault="00FD1ACF">
          <w:pPr>
            <w:pBdr>
              <w:top w:val="nil"/>
              <w:left w:val="nil"/>
              <w:bottom w:val="nil"/>
              <w:right w:val="nil"/>
              <w:between w:val="single" w:sz="6" w:space="0" w:color="000000"/>
            </w:pBdr>
            <w:tabs>
              <w:tab w:val="right" w:leader="dot" w:pos="9016"/>
            </w:tabs>
            <w:spacing w:before="120" w:after="120"/>
            <w:jc w:val="center"/>
            <w:rPr>
              <w:rFonts w:ascii="Calibri" w:eastAsia="Calibri" w:hAnsi="Calibri" w:cs="Calibri"/>
              <w:b/>
              <w:i/>
              <w:color w:val="000000"/>
              <w:sz w:val="28"/>
              <w:szCs w:val="28"/>
            </w:rPr>
          </w:pPr>
          <w:hyperlink w:anchor="_tyjcwt">
            <w:r>
              <w:rPr>
                <w:rFonts w:ascii="Calibri" w:eastAsia="Calibri" w:hAnsi="Calibri" w:cs="Calibri"/>
                <w:b/>
                <w:i/>
                <w:color w:val="000000"/>
                <w:sz w:val="28"/>
                <w:szCs w:val="28"/>
              </w:rPr>
              <w:t>Conclusion</w:t>
            </w:r>
            <w:r>
              <w:rPr>
                <w:rFonts w:ascii="Calibri" w:eastAsia="Calibri" w:hAnsi="Calibri" w:cs="Calibri"/>
                <w:b/>
                <w:i/>
                <w:color w:val="000000"/>
                <w:sz w:val="28"/>
                <w:szCs w:val="28"/>
              </w:rPr>
              <w:tab/>
              <w:t>12</w:t>
            </w:r>
          </w:hyperlink>
        </w:p>
        <w:p w14:paraId="3148D4C0" w14:textId="77777777" w:rsidR="00D72E35" w:rsidRDefault="00FD1ACF">
          <w:pPr>
            <w:pBdr>
              <w:top w:val="nil"/>
              <w:left w:val="nil"/>
              <w:bottom w:val="nil"/>
              <w:right w:val="nil"/>
              <w:between w:val="single" w:sz="6" w:space="0" w:color="000000"/>
            </w:pBdr>
            <w:tabs>
              <w:tab w:val="right" w:leader="dot" w:pos="9016"/>
            </w:tabs>
            <w:spacing w:before="120" w:after="120"/>
            <w:jc w:val="center"/>
            <w:rPr>
              <w:rFonts w:ascii="Calibri" w:eastAsia="Calibri" w:hAnsi="Calibri" w:cs="Calibri"/>
              <w:b/>
              <w:i/>
              <w:color w:val="000000"/>
              <w:sz w:val="28"/>
              <w:szCs w:val="28"/>
            </w:rPr>
          </w:pPr>
          <w:hyperlink w:anchor="_3dy6vkm">
            <w:r>
              <w:rPr>
                <w:rFonts w:ascii="Calibri" w:eastAsia="Calibri" w:hAnsi="Calibri" w:cs="Calibri"/>
                <w:b/>
                <w:i/>
                <w:color w:val="000000"/>
                <w:sz w:val="28"/>
                <w:szCs w:val="28"/>
              </w:rPr>
              <w:t>References</w:t>
            </w:r>
            <w:r>
              <w:rPr>
                <w:rFonts w:ascii="Calibri" w:eastAsia="Calibri" w:hAnsi="Calibri" w:cs="Calibri"/>
                <w:b/>
                <w:i/>
                <w:color w:val="000000"/>
                <w:sz w:val="28"/>
                <w:szCs w:val="28"/>
              </w:rPr>
              <w:tab/>
              <w:t>13</w:t>
            </w:r>
          </w:hyperlink>
        </w:p>
        <w:p w14:paraId="5216A5E9" w14:textId="77777777" w:rsidR="00D72E35" w:rsidRDefault="00FD1ACF">
          <w:r>
            <w:fldChar w:fldCharType="end"/>
          </w:r>
        </w:p>
      </w:sdtContent>
    </w:sdt>
    <w:p w14:paraId="49E7C585" w14:textId="77777777" w:rsidR="00D72E35" w:rsidRDefault="00D72E35">
      <w:pPr>
        <w:shd w:val="clear" w:color="auto" w:fill="FFFFFF"/>
        <w:spacing w:after="0" w:line="480" w:lineRule="auto"/>
        <w:jc w:val="left"/>
        <w:rPr>
          <w:rFonts w:ascii="Arial" w:eastAsia="Arial" w:hAnsi="Arial" w:cs="Arial"/>
          <w:b/>
          <w:color w:val="222222"/>
        </w:rPr>
      </w:pPr>
    </w:p>
    <w:p w14:paraId="5B914C0B" w14:textId="77777777" w:rsidR="00D72E35" w:rsidRDefault="00D72E35">
      <w:pPr>
        <w:shd w:val="clear" w:color="auto" w:fill="FFFFFF"/>
        <w:spacing w:after="0" w:line="480" w:lineRule="auto"/>
        <w:jc w:val="left"/>
        <w:rPr>
          <w:rFonts w:ascii="Arial" w:eastAsia="Arial" w:hAnsi="Arial" w:cs="Arial"/>
          <w:b/>
          <w:color w:val="222222"/>
        </w:rPr>
      </w:pPr>
    </w:p>
    <w:p w14:paraId="701F1BD5" w14:textId="77777777" w:rsidR="00D72E35" w:rsidRDefault="00D72E35">
      <w:pPr>
        <w:shd w:val="clear" w:color="auto" w:fill="FFFFFF"/>
        <w:spacing w:after="0" w:line="480" w:lineRule="auto"/>
        <w:jc w:val="left"/>
        <w:rPr>
          <w:rFonts w:ascii="Arial" w:eastAsia="Arial" w:hAnsi="Arial" w:cs="Arial"/>
          <w:b/>
          <w:color w:val="222222"/>
        </w:rPr>
      </w:pPr>
    </w:p>
    <w:p w14:paraId="747BB269" w14:textId="77777777" w:rsidR="00D72E35" w:rsidRDefault="00D72E35">
      <w:pPr>
        <w:shd w:val="clear" w:color="auto" w:fill="FFFFFF"/>
        <w:spacing w:after="0" w:line="480" w:lineRule="auto"/>
        <w:jc w:val="left"/>
        <w:rPr>
          <w:rFonts w:ascii="Arial" w:eastAsia="Arial" w:hAnsi="Arial" w:cs="Arial"/>
          <w:b/>
          <w:color w:val="222222"/>
        </w:rPr>
      </w:pPr>
    </w:p>
    <w:p w14:paraId="4878660C" w14:textId="77777777" w:rsidR="00D72E35" w:rsidRDefault="00D72E35">
      <w:pPr>
        <w:shd w:val="clear" w:color="auto" w:fill="FFFFFF"/>
        <w:spacing w:after="0" w:line="480" w:lineRule="auto"/>
        <w:jc w:val="left"/>
        <w:rPr>
          <w:rFonts w:ascii="Arial" w:eastAsia="Arial" w:hAnsi="Arial" w:cs="Arial"/>
          <w:b/>
          <w:color w:val="222222"/>
        </w:rPr>
      </w:pPr>
    </w:p>
    <w:p w14:paraId="4DEFB698" w14:textId="77777777" w:rsidR="00D72E35" w:rsidRDefault="00D72E35">
      <w:pPr>
        <w:shd w:val="clear" w:color="auto" w:fill="FFFFFF"/>
        <w:spacing w:after="0" w:line="480" w:lineRule="auto"/>
        <w:jc w:val="left"/>
        <w:rPr>
          <w:rFonts w:ascii="Arial" w:eastAsia="Arial" w:hAnsi="Arial" w:cs="Arial"/>
          <w:b/>
          <w:color w:val="222222"/>
        </w:rPr>
      </w:pPr>
    </w:p>
    <w:p w14:paraId="003CD611" w14:textId="77777777" w:rsidR="00D72E35" w:rsidRDefault="00D72E35">
      <w:pPr>
        <w:shd w:val="clear" w:color="auto" w:fill="FFFFFF"/>
        <w:spacing w:after="0" w:line="480" w:lineRule="auto"/>
        <w:jc w:val="left"/>
        <w:rPr>
          <w:rFonts w:ascii="Arial" w:eastAsia="Arial" w:hAnsi="Arial" w:cs="Arial"/>
          <w:b/>
          <w:color w:val="222222"/>
        </w:rPr>
      </w:pPr>
    </w:p>
    <w:p w14:paraId="38ECEC6B" w14:textId="77777777" w:rsidR="00D72E35" w:rsidRDefault="00D72E35">
      <w:pPr>
        <w:shd w:val="clear" w:color="auto" w:fill="FFFFFF"/>
        <w:spacing w:after="0" w:line="480" w:lineRule="auto"/>
        <w:jc w:val="left"/>
        <w:rPr>
          <w:rFonts w:ascii="Arial" w:eastAsia="Arial" w:hAnsi="Arial" w:cs="Arial"/>
          <w:b/>
          <w:color w:val="222222"/>
        </w:rPr>
      </w:pPr>
    </w:p>
    <w:p w14:paraId="2F5DA715" w14:textId="77777777" w:rsidR="00FD1ACF" w:rsidRDefault="00FD1ACF">
      <w:pPr>
        <w:pStyle w:val="Heading1"/>
        <w:rPr>
          <w:sz w:val="36"/>
          <w:szCs w:val="36"/>
        </w:rPr>
      </w:pPr>
      <w:bookmarkStart w:id="0" w:name="_gjdgxs" w:colFirst="0" w:colLast="0"/>
      <w:bookmarkEnd w:id="0"/>
    </w:p>
    <w:p w14:paraId="3CB2B9BE" w14:textId="77777777" w:rsidR="00FD1ACF" w:rsidRDefault="00FD1ACF">
      <w:pPr>
        <w:pStyle w:val="Heading1"/>
        <w:rPr>
          <w:sz w:val="36"/>
          <w:szCs w:val="36"/>
        </w:rPr>
      </w:pPr>
    </w:p>
    <w:p w14:paraId="4530C0D2" w14:textId="36DFA466" w:rsidR="00D72E35" w:rsidRDefault="00FD1ACF">
      <w:pPr>
        <w:pStyle w:val="Heading1"/>
        <w:rPr>
          <w:sz w:val="36"/>
          <w:szCs w:val="36"/>
        </w:rPr>
      </w:pPr>
      <w:r>
        <w:rPr>
          <w:sz w:val="36"/>
          <w:szCs w:val="36"/>
        </w:rPr>
        <w:t>Executive Summary: </w:t>
      </w:r>
    </w:p>
    <w:p w14:paraId="7A621AF7" w14:textId="77777777" w:rsidR="00D72E35" w:rsidRDefault="00FD1ACF">
      <w:pPr>
        <w:pBdr>
          <w:top w:val="nil"/>
          <w:left w:val="nil"/>
          <w:bottom w:val="nil"/>
          <w:right w:val="nil"/>
          <w:between w:val="nil"/>
        </w:pBdr>
        <w:spacing w:before="280" w:after="280" w:line="480" w:lineRule="auto"/>
        <w:jc w:val="left"/>
        <w:rPr>
          <w:rFonts w:ascii="Arial" w:eastAsia="Arial" w:hAnsi="Arial" w:cs="Arial"/>
          <w:color w:val="252525"/>
        </w:rPr>
      </w:pPr>
      <w:r>
        <w:rPr>
          <w:rFonts w:ascii="Arial" w:eastAsia="Arial" w:hAnsi="Arial" w:cs="Arial"/>
          <w:color w:val="252525"/>
        </w:rPr>
        <w:t>An audit report conducted on the well-known international hotel company, Hyatt Hotel Group, outlines the research findings presented here. The audit focuses on several key themes, including the organisation's aims, ethos, and framework; recent change projects and their outcomes; the hotel group's strategy orientation; and current business accomplishments.</w:t>
      </w:r>
      <w:r>
        <w:rPr>
          <w:rFonts w:ascii="Arial" w:eastAsia="Arial" w:hAnsi="Arial" w:cs="Arial"/>
          <w:color w:val="252525"/>
        </w:rPr>
        <w:br/>
        <w:t xml:space="preserve">According to the audit's conclusions, the Hyatt Hotel Group has a well-defined organisational structure that prioritises cooperation and coordination. The organisational culture, which supports excellence, innovation, and tailored visitor experiences, has a favourable impact on staff conduct and performance. The hotel group's goals and objectives align with its strategic direction, which includes </w:t>
      </w:r>
      <w:r>
        <w:rPr>
          <w:rFonts w:ascii="Arial" w:eastAsia="Arial" w:hAnsi="Arial" w:cs="Arial"/>
          <w:color w:val="252525"/>
        </w:rPr>
        <w:lastRenderedPageBreak/>
        <w:t>achieving sustainable growth, providing great guest service, and fostering employee development. The most recen</w:t>
      </w:r>
      <w:r>
        <w:rPr>
          <w:rFonts w:ascii="Arial" w:eastAsia="Arial" w:hAnsi="Arial" w:cs="Arial"/>
          <w:color w:val="252525"/>
        </w:rPr>
        <w:t>t reform initiatives made by the Hyatt Hotel Group have had a significant influence on several stakeholders. These approaches have resulted in increased employee engagement, operational performance, and consumer delight. However, putting these ideas into action proved difficult, emphasising the importance of good change management strategies.</w:t>
      </w:r>
      <w:r>
        <w:rPr>
          <w:rFonts w:ascii="Arial" w:eastAsia="Arial" w:hAnsi="Arial" w:cs="Arial"/>
          <w:color w:val="252525"/>
        </w:rPr>
        <w:br/>
        <w:t>Hyatt Hotel Group's strategy focuses on providing authentic hospitality and creating a meaningful difference in the lives of its guests, employees, and the communities</w:t>
      </w:r>
      <w:r>
        <w:rPr>
          <w:rFonts w:ascii="Arial" w:eastAsia="Arial" w:hAnsi="Arial" w:cs="Arial"/>
          <w:color w:val="252525"/>
        </w:rPr>
        <w:t xml:space="preserve"> it serves. The hotel group's business performance has improved as revenue, market share, and customer happiness have grown. When compared to other market competitors, Hyatt has a clear edge, particularly in terms of greater service quality, a strong brand reputation, and commitment to sustainability. The audit of the Hyatt Hotel Group assesses the advantages, disadvantages, and potential benefits. The analysis suggests numerous strategies to improve the company's success, such as expanding into new markets</w:t>
      </w:r>
      <w:r>
        <w:rPr>
          <w:rFonts w:ascii="Arial" w:eastAsia="Arial" w:hAnsi="Arial" w:cs="Arial"/>
          <w:color w:val="252525"/>
        </w:rPr>
        <w:t>, improving visitor experiences with technology, and upgrading staff development programmes. </w:t>
      </w:r>
    </w:p>
    <w:p w14:paraId="20B17E67" w14:textId="77777777" w:rsidR="00D72E35" w:rsidRDefault="00D72E35">
      <w:pPr>
        <w:pStyle w:val="Heading1"/>
      </w:pPr>
    </w:p>
    <w:p w14:paraId="544AF4E2" w14:textId="77777777" w:rsidR="00D72E35" w:rsidRDefault="00FD1ACF">
      <w:pPr>
        <w:pStyle w:val="Heading1"/>
        <w:rPr>
          <w:sz w:val="28"/>
          <w:szCs w:val="28"/>
          <w:u w:val="single"/>
        </w:rPr>
      </w:pPr>
      <w:bookmarkStart w:id="1" w:name="_30j0zll" w:colFirst="0" w:colLast="0"/>
      <w:bookmarkEnd w:id="1"/>
      <w:r>
        <w:rPr>
          <w:sz w:val="28"/>
          <w:szCs w:val="28"/>
          <w:u w:val="single"/>
        </w:rPr>
        <w:t>Introduction </w:t>
      </w:r>
    </w:p>
    <w:p w14:paraId="5AA1562B" w14:textId="77777777" w:rsidR="00D72E35" w:rsidRDefault="00FD1ACF">
      <w:pPr>
        <w:pBdr>
          <w:top w:val="nil"/>
          <w:left w:val="nil"/>
          <w:bottom w:val="nil"/>
          <w:right w:val="nil"/>
          <w:between w:val="nil"/>
        </w:pBdr>
        <w:spacing w:before="280" w:after="280" w:line="480" w:lineRule="auto"/>
        <w:jc w:val="left"/>
        <w:rPr>
          <w:rFonts w:ascii="Arial" w:eastAsia="Arial" w:hAnsi="Arial" w:cs="Arial"/>
          <w:color w:val="000000"/>
        </w:rPr>
      </w:pPr>
      <w:r>
        <w:rPr>
          <w:rFonts w:ascii="Arial" w:eastAsia="Arial" w:hAnsi="Arial" w:cs="Arial"/>
          <w:color w:val="000000"/>
        </w:rPr>
        <w:t xml:space="preserve">Organisational behaviour is the study of how individuals and groups act within an organisation </w:t>
      </w:r>
      <w:proofErr w:type="gramStart"/>
      <w:r>
        <w:rPr>
          <w:rFonts w:ascii="Arial" w:eastAsia="Arial" w:hAnsi="Arial" w:cs="Arial"/>
          <w:color w:val="000000"/>
        </w:rPr>
        <w:t>in order to</w:t>
      </w:r>
      <w:proofErr w:type="gramEnd"/>
      <w:r>
        <w:rPr>
          <w:rFonts w:ascii="Arial" w:eastAsia="Arial" w:hAnsi="Arial" w:cs="Arial"/>
          <w:color w:val="000000"/>
        </w:rPr>
        <w:t xml:space="preserve"> achieve their objectives (Mullins and Dosser, 2013).  In addition, “organisational culture" refers to a comprehensive framework of traditions, values, policies, ideas, and attitudes that have a significant impact on all areas of an organization's actions and thinking (McLean's 1993). This audit report has chosen The Hyatt Hotel Group is an organization. The Hyatt Hotel Group, a globally famous </w:t>
      </w:r>
      <w:r>
        <w:rPr>
          <w:rFonts w:ascii="Arial" w:eastAsia="Arial" w:hAnsi="Arial" w:cs="Arial"/>
          <w:color w:val="000000"/>
        </w:rPr>
        <w:lastRenderedPageBreak/>
        <w:t>hotel brand, is well-known for its unwavering dedication to creating outstanding guest experiences. The</w:t>
      </w:r>
      <w:r>
        <w:rPr>
          <w:rFonts w:ascii="Arial" w:eastAsia="Arial" w:hAnsi="Arial" w:cs="Arial"/>
          <w:color w:val="000000"/>
        </w:rPr>
        <w:t xml:space="preserve"> hotel company operates in more than 60 countries and owns </w:t>
      </w:r>
      <w:proofErr w:type="gramStart"/>
      <w:r>
        <w:rPr>
          <w:rFonts w:ascii="Arial" w:eastAsia="Arial" w:hAnsi="Arial" w:cs="Arial"/>
          <w:color w:val="000000"/>
        </w:rPr>
        <w:t>a number of</w:t>
      </w:r>
      <w:proofErr w:type="gramEnd"/>
      <w:r>
        <w:rPr>
          <w:rFonts w:ascii="Arial" w:eastAsia="Arial" w:hAnsi="Arial" w:cs="Arial"/>
          <w:color w:val="000000"/>
        </w:rPr>
        <w:t xml:space="preserve"> brands, including Park Hyatt, Grand Hyatt, Andaz, and Hyatt Regency (</w:t>
      </w:r>
      <w:proofErr w:type="spellStart"/>
      <w:r>
        <w:rPr>
          <w:rFonts w:ascii="Arial" w:eastAsia="Arial" w:hAnsi="Arial" w:cs="Arial"/>
          <w:color w:val="000000"/>
        </w:rPr>
        <w:t>Orević</w:t>
      </w:r>
      <w:proofErr w:type="spellEnd"/>
      <w:r>
        <w:rPr>
          <w:rFonts w:ascii="Arial" w:eastAsia="Arial" w:hAnsi="Arial" w:cs="Arial"/>
          <w:color w:val="000000"/>
        </w:rPr>
        <w:t xml:space="preserve"> and Janković, 2015). This report provides an audit of the Hyatt Hotel Group, concentrating on its goals, organisational structure, and culture. Along with evaluating the outcomes of prior reform measures, it also evaluates the company's strategic direction and current business performance. This audit intends to use applicable theories and frameworks to conduct a </w:t>
      </w:r>
      <w:r>
        <w:rPr>
          <w:rFonts w:ascii="Arial" w:eastAsia="Arial" w:hAnsi="Arial" w:cs="Arial"/>
          <w:color w:val="000000"/>
        </w:rPr>
        <w:t xml:space="preserve">thorough evaluation of the Hyatt Hotel Group at both the corporate and individual unit levels. By assessing these critical areas, the study hopes to provide crucial insights into the hotel company's prospects, risks, opportunities, and weaknesses. This audit will also look at the hotel group's strategy, assess the effectiveness of previous transformation efforts, and review its present financial performance. The audit results will help us understand how the Hyatt Hotel Group </w:t>
      </w:r>
      <w:proofErr w:type="gramStart"/>
      <w:r>
        <w:rPr>
          <w:rFonts w:ascii="Arial" w:eastAsia="Arial" w:hAnsi="Arial" w:cs="Arial"/>
          <w:color w:val="000000"/>
        </w:rPr>
        <w:t>operates as a whole, identify</w:t>
      </w:r>
      <w:proofErr w:type="gramEnd"/>
      <w:r>
        <w:rPr>
          <w:rFonts w:ascii="Arial" w:eastAsia="Arial" w:hAnsi="Arial" w:cs="Arial"/>
          <w:color w:val="000000"/>
        </w:rPr>
        <w:t xml:space="preserve"> ar</w:t>
      </w:r>
      <w:r>
        <w:rPr>
          <w:rFonts w:ascii="Arial" w:eastAsia="Arial" w:hAnsi="Arial" w:cs="Arial"/>
          <w:color w:val="000000"/>
        </w:rPr>
        <w:t>eas for improvement, and provide recommendations. By aligning its organisational structure, culture, and goals with its strategic direction, the hotel group may achieve long-term growth, maintain a competitive advantage in the market, and continue to provide excellent hospitality experiences to guests.</w:t>
      </w:r>
    </w:p>
    <w:p w14:paraId="7A73A82D" w14:textId="77777777" w:rsidR="00D72E35" w:rsidRDefault="00D72E35">
      <w:pPr>
        <w:pStyle w:val="Heading1"/>
        <w:rPr>
          <w:sz w:val="28"/>
          <w:szCs w:val="28"/>
          <w:u w:val="single"/>
        </w:rPr>
      </w:pPr>
    </w:p>
    <w:p w14:paraId="4207D084" w14:textId="77777777" w:rsidR="00D72E35" w:rsidRDefault="00FD1ACF">
      <w:pPr>
        <w:pStyle w:val="Heading1"/>
        <w:rPr>
          <w:color w:val="252525"/>
          <w:sz w:val="28"/>
          <w:szCs w:val="28"/>
          <w:u w:val="single"/>
        </w:rPr>
      </w:pPr>
      <w:bookmarkStart w:id="2" w:name="_1fob9te" w:colFirst="0" w:colLast="0"/>
      <w:bookmarkEnd w:id="2"/>
      <w:r>
        <w:rPr>
          <w:color w:val="252525"/>
          <w:sz w:val="28"/>
          <w:szCs w:val="28"/>
          <w:u w:val="single"/>
        </w:rPr>
        <w:t>Organisational Culture, Goals, and Structure</w:t>
      </w:r>
    </w:p>
    <w:p w14:paraId="40D72FB2" w14:textId="77777777" w:rsidR="00D72E35" w:rsidRDefault="00FD1ACF">
      <w:pPr>
        <w:pBdr>
          <w:top w:val="nil"/>
          <w:left w:val="nil"/>
          <w:bottom w:val="nil"/>
          <w:right w:val="nil"/>
          <w:between w:val="nil"/>
        </w:pBdr>
        <w:spacing w:before="280" w:after="280" w:line="480" w:lineRule="auto"/>
        <w:jc w:val="left"/>
        <w:rPr>
          <w:rFonts w:ascii="Arial" w:eastAsia="Arial" w:hAnsi="Arial" w:cs="Arial"/>
          <w:color w:val="252525"/>
        </w:rPr>
      </w:pPr>
      <w:r>
        <w:rPr>
          <w:rFonts w:ascii="Arial" w:eastAsia="Arial" w:hAnsi="Arial" w:cs="Arial"/>
          <w:color w:val="252525"/>
        </w:rPr>
        <w:br/>
        <w:t>The Hyatt Hotel Group has a well-defined organisational structure that allows for efficient operations and informed decision-making. The hotel group is organised hierarchically, with distinct lines of authority and accountability (</w:t>
      </w:r>
      <w:r>
        <w:rPr>
          <w:rFonts w:ascii="Arial" w:eastAsia="Arial" w:hAnsi="Arial" w:cs="Arial"/>
          <w:color w:val="222222"/>
          <w:highlight w:val="white"/>
        </w:rPr>
        <w:t xml:space="preserve">Mathur and Nair </w:t>
      </w:r>
      <w:r>
        <w:rPr>
          <w:rFonts w:ascii="Arial" w:eastAsia="Arial" w:hAnsi="Arial" w:cs="Arial"/>
          <w:color w:val="222222"/>
          <w:highlight w:val="white"/>
        </w:rPr>
        <w:lastRenderedPageBreak/>
        <w:t>2016)</w:t>
      </w:r>
      <w:r>
        <w:rPr>
          <w:rFonts w:ascii="Arial" w:eastAsia="Arial" w:hAnsi="Arial" w:cs="Arial"/>
          <w:color w:val="252525"/>
        </w:rPr>
        <w:t xml:space="preserve">. </w:t>
      </w:r>
      <w:r>
        <w:rPr>
          <w:rFonts w:ascii="Arial" w:eastAsia="Arial" w:hAnsi="Arial" w:cs="Arial"/>
          <w:noProof/>
          <w:color w:val="252525"/>
        </w:rPr>
        <w:drawing>
          <wp:inline distT="0" distB="0" distL="0" distR="0" wp14:anchorId="2F5710EB" wp14:editId="3A30DFF0">
            <wp:extent cx="5731510" cy="2753360"/>
            <wp:effectExtent l="0" t="0" r="0" b="0"/>
            <wp:docPr id="1" name="image1.png" descr="A diagram of culture and its components&#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diagram of culture and its components&#10;&#10;Description automatically generated"/>
                    <pic:cNvPicPr preferRelativeResize="0"/>
                  </pic:nvPicPr>
                  <pic:blipFill>
                    <a:blip r:embed="rId5"/>
                    <a:srcRect/>
                    <a:stretch>
                      <a:fillRect/>
                    </a:stretch>
                  </pic:blipFill>
                  <pic:spPr>
                    <a:xfrm>
                      <a:off x="0" y="0"/>
                      <a:ext cx="5731510" cy="2753360"/>
                    </a:xfrm>
                    <a:prstGeom prst="rect">
                      <a:avLst/>
                    </a:prstGeom>
                    <a:ln/>
                  </pic:spPr>
                </pic:pic>
              </a:graphicData>
            </a:graphic>
          </wp:inline>
        </w:drawing>
      </w:r>
    </w:p>
    <w:p w14:paraId="1A4D8E0B" w14:textId="77777777" w:rsidR="00D72E35" w:rsidRDefault="00FD1ACF">
      <w:pPr>
        <w:pBdr>
          <w:top w:val="nil"/>
          <w:left w:val="nil"/>
          <w:bottom w:val="nil"/>
          <w:right w:val="nil"/>
          <w:between w:val="nil"/>
        </w:pBdr>
        <w:shd w:val="clear" w:color="auto" w:fill="FFFFFF"/>
        <w:spacing w:before="280" w:after="280" w:line="480" w:lineRule="auto"/>
        <w:jc w:val="left"/>
        <w:rPr>
          <w:rFonts w:ascii="Arial" w:eastAsia="Arial" w:hAnsi="Arial" w:cs="Arial"/>
          <w:b/>
          <w:color w:val="252525"/>
        </w:rPr>
      </w:pPr>
      <w:r>
        <w:rPr>
          <w:rFonts w:ascii="Arial" w:eastAsia="Arial" w:hAnsi="Arial" w:cs="Arial"/>
          <w:b/>
          <w:color w:val="252525"/>
        </w:rPr>
        <w:t xml:space="preserve">Figure </w:t>
      </w:r>
      <w:proofErr w:type="gramStart"/>
      <w:r>
        <w:rPr>
          <w:rFonts w:ascii="Arial" w:eastAsia="Arial" w:hAnsi="Arial" w:cs="Arial"/>
          <w:b/>
          <w:color w:val="252525"/>
        </w:rPr>
        <w:t>1 :</w:t>
      </w:r>
      <w:proofErr w:type="gramEnd"/>
      <w:r>
        <w:rPr>
          <w:rFonts w:ascii="Arial" w:eastAsia="Arial" w:hAnsi="Arial" w:cs="Arial"/>
          <w:b/>
          <w:color w:val="252525"/>
        </w:rPr>
        <w:t xml:space="preserve"> Schein level of  culture in an organisation </w:t>
      </w:r>
    </w:p>
    <w:p w14:paraId="2C4EEF53" w14:textId="77777777" w:rsidR="00D72E35" w:rsidRDefault="00D72E35">
      <w:pPr>
        <w:pBdr>
          <w:top w:val="nil"/>
          <w:left w:val="nil"/>
          <w:bottom w:val="nil"/>
          <w:right w:val="nil"/>
          <w:between w:val="nil"/>
        </w:pBdr>
        <w:spacing w:before="280" w:after="280" w:line="480" w:lineRule="auto"/>
        <w:jc w:val="left"/>
        <w:rPr>
          <w:rFonts w:ascii="Arial" w:eastAsia="Arial" w:hAnsi="Arial" w:cs="Arial"/>
          <w:b/>
          <w:color w:val="252525"/>
        </w:rPr>
      </w:pPr>
    </w:p>
    <w:p w14:paraId="6B4006E3" w14:textId="77777777" w:rsidR="00D72E35" w:rsidRDefault="00FD1ACF">
      <w:pPr>
        <w:pBdr>
          <w:top w:val="nil"/>
          <w:left w:val="nil"/>
          <w:bottom w:val="nil"/>
          <w:right w:val="nil"/>
          <w:between w:val="nil"/>
        </w:pBdr>
        <w:spacing w:before="280" w:after="280" w:line="480" w:lineRule="auto"/>
        <w:jc w:val="left"/>
        <w:rPr>
          <w:rFonts w:ascii="Arial" w:eastAsia="Arial" w:hAnsi="Arial" w:cs="Arial"/>
          <w:color w:val="252525"/>
        </w:rPr>
      </w:pPr>
      <w:r>
        <w:rPr>
          <w:rFonts w:ascii="Arial" w:eastAsia="Arial" w:hAnsi="Arial" w:cs="Arial"/>
          <w:color w:val="252525"/>
        </w:rPr>
        <w:t xml:space="preserve">The corporate management team </w:t>
      </w:r>
      <w:proofErr w:type="gramStart"/>
      <w:r>
        <w:rPr>
          <w:rFonts w:ascii="Arial" w:eastAsia="Arial" w:hAnsi="Arial" w:cs="Arial"/>
          <w:color w:val="252525"/>
        </w:rPr>
        <w:t>is in charge of</w:t>
      </w:r>
      <w:proofErr w:type="gramEnd"/>
      <w:r>
        <w:rPr>
          <w:rFonts w:ascii="Arial" w:eastAsia="Arial" w:hAnsi="Arial" w:cs="Arial"/>
          <w:color w:val="252525"/>
        </w:rPr>
        <w:t xml:space="preserve"> determining the overall strategic route and overseeing the highest-level operations of the company's numerous brands and properties. The team consists of senior executives, including the Chief Financial Officer (CFO) and CEO. The corporate management team is responsible for overseeing hotel operations in certain geographic areas through regional divisions. These divisions ensure that each hotel follows the overall business plan while also </w:t>
      </w:r>
      <w:proofErr w:type="gramStart"/>
      <w:r>
        <w:rPr>
          <w:rFonts w:ascii="Arial" w:eastAsia="Arial" w:hAnsi="Arial" w:cs="Arial"/>
          <w:color w:val="252525"/>
        </w:rPr>
        <w:t>taking into account</w:t>
      </w:r>
      <w:proofErr w:type="gramEnd"/>
      <w:r>
        <w:rPr>
          <w:rFonts w:ascii="Arial" w:eastAsia="Arial" w:hAnsi="Arial" w:cs="Arial"/>
          <w:color w:val="252525"/>
        </w:rPr>
        <w:t xml:space="preserve"> the specific market conditions an</w:t>
      </w:r>
      <w:r>
        <w:rPr>
          <w:rFonts w:ascii="Arial" w:eastAsia="Arial" w:hAnsi="Arial" w:cs="Arial"/>
          <w:color w:val="252525"/>
        </w:rPr>
        <w:t xml:space="preserve">d cultural peculiarities. A general manager </w:t>
      </w:r>
      <w:proofErr w:type="gramStart"/>
      <w:r>
        <w:rPr>
          <w:rFonts w:ascii="Arial" w:eastAsia="Arial" w:hAnsi="Arial" w:cs="Arial"/>
          <w:color w:val="252525"/>
        </w:rPr>
        <w:t>is in charge of</w:t>
      </w:r>
      <w:proofErr w:type="gramEnd"/>
      <w:r>
        <w:rPr>
          <w:rFonts w:ascii="Arial" w:eastAsia="Arial" w:hAnsi="Arial" w:cs="Arial"/>
          <w:color w:val="252525"/>
        </w:rPr>
        <w:t xml:space="preserve"> monitoring daily operations and ensuring that the hotel satisfies both guest expectations and brand standards in each location. The Hyatt Hotel Group's core principles are creativity, enjoyment, humility, respect, integrity, and empathy. These ideals run throughout the organisation (</w:t>
      </w:r>
      <w:proofErr w:type="spellStart"/>
      <w:r>
        <w:rPr>
          <w:rFonts w:ascii="Arial" w:eastAsia="Arial" w:hAnsi="Arial" w:cs="Arial"/>
          <w:color w:val="222222"/>
          <w:highlight w:val="white"/>
        </w:rPr>
        <w:t>Kainthola</w:t>
      </w:r>
      <w:proofErr w:type="spellEnd"/>
      <w:r>
        <w:rPr>
          <w:rFonts w:ascii="Arial" w:eastAsia="Arial" w:hAnsi="Arial" w:cs="Arial"/>
          <w:color w:val="222222"/>
          <w:highlight w:val="white"/>
        </w:rPr>
        <w:t>, 2021)</w:t>
      </w:r>
      <w:r>
        <w:rPr>
          <w:rFonts w:ascii="Arial" w:eastAsia="Arial" w:hAnsi="Arial" w:cs="Arial"/>
          <w:color w:val="252525"/>
        </w:rPr>
        <w:t xml:space="preserve">. These notions have an impact on employees' attitudes and </w:t>
      </w:r>
      <w:r>
        <w:rPr>
          <w:rFonts w:ascii="Arial" w:eastAsia="Arial" w:hAnsi="Arial" w:cs="Arial"/>
          <w:color w:val="252525"/>
        </w:rPr>
        <w:lastRenderedPageBreak/>
        <w:t>behaviours throughout the organisation. </w:t>
      </w:r>
      <w:r>
        <w:rPr>
          <w:rFonts w:ascii="Arial" w:eastAsia="Arial" w:hAnsi="Arial" w:cs="Arial"/>
          <w:color w:val="252525"/>
        </w:rPr>
        <w:br/>
        <w:t>The hotel chain fosters a culture of inclusion and d</w:t>
      </w:r>
      <w:r>
        <w:rPr>
          <w:rFonts w:ascii="Arial" w:eastAsia="Arial" w:hAnsi="Arial" w:cs="Arial"/>
          <w:color w:val="252525"/>
        </w:rPr>
        <w:t xml:space="preserve">iversity, appreciating the value of all ideas and experiences. In this pleasant work atmosphere, staff members feel valued, motivated, and empowered to provide excellent guest experiences. Employee performance and behaviour are heavily influenced by organisational culture. Prioritising respect and empathy </w:t>
      </w:r>
      <w:proofErr w:type="gramStart"/>
      <w:r>
        <w:rPr>
          <w:rFonts w:ascii="Arial" w:eastAsia="Arial" w:hAnsi="Arial" w:cs="Arial"/>
          <w:color w:val="252525"/>
        </w:rPr>
        <w:t>fosters</w:t>
      </w:r>
      <w:proofErr w:type="gramEnd"/>
      <w:r>
        <w:rPr>
          <w:rFonts w:ascii="Arial" w:eastAsia="Arial" w:hAnsi="Arial" w:cs="Arial"/>
          <w:color w:val="252525"/>
        </w:rPr>
        <w:t xml:space="preserve"> a welcoming and collaborative environment, which leads to higher employee satisfaction and morale (</w:t>
      </w:r>
      <w:r>
        <w:rPr>
          <w:rFonts w:ascii="Arial" w:eastAsia="Arial" w:hAnsi="Arial" w:cs="Arial"/>
          <w:color w:val="222222"/>
          <w:highlight w:val="white"/>
        </w:rPr>
        <w:t>Pradhan and Jena 2015)</w:t>
      </w:r>
      <w:r>
        <w:rPr>
          <w:rFonts w:ascii="Arial" w:eastAsia="Arial" w:hAnsi="Arial" w:cs="Arial"/>
          <w:color w:val="252525"/>
        </w:rPr>
        <w:t>. As a result, the guest experience is better, and customer satisfaction inc</w:t>
      </w:r>
      <w:r>
        <w:rPr>
          <w:rFonts w:ascii="Arial" w:eastAsia="Arial" w:hAnsi="Arial" w:cs="Arial"/>
          <w:color w:val="252525"/>
        </w:rPr>
        <w:t>reases. Because of the culture's emphasis on creativity and fun, which stimulates innovation and uncommon thinking, the hotel firm can maintain a competitive advantage and deliver unique experiences for its clientele.</w:t>
      </w:r>
    </w:p>
    <w:p w14:paraId="12551419" w14:textId="77777777" w:rsidR="00D72E35" w:rsidRDefault="00FD1ACF">
      <w:pPr>
        <w:pBdr>
          <w:top w:val="nil"/>
          <w:left w:val="nil"/>
          <w:bottom w:val="nil"/>
          <w:right w:val="nil"/>
          <w:between w:val="nil"/>
        </w:pBdr>
        <w:spacing w:before="280" w:after="280" w:line="480" w:lineRule="auto"/>
        <w:jc w:val="left"/>
        <w:rPr>
          <w:rFonts w:ascii="Arial" w:eastAsia="Arial" w:hAnsi="Arial" w:cs="Arial"/>
          <w:color w:val="252525"/>
        </w:rPr>
      </w:pPr>
      <w:r>
        <w:rPr>
          <w:rFonts w:ascii="Arial" w:eastAsia="Arial" w:hAnsi="Arial" w:cs="Arial"/>
          <w:color w:val="252525"/>
        </w:rPr>
        <w:t>The Hyatt Hotel Group ties its overarching strategic plan to its declared goals and objectives. The hotel group aspires to sustainable growth, worldwide expansion, and brand consistency. The goals include increasing market share, improving financial performance, maximising tourist satisfaction, and developing employees. The goals represent the hotel group's dedication to providing excellent guest experiences while also ensuring the company's long-term growth and profitability. Overall, the Hyatt Hotel Group</w:t>
      </w:r>
      <w:r>
        <w:rPr>
          <w:rFonts w:ascii="Arial" w:eastAsia="Arial" w:hAnsi="Arial" w:cs="Arial"/>
          <w:color w:val="252525"/>
        </w:rPr>
        <w:t>'s goals, culture, and organisational structure contribute to its success and competitive edge (</w:t>
      </w:r>
      <w:r>
        <w:rPr>
          <w:rFonts w:ascii="Arial" w:eastAsia="Arial" w:hAnsi="Arial" w:cs="Arial"/>
          <w:color w:val="222222"/>
        </w:rPr>
        <w:t>Mullins, 2020)</w:t>
      </w:r>
      <w:r>
        <w:rPr>
          <w:rFonts w:ascii="Arial" w:eastAsia="Arial" w:hAnsi="Arial" w:cs="Arial"/>
          <w:color w:val="252525"/>
        </w:rPr>
        <w:t>. The organisational culture promotes employee engagement and innovation, while the hierarchical architecture facilitates effective coordination and control. The goals and objectives are consistent with the strategic direction, laying out a clear path for the hotel group's future growth and success.</w:t>
      </w:r>
    </w:p>
    <w:p w14:paraId="64F0D0A2" w14:textId="77777777" w:rsidR="00D72E35" w:rsidRDefault="00D72E35">
      <w:pPr>
        <w:shd w:val="clear" w:color="auto" w:fill="FFFFFF"/>
        <w:spacing w:after="0" w:line="480" w:lineRule="auto"/>
        <w:jc w:val="left"/>
        <w:rPr>
          <w:rFonts w:ascii="Arial" w:eastAsia="Arial" w:hAnsi="Arial" w:cs="Arial"/>
          <w:color w:val="222222"/>
        </w:rPr>
      </w:pPr>
    </w:p>
    <w:p w14:paraId="0580B09F" w14:textId="77777777" w:rsidR="00D72E35" w:rsidRDefault="00D72E35">
      <w:pPr>
        <w:shd w:val="clear" w:color="auto" w:fill="FFFFFF"/>
        <w:spacing w:after="0" w:line="480" w:lineRule="auto"/>
        <w:jc w:val="left"/>
        <w:rPr>
          <w:rFonts w:ascii="Arial" w:eastAsia="Arial" w:hAnsi="Arial" w:cs="Arial"/>
          <w:color w:val="222222"/>
          <w:sz w:val="28"/>
          <w:szCs w:val="28"/>
          <w:u w:val="single"/>
        </w:rPr>
      </w:pPr>
    </w:p>
    <w:p w14:paraId="3504681A" w14:textId="77777777" w:rsidR="00D72E35" w:rsidRDefault="00FD1ACF">
      <w:pPr>
        <w:pStyle w:val="Heading1"/>
        <w:rPr>
          <w:sz w:val="28"/>
          <w:szCs w:val="28"/>
          <w:u w:val="single"/>
        </w:rPr>
      </w:pPr>
      <w:bookmarkStart w:id="3" w:name="_3znysh7" w:colFirst="0" w:colLast="0"/>
      <w:bookmarkEnd w:id="3"/>
      <w:r>
        <w:rPr>
          <w:sz w:val="28"/>
          <w:szCs w:val="28"/>
          <w:u w:val="single"/>
        </w:rPr>
        <w:lastRenderedPageBreak/>
        <w:t xml:space="preserve"> Recent Change Initiatives and Their Effects</w:t>
      </w:r>
    </w:p>
    <w:p w14:paraId="051A8AF6" w14:textId="77777777" w:rsidR="00D72E35" w:rsidRDefault="00FD1ACF">
      <w:pPr>
        <w:pBdr>
          <w:top w:val="nil"/>
          <w:left w:val="nil"/>
          <w:bottom w:val="nil"/>
          <w:right w:val="nil"/>
          <w:between w:val="nil"/>
        </w:pBdr>
        <w:spacing w:before="280" w:after="280" w:line="480" w:lineRule="auto"/>
        <w:jc w:val="left"/>
        <w:rPr>
          <w:rFonts w:ascii="Arial" w:eastAsia="Arial" w:hAnsi="Arial" w:cs="Arial"/>
          <w:color w:val="252525"/>
        </w:rPr>
      </w:pPr>
      <w:r>
        <w:rPr>
          <w:rFonts w:ascii="Arial" w:eastAsia="Arial" w:hAnsi="Arial" w:cs="Arial"/>
          <w:color w:val="252525"/>
        </w:rPr>
        <w:br/>
      </w:r>
      <w:r>
        <w:rPr>
          <w:rFonts w:ascii="Arial" w:eastAsia="Arial" w:hAnsi="Arial" w:cs="Arial"/>
          <w:color w:val="252525"/>
        </w:rPr>
        <w:t xml:space="preserve">The Hyatt Hotel Group recently implemented </w:t>
      </w:r>
      <w:proofErr w:type="gramStart"/>
      <w:r>
        <w:rPr>
          <w:rFonts w:ascii="Arial" w:eastAsia="Arial" w:hAnsi="Arial" w:cs="Arial"/>
          <w:color w:val="252525"/>
        </w:rPr>
        <w:t>a number of</w:t>
      </w:r>
      <w:proofErr w:type="gramEnd"/>
      <w:r>
        <w:rPr>
          <w:rFonts w:ascii="Arial" w:eastAsia="Arial" w:hAnsi="Arial" w:cs="Arial"/>
          <w:color w:val="252525"/>
        </w:rPr>
        <w:t xml:space="preserve"> transformation initiatives in order to improve several aspects of its business and the overall guest experience. These activities have had a significant impact on a diverse range of stakeholders, including customers, stockholders, and employees. The Hyatt Hotel Group has implemented new technology solutions to improve operations and efficiency, marking a significant shift. The hotel chain has invested in modern technology for a variety of functions, suc</w:t>
      </w:r>
      <w:r>
        <w:rPr>
          <w:rFonts w:ascii="Arial" w:eastAsia="Arial" w:hAnsi="Arial" w:cs="Arial"/>
          <w:color w:val="252525"/>
        </w:rPr>
        <w:t>h as housekeeping, check-in and check-out procedures, and reservations. These technological advancements have made processes faster and more efficient, reducing visitor wait times and improving overall operational effectiveness (</w:t>
      </w:r>
      <w:r>
        <w:rPr>
          <w:rFonts w:ascii="Arial" w:eastAsia="Arial" w:hAnsi="Arial" w:cs="Arial"/>
          <w:color w:val="222222"/>
          <w:highlight w:val="white"/>
        </w:rPr>
        <w:t>McGee and Crowley-Koch 2019)</w:t>
      </w:r>
      <w:r>
        <w:rPr>
          <w:rFonts w:ascii="Arial" w:eastAsia="Arial" w:hAnsi="Arial" w:cs="Arial"/>
          <w:color w:val="252525"/>
        </w:rPr>
        <w:t>. The improvements have yielded positive results, with guests praising the new techniques' effectiveness and simplicity, resulting in higher levels of customer satisfaction. The Hyatt Hotel Group has also launched a reform initiative focusing on sustainab</w:t>
      </w:r>
      <w:r>
        <w:rPr>
          <w:rFonts w:ascii="Arial" w:eastAsia="Arial" w:hAnsi="Arial" w:cs="Arial"/>
          <w:color w:val="252525"/>
        </w:rPr>
        <w:t>ility and environmental responsibility. The hotel industry has implemented a variety of sustainability measures, such as trash reduction, water conservation, and energy-efficient strategies. These actions save money and improve the company's reputation while still upholding the hotel chain's core values. Positive feedback on the improvements has come from a wide range of sources, including guests who care about the environment and stockholders who value corporate responsibility. The Hyatt Hotel Group has al</w:t>
      </w:r>
      <w:r>
        <w:rPr>
          <w:rFonts w:ascii="Arial" w:eastAsia="Arial" w:hAnsi="Arial" w:cs="Arial"/>
          <w:color w:val="252525"/>
        </w:rPr>
        <w:t>so implemented employee development and training programmes to help its employees improve their competencies and abilities.</w:t>
      </w:r>
    </w:p>
    <w:p w14:paraId="6651A6DA" w14:textId="77777777" w:rsidR="00D72E35" w:rsidRDefault="00FD1ACF">
      <w:pPr>
        <w:pBdr>
          <w:top w:val="nil"/>
          <w:left w:val="nil"/>
          <w:bottom w:val="nil"/>
          <w:right w:val="nil"/>
          <w:between w:val="nil"/>
        </w:pBdr>
        <w:spacing w:before="280" w:after="280" w:line="480" w:lineRule="auto"/>
        <w:jc w:val="left"/>
        <w:rPr>
          <w:rFonts w:ascii="Arial" w:eastAsia="Arial" w:hAnsi="Arial" w:cs="Arial"/>
          <w:color w:val="252525"/>
        </w:rPr>
      </w:pPr>
      <w:r>
        <w:rPr>
          <w:rFonts w:ascii="Arial" w:eastAsia="Arial" w:hAnsi="Arial" w:cs="Arial"/>
          <w:color w:val="252525"/>
        </w:rPr>
        <w:lastRenderedPageBreak/>
        <w:t>The goal of these initiatives is to foster a culture of continuous improvement and learning. The lodging establishment offers a variety of training opportunities, including skill-development workshops, leadership development courses, and multi-functional training. Employees feel appreciated and supported in their professional development, which is a significant result of their efforts. As a result, employee happiness and engagement have significantly improved. This ultimately leads to greater tourist satisf</w:t>
      </w:r>
      <w:r>
        <w:rPr>
          <w:rFonts w:ascii="Arial" w:eastAsia="Arial" w:hAnsi="Arial" w:cs="Arial"/>
          <w:color w:val="252525"/>
        </w:rPr>
        <w:t>action and overall business success (</w:t>
      </w:r>
      <w:proofErr w:type="spellStart"/>
      <w:r>
        <w:rPr>
          <w:rFonts w:ascii="Arial" w:eastAsia="Arial" w:hAnsi="Arial" w:cs="Arial"/>
          <w:color w:val="222222"/>
          <w:highlight w:val="white"/>
        </w:rPr>
        <w:t>Pötzsch</w:t>
      </w:r>
      <w:proofErr w:type="spellEnd"/>
      <w:r>
        <w:rPr>
          <w:rFonts w:ascii="Arial" w:eastAsia="Arial" w:hAnsi="Arial" w:cs="Arial"/>
          <w:color w:val="222222"/>
          <w:highlight w:val="white"/>
        </w:rPr>
        <w:t xml:space="preserve"> and Schamberger, 2022)</w:t>
      </w:r>
      <w:r>
        <w:rPr>
          <w:rFonts w:ascii="Arial" w:eastAsia="Arial" w:hAnsi="Arial" w:cs="Arial"/>
          <w:color w:val="252525"/>
        </w:rPr>
        <w:t>. While the Hyatt Hotel Group's reform efforts have been mostly successful, there have been some setbacks along the way. An inherent barrier that must occasionally be overcome is staff members' resistance to change, stemming from their familiarity with traditional practices and systems. Overcoming this resistance requires implementing effective change management strategies, which involve open and honest communication, extensive training, and</w:t>
      </w:r>
      <w:r>
        <w:rPr>
          <w:rFonts w:ascii="Arial" w:eastAsia="Arial" w:hAnsi="Arial" w:cs="Arial"/>
          <w:color w:val="252525"/>
        </w:rPr>
        <w:t xml:space="preserve"> active employee participation in the change process. Furthermore, implementing innovative technological solutions may necessitate significant financial resources and skilled technical expertise, creating challenges for the hotel chain. The transformation programmes provided valuable insights, emphasising the importance of thorough planning and preparation, open communication, and ongoing assessment and feedback. For the hotel company, it is critical to continue to assess how these changes are affecting var</w:t>
      </w:r>
      <w:r>
        <w:rPr>
          <w:rFonts w:ascii="Arial" w:eastAsia="Arial" w:hAnsi="Arial" w:cs="Arial"/>
          <w:color w:val="252525"/>
        </w:rPr>
        <w:t xml:space="preserve">ious stakeholders and adjust as needed. Furthermore, successful implementation necessitates the active participation of staff members in the change process as well as the availability of adequate resources and support. The Hyatt Hotel Group's recent reform efforts have benefited a variety of stakeholders. Implementing technological advancements, sustainability projects, and employee development programmes results in increased operational efficiency, increased employee </w:t>
      </w:r>
      <w:r>
        <w:rPr>
          <w:rFonts w:ascii="Arial" w:eastAsia="Arial" w:hAnsi="Arial" w:cs="Arial"/>
          <w:color w:val="252525"/>
        </w:rPr>
        <w:lastRenderedPageBreak/>
        <w:t>engagement, and improved tourist pleasu</w:t>
      </w:r>
      <w:r>
        <w:rPr>
          <w:rFonts w:ascii="Arial" w:eastAsia="Arial" w:hAnsi="Arial" w:cs="Arial"/>
          <w:color w:val="252525"/>
        </w:rPr>
        <w:t>re (</w:t>
      </w:r>
      <w:proofErr w:type="spellStart"/>
      <w:r>
        <w:rPr>
          <w:rFonts w:ascii="Arial" w:eastAsia="Arial" w:hAnsi="Arial" w:cs="Arial"/>
          <w:color w:val="222222"/>
          <w:highlight w:val="white"/>
        </w:rPr>
        <w:t>Sebayang</w:t>
      </w:r>
      <w:proofErr w:type="spellEnd"/>
      <w:r>
        <w:rPr>
          <w:rFonts w:ascii="Arial" w:eastAsia="Arial" w:hAnsi="Arial" w:cs="Arial"/>
          <w:color w:val="222222"/>
          <w:highlight w:val="white"/>
        </w:rPr>
        <w:t>, et al;2023)</w:t>
      </w:r>
      <w:r>
        <w:rPr>
          <w:rFonts w:ascii="Arial" w:eastAsia="Arial" w:hAnsi="Arial" w:cs="Arial"/>
          <w:color w:val="252525"/>
        </w:rPr>
        <w:t>. To compete in the rapidly changing hospitality industry, the hotel organisation must effectively manage these transformation initiatives and learn valuable lessons from the challenges it faces.</w:t>
      </w:r>
    </w:p>
    <w:p w14:paraId="657AEED5" w14:textId="77777777" w:rsidR="00D72E35" w:rsidRDefault="00D72E35">
      <w:pPr>
        <w:shd w:val="clear" w:color="auto" w:fill="FFFFFF"/>
        <w:spacing w:after="0" w:line="480" w:lineRule="auto"/>
        <w:jc w:val="left"/>
        <w:rPr>
          <w:rFonts w:ascii="Arial" w:eastAsia="Arial" w:hAnsi="Arial" w:cs="Arial"/>
          <w:color w:val="222222"/>
        </w:rPr>
      </w:pPr>
    </w:p>
    <w:p w14:paraId="382941F6" w14:textId="77777777" w:rsidR="00D72E35" w:rsidRDefault="00D72E35">
      <w:pPr>
        <w:pStyle w:val="Heading1"/>
        <w:rPr>
          <w:sz w:val="28"/>
          <w:szCs w:val="28"/>
          <w:u w:val="single"/>
        </w:rPr>
      </w:pPr>
    </w:p>
    <w:p w14:paraId="21D45961" w14:textId="77777777" w:rsidR="00D72E35" w:rsidRDefault="00FD1ACF">
      <w:pPr>
        <w:pStyle w:val="Heading1"/>
        <w:rPr>
          <w:sz w:val="28"/>
          <w:szCs w:val="28"/>
          <w:u w:val="single"/>
        </w:rPr>
      </w:pPr>
      <w:bookmarkStart w:id="4" w:name="_2et92p0" w:colFirst="0" w:colLast="0"/>
      <w:bookmarkEnd w:id="4"/>
      <w:r>
        <w:rPr>
          <w:sz w:val="28"/>
          <w:szCs w:val="28"/>
          <w:u w:val="single"/>
        </w:rPr>
        <w:t>Present business performance and strategic direction. </w:t>
      </w:r>
    </w:p>
    <w:p w14:paraId="6A759E00" w14:textId="77777777" w:rsidR="00D72E35" w:rsidRDefault="00FD1ACF">
      <w:pPr>
        <w:pBdr>
          <w:top w:val="nil"/>
          <w:left w:val="nil"/>
          <w:bottom w:val="nil"/>
          <w:right w:val="nil"/>
          <w:between w:val="nil"/>
        </w:pBdr>
        <w:spacing w:before="280" w:after="280" w:line="480" w:lineRule="auto"/>
        <w:jc w:val="left"/>
        <w:rPr>
          <w:rFonts w:ascii="Arial" w:eastAsia="Arial" w:hAnsi="Arial" w:cs="Arial"/>
          <w:color w:val="000000"/>
        </w:rPr>
      </w:pPr>
      <w:r>
        <w:rPr>
          <w:rFonts w:ascii="Arial" w:eastAsia="Arial" w:hAnsi="Arial" w:cs="Arial"/>
          <w:color w:val="000000"/>
        </w:rPr>
        <w:br/>
        <w:t>The strategic orientation of the Hyatt Hotel Group heavily influences its operations and overall business performance. The Hyatt Hotel Group carves out a distinct position in the business through its strategic decision-making, guided by a specific goal, vision, and fundamental principles (</w:t>
      </w:r>
      <w:proofErr w:type="spellStart"/>
      <w:r>
        <w:rPr>
          <w:rFonts w:ascii="Arial" w:eastAsia="Arial" w:hAnsi="Arial" w:cs="Arial"/>
          <w:color w:val="222222"/>
          <w:highlight w:val="white"/>
        </w:rPr>
        <w:t>Gorondutse</w:t>
      </w:r>
      <w:proofErr w:type="spellEnd"/>
      <w:r>
        <w:rPr>
          <w:rFonts w:ascii="Arial" w:eastAsia="Arial" w:hAnsi="Arial" w:cs="Arial"/>
          <w:color w:val="222222"/>
          <w:highlight w:val="white"/>
        </w:rPr>
        <w:t xml:space="preserve"> and Hilman 2019).</w:t>
      </w:r>
      <w:r>
        <w:rPr>
          <w:rFonts w:ascii="Arial" w:eastAsia="Arial" w:hAnsi="Arial" w:cs="Arial"/>
          <w:color w:val="000000"/>
        </w:rPr>
        <w:t xml:space="preserve"> The Hyatt Hotel Group strives to provide true hospitality by improving the lives of its guests, employees, and the communities it serves.</w:t>
      </w:r>
    </w:p>
    <w:p w14:paraId="3D3B55F2" w14:textId="77777777" w:rsidR="00D72E35" w:rsidRDefault="00FD1ACF">
      <w:pPr>
        <w:pBdr>
          <w:top w:val="nil"/>
          <w:left w:val="nil"/>
          <w:bottom w:val="nil"/>
          <w:right w:val="nil"/>
          <w:between w:val="nil"/>
        </w:pBdr>
        <w:spacing w:before="280" w:after="280" w:line="480" w:lineRule="auto"/>
        <w:jc w:val="left"/>
        <w:rPr>
          <w:rFonts w:ascii="Arial" w:eastAsia="Arial" w:hAnsi="Arial" w:cs="Arial"/>
          <w:color w:val="000000"/>
        </w:rPr>
      </w:pPr>
      <w:r>
        <w:rPr>
          <w:rFonts w:ascii="Arial" w:eastAsia="Arial" w:hAnsi="Arial" w:cs="Arial"/>
          <w:color w:val="000000"/>
        </w:rPr>
        <w:t>The hotel group's mission statement states that it is committed to providing extraordinary experiences for guests while also making a beneficial impact on the communities it serves. The hotel chain distinguishes itself from its competitors by prioritising meaningful and genuine experiences in its strategic planning. The Hyatt Hotel Group aspires to be the world's most preferred hospitality company. The hotel group's vision statement expresses its desire to achieve global prominence and leadership in the hos</w:t>
      </w:r>
      <w:r>
        <w:rPr>
          <w:rFonts w:ascii="Arial" w:eastAsia="Arial" w:hAnsi="Arial" w:cs="Arial"/>
          <w:color w:val="000000"/>
        </w:rPr>
        <w:t xml:space="preserve">pitality sector. It promotes a culture of continual improvement and innovation by establishing high standards for the hotel chain's strategic goals and objectives. Respect, honesty, humility, empathy, innovation, and enjoyment are </w:t>
      </w:r>
      <w:r>
        <w:rPr>
          <w:rFonts w:ascii="Arial" w:eastAsia="Arial" w:hAnsi="Arial" w:cs="Arial"/>
          <w:color w:val="000000"/>
        </w:rPr>
        <w:lastRenderedPageBreak/>
        <w:t>among the basic principles that the Hyatt Hotel Group promotes (</w:t>
      </w:r>
      <w:r>
        <w:rPr>
          <w:rFonts w:ascii="Arial" w:eastAsia="Arial" w:hAnsi="Arial" w:cs="Arial"/>
          <w:color w:val="222222"/>
          <w:highlight w:val="white"/>
        </w:rPr>
        <w:t>Kumar and Sharma 2014.)</w:t>
      </w:r>
      <w:r>
        <w:rPr>
          <w:rFonts w:ascii="Arial" w:eastAsia="Arial" w:hAnsi="Arial" w:cs="Arial"/>
          <w:color w:val="000000"/>
        </w:rPr>
        <w:t xml:space="preserve">. The </w:t>
      </w:r>
      <w:proofErr w:type="gramStart"/>
      <w:r>
        <w:rPr>
          <w:rFonts w:ascii="Arial" w:eastAsia="Arial" w:hAnsi="Arial" w:cs="Arial"/>
          <w:color w:val="000000"/>
        </w:rPr>
        <w:t>aforementioned values</w:t>
      </w:r>
      <w:proofErr w:type="gramEnd"/>
      <w:r>
        <w:rPr>
          <w:rFonts w:ascii="Arial" w:eastAsia="Arial" w:hAnsi="Arial" w:cs="Arial"/>
          <w:color w:val="000000"/>
        </w:rPr>
        <w:t xml:space="preserve"> are the foundation of the hotel group's culture, guiding employee behaviour and decision-making. They are deeply ingrained in the organisation and actively contribute</w:t>
      </w:r>
      <w:r>
        <w:rPr>
          <w:rFonts w:ascii="Arial" w:eastAsia="Arial" w:hAnsi="Arial" w:cs="Arial"/>
          <w:color w:val="000000"/>
        </w:rPr>
        <w:t xml:space="preserve"> to its distinct personality and well-known brand. The Hyatt Hotel Group's current commercial operations have produced outstanding financial results and growth. The hotel group's revenue and profitability have continuously increased over time. The company has effectively grown its global reach through strategic alliances and acquisitions, resulting in an increase in market share and a solid base in major markets across the world. The Hyatt Hotel Group is committed to providing outstanding guest experiences </w:t>
      </w:r>
      <w:r>
        <w:rPr>
          <w:rFonts w:ascii="Arial" w:eastAsia="Arial" w:hAnsi="Arial" w:cs="Arial"/>
          <w:color w:val="000000"/>
        </w:rPr>
        <w:t>and highly values customer satisfaction. The hotel business has garnered numerous honours and recognition for great customer service, showcasing its commitment to going above and beyond for its guests.</w:t>
      </w:r>
    </w:p>
    <w:p w14:paraId="285CE6A1" w14:textId="77777777" w:rsidR="00D72E35" w:rsidRDefault="00FD1ACF">
      <w:pPr>
        <w:pBdr>
          <w:top w:val="nil"/>
          <w:left w:val="nil"/>
          <w:bottom w:val="nil"/>
          <w:right w:val="nil"/>
          <w:between w:val="nil"/>
        </w:pBdr>
        <w:spacing w:before="280" w:after="280" w:line="480" w:lineRule="auto"/>
        <w:jc w:val="left"/>
        <w:rPr>
          <w:rFonts w:ascii="Arial" w:eastAsia="Arial" w:hAnsi="Arial" w:cs="Arial"/>
          <w:color w:val="000000"/>
        </w:rPr>
      </w:pPr>
      <w:r>
        <w:rPr>
          <w:rFonts w:ascii="Arial" w:eastAsia="Arial" w:hAnsi="Arial" w:cs="Arial"/>
          <w:color w:val="000000"/>
        </w:rPr>
        <w:t>The hotel chain actively solicits guest feedback to continuously improve its products and assess customer happiness. Employee engagement has a huge influence on the hotel group's performance. The Hyatt Hotel Group values its employees and invests in their well-being and progress. The hotel company offers a supportive work environment, possibilities for progress, and a variety of training and development programmes. The emphasis on staff engagement has resulted in high levels of employee happiness and loyalt</w:t>
      </w:r>
      <w:r>
        <w:rPr>
          <w:rFonts w:ascii="Arial" w:eastAsia="Arial" w:hAnsi="Arial" w:cs="Arial"/>
          <w:color w:val="000000"/>
        </w:rPr>
        <w:t>y, which has a significant impact on the entire functioning of the organisation as well as the guest experiences (</w:t>
      </w:r>
      <w:proofErr w:type="spellStart"/>
      <w:r>
        <w:rPr>
          <w:rFonts w:ascii="Arial" w:eastAsia="Arial" w:hAnsi="Arial" w:cs="Arial"/>
          <w:color w:val="222222"/>
          <w:highlight w:val="white"/>
        </w:rPr>
        <w:t>Pizam</w:t>
      </w:r>
      <w:proofErr w:type="spellEnd"/>
      <w:r>
        <w:rPr>
          <w:rFonts w:ascii="Arial" w:eastAsia="Arial" w:hAnsi="Arial" w:cs="Arial"/>
          <w:color w:val="222222"/>
          <w:highlight w:val="white"/>
        </w:rPr>
        <w:t>, et al;2016)</w:t>
      </w:r>
      <w:r>
        <w:rPr>
          <w:rFonts w:ascii="Arial" w:eastAsia="Arial" w:hAnsi="Arial" w:cs="Arial"/>
          <w:color w:val="000000"/>
        </w:rPr>
        <w:t xml:space="preserve">. The Hyatt Hotel Group distinguishes itself from its competitors in the market by virtue of its strong brand name, exceptional service quality, and unwavering dedication to sustainability. It has effectively distinguished itself by prioritising authentic hospitality experiences and having a good influence. The hotel group's strategic approach and </w:t>
      </w:r>
      <w:r>
        <w:rPr>
          <w:rFonts w:ascii="Arial" w:eastAsia="Arial" w:hAnsi="Arial" w:cs="Arial"/>
          <w:color w:val="000000"/>
        </w:rPr>
        <w:lastRenderedPageBreak/>
        <w:t>unwavering adherence to its fu</w:t>
      </w:r>
      <w:r>
        <w:rPr>
          <w:rFonts w:ascii="Arial" w:eastAsia="Arial" w:hAnsi="Arial" w:cs="Arial"/>
          <w:color w:val="000000"/>
        </w:rPr>
        <w:t>ndamental convictions have led to its distinct market position. However, certain areas still have room for improvement. To improve operational efficiency and guest experiences, the Hyatt Hotel Group should continue to invest in innovation and technology. The hotel company should also aggressively pursue prospects for expansion into developing countries and accommodate changing client trends and preferences.</w:t>
      </w:r>
    </w:p>
    <w:p w14:paraId="0F086D6E" w14:textId="77777777" w:rsidR="00D72E35" w:rsidRDefault="00FD1ACF">
      <w:pPr>
        <w:pBdr>
          <w:top w:val="nil"/>
          <w:left w:val="nil"/>
          <w:bottom w:val="nil"/>
          <w:right w:val="nil"/>
          <w:between w:val="nil"/>
        </w:pBdr>
        <w:spacing w:before="280" w:after="280" w:line="480" w:lineRule="auto"/>
        <w:jc w:val="left"/>
        <w:rPr>
          <w:rFonts w:ascii="Arial" w:eastAsia="Arial" w:hAnsi="Arial" w:cs="Arial"/>
          <w:color w:val="000000"/>
        </w:rPr>
      </w:pPr>
      <w:r>
        <w:rPr>
          <w:rFonts w:ascii="Arial" w:eastAsia="Arial" w:hAnsi="Arial" w:cs="Arial"/>
          <w:color w:val="000000"/>
        </w:rPr>
        <w:t xml:space="preserve">To remain competitive and maintain long-term success in the dynamic hospitality industry, the hotel company must frequently examine its strategic direction and commercial performance. To summarise, the Hyatt Hotel Group's purpose, vision, and underlying values describe the strategic direction that drives its operations and extraordinary financial performance. The hotel group's success has been attributed to its focus on providing excellent guest experiences, fostering employee involvement, and prioritising </w:t>
      </w:r>
      <w:r>
        <w:rPr>
          <w:rFonts w:ascii="Arial" w:eastAsia="Arial" w:hAnsi="Arial" w:cs="Arial"/>
          <w:color w:val="000000"/>
        </w:rPr>
        <w:t>sustainability. The hotel group can continue to expand and maintain its position as a leading hospitality firm in the world by focusing on its strengths and overcoming its deficiencies.</w:t>
      </w:r>
    </w:p>
    <w:p w14:paraId="515ADE9D" w14:textId="77777777" w:rsidR="00D72E35" w:rsidRDefault="00FD1ACF">
      <w:pPr>
        <w:pStyle w:val="Heading1"/>
        <w:rPr>
          <w:sz w:val="28"/>
          <w:szCs w:val="28"/>
          <w:u w:val="single"/>
        </w:rPr>
      </w:pPr>
      <w:bookmarkStart w:id="5" w:name="_tyjcwt" w:colFirst="0" w:colLast="0"/>
      <w:bookmarkEnd w:id="5"/>
      <w:r>
        <w:br/>
      </w:r>
      <w:r>
        <w:rPr>
          <w:sz w:val="28"/>
          <w:szCs w:val="28"/>
          <w:u w:val="single"/>
        </w:rPr>
        <w:t>Conclusion</w:t>
      </w:r>
    </w:p>
    <w:p w14:paraId="261B1C15" w14:textId="77777777" w:rsidR="00D72E35" w:rsidRDefault="00FD1ACF">
      <w:pPr>
        <w:pBdr>
          <w:top w:val="nil"/>
          <w:left w:val="nil"/>
          <w:bottom w:val="nil"/>
          <w:right w:val="nil"/>
          <w:between w:val="nil"/>
        </w:pBdr>
        <w:spacing w:before="280" w:after="280" w:line="480" w:lineRule="auto"/>
        <w:jc w:val="left"/>
        <w:rPr>
          <w:rFonts w:ascii="Arial" w:eastAsia="Arial" w:hAnsi="Arial" w:cs="Arial"/>
          <w:color w:val="000000"/>
        </w:rPr>
      </w:pPr>
      <w:r>
        <w:rPr>
          <w:rFonts w:ascii="Arial" w:eastAsia="Arial" w:hAnsi="Arial" w:cs="Arial"/>
          <w:color w:val="000000"/>
        </w:rPr>
        <w:br/>
        <w:t xml:space="preserve">In conclusion, the Hyatt Hotel Group audit gave valuable insights into the organisation's structure, culture, recent transformation initiatives, strategic direction, and present financial performance. Overall, the Hyatt Hotel Group has a well-defined organisational structure that enables efficient operation and sound decision-making. The hierarchical structure, which extends from the corporate management team to regional divisions and hotel general managers, allows for effective coordination and </w:t>
      </w:r>
      <w:r>
        <w:rPr>
          <w:rFonts w:ascii="Arial" w:eastAsia="Arial" w:hAnsi="Arial" w:cs="Arial"/>
          <w:color w:val="000000"/>
        </w:rPr>
        <w:lastRenderedPageBreak/>
        <w:t xml:space="preserve">control. The corporate culture, which is built on key concepts such as honesty, integrity, humility, empathy, creativity, and fun, has a favourable impact on employee behaviour and performance. The collaborative nature of this culture stimulates innovation and ensures great guest experiences, resulting in high levels of customer satisfaction and employee engagement. The Hyatt Hotel Group creates goals and objectives that are consistent with its strategic orientation, with an emphasis on achieving long-term </w:t>
      </w:r>
      <w:r>
        <w:rPr>
          <w:rFonts w:ascii="Arial" w:eastAsia="Arial" w:hAnsi="Arial" w:cs="Arial"/>
          <w:color w:val="000000"/>
        </w:rPr>
        <w:t>growth, providing great guest service, and promoting employee development. These objectives demonstrate the organisation's commitment to providing genuine hospitality and enriching the lives of employees, communities, and tourists. The implementation of modern change initiatives, such as the incorporation of innovative technical solutions, sustainability initiatives, and employee enrichment programmes, has had a substantial impact on a wide range of stakeholders. To retain its success and position as a chos</w:t>
      </w:r>
      <w:r>
        <w:rPr>
          <w:rFonts w:ascii="Arial" w:eastAsia="Arial" w:hAnsi="Arial" w:cs="Arial"/>
          <w:color w:val="000000"/>
        </w:rPr>
        <w:t>en international hospitality company, the hotel group may harness its strengths while addressing areas for improvement.</w:t>
      </w:r>
    </w:p>
    <w:p w14:paraId="79110C72" w14:textId="77777777" w:rsidR="00D72E35" w:rsidRDefault="00D72E35">
      <w:pPr>
        <w:shd w:val="clear" w:color="auto" w:fill="FFFFFF"/>
        <w:spacing w:after="0" w:line="480" w:lineRule="auto"/>
        <w:jc w:val="left"/>
        <w:rPr>
          <w:rFonts w:ascii="Arial" w:eastAsia="Arial" w:hAnsi="Arial" w:cs="Arial"/>
          <w:color w:val="222222"/>
        </w:rPr>
      </w:pPr>
    </w:p>
    <w:p w14:paraId="1E1761CF" w14:textId="77777777" w:rsidR="00D72E35" w:rsidRDefault="00D72E35">
      <w:pPr>
        <w:shd w:val="clear" w:color="auto" w:fill="FFFFFF"/>
        <w:spacing w:after="0" w:line="480" w:lineRule="auto"/>
        <w:jc w:val="left"/>
        <w:rPr>
          <w:rFonts w:ascii="Arial" w:eastAsia="Arial" w:hAnsi="Arial" w:cs="Arial"/>
          <w:color w:val="222222"/>
        </w:rPr>
      </w:pPr>
    </w:p>
    <w:p w14:paraId="0210075D" w14:textId="77777777" w:rsidR="00D72E35" w:rsidRDefault="00FD1ACF">
      <w:pPr>
        <w:pStyle w:val="Heading1"/>
      </w:pPr>
      <w:bookmarkStart w:id="6" w:name="_3dy6vkm" w:colFirst="0" w:colLast="0"/>
      <w:bookmarkEnd w:id="6"/>
      <w:r>
        <w:t xml:space="preserve">References </w:t>
      </w:r>
    </w:p>
    <w:p w14:paraId="3BF72100" w14:textId="77777777" w:rsidR="00D72E35" w:rsidRDefault="00D72E35">
      <w:pPr>
        <w:shd w:val="clear" w:color="auto" w:fill="FFFFFF"/>
        <w:spacing w:after="0" w:line="480" w:lineRule="auto"/>
        <w:jc w:val="left"/>
        <w:rPr>
          <w:rFonts w:ascii="Arial" w:eastAsia="Arial" w:hAnsi="Arial" w:cs="Arial"/>
          <w:color w:val="222222"/>
        </w:rPr>
      </w:pPr>
    </w:p>
    <w:p w14:paraId="12B9C8E8" w14:textId="77777777" w:rsidR="00D72E35" w:rsidRDefault="00D72E35">
      <w:pPr>
        <w:spacing w:line="480" w:lineRule="auto"/>
        <w:rPr>
          <w:rFonts w:ascii="Arial" w:eastAsia="Arial" w:hAnsi="Arial" w:cs="Arial"/>
        </w:rPr>
      </w:pPr>
    </w:p>
    <w:p w14:paraId="7C5D36D5" w14:textId="77777777" w:rsidR="00D72E35" w:rsidRDefault="00FD1ACF">
      <w:pPr>
        <w:numPr>
          <w:ilvl w:val="0"/>
          <w:numId w:val="1"/>
        </w:numPr>
        <w:pBdr>
          <w:top w:val="nil"/>
          <w:left w:val="nil"/>
          <w:bottom w:val="nil"/>
          <w:right w:val="nil"/>
          <w:between w:val="nil"/>
        </w:pBdr>
        <w:shd w:val="clear" w:color="auto" w:fill="FFFFFF"/>
        <w:spacing w:after="0" w:line="480" w:lineRule="auto"/>
        <w:jc w:val="left"/>
        <w:rPr>
          <w:rFonts w:ascii="Arial" w:eastAsia="Arial" w:hAnsi="Arial" w:cs="Arial"/>
          <w:color w:val="222222"/>
        </w:rPr>
      </w:pPr>
      <w:r>
        <w:rPr>
          <w:rFonts w:ascii="Arial" w:eastAsia="Arial" w:hAnsi="Arial" w:cs="Arial"/>
          <w:color w:val="222222"/>
        </w:rPr>
        <w:t>Adair, J. (2009) The Inspirational Leader (2nd Ed), London: Kogan Page</w:t>
      </w:r>
    </w:p>
    <w:p w14:paraId="1F0D7F52" w14:textId="77777777" w:rsidR="00D72E35" w:rsidRDefault="00FD1ACF">
      <w:pPr>
        <w:numPr>
          <w:ilvl w:val="0"/>
          <w:numId w:val="1"/>
        </w:numPr>
        <w:pBdr>
          <w:top w:val="nil"/>
          <w:left w:val="nil"/>
          <w:bottom w:val="nil"/>
          <w:right w:val="nil"/>
          <w:between w:val="nil"/>
        </w:pBdr>
        <w:shd w:val="clear" w:color="auto" w:fill="FFFFFF"/>
        <w:spacing w:after="0" w:line="480" w:lineRule="auto"/>
        <w:jc w:val="left"/>
        <w:rPr>
          <w:rFonts w:ascii="Arial" w:eastAsia="Arial" w:hAnsi="Arial" w:cs="Arial"/>
          <w:color w:val="222222"/>
        </w:rPr>
      </w:pPr>
      <w:r>
        <w:rPr>
          <w:rFonts w:ascii="Arial" w:eastAsia="Arial" w:hAnsi="Arial" w:cs="Arial"/>
          <w:color w:val="222222"/>
        </w:rPr>
        <w:t>Armstrong, M. (2012) Armstrong’s Handbook of Management and Leadership (3rd Ed), London: Kogan Page.</w:t>
      </w:r>
    </w:p>
    <w:p w14:paraId="63DA1CAB" w14:textId="77777777" w:rsidR="00D72E35" w:rsidRDefault="00FD1ACF">
      <w:pPr>
        <w:numPr>
          <w:ilvl w:val="0"/>
          <w:numId w:val="1"/>
        </w:numPr>
        <w:pBdr>
          <w:top w:val="nil"/>
          <w:left w:val="nil"/>
          <w:bottom w:val="nil"/>
          <w:right w:val="nil"/>
          <w:between w:val="nil"/>
        </w:pBdr>
        <w:shd w:val="clear" w:color="auto" w:fill="FFFFFF"/>
        <w:spacing w:after="0" w:line="480" w:lineRule="auto"/>
        <w:jc w:val="left"/>
        <w:rPr>
          <w:rFonts w:ascii="Arial" w:eastAsia="Arial" w:hAnsi="Arial" w:cs="Arial"/>
          <w:color w:val="222222"/>
        </w:rPr>
      </w:pPr>
      <w:r>
        <w:rPr>
          <w:rFonts w:ascii="Arial" w:eastAsia="Arial" w:hAnsi="Arial" w:cs="Arial"/>
          <w:color w:val="222222"/>
        </w:rPr>
        <w:t>Arnold, J. (2005) Work Psychology (4th edition) Harlow: Prentice Hall.</w:t>
      </w:r>
    </w:p>
    <w:p w14:paraId="418AA895" w14:textId="77777777" w:rsidR="00D72E35" w:rsidRDefault="00FD1ACF">
      <w:pPr>
        <w:numPr>
          <w:ilvl w:val="0"/>
          <w:numId w:val="1"/>
        </w:numPr>
        <w:pBdr>
          <w:top w:val="nil"/>
          <w:left w:val="nil"/>
          <w:bottom w:val="nil"/>
          <w:right w:val="nil"/>
          <w:between w:val="nil"/>
        </w:pBdr>
        <w:shd w:val="clear" w:color="auto" w:fill="FFFFFF"/>
        <w:spacing w:after="0" w:line="480" w:lineRule="auto"/>
        <w:jc w:val="left"/>
        <w:rPr>
          <w:rFonts w:ascii="Arial" w:eastAsia="Arial" w:hAnsi="Arial" w:cs="Arial"/>
          <w:color w:val="222222"/>
        </w:rPr>
      </w:pPr>
      <w:proofErr w:type="spellStart"/>
      <w:r>
        <w:rPr>
          <w:rFonts w:ascii="Arial" w:eastAsia="Arial" w:hAnsi="Arial" w:cs="Arial"/>
          <w:color w:val="222222"/>
        </w:rPr>
        <w:lastRenderedPageBreak/>
        <w:t>Bloisi</w:t>
      </w:r>
      <w:proofErr w:type="spellEnd"/>
      <w:r>
        <w:rPr>
          <w:rFonts w:ascii="Arial" w:eastAsia="Arial" w:hAnsi="Arial" w:cs="Arial"/>
          <w:color w:val="222222"/>
        </w:rPr>
        <w:t>, W. et al (2007) Management and Organisational Behaviour, (2nd edition) Maidenhead: McGraw-Hill.</w:t>
      </w:r>
    </w:p>
    <w:p w14:paraId="7F723B82" w14:textId="77777777" w:rsidR="00D72E35" w:rsidRDefault="00FD1ACF">
      <w:pPr>
        <w:numPr>
          <w:ilvl w:val="0"/>
          <w:numId w:val="1"/>
        </w:numPr>
        <w:pBdr>
          <w:top w:val="nil"/>
          <w:left w:val="nil"/>
          <w:bottom w:val="nil"/>
          <w:right w:val="nil"/>
          <w:between w:val="nil"/>
        </w:pBdr>
        <w:shd w:val="clear" w:color="auto" w:fill="FFFFFF"/>
        <w:spacing w:after="0" w:line="480" w:lineRule="auto"/>
        <w:jc w:val="left"/>
        <w:rPr>
          <w:rFonts w:ascii="Arial" w:eastAsia="Arial" w:hAnsi="Arial" w:cs="Arial"/>
          <w:color w:val="222222"/>
        </w:rPr>
      </w:pPr>
      <w:r>
        <w:rPr>
          <w:rFonts w:ascii="Arial" w:eastAsia="Arial" w:hAnsi="Arial" w:cs="Arial"/>
          <w:color w:val="222222"/>
        </w:rPr>
        <w:t>Boddy, D. (2014) Management: An Introduction (6th Ed), Harlow, Pearson</w:t>
      </w:r>
    </w:p>
    <w:p w14:paraId="5C61F332" w14:textId="77777777" w:rsidR="00D72E35" w:rsidRDefault="00FD1ACF">
      <w:pPr>
        <w:numPr>
          <w:ilvl w:val="0"/>
          <w:numId w:val="1"/>
        </w:numPr>
        <w:pBdr>
          <w:top w:val="nil"/>
          <w:left w:val="nil"/>
          <w:bottom w:val="nil"/>
          <w:right w:val="nil"/>
          <w:between w:val="nil"/>
        </w:pBdr>
        <w:shd w:val="clear" w:color="auto" w:fill="FFFFFF"/>
        <w:spacing w:after="0" w:line="480" w:lineRule="auto"/>
        <w:jc w:val="left"/>
        <w:rPr>
          <w:rFonts w:ascii="Arial" w:eastAsia="Arial" w:hAnsi="Arial" w:cs="Arial"/>
          <w:color w:val="222222"/>
        </w:rPr>
      </w:pPr>
      <w:r>
        <w:rPr>
          <w:rFonts w:ascii="Arial" w:eastAsia="Arial" w:hAnsi="Arial" w:cs="Arial"/>
          <w:color w:val="222222"/>
        </w:rPr>
        <w:t>Buchanan, D. And Huczynski, A. (2007) Organisational Behaviour: An Introductory Text (6th edition), Harlow: Prentice</w:t>
      </w:r>
    </w:p>
    <w:p w14:paraId="34BBA081" w14:textId="77777777" w:rsidR="00D72E35" w:rsidRDefault="00FD1ACF">
      <w:pPr>
        <w:numPr>
          <w:ilvl w:val="0"/>
          <w:numId w:val="1"/>
        </w:numPr>
        <w:pBdr>
          <w:top w:val="nil"/>
          <w:left w:val="nil"/>
          <w:bottom w:val="nil"/>
          <w:right w:val="nil"/>
          <w:between w:val="nil"/>
        </w:pBdr>
        <w:shd w:val="clear" w:color="auto" w:fill="FFFFFF"/>
        <w:spacing w:after="0" w:line="480" w:lineRule="auto"/>
        <w:jc w:val="left"/>
        <w:rPr>
          <w:rFonts w:ascii="Arial" w:eastAsia="Arial" w:hAnsi="Arial" w:cs="Arial"/>
          <w:color w:val="222222"/>
        </w:rPr>
      </w:pPr>
      <w:r>
        <w:rPr>
          <w:rFonts w:ascii="Arial" w:eastAsia="Arial" w:hAnsi="Arial" w:cs="Arial"/>
          <w:color w:val="222222"/>
          <w:highlight w:val="white"/>
        </w:rPr>
        <w:t>Đorđević, D.Ž. and Janković, M., 2015. Modern distribution and development of hotel industry in the world. </w:t>
      </w:r>
      <w:proofErr w:type="spellStart"/>
      <w:r>
        <w:rPr>
          <w:rFonts w:ascii="Arial" w:eastAsia="Arial" w:hAnsi="Arial" w:cs="Arial"/>
          <w:i/>
          <w:color w:val="222222"/>
          <w:highlight w:val="white"/>
        </w:rPr>
        <w:t>Ekonomika</w:t>
      </w:r>
      <w:proofErr w:type="spellEnd"/>
      <w:r>
        <w:rPr>
          <w:rFonts w:ascii="Arial" w:eastAsia="Arial" w:hAnsi="Arial" w:cs="Arial"/>
          <w:color w:val="222222"/>
          <w:highlight w:val="white"/>
        </w:rPr>
        <w:t>, </w:t>
      </w:r>
      <w:r>
        <w:rPr>
          <w:rFonts w:ascii="Arial" w:eastAsia="Arial" w:hAnsi="Arial" w:cs="Arial"/>
          <w:i/>
          <w:color w:val="222222"/>
          <w:highlight w:val="white"/>
        </w:rPr>
        <w:t>61</w:t>
      </w:r>
      <w:r>
        <w:rPr>
          <w:rFonts w:ascii="Arial" w:eastAsia="Arial" w:hAnsi="Arial" w:cs="Arial"/>
          <w:color w:val="222222"/>
          <w:highlight w:val="white"/>
        </w:rPr>
        <w:t>(3), pp.99-110.</w:t>
      </w:r>
    </w:p>
    <w:p w14:paraId="1D093873" w14:textId="77777777" w:rsidR="00D72E35" w:rsidRDefault="00FD1ACF">
      <w:pPr>
        <w:numPr>
          <w:ilvl w:val="0"/>
          <w:numId w:val="1"/>
        </w:numPr>
        <w:pBdr>
          <w:top w:val="nil"/>
          <w:left w:val="nil"/>
          <w:bottom w:val="nil"/>
          <w:right w:val="nil"/>
          <w:between w:val="nil"/>
        </w:pBdr>
        <w:shd w:val="clear" w:color="auto" w:fill="FFFFFF"/>
        <w:spacing w:after="0" w:line="480" w:lineRule="auto"/>
        <w:jc w:val="left"/>
        <w:rPr>
          <w:rFonts w:ascii="Arial" w:eastAsia="Arial" w:hAnsi="Arial" w:cs="Arial"/>
          <w:color w:val="222222"/>
          <w:highlight w:val="white"/>
        </w:rPr>
      </w:pPr>
      <w:proofErr w:type="spellStart"/>
      <w:r>
        <w:rPr>
          <w:rFonts w:ascii="Arial" w:eastAsia="Arial" w:hAnsi="Arial" w:cs="Arial"/>
          <w:color w:val="222222"/>
          <w:highlight w:val="white"/>
        </w:rPr>
        <w:t>Gorondutse</w:t>
      </w:r>
      <w:proofErr w:type="spellEnd"/>
      <w:r>
        <w:rPr>
          <w:rFonts w:ascii="Arial" w:eastAsia="Arial" w:hAnsi="Arial" w:cs="Arial"/>
          <w:color w:val="222222"/>
          <w:highlight w:val="white"/>
        </w:rPr>
        <w:t>, A.H. and Hilman, H., 2019. Testing the effect of business-level strategy on performance of hotels. </w:t>
      </w:r>
      <w:r>
        <w:rPr>
          <w:rFonts w:ascii="Arial" w:eastAsia="Arial" w:hAnsi="Arial" w:cs="Arial"/>
          <w:i/>
          <w:color w:val="222222"/>
          <w:highlight w:val="white"/>
        </w:rPr>
        <w:t>Global Business Review</w:t>
      </w:r>
      <w:r>
        <w:rPr>
          <w:rFonts w:ascii="Arial" w:eastAsia="Arial" w:hAnsi="Arial" w:cs="Arial"/>
          <w:color w:val="222222"/>
          <w:highlight w:val="white"/>
        </w:rPr>
        <w:t>, </w:t>
      </w:r>
      <w:r>
        <w:rPr>
          <w:rFonts w:ascii="Arial" w:eastAsia="Arial" w:hAnsi="Arial" w:cs="Arial"/>
          <w:i/>
          <w:color w:val="222222"/>
          <w:highlight w:val="white"/>
        </w:rPr>
        <w:t>20</w:t>
      </w:r>
      <w:r>
        <w:rPr>
          <w:rFonts w:ascii="Arial" w:eastAsia="Arial" w:hAnsi="Arial" w:cs="Arial"/>
          <w:color w:val="222222"/>
          <w:highlight w:val="white"/>
        </w:rPr>
        <w:t>(5), pp.1141-1154. Available at:</w:t>
      </w:r>
      <w:r>
        <w:rPr>
          <w:rFonts w:ascii="Arial" w:eastAsia="Arial" w:hAnsi="Arial" w:cs="Arial"/>
          <w:color w:val="000000"/>
        </w:rPr>
        <w:t xml:space="preserve"> </w:t>
      </w:r>
      <w:hyperlink r:id="rId6">
        <w:r>
          <w:rPr>
            <w:rFonts w:ascii="Arial" w:eastAsia="Arial" w:hAnsi="Arial" w:cs="Arial"/>
            <w:color w:val="0563C1"/>
            <w:highlight w:val="white"/>
            <w:u w:val="single"/>
          </w:rPr>
          <w:t>https://journals.sagepub.com/doi/abs/10.1177/0972150919846799</w:t>
        </w:r>
      </w:hyperlink>
      <w:r>
        <w:rPr>
          <w:rFonts w:ascii="Arial" w:eastAsia="Arial" w:hAnsi="Arial" w:cs="Arial"/>
          <w:color w:val="222222"/>
          <w:highlight w:val="white"/>
        </w:rPr>
        <w:t xml:space="preserve"> (Accessed on 12th February 2024)</w:t>
      </w:r>
    </w:p>
    <w:p w14:paraId="05C7677A" w14:textId="77777777" w:rsidR="00D72E35" w:rsidRDefault="00FD1ACF">
      <w:pPr>
        <w:numPr>
          <w:ilvl w:val="0"/>
          <w:numId w:val="1"/>
        </w:numPr>
        <w:pBdr>
          <w:top w:val="nil"/>
          <w:left w:val="nil"/>
          <w:bottom w:val="nil"/>
          <w:right w:val="nil"/>
          <w:between w:val="nil"/>
        </w:pBdr>
        <w:shd w:val="clear" w:color="auto" w:fill="FFFFFF"/>
        <w:spacing w:after="0" w:line="480" w:lineRule="auto"/>
        <w:jc w:val="left"/>
        <w:rPr>
          <w:rFonts w:ascii="Arial" w:eastAsia="Arial" w:hAnsi="Arial" w:cs="Arial"/>
          <w:color w:val="222222"/>
        </w:rPr>
      </w:pPr>
      <w:r>
        <w:rPr>
          <w:rFonts w:ascii="Arial" w:eastAsia="Arial" w:hAnsi="Arial" w:cs="Arial"/>
          <w:color w:val="222222"/>
        </w:rPr>
        <w:t>Hall.</w:t>
      </w:r>
    </w:p>
    <w:p w14:paraId="4DD962AD" w14:textId="77777777" w:rsidR="00D72E35" w:rsidRDefault="00FD1ACF">
      <w:pPr>
        <w:numPr>
          <w:ilvl w:val="0"/>
          <w:numId w:val="1"/>
        </w:numPr>
        <w:pBdr>
          <w:top w:val="nil"/>
          <w:left w:val="nil"/>
          <w:bottom w:val="nil"/>
          <w:right w:val="nil"/>
          <w:between w:val="nil"/>
        </w:pBdr>
        <w:shd w:val="clear" w:color="auto" w:fill="FFFFFF"/>
        <w:spacing w:after="0" w:line="480" w:lineRule="auto"/>
        <w:jc w:val="left"/>
        <w:rPr>
          <w:rFonts w:ascii="Arial" w:eastAsia="Arial" w:hAnsi="Arial" w:cs="Arial"/>
          <w:color w:val="222222"/>
        </w:rPr>
      </w:pPr>
      <w:r>
        <w:rPr>
          <w:rFonts w:ascii="Arial" w:eastAsia="Arial" w:hAnsi="Arial" w:cs="Arial"/>
          <w:color w:val="222222"/>
        </w:rPr>
        <w:t>Huczynski, A. &amp; Buchanan, D. (2013) Organisational Behaviour (8th Ed), Harlow: Pearson</w:t>
      </w:r>
    </w:p>
    <w:p w14:paraId="27AB58E5" w14:textId="77777777" w:rsidR="00D72E35" w:rsidRDefault="00FD1ACF">
      <w:pPr>
        <w:numPr>
          <w:ilvl w:val="0"/>
          <w:numId w:val="1"/>
        </w:numPr>
        <w:pBdr>
          <w:top w:val="nil"/>
          <w:left w:val="nil"/>
          <w:bottom w:val="nil"/>
          <w:right w:val="nil"/>
          <w:between w:val="nil"/>
        </w:pBdr>
        <w:shd w:val="clear" w:color="auto" w:fill="FFFFFF"/>
        <w:spacing w:after="0" w:line="480" w:lineRule="auto"/>
        <w:jc w:val="left"/>
        <w:rPr>
          <w:rFonts w:ascii="Arial" w:eastAsia="Arial" w:hAnsi="Arial" w:cs="Arial"/>
          <w:color w:val="222222"/>
          <w:highlight w:val="white"/>
        </w:rPr>
      </w:pPr>
      <w:proofErr w:type="spellStart"/>
      <w:r>
        <w:rPr>
          <w:rFonts w:ascii="Arial" w:eastAsia="Arial" w:hAnsi="Arial" w:cs="Arial"/>
          <w:color w:val="222222"/>
          <w:highlight w:val="white"/>
        </w:rPr>
        <w:t>Kainthola</w:t>
      </w:r>
      <w:proofErr w:type="spellEnd"/>
      <w:r>
        <w:rPr>
          <w:rFonts w:ascii="Arial" w:eastAsia="Arial" w:hAnsi="Arial" w:cs="Arial"/>
          <w:color w:val="222222"/>
          <w:highlight w:val="white"/>
        </w:rPr>
        <w:t>, V.P., 2021. Principles of hotel management. Available at:</w:t>
      </w:r>
      <w:r>
        <w:rPr>
          <w:rFonts w:ascii="Arial" w:eastAsia="Arial" w:hAnsi="Arial" w:cs="Arial"/>
          <w:color w:val="000000"/>
        </w:rPr>
        <w:t xml:space="preserve"> </w:t>
      </w:r>
      <w:hyperlink r:id="rId7">
        <w:r>
          <w:rPr>
            <w:rFonts w:ascii="Arial" w:eastAsia="Arial" w:hAnsi="Arial" w:cs="Arial"/>
            <w:color w:val="0563C1"/>
            <w:highlight w:val="white"/>
            <w:u w:val="single"/>
          </w:rPr>
          <w:t>http://elibrary.gci.edu.np/bitstream/123456789/3323/1/906.V.%20Prakesh%20Kainthola%20-%20Principles%20of%20Hotel%20Management.pdf</w:t>
        </w:r>
      </w:hyperlink>
      <w:r>
        <w:rPr>
          <w:rFonts w:ascii="Arial" w:eastAsia="Arial" w:hAnsi="Arial" w:cs="Arial"/>
          <w:color w:val="222222"/>
          <w:highlight w:val="white"/>
        </w:rPr>
        <w:t xml:space="preserve"> (Accessed on 12</w:t>
      </w:r>
      <w:r>
        <w:rPr>
          <w:rFonts w:ascii="Arial" w:eastAsia="Arial" w:hAnsi="Arial" w:cs="Arial"/>
          <w:color w:val="222222"/>
          <w:highlight w:val="white"/>
          <w:vertAlign w:val="superscript"/>
        </w:rPr>
        <w:t>th</w:t>
      </w:r>
      <w:r>
        <w:rPr>
          <w:rFonts w:ascii="Arial" w:eastAsia="Arial" w:hAnsi="Arial" w:cs="Arial"/>
          <w:color w:val="222222"/>
          <w:highlight w:val="white"/>
        </w:rPr>
        <w:t xml:space="preserve"> February 2024)</w:t>
      </w:r>
    </w:p>
    <w:p w14:paraId="737E1F0E" w14:textId="77777777" w:rsidR="00D72E35" w:rsidRDefault="00FD1ACF">
      <w:pPr>
        <w:numPr>
          <w:ilvl w:val="0"/>
          <w:numId w:val="1"/>
        </w:numPr>
        <w:pBdr>
          <w:top w:val="nil"/>
          <w:left w:val="nil"/>
          <w:bottom w:val="nil"/>
          <w:right w:val="nil"/>
          <w:between w:val="nil"/>
        </w:pBdr>
        <w:shd w:val="clear" w:color="auto" w:fill="FFFFFF"/>
        <w:spacing w:after="0" w:line="480" w:lineRule="auto"/>
        <w:jc w:val="left"/>
        <w:rPr>
          <w:rFonts w:ascii="Arial" w:eastAsia="Arial" w:hAnsi="Arial" w:cs="Arial"/>
          <w:color w:val="222222"/>
          <w:highlight w:val="white"/>
        </w:rPr>
      </w:pPr>
      <w:r>
        <w:rPr>
          <w:rFonts w:ascii="Arial" w:eastAsia="Arial" w:hAnsi="Arial" w:cs="Arial"/>
          <w:color w:val="222222"/>
          <w:highlight w:val="white"/>
        </w:rPr>
        <w:t>Kumar, R. and Sharma, S., 2014. Corporate social responsibility-A study on hotel industry. </w:t>
      </w:r>
      <w:r>
        <w:rPr>
          <w:rFonts w:ascii="Arial" w:eastAsia="Arial" w:hAnsi="Arial" w:cs="Arial"/>
          <w:i/>
          <w:color w:val="222222"/>
          <w:highlight w:val="white"/>
        </w:rPr>
        <w:t>Asian Journal of Multidisciplinary Studies</w:t>
      </w:r>
      <w:r>
        <w:rPr>
          <w:rFonts w:ascii="Arial" w:eastAsia="Arial" w:hAnsi="Arial" w:cs="Arial"/>
          <w:color w:val="222222"/>
          <w:highlight w:val="white"/>
        </w:rPr>
        <w:t>, </w:t>
      </w:r>
      <w:r>
        <w:rPr>
          <w:rFonts w:ascii="Arial" w:eastAsia="Arial" w:hAnsi="Arial" w:cs="Arial"/>
          <w:i/>
          <w:color w:val="222222"/>
          <w:highlight w:val="white"/>
        </w:rPr>
        <w:t>2</w:t>
      </w:r>
      <w:r>
        <w:rPr>
          <w:rFonts w:ascii="Arial" w:eastAsia="Arial" w:hAnsi="Arial" w:cs="Arial"/>
          <w:color w:val="222222"/>
          <w:highlight w:val="white"/>
        </w:rPr>
        <w:t>(4), pp.25-32.</w:t>
      </w:r>
    </w:p>
    <w:p w14:paraId="487A626F" w14:textId="77777777" w:rsidR="00D72E35" w:rsidRDefault="00FD1ACF">
      <w:pPr>
        <w:numPr>
          <w:ilvl w:val="0"/>
          <w:numId w:val="1"/>
        </w:numPr>
        <w:pBdr>
          <w:top w:val="nil"/>
          <w:left w:val="nil"/>
          <w:bottom w:val="nil"/>
          <w:right w:val="nil"/>
          <w:between w:val="nil"/>
        </w:pBdr>
        <w:shd w:val="clear" w:color="auto" w:fill="FFFFFF"/>
        <w:spacing w:after="0" w:line="480" w:lineRule="auto"/>
        <w:jc w:val="left"/>
        <w:rPr>
          <w:rFonts w:ascii="Arial" w:eastAsia="Arial" w:hAnsi="Arial" w:cs="Arial"/>
          <w:color w:val="222222"/>
          <w:highlight w:val="white"/>
        </w:rPr>
      </w:pPr>
      <w:r>
        <w:rPr>
          <w:rFonts w:ascii="Arial" w:eastAsia="Arial" w:hAnsi="Arial" w:cs="Arial"/>
          <w:color w:val="222222"/>
          <w:highlight w:val="white"/>
        </w:rPr>
        <w:t xml:space="preserve">Mathur, P. and Nair, M., 2016. Organization </w:t>
      </w:r>
      <w:proofErr w:type="gramStart"/>
      <w:r>
        <w:rPr>
          <w:rFonts w:ascii="Arial" w:eastAsia="Arial" w:hAnsi="Arial" w:cs="Arial"/>
          <w:color w:val="222222"/>
          <w:highlight w:val="white"/>
        </w:rPr>
        <w:t>structure</w:t>
      </w:r>
      <w:proofErr w:type="gramEnd"/>
      <w:r>
        <w:rPr>
          <w:rFonts w:ascii="Arial" w:eastAsia="Arial" w:hAnsi="Arial" w:cs="Arial"/>
          <w:color w:val="222222"/>
          <w:highlight w:val="white"/>
        </w:rPr>
        <w:t xml:space="preserve"> a key to driver to competitive advantage. </w:t>
      </w:r>
      <w:r>
        <w:rPr>
          <w:rFonts w:ascii="Arial" w:eastAsia="Arial" w:hAnsi="Arial" w:cs="Arial"/>
          <w:i/>
          <w:color w:val="222222"/>
          <w:highlight w:val="white"/>
        </w:rPr>
        <w:t>International Journal of Management and Commerce Innovations</w:t>
      </w:r>
      <w:r>
        <w:rPr>
          <w:rFonts w:ascii="Arial" w:eastAsia="Arial" w:hAnsi="Arial" w:cs="Arial"/>
          <w:color w:val="222222"/>
          <w:highlight w:val="white"/>
        </w:rPr>
        <w:t>, </w:t>
      </w:r>
      <w:r>
        <w:rPr>
          <w:rFonts w:ascii="Arial" w:eastAsia="Arial" w:hAnsi="Arial" w:cs="Arial"/>
          <w:i/>
          <w:color w:val="222222"/>
          <w:highlight w:val="white"/>
        </w:rPr>
        <w:t>3</w:t>
      </w:r>
      <w:r>
        <w:rPr>
          <w:rFonts w:ascii="Arial" w:eastAsia="Arial" w:hAnsi="Arial" w:cs="Arial"/>
          <w:color w:val="222222"/>
          <w:highlight w:val="white"/>
        </w:rPr>
        <w:t>(2), pp.348-356.</w:t>
      </w:r>
    </w:p>
    <w:p w14:paraId="1A1F0A07" w14:textId="77777777" w:rsidR="00D72E35" w:rsidRDefault="00FD1ACF">
      <w:pPr>
        <w:numPr>
          <w:ilvl w:val="0"/>
          <w:numId w:val="1"/>
        </w:numPr>
        <w:pBdr>
          <w:top w:val="nil"/>
          <w:left w:val="nil"/>
          <w:bottom w:val="nil"/>
          <w:right w:val="nil"/>
          <w:between w:val="nil"/>
        </w:pBdr>
        <w:shd w:val="clear" w:color="auto" w:fill="FFFFFF"/>
        <w:spacing w:after="0" w:line="480" w:lineRule="auto"/>
        <w:jc w:val="left"/>
        <w:rPr>
          <w:rFonts w:ascii="Arial" w:eastAsia="Arial" w:hAnsi="Arial" w:cs="Arial"/>
          <w:color w:val="222222"/>
          <w:highlight w:val="white"/>
        </w:rPr>
      </w:pPr>
      <w:r>
        <w:rPr>
          <w:rFonts w:ascii="Arial" w:eastAsia="Arial" w:hAnsi="Arial" w:cs="Arial"/>
          <w:color w:val="222222"/>
          <w:highlight w:val="white"/>
        </w:rPr>
        <w:lastRenderedPageBreak/>
        <w:t xml:space="preserve">McGee, H.M. and Crowley-Koch, B., 2019. Using </w:t>
      </w:r>
      <w:proofErr w:type="spellStart"/>
      <w:r>
        <w:rPr>
          <w:rFonts w:ascii="Arial" w:eastAsia="Arial" w:hAnsi="Arial" w:cs="Arial"/>
          <w:color w:val="222222"/>
          <w:highlight w:val="white"/>
        </w:rPr>
        <w:t>behavioral</w:t>
      </w:r>
      <w:proofErr w:type="spellEnd"/>
      <w:r>
        <w:rPr>
          <w:rFonts w:ascii="Arial" w:eastAsia="Arial" w:hAnsi="Arial" w:cs="Arial"/>
          <w:color w:val="222222"/>
          <w:highlight w:val="white"/>
        </w:rPr>
        <w:t xml:space="preserve"> systems analysis to improve large scale change initiatives in autism service organizations. </w:t>
      </w:r>
      <w:r>
        <w:rPr>
          <w:rFonts w:ascii="Arial" w:eastAsia="Arial" w:hAnsi="Arial" w:cs="Arial"/>
          <w:i/>
          <w:color w:val="222222"/>
          <w:highlight w:val="white"/>
        </w:rPr>
        <w:t xml:space="preserve">Perspectives on </w:t>
      </w:r>
      <w:proofErr w:type="spellStart"/>
      <w:r>
        <w:rPr>
          <w:rFonts w:ascii="Arial" w:eastAsia="Arial" w:hAnsi="Arial" w:cs="Arial"/>
          <w:i/>
          <w:color w:val="222222"/>
          <w:highlight w:val="white"/>
        </w:rPr>
        <w:t>Behavior</w:t>
      </w:r>
      <w:proofErr w:type="spellEnd"/>
      <w:r>
        <w:rPr>
          <w:rFonts w:ascii="Arial" w:eastAsia="Arial" w:hAnsi="Arial" w:cs="Arial"/>
          <w:i/>
          <w:color w:val="222222"/>
          <w:highlight w:val="white"/>
        </w:rPr>
        <w:t xml:space="preserve"> Science</w:t>
      </w:r>
      <w:r>
        <w:rPr>
          <w:rFonts w:ascii="Arial" w:eastAsia="Arial" w:hAnsi="Arial" w:cs="Arial"/>
          <w:color w:val="222222"/>
          <w:highlight w:val="white"/>
        </w:rPr>
        <w:t>, </w:t>
      </w:r>
      <w:r>
        <w:rPr>
          <w:rFonts w:ascii="Arial" w:eastAsia="Arial" w:hAnsi="Arial" w:cs="Arial"/>
          <w:i/>
          <w:color w:val="222222"/>
          <w:highlight w:val="white"/>
        </w:rPr>
        <w:t>42</w:t>
      </w:r>
      <w:r>
        <w:rPr>
          <w:rFonts w:ascii="Arial" w:eastAsia="Arial" w:hAnsi="Arial" w:cs="Arial"/>
          <w:color w:val="222222"/>
          <w:highlight w:val="white"/>
        </w:rPr>
        <w:t>, pp.931-954.</w:t>
      </w:r>
    </w:p>
    <w:p w14:paraId="33D06FE2" w14:textId="77777777" w:rsidR="00D72E35" w:rsidRDefault="00FD1ACF">
      <w:pPr>
        <w:numPr>
          <w:ilvl w:val="0"/>
          <w:numId w:val="1"/>
        </w:numPr>
        <w:pBdr>
          <w:top w:val="nil"/>
          <w:left w:val="nil"/>
          <w:bottom w:val="nil"/>
          <w:right w:val="nil"/>
          <w:between w:val="nil"/>
        </w:pBdr>
        <w:shd w:val="clear" w:color="auto" w:fill="FFFFFF"/>
        <w:spacing w:after="0" w:line="480" w:lineRule="auto"/>
        <w:jc w:val="left"/>
        <w:rPr>
          <w:rFonts w:ascii="Arial" w:eastAsia="Arial" w:hAnsi="Arial" w:cs="Arial"/>
          <w:color w:val="222222"/>
          <w:highlight w:val="white"/>
        </w:rPr>
      </w:pPr>
      <w:r>
        <w:rPr>
          <w:rFonts w:ascii="Arial" w:eastAsia="Arial" w:hAnsi="Arial" w:cs="Arial"/>
          <w:color w:val="222222"/>
          <w:highlight w:val="white"/>
        </w:rPr>
        <w:t xml:space="preserve">McGee, H.M. and Crowley-Koch, B., 2019. Using </w:t>
      </w:r>
      <w:proofErr w:type="spellStart"/>
      <w:r>
        <w:rPr>
          <w:rFonts w:ascii="Arial" w:eastAsia="Arial" w:hAnsi="Arial" w:cs="Arial"/>
          <w:color w:val="222222"/>
          <w:highlight w:val="white"/>
        </w:rPr>
        <w:t>behavioral</w:t>
      </w:r>
      <w:proofErr w:type="spellEnd"/>
      <w:r>
        <w:rPr>
          <w:rFonts w:ascii="Arial" w:eastAsia="Arial" w:hAnsi="Arial" w:cs="Arial"/>
          <w:color w:val="222222"/>
          <w:highlight w:val="white"/>
        </w:rPr>
        <w:t xml:space="preserve"> systems analysis to improve large scale change initiatives in autism service organizations. </w:t>
      </w:r>
      <w:r>
        <w:rPr>
          <w:rFonts w:ascii="Arial" w:eastAsia="Arial" w:hAnsi="Arial" w:cs="Arial"/>
          <w:i/>
          <w:color w:val="222222"/>
          <w:highlight w:val="white"/>
        </w:rPr>
        <w:t xml:space="preserve">Perspectives on </w:t>
      </w:r>
      <w:proofErr w:type="spellStart"/>
      <w:r>
        <w:rPr>
          <w:rFonts w:ascii="Arial" w:eastAsia="Arial" w:hAnsi="Arial" w:cs="Arial"/>
          <w:i/>
          <w:color w:val="222222"/>
          <w:highlight w:val="white"/>
        </w:rPr>
        <w:t>Behavior</w:t>
      </w:r>
      <w:proofErr w:type="spellEnd"/>
      <w:r>
        <w:rPr>
          <w:rFonts w:ascii="Arial" w:eastAsia="Arial" w:hAnsi="Arial" w:cs="Arial"/>
          <w:i/>
          <w:color w:val="222222"/>
          <w:highlight w:val="white"/>
        </w:rPr>
        <w:t xml:space="preserve"> Science</w:t>
      </w:r>
      <w:r>
        <w:rPr>
          <w:rFonts w:ascii="Arial" w:eastAsia="Arial" w:hAnsi="Arial" w:cs="Arial"/>
          <w:color w:val="222222"/>
          <w:highlight w:val="white"/>
        </w:rPr>
        <w:t>, </w:t>
      </w:r>
      <w:r>
        <w:rPr>
          <w:rFonts w:ascii="Arial" w:eastAsia="Arial" w:hAnsi="Arial" w:cs="Arial"/>
          <w:i/>
          <w:color w:val="222222"/>
          <w:highlight w:val="white"/>
        </w:rPr>
        <w:t>42</w:t>
      </w:r>
      <w:r>
        <w:rPr>
          <w:rFonts w:ascii="Arial" w:eastAsia="Arial" w:hAnsi="Arial" w:cs="Arial"/>
          <w:color w:val="222222"/>
          <w:highlight w:val="white"/>
        </w:rPr>
        <w:t>, pp.931-954.</w:t>
      </w:r>
    </w:p>
    <w:p w14:paraId="5E60F390" w14:textId="77777777" w:rsidR="00D72E35" w:rsidRDefault="00FD1ACF">
      <w:pPr>
        <w:numPr>
          <w:ilvl w:val="0"/>
          <w:numId w:val="1"/>
        </w:numPr>
        <w:pBdr>
          <w:top w:val="nil"/>
          <w:left w:val="nil"/>
          <w:bottom w:val="nil"/>
          <w:right w:val="nil"/>
          <w:between w:val="nil"/>
        </w:pBdr>
        <w:shd w:val="clear" w:color="auto" w:fill="FFFFFF"/>
        <w:spacing w:after="0" w:line="480" w:lineRule="auto"/>
        <w:jc w:val="left"/>
        <w:rPr>
          <w:rFonts w:ascii="Arial" w:eastAsia="Arial" w:hAnsi="Arial" w:cs="Arial"/>
          <w:color w:val="222222"/>
        </w:rPr>
      </w:pPr>
      <w:r>
        <w:rPr>
          <w:rFonts w:ascii="Arial" w:eastAsia="Arial" w:hAnsi="Arial" w:cs="Arial"/>
          <w:color w:val="222222"/>
        </w:rPr>
        <w:t xml:space="preserve">Mullins, L (2020) Organisational Behaviour in the Workplace (12th edition) </w:t>
      </w:r>
      <w:proofErr w:type="spellStart"/>
      <w:proofErr w:type="gramStart"/>
      <w:r>
        <w:rPr>
          <w:rFonts w:ascii="Arial" w:eastAsia="Arial" w:hAnsi="Arial" w:cs="Arial"/>
          <w:color w:val="222222"/>
        </w:rPr>
        <w:t>Harlow:Pearson</w:t>
      </w:r>
      <w:proofErr w:type="spellEnd"/>
      <w:proofErr w:type="gramEnd"/>
    </w:p>
    <w:p w14:paraId="486CB992" w14:textId="77777777" w:rsidR="00D72E35" w:rsidRDefault="00FD1ACF">
      <w:pPr>
        <w:numPr>
          <w:ilvl w:val="0"/>
          <w:numId w:val="1"/>
        </w:numPr>
        <w:pBdr>
          <w:top w:val="nil"/>
          <w:left w:val="nil"/>
          <w:bottom w:val="nil"/>
          <w:right w:val="nil"/>
          <w:between w:val="nil"/>
        </w:pBdr>
        <w:shd w:val="clear" w:color="auto" w:fill="FFFFFF"/>
        <w:spacing w:after="0" w:line="480" w:lineRule="auto"/>
        <w:jc w:val="left"/>
        <w:rPr>
          <w:rFonts w:ascii="Arial" w:eastAsia="Arial" w:hAnsi="Arial" w:cs="Arial"/>
          <w:color w:val="222222"/>
        </w:rPr>
      </w:pPr>
      <w:r>
        <w:rPr>
          <w:rFonts w:ascii="Arial" w:eastAsia="Arial" w:hAnsi="Arial" w:cs="Arial"/>
          <w:color w:val="222222"/>
        </w:rPr>
        <w:t>Mullins, L &amp; Dosser, P. (2013) Hospitality Management and Organisational Behaviour (5th Ed) Harlow, Pearson.</w:t>
      </w:r>
    </w:p>
    <w:p w14:paraId="0E180337" w14:textId="77777777" w:rsidR="00D72E35" w:rsidRDefault="00FD1ACF">
      <w:pPr>
        <w:numPr>
          <w:ilvl w:val="0"/>
          <w:numId w:val="1"/>
        </w:numPr>
        <w:pBdr>
          <w:top w:val="nil"/>
          <w:left w:val="nil"/>
          <w:bottom w:val="nil"/>
          <w:right w:val="nil"/>
          <w:between w:val="nil"/>
        </w:pBdr>
        <w:shd w:val="clear" w:color="auto" w:fill="FFFFFF"/>
        <w:spacing w:after="0" w:line="480" w:lineRule="auto"/>
        <w:jc w:val="left"/>
        <w:rPr>
          <w:rFonts w:ascii="Arial" w:eastAsia="Arial" w:hAnsi="Arial" w:cs="Arial"/>
          <w:color w:val="222222"/>
        </w:rPr>
      </w:pPr>
      <w:r>
        <w:rPr>
          <w:rFonts w:ascii="Arial" w:eastAsia="Arial" w:hAnsi="Arial" w:cs="Arial"/>
          <w:color w:val="222222"/>
        </w:rPr>
        <w:t>Mullins, L. (2016) Management and Organisational Behaviour (11th edition) Harlow: Pearson</w:t>
      </w:r>
    </w:p>
    <w:p w14:paraId="4A3FFB0B" w14:textId="77777777" w:rsidR="00D72E35" w:rsidRDefault="00FD1ACF">
      <w:pPr>
        <w:numPr>
          <w:ilvl w:val="0"/>
          <w:numId w:val="1"/>
        </w:numPr>
        <w:pBdr>
          <w:top w:val="nil"/>
          <w:left w:val="nil"/>
          <w:bottom w:val="nil"/>
          <w:right w:val="nil"/>
          <w:between w:val="nil"/>
        </w:pBdr>
        <w:shd w:val="clear" w:color="auto" w:fill="FFFFFF"/>
        <w:spacing w:after="0" w:line="480" w:lineRule="auto"/>
        <w:jc w:val="left"/>
        <w:rPr>
          <w:rFonts w:ascii="Arial" w:eastAsia="Arial" w:hAnsi="Arial" w:cs="Arial"/>
          <w:color w:val="222222"/>
        </w:rPr>
      </w:pPr>
      <w:proofErr w:type="spellStart"/>
      <w:r>
        <w:rPr>
          <w:rFonts w:ascii="Arial" w:eastAsia="Arial" w:hAnsi="Arial" w:cs="Arial"/>
          <w:color w:val="222222"/>
          <w:highlight w:val="white"/>
        </w:rPr>
        <w:t>Pizam</w:t>
      </w:r>
      <w:proofErr w:type="spellEnd"/>
      <w:r>
        <w:rPr>
          <w:rFonts w:ascii="Arial" w:eastAsia="Arial" w:hAnsi="Arial" w:cs="Arial"/>
          <w:color w:val="222222"/>
          <w:highlight w:val="white"/>
        </w:rPr>
        <w:t>, A., Shapoval, V. and Ellis, T., 2016. Customer satisfaction and its measurement in hospitality enterprises: a revisit and update. </w:t>
      </w:r>
      <w:r>
        <w:rPr>
          <w:rFonts w:ascii="Arial" w:eastAsia="Arial" w:hAnsi="Arial" w:cs="Arial"/>
          <w:i/>
          <w:color w:val="222222"/>
          <w:highlight w:val="white"/>
        </w:rPr>
        <w:t>International journal of contemporary hospitality management</w:t>
      </w:r>
      <w:r>
        <w:rPr>
          <w:rFonts w:ascii="Arial" w:eastAsia="Arial" w:hAnsi="Arial" w:cs="Arial"/>
          <w:color w:val="222222"/>
          <w:highlight w:val="white"/>
        </w:rPr>
        <w:t>, </w:t>
      </w:r>
      <w:r>
        <w:rPr>
          <w:rFonts w:ascii="Arial" w:eastAsia="Arial" w:hAnsi="Arial" w:cs="Arial"/>
          <w:i/>
          <w:color w:val="222222"/>
          <w:highlight w:val="white"/>
        </w:rPr>
        <w:t>28</w:t>
      </w:r>
      <w:r>
        <w:rPr>
          <w:rFonts w:ascii="Arial" w:eastAsia="Arial" w:hAnsi="Arial" w:cs="Arial"/>
          <w:color w:val="222222"/>
          <w:highlight w:val="white"/>
        </w:rPr>
        <w:t>(1), pp.2-35.</w:t>
      </w:r>
    </w:p>
    <w:p w14:paraId="138EB954" w14:textId="77777777" w:rsidR="00D72E35" w:rsidRDefault="00FD1ACF">
      <w:pPr>
        <w:numPr>
          <w:ilvl w:val="0"/>
          <w:numId w:val="1"/>
        </w:numPr>
        <w:pBdr>
          <w:top w:val="nil"/>
          <w:left w:val="nil"/>
          <w:bottom w:val="nil"/>
          <w:right w:val="nil"/>
          <w:between w:val="nil"/>
        </w:pBdr>
        <w:shd w:val="clear" w:color="auto" w:fill="FFFFFF"/>
        <w:spacing w:after="0" w:line="480" w:lineRule="auto"/>
        <w:jc w:val="left"/>
        <w:rPr>
          <w:rFonts w:ascii="Arial" w:eastAsia="Arial" w:hAnsi="Arial" w:cs="Arial"/>
          <w:color w:val="222222"/>
        </w:rPr>
      </w:pPr>
      <w:proofErr w:type="spellStart"/>
      <w:r>
        <w:rPr>
          <w:rFonts w:ascii="Arial" w:eastAsia="Arial" w:hAnsi="Arial" w:cs="Arial"/>
          <w:color w:val="222222"/>
          <w:highlight w:val="white"/>
        </w:rPr>
        <w:t>Pötzsch</w:t>
      </w:r>
      <w:proofErr w:type="spellEnd"/>
      <w:r>
        <w:rPr>
          <w:rFonts w:ascii="Arial" w:eastAsia="Arial" w:hAnsi="Arial" w:cs="Arial"/>
          <w:color w:val="222222"/>
          <w:highlight w:val="white"/>
        </w:rPr>
        <w:t>, H. and Schamberger, K., 2022. Labour struggles in digital capitalism: challenges and opportunities for worker organisation, mobilisation, and activism in Germany. </w:t>
      </w:r>
      <w:proofErr w:type="spellStart"/>
      <w:r>
        <w:rPr>
          <w:rFonts w:ascii="Arial" w:eastAsia="Arial" w:hAnsi="Arial" w:cs="Arial"/>
          <w:i/>
          <w:color w:val="222222"/>
          <w:highlight w:val="white"/>
        </w:rPr>
        <w:t>tripleC</w:t>
      </w:r>
      <w:proofErr w:type="spellEnd"/>
      <w:r>
        <w:rPr>
          <w:rFonts w:ascii="Arial" w:eastAsia="Arial" w:hAnsi="Arial" w:cs="Arial"/>
          <w:i/>
          <w:color w:val="222222"/>
          <w:highlight w:val="white"/>
        </w:rPr>
        <w:t>: Communication, Capitalism &amp; Critique. Open Access Journal for a Global Sustainable Information Society</w:t>
      </w:r>
      <w:r>
        <w:rPr>
          <w:rFonts w:ascii="Arial" w:eastAsia="Arial" w:hAnsi="Arial" w:cs="Arial"/>
          <w:color w:val="222222"/>
          <w:highlight w:val="white"/>
        </w:rPr>
        <w:t>, </w:t>
      </w:r>
      <w:r>
        <w:rPr>
          <w:rFonts w:ascii="Arial" w:eastAsia="Arial" w:hAnsi="Arial" w:cs="Arial"/>
          <w:i/>
          <w:color w:val="222222"/>
          <w:highlight w:val="white"/>
        </w:rPr>
        <w:t>20</w:t>
      </w:r>
      <w:r>
        <w:rPr>
          <w:rFonts w:ascii="Arial" w:eastAsia="Arial" w:hAnsi="Arial" w:cs="Arial"/>
          <w:color w:val="222222"/>
          <w:highlight w:val="white"/>
        </w:rPr>
        <w:t>(1), pp.82-100.</w:t>
      </w:r>
    </w:p>
    <w:p w14:paraId="6568874E" w14:textId="77777777" w:rsidR="00D72E35" w:rsidRDefault="00FD1ACF">
      <w:pPr>
        <w:numPr>
          <w:ilvl w:val="0"/>
          <w:numId w:val="1"/>
        </w:numPr>
        <w:pBdr>
          <w:top w:val="nil"/>
          <w:left w:val="nil"/>
          <w:bottom w:val="nil"/>
          <w:right w:val="nil"/>
          <w:between w:val="nil"/>
        </w:pBdr>
        <w:shd w:val="clear" w:color="auto" w:fill="FFFFFF"/>
        <w:spacing w:after="0" w:line="480" w:lineRule="auto"/>
        <w:jc w:val="left"/>
        <w:rPr>
          <w:rFonts w:ascii="Arial" w:eastAsia="Arial" w:hAnsi="Arial" w:cs="Arial"/>
          <w:color w:val="222222"/>
          <w:highlight w:val="white"/>
        </w:rPr>
      </w:pPr>
      <w:r>
        <w:rPr>
          <w:rFonts w:ascii="Arial" w:eastAsia="Arial" w:hAnsi="Arial" w:cs="Arial"/>
          <w:color w:val="222222"/>
          <w:highlight w:val="white"/>
        </w:rPr>
        <w:t>Pradhan, R.K. and Jena, L.K., 2015. Workplace Spirituality and Employee Performance: Mediating Role of Organisation Citizenship Behaviour. </w:t>
      </w:r>
      <w:r>
        <w:rPr>
          <w:rFonts w:ascii="Arial" w:eastAsia="Arial" w:hAnsi="Arial" w:cs="Arial"/>
          <w:i/>
          <w:color w:val="222222"/>
          <w:highlight w:val="white"/>
        </w:rPr>
        <w:t>Journal of Contemporary Psychological Research</w:t>
      </w:r>
      <w:r>
        <w:rPr>
          <w:rFonts w:ascii="Arial" w:eastAsia="Arial" w:hAnsi="Arial" w:cs="Arial"/>
          <w:color w:val="222222"/>
          <w:highlight w:val="white"/>
        </w:rPr>
        <w:t>, </w:t>
      </w:r>
      <w:r>
        <w:rPr>
          <w:rFonts w:ascii="Arial" w:eastAsia="Arial" w:hAnsi="Arial" w:cs="Arial"/>
          <w:i/>
          <w:color w:val="222222"/>
          <w:highlight w:val="white"/>
        </w:rPr>
        <w:t>2</w:t>
      </w:r>
      <w:r>
        <w:rPr>
          <w:rFonts w:ascii="Arial" w:eastAsia="Arial" w:hAnsi="Arial" w:cs="Arial"/>
          <w:color w:val="222222"/>
          <w:highlight w:val="white"/>
        </w:rPr>
        <w:t>(1), p.40.</w:t>
      </w:r>
    </w:p>
    <w:p w14:paraId="761BB996" w14:textId="77777777" w:rsidR="00D72E35" w:rsidRDefault="00FD1ACF">
      <w:pPr>
        <w:numPr>
          <w:ilvl w:val="0"/>
          <w:numId w:val="1"/>
        </w:numPr>
        <w:pBdr>
          <w:top w:val="nil"/>
          <w:left w:val="nil"/>
          <w:bottom w:val="nil"/>
          <w:right w:val="nil"/>
          <w:between w:val="nil"/>
        </w:pBdr>
        <w:shd w:val="clear" w:color="auto" w:fill="FFFFFF"/>
        <w:spacing w:after="0" w:line="480" w:lineRule="auto"/>
        <w:jc w:val="left"/>
        <w:rPr>
          <w:rFonts w:ascii="Arial" w:eastAsia="Arial" w:hAnsi="Arial" w:cs="Arial"/>
          <w:color w:val="222222"/>
        </w:rPr>
      </w:pPr>
      <w:r>
        <w:rPr>
          <w:rFonts w:ascii="Arial" w:eastAsia="Arial" w:hAnsi="Arial" w:cs="Arial"/>
          <w:color w:val="222222"/>
        </w:rPr>
        <w:t>Robbins, S. Et al (2008) Organizational Behaviour (5th edition) Harlow: Pearson Education Limited.</w:t>
      </w:r>
    </w:p>
    <w:p w14:paraId="20ABB22B" w14:textId="77777777" w:rsidR="00D72E35" w:rsidRDefault="00FD1ACF">
      <w:pPr>
        <w:numPr>
          <w:ilvl w:val="0"/>
          <w:numId w:val="1"/>
        </w:numPr>
        <w:pBdr>
          <w:top w:val="nil"/>
          <w:left w:val="nil"/>
          <w:bottom w:val="nil"/>
          <w:right w:val="nil"/>
          <w:between w:val="nil"/>
        </w:pBdr>
        <w:shd w:val="clear" w:color="auto" w:fill="FFFFFF"/>
        <w:spacing w:after="0" w:line="480" w:lineRule="auto"/>
        <w:jc w:val="left"/>
        <w:rPr>
          <w:rFonts w:ascii="Arial" w:eastAsia="Arial" w:hAnsi="Arial" w:cs="Arial"/>
          <w:color w:val="222222"/>
        </w:rPr>
      </w:pPr>
      <w:r>
        <w:rPr>
          <w:rFonts w:ascii="Arial" w:eastAsia="Arial" w:hAnsi="Arial" w:cs="Arial"/>
          <w:color w:val="222222"/>
        </w:rPr>
        <w:lastRenderedPageBreak/>
        <w:t>Rollinson, D. et al (</w:t>
      </w:r>
      <w:proofErr w:type="gramStart"/>
      <w:r>
        <w:rPr>
          <w:rFonts w:ascii="Arial" w:eastAsia="Arial" w:hAnsi="Arial" w:cs="Arial"/>
          <w:color w:val="222222"/>
        </w:rPr>
        <w:t>2008 )</w:t>
      </w:r>
      <w:proofErr w:type="gramEnd"/>
      <w:r>
        <w:rPr>
          <w:rFonts w:ascii="Arial" w:eastAsia="Arial" w:hAnsi="Arial" w:cs="Arial"/>
          <w:color w:val="222222"/>
        </w:rPr>
        <w:t xml:space="preserve"> Organisational Behaviour and Analysis (4th edition) Harlow: Addison-Wesley Longman.</w:t>
      </w:r>
    </w:p>
    <w:p w14:paraId="75DEED11" w14:textId="77777777" w:rsidR="00D72E35" w:rsidRDefault="00FD1ACF">
      <w:pPr>
        <w:numPr>
          <w:ilvl w:val="0"/>
          <w:numId w:val="1"/>
        </w:numPr>
        <w:pBdr>
          <w:top w:val="nil"/>
          <w:left w:val="nil"/>
          <w:bottom w:val="nil"/>
          <w:right w:val="nil"/>
          <w:between w:val="nil"/>
        </w:pBdr>
        <w:shd w:val="clear" w:color="auto" w:fill="FFFFFF"/>
        <w:spacing w:after="0" w:line="480" w:lineRule="auto"/>
        <w:jc w:val="left"/>
        <w:rPr>
          <w:rFonts w:ascii="Arial" w:eastAsia="Arial" w:hAnsi="Arial" w:cs="Arial"/>
          <w:color w:val="222222"/>
          <w:highlight w:val="white"/>
        </w:rPr>
      </w:pPr>
      <w:proofErr w:type="spellStart"/>
      <w:r>
        <w:rPr>
          <w:rFonts w:ascii="Arial" w:eastAsia="Arial" w:hAnsi="Arial" w:cs="Arial"/>
          <w:color w:val="222222"/>
          <w:highlight w:val="white"/>
        </w:rPr>
        <w:t>Sebayang</w:t>
      </w:r>
      <w:proofErr w:type="spellEnd"/>
      <w:r>
        <w:rPr>
          <w:rFonts w:ascii="Arial" w:eastAsia="Arial" w:hAnsi="Arial" w:cs="Arial"/>
          <w:color w:val="222222"/>
          <w:highlight w:val="white"/>
        </w:rPr>
        <w:t xml:space="preserve">, G.A., </w:t>
      </w:r>
      <w:proofErr w:type="spellStart"/>
      <w:r>
        <w:rPr>
          <w:rFonts w:ascii="Arial" w:eastAsia="Arial" w:hAnsi="Arial" w:cs="Arial"/>
          <w:color w:val="222222"/>
          <w:highlight w:val="white"/>
        </w:rPr>
        <w:t>Sutama</w:t>
      </w:r>
      <w:proofErr w:type="spellEnd"/>
      <w:r>
        <w:rPr>
          <w:rFonts w:ascii="Arial" w:eastAsia="Arial" w:hAnsi="Arial" w:cs="Arial"/>
          <w:color w:val="222222"/>
          <w:highlight w:val="white"/>
        </w:rPr>
        <w:t xml:space="preserve">, I.K. and </w:t>
      </w:r>
      <w:proofErr w:type="spellStart"/>
      <w:r>
        <w:rPr>
          <w:rFonts w:ascii="Arial" w:eastAsia="Arial" w:hAnsi="Arial" w:cs="Arial"/>
          <w:color w:val="222222"/>
          <w:highlight w:val="white"/>
        </w:rPr>
        <w:t>Wendri</w:t>
      </w:r>
      <w:proofErr w:type="spellEnd"/>
      <w:r>
        <w:rPr>
          <w:rFonts w:ascii="Arial" w:eastAsia="Arial" w:hAnsi="Arial" w:cs="Arial"/>
          <w:color w:val="222222"/>
          <w:highlight w:val="white"/>
        </w:rPr>
        <w:t>, I., 2023. </w:t>
      </w:r>
      <w:r>
        <w:rPr>
          <w:rFonts w:ascii="Arial" w:eastAsia="Arial" w:hAnsi="Arial" w:cs="Arial"/>
          <w:i/>
          <w:color w:val="222222"/>
          <w:highlight w:val="white"/>
        </w:rPr>
        <w:t xml:space="preserve">The Implementation of Green Training to Improve Employees’ Pro Environmental </w:t>
      </w:r>
      <w:proofErr w:type="spellStart"/>
      <w:r>
        <w:rPr>
          <w:rFonts w:ascii="Arial" w:eastAsia="Arial" w:hAnsi="Arial" w:cs="Arial"/>
          <w:i/>
          <w:color w:val="222222"/>
          <w:highlight w:val="white"/>
        </w:rPr>
        <w:t>Behavior</w:t>
      </w:r>
      <w:proofErr w:type="spellEnd"/>
      <w:r>
        <w:rPr>
          <w:rFonts w:ascii="Arial" w:eastAsia="Arial" w:hAnsi="Arial" w:cs="Arial"/>
          <w:i/>
          <w:color w:val="222222"/>
          <w:highlight w:val="white"/>
        </w:rPr>
        <w:t xml:space="preserve"> at Hyatt Regency Bali</w:t>
      </w:r>
      <w:r>
        <w:rPr>
          <w:rFonts w:ascii="Arial" w:eastAsia="Arial" w:hAnsi="Arial" w:cs="Arial"/>
          <w:color w:val="222222"/>
          <w:highlight w:val="white"/>
        </w:rPr>
        <w:t xml:space="preserve"> (Doctoral dissertation, </w:t>
      </w:r>
      <w:proofErr w:type="spellStart"/>
      <w:r>
        <w:rPr>
          <w:rFonts w:ascii="Arial" w:eastAsia="Arial" w:hAnsi="Arial" w:cs="Arial"/>
          <w:color w:val="222222"/>
          <w:highlight w:val="white"/>
        </w:rPr>
        <w:t>Politeknik</w:t>
      </w:r>
      <w:proofErr w:type="spellEnd"/>
      <w:r>
        <w:rPr>
          <w:rFonts w:ascii="Arial" w:eastAsia="Arial" w:hAnsi="Arial" w:cs="Arial"/>
          <w:color w:val="222222"/>
          <w:highlight w:val="white"/>
        </w:rPr>
        <w:t xml:space="preserve"> Negeri Bali).</w:t>
      </w:r>
    </w:p>
    <w:p w14:paraId="04399007" w14:textId="77777777" w:rsidR="00D72E35" w:rsidRDefault="00D72E35">
      <w:pPr>
        <w:spacing w:line="480" w:lineRule="auto"/>
        <w:rPr>
          <w:rFonts w:ascii="Arial" w:eastAsia="Arial" w:hAnsi="Arial" w:cs="Arial"/>
        </w:rPr>
      </w:pPr>
    </w:p>
    <w:sectPr w:rsidR="00D72E35">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509E6"/>
    <w:multiLevelType w:val="multilevel"/>
    <w:tmpl w:val="F1726AE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3323656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2E35"/>
    <w:rsid w:val="00201209"/>
    <w:rsid w:val="00D72E35"/>
    <w:rsid w:val="00FD1A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47E36"/>
  <w15:docId w15:val="{AFBC5287-E710-4AD2-858F-169B34B29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rPr>
  </w:style>
  <w:style w:type="paragraph" w:styleId="Heading2">
    <w:name w:val="heading 2"/>
    <w:basedOn w:val="Normal"/>
    <w:next w:val="Normal"/>
    <w:uiPriority w:val="9"/>
    <w:semiHidden/>
    <w:unhideWhenUsed/>
    <w:qFormat/>
    <w:pPr>
      <w:keepNext/>
      <w:keepLines/>
      <w:spacing w:before="40" w:after="0"/>
      <w:outlineLvl w:val="1"/>
    </w:pPr>
    <w:rPr>
      <w:b/>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line="240" w:lineRule="auto"/>
    </w:pPr>
    <w:rPr>
      <w:rFonts w:ascii="Calibri" w:eastAsia="Calibri" w:hAnsi="Calibri" w:cs="Calibri"/>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elibrary.gci.edu.np/bitstream/123456789/3323/1/906.V.%20Prakesh%20Kainthola%20-%20Principles%20of%20Hotel%20Management.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journals.sagepub.com/doi/abs/10.1177/0972150919846799"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14</Pages>
  <Words>3189</Words>
  <Characters>18178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Parbes Ali</dc:creator>
  <cp:lastModifiedBy>Parbes Ali</cp:lastModifiedBy>
  <cp:revision>2</cp:revision>
  <dcterms:created xsi:type="dcterms:W3CDTF">2024-02-13T16:14:00Z</dcterms:created>
  <dcterms:modified xsi:type="dcterms:W3CDTF">2024-02-13T16:14:00Z</dcterms:modified>
</cp:coreProperties>
</file>