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2D60" w:rsidRDefault="000A2D60" w:rsidP="000A2D60">
      <w:pPr>
        <w:jc w:val="center"/>
        <w:rPr>
          <w:b/>
          <w:bCs/>
          <w:sz w:val="40"/>
          <w:szCs w:val="40"/>
          <w:u w:val="single"/>
        </w:rPr>
      </w:pPr>
      <w:r>
        <w:rPr>
          <w:b/>
          <w:bCs/>
          <w:sz w:val="40"/>
          <w:szCs w:val="40"/>
          <w:u w:val="single"/>
        </w:rPr>
        <w:t>An Introduction to Equity and Trusts</w:t>
      </w:r>
    </w:p>
    <w:p w:rsidR="000A2D60" w:rsidRPr="000A2D60" w:rsidRDefault="000A2D60" w:rsidP="000A2D60">
      <w:pPr>
        <w:jc w:val="center"/>
        <w:rPr>
          <w:b/>
          <w:bCs/>
          <w:sz w:val="40"/>
          <w:szCs w:val="40"/>
          <w:u w:val="single"/>
        </w:rPr>
      </w:pPr>
    </w:p>
    <w:p w:rsidR="000A2D60" w:rsidRPr="000A2D60" w:rsidRDefault="000A2D60" w:rsidP="000A2D60">
      <w:r w:rsidRPr="000A2D60">
        <w:t>Equity means fairness. Think of an equitable remedy or solution.</w:t>
      </w:r>
    </w:p>
    <w:p w:rsidR="000A2D60" w:rsidRPr="000A2D60" w:rsidRDefault="000A2D60" w:rsidP="000A2D60">
      <w:r w:rsidRPr="000A2D60">
        <w:t xml:space="preserve">In legal usage it has the same </w:t>
      </w:r>
      <w:proofErr w:type="gramStart"/>
      <w:r w:rsidRPr="000A2D60">
        <w:t>meaning</w:t>
      </w:r>
      <w:proofErr w:type="gramEnd"/>
      <w:r w:rsidRPr="000A2D60">
        <w:t xml:space="preserve"> but it is also used to refer to a distinct set of legal rules and principles.</w:t>
      </w:r>
    </w:p>
    <w:p w:rsidR="000A2D60" w:rsidRPr="000A2D60" w:rsidRDefault="000A2D60" w:rsidP="000A2D60">
      <w:r w:rsidRPr="000A2D60">
        <w:t>The rules of equity supplement those of the common law.</w:t>
      </w:r>
    </w:p>
    <w:p w:rsidR="000A2D60" w:rsidRPr="000A2D60" w:rsidRDefault="000A2D60" w:rsidP="000A2D60">
      <w:r w:rsidRPr="000A2D60">
        <w:t>Equity’s underlying principle is one of fairness.</w:t>
      </w:r>
    </w:p>
    <w:p w:rsidR="000A2D60" w:rsidRDefault="000A2D60" w:rsidP="000A2D60">
      <w:r>
        <w:t>W</w:t>
      </w:r>
      <w:r w:rsidRPr="000A2D60">
        <w:t xml:space="preserve">e will </w:t>
      </w:r>
      <w:r>
        <w:t xml:space="preserve">also </w:t>
      </w:r>
      <w:r w:rsidRPr="000A2D60">
        <w:t>go on to consider equitable remedies such as specific performance and injunctions.  We will also consider how a trust is created, the duties of trustees and the remedies available for a breach of trust.</w:t>
      </w:r>
    </w:p>
    <w:p w:rsidR="000A2D60" w:rsidRDefault="000A2D60" w:rsidP="000A2D60"/>
    <w:p w:rsidR="000A2D60" w:rsidRDefault="000A2D60" w:rsidP="000A2D60">
      <w:r>
        <w:t>Remedies</w:t>
      </w:r>
    </w:p>
    <w:p w:rsidR="000A2D60" w:rsidRPr="000A2D60" w:rsidRDefault="000A2D60" w:rsidP="000A2D60"/>
    <w:p w:rsidR="000A2D60" w:rsidRPr="000A2D60" w:rsidRDefault="000A2D60" w:rsidP="000A2D60">
      <w:r w:rsidRPr="000A2D60">
        <w:t xml:space="preserve">The main remedy developed by common law was damages – but damages are not always an adequate remedy. </w:t>
      </w:r>
    </w:p>
    <w:p w:rsidR="000A2D60" w:rsidRPr="000A2D60" w:rsidRDefault="000A2D60" w:rsidP="000A2D60">
      <w:r w:rsidRPr="000A2D60">
        <w:t xml:space="preserve">As a result of this equity has developed additional remedies including </w:t>
      </w:r>
      <w:r w:rsidRPr="000A2D60">
        <w:rPr>
          <w:b/>
          <w:bCs/>
        </w:rPr>
        <w:t>specific</w:t>
      </w:r>
      <w:r w:rsidRPr="000A2D60">
        <w:t xml:space="preserve"> </w:t>
      </w:r>
      <w:r w:rsidRPr="000A2D60">
        <w:rPr>
          <w:b/>
          <w:bCs/>
        </w:rPr>
        <w:t>performance</w:t>
      </w:r>
      <w:r w:rsidRPr="000A2D60">
        <w:t xml:space="preserve"> and </w:t>
      </w:r>
      <w:r w:rsidRPr="000A2D60">
        <w:rPr>
          <w:b/>
          <w:bCs/>
        </w:rPr>
        <w:t>injunctions</w:t>
      </w:r>
      <w:r w:rsidRPr="000A2D60">
        <w:t xml:space="preserve"> as alternatives.</w:t>
      </w:r>
    </w:p>
    <w:p w:rsidR="000A2D60" w:rsidRPr="000A2D60" w:rsidRDefault="000A2D60" w:rsidP="000A2D60">
      <w:r w:rsidRPr="000A2D60">
        <w:t xml:space="preserve">The </w:t>
      </w:r>
      <w:r w:rsidRPr="000A2D60">
        <w:rPr>
          <w:b/>
          <w:bCs/>
        </w:rPr>
        <w:t xml:space="preserve">trust </w:t>
      </w:r>
      <w:r w:rsidRPr="000A2D60">
        <w:t xml:space="preserve">is an example of one of the creations of equity.  The basic idea of a trust is that one person the </w:t>
      </w:r>
      <w:r w:rsidRPr="000A2D60">
        <w:rPr>
          <w:b/>
          <w:bCs/>
        </w:rPr>
        <w:t xml:space="preserve">trustee </w:t>
      </w:r>
      <w:r w:rsidRPr="000A2D60">
        <w:t xml:space="preserve">holds property for the benefit of another, the </w:t>
      </w:r>
      <w:r w:rsidRPr="000A2D60">
        <w:rPr>
          <w:b/>
          <w:bCs/>
        </w:rPr>
        <w:t>beneficiary.</w:t>
      </w:r>
    </w:p>
    <w:p w:rsidR="000A2D60" w:rsidRDefault="000A2D60" w:rsidP="000A2D60">
      <w:r w:rsidRPr="000A2D60">
        <w:rPr>
          <w:b/>
          <w:bCs/>
        </w:rPr>
        <w:t xml:space="preserve">Trustee = Legal owner </w:t>
      </w:r>
      <w:r w:rsidRPr="000A2D60">
        <w:t>but they have additional obligations and can</w:t>
      </w:r>
      <w:r>
        <w:t>’</w:t>
      </w:r>
      <w:r w:rsidRPr="000A2D60">
        <w:t>t treat the property as if it were the</w:t>
      </w:r>
      <w:r>
        <w:t>ir</w:t>
      </w:r>
      <w:r w:rsidRPr="000A2D60">
        <w:t xml:space="preserve"> own.</w:t>
      </w:r>
    </w:p>
    <w:p w:rsidR="000A2D60" w:rsidRDefault="000A2D60" w:rsidP="000A2D60"/>
    <w:p w:rsidR="000A2D60" w:rsidRPr="000A2D60" w:rsidRDefault="000A2D60" w:rsidP="000A2D60">
      <w:pPr>
        <w:rPr>
          <w:b/>
          <w:bCs/>
          <w:sz w:val="28"/>
          <w:szCs w:val="28"/>
          <w:u w:val="single"/>
        </w:rPr>
      </w:pPr>
      <w:r w:rsidRPr="000A2D60">
        <w:rPr>
          <w:b/>
          <w:bCs/>
          <w:sz w:val="28"/>
          <w:szCs w:val="28"/>
          <w:u w:val="single"/>
        </w:rPr>
        <w:t>Historical development of Equity (an outline)</w:t>
      </w:r>
    </w:p>
    <w:p w:rsidR="000A2D60" w:rsidRDefault="000A2D60" w:rsidP="000A2D60"/>
    <w:p w:rsidR="000A2D60" w:rsidRDefault="000A2D60" w:rsidP="000A2D60">
      <w:r w:rsidRPr="000A2D60">
        <w:t xml:space="preserve">A general understanding of how equity </w:t>
      </w:r>
      <w:proofErr w:type="gramStart"/>
      <w:r w:rsidRPr="000A2D60">
        <w:t>developed</w:t>
      </w:r>
      <w:proofErr w:type="gramEnd"/>
      <w:r w:rsidRPr="000A2D60">
        <w:t xml:space="preserve"> and its history can help to understand the current debates about its future, such as the relationship with law and the importance of having clear and consistent rules rather than vague notions of justice.</w:t>
      </w:r>
    </w:p>
    <w:p w:rsidR="000A2D60" w:rsidRDefault="000A2D60" w:rsidP="000A2D60"/>
    <w:p w:rsidR="000A2D60" w:rsidRDefault="000A2D60" w:rsidP="000A2D60">
      <w:r>
        <w:t>Medieval times</w:t>
      </w:r>
    </w:p>
    <w:p w:rsidR="000A2D60" w:rsidRDefault="000A2D60" w:rsidP="000A2D60"/>
    <w:p w:rsidR="000A2D60" w:rsidRPr="000A2D60" w:rsidRDefault="000A2D60" w:rsidP="000A2D60">
      <w:r w:rsidRPr="000A2D60">
        <w:t>Equity was born in the Court of Chancery – the court of the Chancellor, who, in medieval times, was the most senior royal official.  One of the Chancellor’s jobs was to issue the writs that began an action in the royal courts (known as the common law courts).</w:t>
      </w:r>
    </w:p>
    <w:p w:rsidR="000A2D60" w:rsidRPr="000A2D60" w:rsidRDefault="000A2D60" w:rsidP="000A2D60">
      <w:r w:rsidRPr="000A2D60">
        <w:t xml:space="preserve">Many people could not bring actions as you could only sue in the common law courts if your claim fitted into the range of existing writs. </w:t>
      </w:r>
      <w:proofErr w:type="gramStart"/>
      <w:r w:rsidRPr="000A2D60">
        <w:t>Also</w:t>
      </w:r>
      <w:proofErr w:type="gramEnd"/>
      <w:r w:rsidRPr="000A2D60">
        <w:t xml:space="preserve"> it was felt that common law courts did not give real justice.</w:t>
      </w:r>
    </w:p>
    <w:p w:rsidR="000A2D60" w:rsidRDefault="000A2D60" w:rsidP="000A2D60">
      <w:r w:rsidRPr="000A2D60">
        <w:t>Disappointed litigants could petition the King asking him to use his discretion and provide a remedy.  The petitions were dealt with by the Chancellor and, overtime, he started to develop his own decrees and his own court, the Court of Chancery, developed.</w:t>
      </w:r>
    </w:p>
    <w:p w:rsidR="000A2D60" w:rsidRDefault="000A2D60" w:rsidP="000A2D60"/>
    <w:p w:rsidR="000A2D60" w:rsidRDefault="000A2D60" w:rsidP="000A2D60">
      <w:r w:rsidRPr="000A2D60">
        <w:t xml:space="preserve">Medieval chancellors were churchmen and influenced how problems were solved.  The emphasis was on achieving a result that was consistent with “conscience” rather than rigidly applying the rules.  The theory was that this would mean cases would be decided on a notion of natural justice rather than the private opinion of the </w:t>
      </w:r>
      <w:proofErr w:type="gramStart"/>
      <w:r w:rsidRPr="000A2D60">
        <w:t>Chancellor</w:t>
      </w:r>
      <w:proofErr w:type="gramEnd"/>
      <w:r w:rsidRPr="000A2D60">
        <w:t xml:space="preserve"> but it was obviously dependent on the particular Chancellor.</w:t>
      </w:r>
    </w:p>
    <w:p w:rsidR="000A2D60" w:rsidRDefault="000A2D60" w:rsidP="000A2D60"/>
    <w:p w:rsidR="000A2D60" w:rsidRDefault="000A2D60" w:rsidP="000A2D60">
      <w:r>
        <w:lastRenderedPageBreak/>
        <w:t xml:space="preserve">Development of a more formal system of </w:t>
      </w:r>
      <w:proofErr w:type="gramStart"/>
      <w:r>
        <w:t>rules:-</w:t>
      </w:r>
      <w:proofErr w:type="gramEnd"/>
    </w:p>
    <w:p w:rsidR="000A2D60" w:rsidRDefault="000A2D60" w:rsidP="000A2D60"/>
    <w:p w:rsidR="000A2D60" w:rsidRDefault="000A2D60" w:rsidP="000A2D60">
      <w:r w:rsidRPr="000A2D60">
        <w:t>Tudor period</w:t>
      </w:r>
    </w:p>
    <w:p w:rsidR="000A2D60" w:rsidRPr="000A2D60" w:rsidRDefault="000A2D60" w:rsidP="000A2D60"/>
    <w:p w:rsidR="000A2D60" w:rsidRPr="000A2D60" w:rsidRDefault="000A2D60" w:rsidP="000A2D60">
      <w:r w:rsidRPr="000A2D60">
        <w:t xml:space="preserve">Chancellor’s jurisdiction increased.  They were now lawyers and equity began to develop more formal rules. Reports of cases started to be kept so precedent developed.  </w:t>
      </w:r>
      <w:proofErr w:type="gramStart"/>
      <w:r w:rsidRPr="000A2D60">
        <w:t>Therefore</w:t>
      </w:r>
      <w:proofErr w:type="gramEnd"/>
      <w:r w:rsidRPr="000A2D60">
        <w:t xml:space="preserve"> equity became more like common law with its rigid precedent.</w:t>
      </w:r>
    </w:p>
    <w:p w:rsidR="000A2D60" w:rsidRPr="000A2D60" w:rsidRDefault="000A2D60" w:rsidP="000A2D60">
      <w:r w:rsidRPr="000A2D60">
        <w:t>17</w:t>
      </w:r>
      <w:r w:rsidRPr="000A2D60">
        <w:rPr>
          <w:vertAlign w:val="superscript"/>
        </w:rPr>
        <w:t>th</w:t>
      </w:r>
      <w:r w:rsidRPr="000A2D60">
        <w:t xml:space="preserve"> Century</w:t>
      </w:r>
    </w:p>
    <w:p w:rsidR="000A2D60" w:rsidRPr="000A2D60" w:rsidRDefault="000A2D60" w:rsidP="000A2D60">
      <w:r w:rsidRPr="000A2D60">
        <w:t>Chancellors emphasised that their decisions weren’t arbitrary.</w:t>
      </w:r>
    </w:p>
    <w:p w:rsidR="000A2D60" w:rsidRDefault="000A2D60" w:rsidP="000A2D60">
      <w:r w:rsidRPr="000A2D60">
        <w:rPr>
          <w:b/>
          <w:bCs/>
          <w:i/>
          <w:iCs/>
        </w:rPr>
        <w:t xml:space="preserve">Cook v Fountain [1676] </w:t>
      </w:r>
      <w:r w:rsidRPr="000A2D60">
        <w:t xml:space="preserve">Lord Nottingham said that men should not </w:t>
      </w:r>
    </w:p>
    <w:p w:rsidR="000A2D60" w:rsidRDefault="000A2D60" w:rsidP="000A2D60">
      <w:pPr>
        <w:ind w:firstLine="720"/>
      </w:pPr>
    </w:p>
    <w:p w:rsidR="000A2D60" w:rsidRDefault="000A2D60" w:rsidP="000A2D60">
      <w:pPr>
        <w:ind w:firstLine="720"/>
        <w:rPr>
          <w:i/>
          <w:iCs/>
        </w:rPr>
      </w:pPr>
      <w:r w:rsidRPr="000A2D60">
        <w:rPr>
          <w:i/>
          <w:iCs/>
        </w:rPr>
        <w:t>‘lose their estates by the mere fancy and imagination of a Chancellor’</w:t>
      </w:r>
    </w:p>
    <w:p w:rsidR="004B0487" w:rsidRDefault="004B0487" w:rsidP="000A2D60">
      <w:pPr>
        <w:ind w:firstLine="720"/>
        <w:rPr>
          <w:i/>
          <w:iCs/>
        </w:rPr>
      </w:pPr>
    </w:p>
    <w:p w:rsidR="004B0487" w:rsidRDefault="004B0487" w:rsidP="004B0487">
      <w:r w:rsidRPr="004B0487">
        <w:t>19</w:t>
      </w:r>
      <w:r w:rsidRPr="004B0487">
        <w:rPr>
          <w:vertAlign w:val="superscript"/>
        </w:rPr>
        <w:t>th</w:t>
      </w:r>
      <w:r w:rsidRPr="004B0487">
        <w:t xml:space="preserve"> Century</w:t>
      </w:r>
    </w:p>
    <w:p w:rsidR="004B0487" w:rsidRPr="004B0487" w:rsidRDefault="004B0487" w:rsidP="004B0487"/>
    <w:p w:rsidR="004B0487" w:rsidRPr="004B0487" w:rsidRDefault="004B0487" w:rsidP="004B0487">
      <w:r w:rsidRPr="004B0487">
        <w:t xml:space="preserve">Lord Eldon retired as Chancellor in 1827 and said that the </w:t>
      </w:r>
      <w:r w:rsidRPr="004B0487">
        <w:rPr>
          <w:i/>
          <w:iCs/>
        </w:rPr>
        <w:t xml:space="preserve">‘doctrine of the court ought to be as well settled and made as uniform almost as those of the common law, laying down fixed principles but taking care that they are to be applied </w:t>
      </w:r>
      <w:r w:rsidRPr="004B0487">
        <w:rPr>
          <w:b/>
          <w:bCs/>
          <w:i/>
          <w:iCs/>
        </w:rPr>
        <w:t>according to the circumstances of each case’.</w:t>
      </w:r>
    </w:p>
    <w:p w:rsidR="004B0487" w:rsidRPr="004B0487" w:rsidRDefault="004B0487" w:rsidP="004B0487">
      <w:r w:rsidRPr="004B0487">
        <w:t xml:space="preserve">1878, </w:t>
      </w:r>
      <w:proofErr w:type="spellStart"/>
      <w:r w:rsidRPr="004B0487">
        <w:t>Jessel</w:t>
      </w:r>
      <w:proofErr w:type="spellEnd"/>
      <w:r w:rsidRPr="004B0487">
        <w:t xml:space="preserve"> MR emphasised that Chancery </w:t>
      </w:r>
      <w:r w:rsidRPr="004B0487">
        <w:rPr>
          <w:i/>
          <w:iCs/>
        </w:rPr>
        <w:t>‘is not, as I have often said, a Court of Conscience but a court of law’</w:t>
      </w:r>
    </w:p>
    <w:p w:rsidR="000A2D60" w:rsidRDefault="000A2D60" w:rsidP="000A2D60"/>
    <w:p w:rsidR="004B0487" w:rsidRPr="004B0487" w:rsidRDefault="004B0487" w:rsidP="004B0487">
      <w:r w:rsidRPr="004B0487">
        <w:t>But as the volume of work increased the old systems could not handle it.  The reach of Equity became extensive not only in its remedies but also particular rules on mortgages, probate and the law of trusts. Part of the problem was the system of parallel courts – common law and equity.</w:t>
      </w:r>
    </w:p>
    <w:p w:rsidR="004B0487" w:rsidRDefault="004B0487" w:rsidP="004B0487">
      <w:r w:rsidRPr="004B0487">
        <w:t>Common law courts could not give equitable remedies such as injunctions and Chancery could not award damages.  This was inefficient and the solution was to fuse law and equity into a single court system.</w:t>
      </w:r>
    </w:p>
    <w:p w:rsidR="004B0487" w:rsidRDefault="004B0487" w:rsidP="004B0487"/>
    <w:p w:rsidR="004B0487" w:rsidRDefault="004B0487" w:rsidP="004B0487">
      <w:r>
        <w:t>The fusion of law and equity</w:t>
      </w:r>
    </w:p>
    <w:p w:rsidR="004B0487" w:rsidRDefault="004B0487" w:rsidP="004B0487">
      <w:pPr>
        <w:rPr>
          <w:b/>
          <w:bCs/>
        </w:rPr>
      </w:pPr>
    </w:p>
    <w:p w:rsidR="004B0487" w:rsidRPr="004B0487" w:rsidRDefault="004B0487" w:rsidP="004B0487">
      <w:pPr>
        <w:pStyle w:val="ListParagraph"/>
        <w:numPr>
          <w:ilvl w:val="0"/>
          <w:numId w:val="1"/>
        </w:numPr>
      </w:pPr>
      <w:r w:rsidRPr="004B0487">
        <w:rPr>
          <w:b/>
          <w:bCs/>
        </w:rPr>
        <w:t xml:space="preserve">Common Law Procedure Act 1854 – </w:t>
      </w:r>
      <w:r w:rsidRPr="004B0487">
        <w:t>gave common law courts the power to grant some equitable remedies</w:t>
      </w:r>
    </w:p>
    <w:p w:rsidR="004B0487" w:rsidRPr="004B0487" w:rsidRDefault="004B0487" w:rsidP="004B0487">
      <w:pPr>
        <w:pStyle w:val="ListParagraph"/>
        <w:numPr>
          <w:ilvl w:val="0"/>
          <w:numId w:val="1"/>
        </w:numPr>
      </w:pPr>
      <w:r w:rsidRPr="004B0487">
        <w:rPr>
          <w:b/>
          <w:bCs/>
        </w:rPr>
        <w:t>Chancery Amendment Act 1858 (Lord Cairns’ Act) –</w:t>
      </w:r>
      <w:r w:rsidRPr="004B0487">
        <w:t>gave Chancery courts a limited power to use the common law remedy of damages as well as (or instead of) an injunction order for specific performance.</w:t>
      </w:r>
    </w:p>
    <w:p w:rsidR="004B0487" w:rsidRPr="004B0487" w:rsidRDefault="004B0487" w:rsidP="004B0487">
      <w:r w:rsidRPr="004B0487">
        <w:t xml:space="preserve">These 2 Acts began the process of fusing the law and made it more efficient and responsive to what the claimants wanted.  </w:t>
      </w:r>
    </w:p>
    <w:p w:rsidR="004B0487" w:rsidRPr="004B0487" w:rsidRDefault="004B0487" w:rsidP="004B0487">
      <w:pPr>
        <w:pStyle w:val="ListParagraph"/>
        <w:numPr>
          <w:ilvl w:val="0"/>
          <w:numId w:val="2"/>
        </w:numPr>
      </w:pPr>
      <w:r w:rsidRPr="004B0487">
        <w:rPr>
          <w:b/>
          <w:bCs/>
        </w:rPr>
        <w:t xml:space="preserve">Judicature Acts 1873 </w:t>
      </w:r>
      <w:r w:rsidRPr="004B0487">
        <w:t xml:space="preserve">and </w:t>
      </w:r>
      <w:r w:rsidRPr="004B0487">
        <w:rPr>
          <w:b/>
          <w:bCs/>
        </w:rPr>
        <w:t xml:space="preserve">1875 </w:t>
      </w:r>
      <w:r w:rsidRPr="004B0487">
        <w:t>– abolished the old separate common law and Chancery courts and set up the Supreme Court of Judicature.  This had several divisions; chancery was one of those, but all courts could exercise both common law and equitable jurisdictions.  Cases no longer had to move from one court to another.</w:t>
      </w:r>
    </w:p>
    <w:p w:rsidR="004B0487" w:rsidRPr="004B0487" w:rsidRDefault="004B0487" w:rsidP="004B0487">
      <w:pPr>
        <w:numPr>
          <w:ilvl w:val="0"/>
          <w:numId w:val="2"/>
        </w:numPr>
      </w:pPr>
      <w:r w:rsidRPr="004B0487">
        <w:rPr>
          <w:b/>
          <w:bCs/>
        </w:rPr>
        <w:t xml:space="preserve">S25 JA 1873 – </w:t>
      </w:r>
      <w:r w:rsidRPr="004B0487">
        <w:t xml:space="preserve">if there was a conflict between the 2 rules equity would prevail.  This had been accepted since </w:t>
      </w:r>
      <w:r w:rsidRPr="004B0487">
        <w:rPr>
          <w:b/>
          <w:bCs/>
          <w:i/>
          <w:iCs/>
        </w:rPr>
        <w:t>Earl of Oxford’s Case [1615]</w:t>
      </w:r>
    </w:p>
    <w:p w:rsidR="004B0487" w:rsidRDefault="004B0487" w:rsidP="004B0487">
      <w:pPr>
        <w:rPr>
          <w:b/>
          <w:bCs/>
          <w:i/>
          <w:iCs/>
        </w:rPr>
      </w:pPr>
    </w:p>
    <w:p w:rsidR="004B0487" w:rsidRPr="004B0487" w:rsidRDefault="004B0487" w:rsidP="004B0487">
      <w:r w:rsidRPr="004B0487">
        <w:rPr>
          <w:b/>
          <w:bCs/>
          <w:i/>
          <w:iCs/>
        </w:rPr>
        <w:lastRenderedPageBreak/>
        <w:t xml:space="preserve">Walsh v </w:t>
      </w:r>
      <w:proofErr w:type="gramStart"/>
      <w:r w:rsidRPr="004B0487">
        <w:rPr>
          <w:b/>
          <w:bCs/>
          <w:i/>
          <w:iCs/>
        </w:rPr>
        <w:t>Lonsdale[</w:t>
      </w:r>
      <w:proofErr w:type="gramEnd"/>
      <w:r w:rsidRPr="004B0487">
        <w:rPr>
          <w:b/>
          <w:bCs/>
          <w:i/>
          <w:iCs/>
        </w:rPr>
        <w:t xml:space="preserve">1882] – </w:t>
      </w:r>
      <w:r w:rsidRPr="004B0487">
        <w:t xml:space="preserve">illustrates this rule.  The dispute was about whether a landlord could </w:t>
      </w:r>
      <w:proofErr w:type="spellStart"/>
      <w:r w:rsidRPr="004B0487">
        <w:t>sieze</w:t>
      </w:r>
      <w:proofErr w:type="spellEnd"/>
      <w:r w:rsidRPr="004B0487">
        <w:t xml:space="preserve"> (distrain) a tenant’s goods.  The landlord wanted to do this because the tenant had breached the terms of lease.  The tenant’s response was that the lease was unenforceable.  This was true at common law, because certain formalities had not been satisfied.  However, if the rules of equity were applied, the lease was enforceable and thus the landlord had acted legally.  This was because, in equity, an agreement for a lease, if acted upon, was as good as a lease.  Therefore</w:t>
      </w:r>
      <w:r>
        <w:t>,</w:t>
      </w:r>
      <w:r w:rsidRPr="004B0487">
        <w:t xml:space="preserve"> there was a conflict; a valid lease in one system and not in the other.  Equity prevailed and it could all be heard before one judge in one court.</w:t>
      </w:r>
    </w:p>
    <w:p w:rsidR="004B0487" w:rsidRDefault="004B0487" w:rsidP="004B0487"/>
    <w:p w:rsidR="004B0487" w:rsidRPr="004B0487" w:rsidRDefault="004B0487" w:rsidP="004B0487">
      <w:pPr>
        <w:rPr>
          <w:b/>
          <w:bCs/>
          <w:sz w:val="28"/>
          <w:szCs w:val="28"/>
          <w:u w:val="single"/>
        </w:rPr>
      </w:pPr>
      <w:r w:rsidRPr="004B0487">
        <w:rPr>
          <w:b/>
          <w:bCs/>
          <w:sz w:val="28"/>
          <w:szCs w:val="28"/>
          <w:u w:val="single"/>
        </w:rPr>
        <w:t>The Maxims of Equity</w:t>
      </w:r>
    </w:p>
    <w:p w:rsidR="004B0487" w:rsidRDefault="004B0487" w:rsidP="004B0487"/>
    <w:p w:rsidR="004B0487" w:rsidRPr="004B0487" w:rsidRDefault="004B0487" w:rsidP="004B0487">
      <w:r>
        <w:t>The Maxims e</w:t>
      </w:r>
      <w:r w:rsidRPr="004B0487">
        <w:t>mbody the general principles of equity which evolved in the Court of Chancery and are best seen as general guidelines, underpinning equity’s intervention in various areas.  Some of the main ones are as follows;</w:t>
      </w:r>
    </w:p>
    <w:p w:rsidR="004B0487" w:rsidRDefault="004B0487" w:rsidP="004B0487"/>
    <w:p w:rsidR="009B3B5F" w:rsidRDefault="009B3B5F" w:rsidP="004B0487"/>
    <w:p w:rsidR="004B0487" w:rsidRDefault="004B0487" w:rsidP="004B0487">
      <w:pPr>
        <w:rPr>
          <w:b/>
          <w:bCs/>
          <w:i/>
          <w:iCs/>
        </w:rPr>
      </w:pPr>
      <w:r>
        <w:rPr>
          <w:b/>
          <w:bCs/>
          <w:i/>
          <w:iCs/>
        </w:rPr>
        <w:t xml:space="preserve">Equity acts “in </w:t>
      </w:r>
      <w:proofErr w:type="spellStart"/>
      <w:r>
        <w:rPr>
          <w:b/>
          <w:bCs/>
          <w:i/>
          <w:iCs/>
        </w:rPr>
        <w:t>personam</w:t>
      </w:r>
      <w:proofErr w:type="spellEnd"/>
      <w:r>
        <w:rPr>
          <w:b/>
          <w:bCs/>
          <w:i/>
          <w:iCs/>
        </w:rPr>
        <w:t>”</w:t>
      </w:r>
    </w:p>
    <w:p w:rsidR="004B0487" w:rsidRPr="004B0487" w:rsidRDefault="004B0487" w:rsidP="004B0487">
      <w:pPr>
        <w:rPr>
          <w:b/>
          <w:bCs/>
          <w:i/>
          <w:iCs/>
        </w:rPr>
      </w:pPr>
    </w:p>
    <w:p w:rsidR="004B0487" w:rsidRPr="004B0487" w:rsidRDefault="004B0487" w:rsidP="004B0487">
      <w:r w:rsidRPr="004B0487">
        <w:t xml:space="preserve">Equity’s jurisdiction is against specific persons.  This is at the heart of equity. If that person does not </w:t>
      </w:r>
      <w:proofErr w:type="gramStart"/>
      <w:r w:rsidRPr="004B0487">
        <w:t>comply</w:t>
      </w:r>
      <w:proofErr w:type="gramEnd"/>
      <w:r w:rsidRPr="004B0487">
        <w:t xml:space="preserve"> they are in contempt of court and can be imprisoned, fined, have property seized (sequestration of assets) or ordered to pay costs.</w:t>
      </w:r>
    </w:p>
    <w:p w:rsidR="004B0487" w:rsidRPr="004B0487" w:rsidRDefault="004B0487" w:rsidP="004B0487">
      <w:r w:rsidRPr="004B0487">
        <w:t>Although the ultimate goal of an action in equity may be to secure the return of property, it is the location of the defendant rather than the property that decides what action can be brought.</w:t>
      </w:r>
    </w:p>
    <w:p w:rsidR="004B0487" w:rsidRPr="004B0487" w:rsidRDefault="004B0487" w:rsidP="004B0487">
      <w:r w:rsidRPr="004B0487">
        <w:rPr>
          <w:b/>
          <w:bCs/>
          <w:i/>
          <w:iCs/>
        </w:rPr>
        <w:t xml:space="preserve">Penn v Lord Baltimore [1750] – </w:t>
      </w:r>
      <w:r w:rsidRPr="004B0487">
        <w:t xml:space="preserve">an English court made an order requiring the defendant to carry out an agreement relating to boundaries of land. The defendant was in England; the land was in America. </w:t>
      </w:r>
    </w:p>
    <w:p w:rsidR="004B0487" w:rsidRPr="004B0487" w:rsidRDefault="004B0487" w:rsidP="004B0487">
      <w:r w:rsidRPr="004B0487">
        <w:t xml:space="preserve">This principle also explains why a beneficiary under a trust </w:t>
      </w:r>
      <w:proofErr w:type="gramStart"/>
      <w:r w:rsidRPr="004B0487">
        <w:t>has a choice between an action</w:t>
      </w:r>
      <w:proofErr w:type="gramEnd"/>
      <w:r w:rsidRPr="004B0487">
        <w:t xml:space="preserve"> to recover the trust property itself (an </w:t>
      </w:r>
      <w:r w:rsidRPr="004B0487">
        <w:rPr>
          <w:i/>
          <w:iCs/>
        </w:rPr>
        <w:t xml:space="preserve">in rem </w:t>
      </w:r>
      <w:r w:rsidRPr="004B0487">
        <w:t xml:space="preserve">action) or a personal action against the trustee.  The beneficiary is entitled to ignore the </w:t>
      </w:r>
      <w:proofErr w:type="gramStart"/>
      <w:r w:rsidRPr="004B0487">
        <w:rPr>
          <w:i/>
          <w:iCs/>
        </w:rPr>
        <w:t>in rem</w:t>
      </w:r>
      <w:proofErr w:type="gramEnd"/>
      <w:r w:rsidRPr="004B0487">
        <w:rPr>
          <w:i/>
          <w:iCs/>
        </w:rPr>
        <w:t xml:space="preserve"> </w:t>
      </w:r>
      <w:r w:rsidRPr="004B0487">
        <w:t>action if his preference is to pursue the trustee personally.</w:t>
      </w:r>
    </w:p>
    <w:p w:rsidR="004B0487" w:rsidRDefault="004B0487" w:rsidP="004B0487"/>
    <w:p w:rsidR="009B3B5F" w:rsidRDefault="009B3B5F" w:rsidP="004B0487"/>
    <w:p w:rsidR="004B0487" w:rsidRDefault="004B0487" w:rsidP="004B0487">
      <w:pPr>
        <w:rPr>
          <w:b/>
          <w:bCs/>
          <w:i/>
          <w:iCs/>
        </w:rPr>
      </w:pPr>
      <w:r>
        <w:rPr>
          <w:b/>
          <w:bCs/>
          <w:i/>
          <w:iCs/>
        </w:rPr>
        <w:t>Equity will not permit a statute to be used as an instrument of fraud</w:t>
      </w:r>
    </w:p>
    <w:p w:rsidR="004B0487" w:rsidRDefault="004B0487" w:rsidP="004B0487">
      <w:pPr>
        <w:rPr>
          <w:b/>
          <w:bCs/>
          <w:i/>
          <w:iCs/>
        </w:rPr>
      </w:pPr>
    </w:p>
    <w:p w:rsidR="004B0487" w:rsidRDefault="004B0487" w:rsidP="004B0487">
      <w:r w:rsidRPr="004B0487">
        <w:t>This usually applies to stop a D</w:t>
      </w:r>
      <w:r>
        <w:t>efendant</w:t>
      </w:r>
      <w:r w:rsidRPr="004B0487">
        <w:t xml:space="preserve"> from relying in bad faith upon the absence of some statutory formality in order to defeat the Cl</w:t>
      </w:r>
      <w:r>
        <w:t>aimant’</w:t>
      </w:r>
      <w:r w:rsidRPr="004B0487">
        <w:t>s just claim.</w:t>
      </w:r>
    </w:p>
    <w:p w:rsidR="004B0487" w:rsidRDefault="004B0487" w:rsidP="004B0487"/>
    <w:p w:rsidR="009B3B5F" w:rsidRDefault="009B3B5F" w:rsidP="004B0487"/>
    <w:p w:rsidR="004B0487" w:rsidRDefault="004B0487" w:rsidP="004B0487">
      <w:pPr>
        <w:rPr>
          <w:b/>
          <w:bCs/>
          <w:i/>
          <w:iCs/>
        </w:rPr>
      </w:pPr>
      <w:r>
        <w:rPr>
          <w:b/>
          <w:bCs/>
          <w:i/>
          <w:iCs/>
        </w:rPr>
        <w:t>Equity will not suffer a wrong to be without a remedy</w:t>
      </w:r>
    </w:p>
    <w:p w:rsidR="004B0487" w:rsidRDefault="004B0487" w:rsidP="004B0487">
      <w:pPr>
        <w:rPr>
          <w:b/>
          <w:bCs/>
          <w:i/>
          <w:iCs/>
        </w:rPr>
      </w:pPr>
    </w:p>
    <w:p w:rsidR="004B0487" w:rsidRDefault="004B0487" w:rsidP="004B0487">
      <w:r w:rsidRPr="004B0487">
        <w:t>Historically, equity intervened where a right deserving of enforcement was not enforced at common law owing to some technical defect.  The enforcement of trusts is a good example.  In law, the beneficiary has no remedy as the trustee is the legal owner of the property.  In equity, however, the beneficiary is entitled to enforce his rights.  In this way, real substantive ownership lies with the beneficiary.</w:t>
      </w:r>
    </w:p>
    <w:p w:rsidR="004B0487" w:rsidRDefault="004B0487" w:rsidP="004B0487"/>
    <w:p w:rsidR="004B0487" w:rsidRDefault="004B0487" w:rsidP="004B0487">
      <w:pPr>
        <w:rPr>
          <w:b/>
          <w:bCs/>
          <w:i/>
          <w:iCs/>
        </w:rPr>
      </w:pPr>
      <w:r>
        <w:rPr>
          <w:b/>
          <w:bCs/>
          <w:i/>
          <w:iCs/>
        </w:rPr>
        <w:t>Equity follows the law</w:t>
      </w:r>
    </w:p>
    <w:p w:rsidR="004B0487" w:rsidRDefault="004B0487" w:rsidP="004B0487">
      <w:pPr>
        <w:rPr>
          <w:b/>
          <w:bCs/>
          <w:i/>
          <w:iCs/>
        </w:rPr>
      </w:pPr>
    </w:p>
    <w:p w:rsidR="004B0487" w:rsidRPr="004B0487" w:rsidRDefault="004B0487" w:rsidP="004B0487">
      <w:r w:rsidRPr="004B0487">
        <w:t>Equity intervenes only where the common law rules disregard an important circumstance, but otherwise follows rules of common law or statute.</w:t>
      </w:r>
    </w:p>
    <w:p w:rsidR="004B0487" w:rsidRPr="004B0487" w:rsidRDefault="004B0487" w:rsidP="004B0487">
      <w:r w:rsidRPr="004B0487">
        <w:rPr>
          <w:b/>
          <w:bCs/>
        </w:rPr>
        <w:t>Stack v Dowden [2007]</w:t>
      </w:r>
      <w:r w:rsidRPr="004B0487">
        <w:t xml:space="preserve"> – Cl</w:t>
      </w:r>
      <w:r>
        <w:t xml:space="preserve">aimant </w:t>
      </w:r>
      <w:r w:rsidRPr="004B0487">
        <w:t>and D</w:t>
      </w:r>
      <w:r>
        <w:t xml:space="preserve">efendant </w:t>
      </w:r>
      <w:r w:rsidRPr="004B0487">
        <w:t>were joint tenants of their family home (both names were on the legal title) but there was no express declaration of their beneficial shares. Their relationship ended and the Cl</w:t>
      </w:r>
      <w:r>
        <w:t xml:space="preserve">aimant </w:t>
      </w:r>
      <w:r w:rsidRPr="004B0487">
        <w:t xml:space="preserve">argued </w:t>
      </w:r>
      <w:r>
        <w:t xml:space="preserve">that </w:t>
      </w:r>
      <w:r w:rsidRPr="004B0487">
        <w:t>she was entitled to more than half of the proceeds of sale because she had contributed more to its purchase.  The H</w:t>
      </w:r>
      <w:r>
        <w:t xml:space="preserve">ouse </w:t>
      </w:r>
      <w:r w:rsidRPr="004B0487">
        <w:t>of</w:t>
      </w:r>
      <w:r>
        <w:t xml:space="preserve"> </w:t>
      </w:r>
      <w:r w:rsidRPr="004B0487">
        <w:t>L</w:t>
      </w:r>
      <w:r>
        <w:t>ords</w:t>
      </w:r>
      <w:r w:rsidRPr="004B0487">
        <w:t xml:space="preserve"> stated that, based on this maxim, the starting point must be the legal title to the property.  The onus lies with the person seeking to show that the beneficial ownership is different from the legal ownership.</w:t>
      </w:r>
    </w:p>
    <w:p w:rsidR="004B0487" w:rsidRDefault="004B0487" w:rsidP="004B0487">
      <w:r w:rsidRPr="004B0487">
        <w:t>This is an important case.</w:t>
      </w:r>
    </w:p>
    <w:p w:rsidR="009B3B5F" w:rsidRDefault="009B3B5F" w:rsidP="004B0487"/>
    <w:p w:rsidR="009B3B5F" w:rsidRDefault="009B3B5F" w:rsidP="004B0487"/>
    <w:p w:rsidR="009B3B5F" w:rsidRDefault="009B3B5F" w:rsidP="004B0487">
      <w:pPr>
        <w:rPr>
          <w:b/>
          <w:bCs/>
          <w:i/>
          <w:iCs/>
        </w:rPr>
      </w:pPr>
      <w:r>
        <w:rPr>
          <w:b/>
          <w:bCs/>
          <w:i/>
          <w:iCs/>
        </w:rPr>
        <w:t>He who comes to Equity must come with clean hands</w:t>
      </w:r>
    </w:p>
    <w:p w:rsidR="009B3B5F" w:rsidRDefault="009B3B5F" w:rsidP="004B0487">
      <w:pPr>
        <w:rPr>
          <w:b/>
          <w:bCs/>
          <w:i/>
          <w:iCs/>
        </w:rPr>
      </w:pPr>
    </w:p>
    <w:p w:rsidR="009B3B5F" w:rsidRDefault="009B3B5F" w:rsidP="009B3B5F">
      <w:r w:rsidRPr="009B3B5F">
        <w:t>Equitable remedies are discretionary.  If a Cl</w:t>
      </w:r>
      <w:r>
        <w:t>aimant</w:t>
      </w:r>
      <w:r w:rsidRPr="009B3B5F">
        <w:t xml:space="preserve"> comes to equity seeking a remedy but they have not acted conscionably, the remedy may be refused.</w:t>
      </w:r>
    </w:p>
    <w:p w:rsidR="009B3B5F" w:rsidRPr="009B3B5F" w:rsidRDefault="009B3B5F" w:rsidP="009B3B5F"/>
    <w:p w:rsidR="009B3B5F" w:rsidRPr="009B3B5F" w:rsidRDefault="009B3B5F" w:rsidP="009B3B5F">
      <w:r w:rsidRPr="009B3B5F">
        <w:rPr>
          <w:b/>
          <w:bCs/>
        </w:rPr>
        <w:t>Lee v Haley [1869]</w:t>
      </w:r>
      <w:r w:rsidRPr="009B3B5F">
        <w:t xml:space="preserve"> – coal merchants sought an injunction protecting their </w:t>
      </w:r>
      <w:proofErr w:type="gramStart"/>
      <w:r w:rsidRPr="009B3B5F">
        <w:t>business</w:t>
      </w:r>
      <w:proofErr w:type="gramEnd"/>
      <w:r w:rsidRPr="009B3B5F">
        <w:t xml:space="preserve"> but this was refused because the business had acted dishonestly with customers getting less coal than they had ordered.</w:t>
      </w:r>
    </w:p>
    <w:p w:rsidR="009B3B5F" w:rsidRDefault="009B3B5F" w:rsidP="009B3B5F">
      <w:r w:rsidRPr="009B3B5F">
        <w:t>Note that this principle does not always result in a remedy being denied to the less-than-honest Cl</w:t>
      </w:r>
      <w:r>
        <w:t>aimant.</w:t>
      </w:r>
      <w:r w:rsidRPr="009B3B5F">
        <w:t xml:space="preserve">  The court considers the circumstances of the case.</w:t>
      </w:r>
    </w:p>
    <w:p w:rsidR="009B3B5F" w:rsidRDefault="009B3B5F" w:rsidP="009B3B5F"/>
    <w:p w:rsidR="009B3B5F" w:rsidRPr="009B3B5F" w:rsidRDefault="009B3B5F" w:rsidP="009B3B5F">
      <w:pPr>
        <w:numPr>
          <w:ilvl w:val="0"/>
          <w:numId w:val="3"/>
        </w:numPr>
      </w:pPr>
      <w:r w:rsidRPr="009B3B5F">
        <w:rPr>
          <w:b/>
          <w:bCs/>
          <w:i/>
          <w:iCs/>
        </w:rPr>
        <w:t xml:space="preserve">Tinsley v Milligan [1993] – </w:t>
      </w:r>
      <w:r w:rsidRPr="009B3B5F">
        <w:t>a Cl</w:t>
      </w:r>
      <w:r>
        <w:t>aimant</w:t>
      </w:r>
      <w:r w:rsidRPr="009B3B5F">
        <w:t xml:space="preserve"> was permitted to recover property that had been transferred for an illegal purpose (benefit fraud).  This was because it was not necessary to rely on evidence of the illegal purpose to recover the property.  The same conclusion was reached in </w:t>
      </w:r>
      <w:proofErr w:type="spellStart"/>
      <w:r w:rsidRPr="009B3B5F">
        <w:rPr>
          <w:b/>
          <w:bCs/>
          <w:i/>
          <w:iCs/>
        </w:rPr>
        <w:t>Lowson</w:t>
      </w:r>
      <w:proofErr w:type="spellEnd"/>
      <w:r w:rsidRPr="009B3B5F">
        <w:rPr>
          <w:b/>
          <w:bCs/>
          <w:i/>
          <w:iCs/>
        </w:rPr>
        <w:t xml:space="preserve"> v Coombes [1999].</w:t>
      </w:r>
    </w:p>
    <w:p w:rsidR="009B3B5F" w:rsidRDefault="009B3B5F" w:rsidP="009B3B5F">
      <w:pPr>
        <w:numPr>
          <w:ilvl w:val="0"/>
          <w:numId w:val="3"/>
        </w:numPr>
      </w:pPr>
      <w:r w:rsidRPr="009B3B5F">
        <w:rPr>
          <w:b/>
          <w:bCs/>
          <w:i/>
          <w:iCs/>
        </w:rPr>
        <w:t xml:space="preserve">Tribe v Tribe [1996] – </w:t>
      </w:r>
      <w:r w:rsidRPr="009B3B5F">
        <w:t>here the Cl</w:t>
      </w:r>
      <w:r>
        <w:t xml:space="preserve">aimant </w:t>
      </w:r>
      <w:r w:rsidRPr="009B3B5F">
        <w:t>had to reveal his illegal motive to establish his claim but because that illegal purpose was not pursued and he was trying to withdraw from the transaction, the remedy he sought was allowed.</w:t>
      </w:r>
    </w:p>
    <w:p w:rsidR="009B3B5F" w:rsidRDefault="009B3B5F" w:rsidP="009B3B5F">
      <w:pPr>
        <w:numPr>
          <w:ilvl w:val="0"/>
          <w:numId w:val="3"/>
        </w:numPr>
      </w:pPr>
      <w:r w:rsidRPr="009B3B5F">
        <w:rPr>
          <w:b/>
          <w:bCs/>
          <w:i/>
          <w:iCs/>
        </w:rPr>
        <w:t xml:space="preserve">James v Williams [2000] </w:t>
      </w:r>
      <w:r w:rsidRPr="009B3B5F">
        <w:t>– Cl</w:t>
      </w:r>
      <w:r>
        <w:t xml:space="preserve">aimant </w:t>
      </w:r>
      <w:r w:rsidRPr="009B3B5F">
        <w:t xml:space="preserve">had lied to the court about the date of the marriage.  </w:t>
      </w:r>
      <w:proofErr w:type="spellStart"/>
      <w:r w:rsidRPr="009B3B5F">
        <w:t>CofA</w:t>
      </w:r>
      <w:proofErr w:type="spellEnd"/>
      <w:r w:rsidRPr="009B3B5F">
        <w:t xml:space="preserve"> held that this would not necessarily deprive her of an equitable remedy.  It depended on the nature of the lie and her motive for lying.  On the facts, the lie had not been material to the decision of the court.</w:t>
      </w:r>
    </w:p>
    <w:p w:rsidR="009B3B5F" w:rsidRDefault="009B3B5F" w:rsidP="009B3B5F"/>
    <w:p w:rsidR="009B3B5F" w:rsidRDefault="009B3B5F" w:rsidP="009B3B5F"/>
    <w:p w:rsidR="009B3B5F" w:rsidRDefault="009B3B5F" w:rsidP="009B3B5F">
      <w:pPr>
        <w:rPr>
          <w:b/>
          <w:bCs/>
          <w:i/>
          <w:iCs/>
        </w:rPr>
      </w:pPr>
      <w:r>
        <w:rPr>
          <w:b/>
          <w:bCs/>
          <w:i/>
          <w:iCs/>
        </w:rPr>
        <w:t>Delay defeats Equity</w:t>
      </w:r>
    </w:p>
    <w:p w:rsidR="009B3B5F" w:rsidRDefault="009B3B5F" w:rsidP="009B3B5F">
      <w:pPr>
        <w:rPr>
          <w:b/>
          <w:bCs/>
          <w:i/>
          <w:iCs/>
        </w:rPr>
      </w:pPr>
    </w:p>
    <w:p w:rsidR="009B3B5F" w:rsidRDefault="009B3B5F" w:rsidP="009B3B5F">
      <w:r w:rsidRPr="009B3B5F">
        <w:t xml:space="preserve">This maxim emphasises the discretionary nature of equity. In </w:t>
      </w:r>
      <w:r w:rsidRPr="009B3B5F">
        <w:rPr>
          <w:b/>
          <w:bCs/>
          <w:i/>
          <w:iCs/>
        </w:rPr>
        <w:t xml:space="preserve">Hughes v La </w:t>
      </w:r>
      <w:proofErr w:type="spellStart"/>
      <w:r w:rsidRPr="009B3B5F">
        <w:rPr>
          <w:b/>
          <w:bCs/>
          <w:i/>
          <w:iCs/>
        </w:rPr>
        <w:t>Baia</w:t>
      </w:r>
      <w:proofErr w:type="spellEnd"/>
      <w:r w:rsidRPr="009B3B5F">
        <w:rPr>
          <w:b/>
          <w:bCs/>
          <w:i/>
          <w:iCs/>
        </w:rPr>
        <w:t xml:space="preserve"> Ltd [2011] </w:t>
      </w:r>
      <w:r w:rsidRPr="009B3B5F">
        <w:t>the Privy Council highlighted that the delay coupled with the prejudice to the D</w:t>
      </w:r>
      <w:r>
        <w:t xml:space="preserve">efendant </w:t>
      </w:r>
      <w:r w:rsidRPr="009B3B5F">
        <w:t>may well serve as a defence in equity.  It is for the D</w:t>
      </w:r>
      <w:r>
        <w:t xml:space="preserve">efendant </w:t>
      </w:r>
      <w:r w:rsidRPr="009B3B5F">
        <w:t>to demonstrate to the court that it would be inequitable to award the Cl</w:t>
      </w:r>
      <w:r>
        <w:t>aimant</w:t>
      </w:r>
      <w:r w:rsidRPr="009B3B5F">
        <w:t xml:space="preserve"> the relief to which he is otherwise entitled.</w:t>
      </w:r>
    </w:p>
    <w:p w:rsidR="009B3B5F" w:rsidRDefault="009B3B5F" w:rsidP="009B3B5F"/>
    <w:p w:rsidR="009B3B5F" w:rsidRDefault="009B3B5F" w:rsidP="009B3B5F">
      <w:pPr>
        <w:rPr>
          <w:b/>
          <w:bCs/>
          <w:i/>
          <w:iCs/>
        </w:rPr>
      </w:pPr>
      <w:r>
        <w:rPr>
          <w:b/>
          <w:bCs/>
          <w:i/>
          <w:iCs/>
        </w:rPr>
        <w:lastRenderedPageBreak/>
        <w:t>He who seeks Equity must do Equity</w:t>
      </w:r>
    </w:p>
    <w:p w:rsidR="009B3B5F" w:rsidRDefault="009B3B5F" w:rsidP="009B3B5F">
      <w:pPr>
        <w:rPr>
          <w:b/>
          <w:bCs/>
          <w:i/>
          <w:iCs/>
        </w:rPr>
      </w:pPr>
    </w:p>
    <w:p w:rsidR="009B3B5F" w:rsidRPr="009B3B5F" w:rsidRDefault="009B3B5F" w:rsidP="009B3B5F">
      <w:r w:rsidRPr="009B3B5F">
        <w:rPr>
          <w:b/>
          <w:bCs/>
          <w:i/>
          <w:iCs/>
        </w:rPr>
        <w:t xml:space="preserve">O’Sullivan v Management Agency and Music Ltd [1985] – </w:t>
      </w:r>
      <w:r w:rsidRPr="009B3B5F">
        <w:t>Gilbert O’Sullivan was a relatively unknown composer of pop music.  He signed an unfavourable management agreement without independent legal advice.  Under this agreement he became successful.  Later, after the working relationship deteriorated, he bought an action against the management company, claiming that the contract was not valid because undue influence was used.  The management company accepted this but resisted an order that it paid all of the profits it had made back to O’Sullivan</w:t>
      </w:r>
      <w:r>
        <w:t xml:space="preserve">.  </w:t>
      </w:r>
      <w:r w:rsidRPr="009B3B5F">
        <w:t>Its argument was based partly on this maxim.  Without the assistance of the management company O’Sullivan would have remained poor and unknown and this should be taken into account. C</w:t>
      </w:r>
      <w:r>
        <w:t xml:space="preserve">ourt </w:t>
      </w:r>
      <w:r w:rsidRPr="009B3B5F">
        <w:t>of</w:t>
      </w:r>
      <w:r>
        <w:t xml:space="preserve"> </w:t>
      </w:r>
      <w:r w:rsidRPr="009B3B5F">
        <w:t>A</w:t>
      </w:r>
      <w:r>
        <w:t>ppeal</w:t>
      </w:r>
      <w:r w:rsidRPr="009B3B5F">
        <w:t xml:space="preserve"> agreed.  </w:t>
      </w:r>
    </w:p>
    <w:p w:rsidR="009B3B5F" w:rsidRDefault="009B3B5F" w:rsidP="009B3B5F">
      <w:r w:rsidRPr="009B3B5F">
        <w:t>It would simply be inequitable to seek to recover the whole of the profit without being prepared to allow reasonable remuneration for the services provided to him during which time his success was phenomenal.</w:t>
      </w:r>
    </w:p>
    <w:p w:rsidR="009B3B5F" w:rsidRDefault="009B3B5F" w:rsidP="009B3B5F"/>
    <w:p w:rsidR="009B3B5F" w:rsidRDefault="009B3B5F" w:rsidP="009B3B5F"/>
    <w:p w:rsidR="009B3B5F" w:rsidRDefault="009B3B5F" w:rsidP="009B3B5F">
      <w:pPr>
        <w:rPr>
          <w:b/>
          <w:bCs/>
          <w:i/>
          <w:iCs/>
        </w:rPr>
      </w:pPr>
      <w:r>
        <w:rPr>
          <w:b/>
          <w:bCs/>
          <w:i/>
          <w:iCs/>
        </w:rPr>
        <w:t>Equity is Equality</w:t>
      </w:r>
    </w:p>
    <w:p w:rsidR="009B3B5F" w:rsidRDefault="009B3B5F" w:rsidP="009B3B5F">
      <w:pPr>
        <w:rPr>
          <w:b/>
          <w:bCs/>
          <w:i/>
          <w:iCs/>
        </w:rPr>
      </w:pPr>
    </w:p>
    <w:p w:rsidR="009B3B5F" w:rsidRPr="009B3B5F" w:rsidRDefault="009B3B5F" w:rsidP="009B3B5F">
      <w:r w:rsidRPr="009B3B5F">
        <w:t>This maxim has very general application and should perhaps be used as a last resort only where it is sensible and fair to do so.</w:t>
      </w:r>
    </w:p>
    <w:p w:rsidR="009B3B5F" w:rsidRPr="009B3B5F" w:rsidRDefault="009B3B5F" w:rsidP="009B3B5F">
      <w:r w:rsidRPr="009B3B5F">
        <w:t>For example, in the case of beneficial shares under a fixed trust where the shares have not been agreed in advance, equity will presume that each beneficiary will take an equal share.</w:t>
      </w:r>
    </w:p>
    <w:p w:rsidR="009B3B5F" w:rsidRPr="009B3B5F" w:rsidRDefault="009B3B5F" w:rsidP="009B3B5F">
      <w:pPr>
        <w:rPr>
          <w:b/>
          <w:bCs/>
          <w:i/>
          <w:iCs/>
        </w:rPr>
      </w:pPr>
      <w:proofErr w:type="spellStart"/>
      <w:r w:rsidRPr="009B3B5F">
        <w:rPr>
          <w:b/>
          <w:bCs/>
          <w:i/>
          <w:iCs/>
        </w:rPr>
        <w:t>Burrough</w:t>
      </w:r>
      <w:proofErr w:type="spellEnd"/>
      <w:r w:rsidRPr="009B3B5F">
        <w:rPr>
          <w:b/>
          <w:bCs/>
          <w:i/>
          <w:iCs/>
        </w:rPr>
        <w:t xml:space="preserve"> v </w:t>
      </w:r>
      <w:proofErr w:type="spellStart"/>
      <w:r w:rsidRPr="009B3B5F">
        <w:rPr>
          <w:b/>
          <w:bCs/>
          <w:i/>
          <w:iCs/>
        </w:rPr>
        <w:t>Philcox</w:t>
      </w:r>
      <w:proofErr w:type="spellEnd"/>
      <w:r w:rsidRPr="009B3B5F">
        <w:rPr>
          <w:b/>
          <w:bCs/>
          <w:i/>
          <w:iCs/>
        </w:rPr>
        <w:t xml:space="preserve"> [1840]</w:t>
      </w:r>
    </w:p>
    <w:p w:rsidR="009B3B5F" w:rsidRDefault="009B3B5F" w:rsidP="009B3B5F">
      <w:pPr>
        <w:rPr>
          <w:b/>
          <w:bCs/>
          <w:i/>
          <w:iCs/>
        </w:rPr>
      </w:pPr>
    </w:p>
    <w:p w:rsidR="009B3B5F" w:rsidRDefault="009B3B5F" w:rsidP="009B3B5F">
      <w:pPr>
        <w:rPr>
          <w:b/>
          <w:bCs/>
          <w:i/>
          <w:iCs/>
        </w:rPr>
      </w:pPr>
    </w:p>
    <w:p w:rsidR="009B3B5F" w:rsidRDefault="009B3B5F" w:rsidP="009B3B5F">
      <w:pPr>
        <w:rPr>
          <w:b/>
          <w:bCs/>
          <w:i/>
          <w:iCs/>
        </w:rPr>
      </w:pPr>
      <w:r>
        <w:rPr>
          <w:b/>
          <w:bCs/>
          <w:i/>
          <w:iCs/>
        </w:rPr>
        <w:t>Equity sees as done that which ought to be done</w:t>
      </w:r>
    </w:p>
    <w:p w:rsidR="009B3B5F" w:rsidRDefault="009B3B5F" w:rsidP="009B3B5F">
      <w:pPr>
        <w:rPr>
          <w:b/>
          <w:bCs/>
          <w:i/>
          <w:iCs/>
        </w:rPr>
      </w:pPr>
    </w:p>
    <w:p w:rsidR="009B3B5F" w:rsidRPr="009B3B5F" w:rsidRDefault="009B3B5F" w:rsidP="009B3B5F">
      <w:r w:rsidRPr="009B3B5F">
        <w:t xml:space="preserve">In the case of a specifically enforceable obligation where the court will compel performance in the case of non-compliance, such as a contract to grant a legal lease, equity regards that </w:t>
      </w:r>
      <w:proofErr w:type="spellStart"/>
      <w:r w:rsidRPr="009B3B5F">
        <w:t>as</w:t>
      </w:r>
      <w:proofErr w:type="spellEnd"/>
      <w:r w:rsidRPr="009B3B5F">
        <w:t xml:space="preserve"> done that ought to be done and regards the parties as already in the position they would be in following the performance of the obligation, in other words as if the lease had been granted.</w:t>
      </w:r>
    </w:p>
    <w:p w:rsidR="009B3B5F" w:rsidRPr="009B3B5F" w:rsidRDefault="009B3B5F" w:rsidP="009B3B5F">
      <w:pPr>
        <w:rPr>
          <w:b/>
          <w:bCs/>
          <w:i/>
          <w:iCs/>
        </w:rPr>
      </w:pPr>
      <w:r w:rsidRPr="009B3B5F">
        <w:rPr>
          <w:b/>
          <w:bCs/>
          <w:i/>
          <w:iCs/>
        </w:rPr>
        <w:t>Walsh v Lonsdale [1882]</w:t>
      </w:r>
    </w:p>
    <w:p w:rsidR="009B3B5F" w:rsidRDefault="009B3B5F" w:rsidP="009B3B5F">
      <w:pPr>
        <w:rPr>
          <w:b/>
          <w:bCs/>
          <w:i/>
          <w:iCs/>
        </w:rPr>
      </w:pPr>
    </w:p>
    <w:p w:rsidR="009B3B5F" w:rsidRDefault="009B3B5F" w:rsidP="009B3B5F">
      <w:pPr>
        <w:rPr>
          <w:b/>
          <w:bCs/>
          <w:i/>
          <w:iCs/>
        </w:rPr>
      </w:pPr>
    </w:p>
    <w:p w:rsidR="009B3B5F" w:rsidRDefault="009B3B5F" w:rsidP="009B3B5F">
      <w:pPr>
        <w:rPr>
          <w:b/>
          <w:bCs/>
          <w:i/>
          <w:iCs/>
        </w:rPr>
      </w:pPr>
      <w:r>
        <w:rPr>
          <w:b/>
          <w:bCs/>
          <w:i/>
          <w:iCs/>
        </w:rPr>
        <w:t>Equity Imputes an intention to fulfil an obligation</w:t>
      </w:r>
    </w:p>
    <w:p w:rsidR="009B3B5F" w:rsidRDefault="009B3B5F" w:rsidP="009B3B5F">
      <w:pPr>
        <w:rPr>
          <w:b/>
          <w:bCs/>
          <w:i/>
          <w:iCs/>
        </w:rPr>
      </w:pPr>
    </w:p>
    <w:p w:rsidR="009B3B5F" w:rsidRPr="009B3B5F" w:rsidRDefault="009B3B5F" w:rsidP="009B3B5F">
      <w:r w:rsidRPr="009B3B5F">
        <w:t xml:space="preserve">It is important to note that equity imputes an intention to fulfil and </w:t>
      </w:r>
      <w:r w:rsidRPr="009B3B5F">
        <w:rPr>
          <w:i/>
          <w:iCs/>
        </w:rPr>
        <w:t xml:space="preserve">legal </w:t>
      </w:r>
      <w:r w:rsidRPr="009B3B5F">
        <w:t xml:space="preserve">but not a </w:t>
      </w:r>
      <w:r w:rsidRPr="009B3B5F">
        <w:rPr>
          <w:i/>
          <w:iCs/>
        </w:rPr>
        <w:t xml:space="preserve">moral </w:t>
      </w:r>
      <w:r w:rsidRPr="009B3B5F">
        <w:t>obligation.</w:t>
      </w:r>
    </w:p>
    <w:p w:rsidR="009B3B5F" w:rsidRDefault="009B3B5F" w:rsidP="009B3B5F"/>
    <w:p w:rsidR="00372D5C" w:rsidRDefault="00372D5C" w:rsidP="009B3B5F"/>
    <w:p w:rsidR="009B3B5F" w:rsidRDefault="009B3B5F" w:rsidP="009B3B5F">
      <w:pPr>
        <w:rPr>
          <w:b/>
          <w:bCs/>
          <w:i/>
          <w:iCs/>
        </w:rPr>
      </w:pPr>
      <w:r>
        <w:rPr>
          <w:b/>
          <w:bCs/>
          <w:i/>
          <w:iCs/>
        </w:rPr>
        <w:t>Where the Equities are equal the first in time prevails</w:t>
      </w:r>
    </w:p>
    <w:p w:rsidR="009B3B5F" w:rsidRDefault="009B3B5F" w:rsidP="009B3B5F">
      <w:pPr>
        <w:rPr>
          <w:b/>
          <w:bCs/>
          <w:i/>
          <w:iCs/>
        </w:rPr>
      </w:pPr>
    </w:p>
    <w:p w:rsidR="00372D5C" w:rsidRPr="00372D5C" w:rsidRDefault="00372D5C" w:rsidP="00372D5C">
      <w:pPr>
        <w:rPr>
          <w:i/>
          <w:iCs/>
        </w:rPr>
      </w:pPr>
      <w:r w:rsidRPr="00372D5C">
        <w:rPr>
          <w:i/>
          <w:iCs/>
        </w:rPr>
        <w:t xml:space="preserve">Qui prior </w:t>
      </w:r>
      <w:proofErr w:type="spellStart"/>
      <w:r w:rsidRPr="00372D5C">
        <w:rPr>
          <w:i/>
          <w:iCs/>
        </w:rPr>
        <w:t>est</w:t>
      </w:r>
      <w:proofErr w:type="spellEnd"/>
      <w:r w:rsidRPr="00372D5C">
        <w:rPr>
          <w:i/>
          <w:iCs/>
        </w:rPr>
        <w:t xml:space="preserve"> tempore </w:t>
      </w:r>
      <w:proofErr w:type="spellStart"/>
      <w:r w:rsidRPr="00372D5C">
        <w:rPr>
          <w:i/>
          <w:iCs/>
        </w:rPr>
        <w:t>potior</w:t>
      </w:r>
      <w:proofErr w:type="spellEnd"/>
      <w:r w:rsidRPr="00372D5C">
        <w:rPr>
          <w:i/>
          <w:iCs/>
        </w:rPr>
        <w:t xml:space="preserve"> </w:t>
      </w:r>
      <w:proofErr w:type="spellStart"/>
      <w:r w:rsidRPr="00372D5C">
        <w:rPr>
          <w:i/>
          <w:iCs/>
        </w:rPr>
        <w:t>est</w:t>
      </w:r>
      <w:proofErr w:type="spellEnd"/>
      <w:r w:rsidRPr="00372D5C">
        <w:rPr>
          <w:i/>
          <w:iCs/>
        </w:rPr>
        <w:t xml:space="preserve"> jure</w:t>
      </w:r>
    </w:p>
    <w:p w:rsidR="00372D5C" w:rsidRDefault="00372D5C" w:rsidP="00372D5C">
      <w:r w:rsidRPr="00372D5C">
        <w:t>This maxim is sometimes paraphrased as the first in time is the first in right.</w:t>
      </w:r>
    </w:p>
    <w:p w:rsidR="00372D5C" w:rsidRDefault="00372D5C" w:rsidP="00372D5C"/>
    <w:p w:rsidR="00372D5C" w:rsidRDefault="00372D5C" w:rsidP="00372D5C">
      <w:pPr>
        <w:rPr>
          <w:b/>
          <w:bCs/>
          <w:i/>
          <w:iCs/>
        </w:rPr>
      </w:pPr>
      <w:r>
        <w:rPr>
          <w:b/>
          <w:bCs/>
          <w:i/>
          <w:iCs/>
        </w:rPr>
        <w:t>Where the Equities are equal the law prevails</w:t>
      </w:r>
    </w:p>
    <w:p w:rsidR="00372D5C" w:rsidRPr="00372D5C" w:rsidRDefault="00372D5C" w:rsidP="00372D5C">
      <w:r w:rsidRPr="00372D5C">
        <w:lastRenderedPageBreak/>
        <w:t>As with the previous maxim, this is more like a rule than a principle and operates in the context of determining priority between competing equitable claims.</w:t>
      </w:r>
    </w:p>
    <w:p w:rsidR="00372D5C" w:rsidRDefault="00372D5C" w:rsidP="00372D5C">
      <w:r w:rsidRPr="00372D5C">
        <w:t>One exception to this maxim is the rule in Dearle v Hall (1828) which says that priority between competing assignees of a debt is awarded to the first one to give notice to the debtor.  It matters not that 1 of the competitors has a legal interest and the other merely an equitable 1.</w:t>
      </w:r>
    </w:p>
    <w:p w:rsidR="00372D5C" w:rsidRDefault="00372D5C" w:rsidP="00372D5C"/>
    <w:p w:rsidR="00372D5C" w:rsidRDefault="00372D5C" w:rsidP="00372D5C"/>
    <w:p w:rsidR="00372D5C" w:rsidRDefault="00372D5C" w:rsidP="00372D5C">
      <w:pPr>
        <w:rPr>
          <w:b/>
          <w:bCs/>
          <w:i/>
          <w:iCs/>
        </w:rPr>
      </w:pPr>
      <w:r>
        <w:rPr>
          <w:b/>
          <w:bCs/>
          <w:i/>
          <w:iCs/>
        </w:rPr>
        <w:t>Where Equity and Law Conflict Equity shall prevail</w:t>
      </w:r>
    </w:p>
    <w:p w:rsidR="00372D5C" w:rsidRDefault="00372D5C" w:rsidP="00372D5C">
      <w:pPr>
        <w:rPr>
          <w:b/>
          <w:bCs/>
          <w:i/>
          <w:iCs/>
        </w:rPr>
      </w:pPr>
    </w:p>
    <w:p w:rsidR="00372D5C" w:rsidRDefault="00372D5C" w:rsidP="00372D5C">
      <w:r w:rsidRPr="00372D5C">
        <w:t>Established as a result of a 1616 decision of King James I, this maxim is now contained in s.49 of the Senior Courts Act 1981, which provides that,</w:t>
      </w:r>
    </w:p>
    <w:p w:rsidR="00372D5C" w:rsidRPr="00372D5C" w:rsidRDefault="00372D5C" w:rsidP="00372D5C"/>
    <w:p w:rsidR="00372D5C" w:rsidRDefault="00372D5C" w:rsidP="00372D5C">
      <w:r w:rsidRPr="00372D5C">
        <w:t>‘every Court Exercising jurisdiction in England and Wales in any civil cause or matter shall continue to administer law and equity on the basis that, wherever there is any conflict or variance between the rules of equity and the rules of common law with reference to the same matter, the rules of equity shall prevail.’</w:t>
      </w:r>
    </w:p>
    <w:p w:rsidR="00372D5C" w:rsidRDefault="00372D5C" w:rsidP="00372D5C"/>
    <w:p w:rsidR="00372D5C" w:rsidRDefault="00372D5C" w:rsidP="00372D5C"/>
    <w:p w:rsidR="00372D5C" w:rsidRDefault="00372D5C" w:rsidP="00372D5C">
      <w:pPr>
        <w:rPr>
          <w:b/>
          <w:bCs/>
          <w:i/>
          <w:iCs/>
        </w:rPr>
      </w:pPr>
      <w:r>
        <w:rPr>
          <w:b/>
          <w:bCs/>
          <w:i/>
          <w:iCs/>
        </w:rPr>
        <w:t>Equity looks to the substance and not the form</w:t>
      </w:r>
    </w:p>
    <w:p w:rsidR="00372D5C" w:rsidRDefault="00372D5C" w:rsidP="00372D5C">
      <w:pPr>
        <w:rPr>
          <w:b/>
          <w:bCs/>
          <w:i/>
          <w:iCs/>
        </w:rPr>
      </w:pPr>
    </w:p>
    <w:p w:rsidR="00372D5C" w:rsidRPr="00372D5C" w:rsidRDefault="00372D5C" w:rsidP="00372D5C">
      <w:r w:rsidRPr="00372D5C">
        <w:rPr>
          <w:b/>
          <w:bCs/>
          <w:i/>
          <w:iCs/>
        </w:rPr>
        <w:t xml:space="preserve">Paul v Constance [1977] </w:t>
      </w:r>
      <w:r w:rsidRPr="00372D5C">
        <w:t>everyday conversation between the parties was used as evidence of the intention to create a trust.  The parties did not know what a trust was, but the manner in which they attended to manage their financial affairs amounted to a trust.</w:t>
      </w:r>
    </w:p>
    <w:p w:rsidR="00372D5C" w:rsidRPr="00372D5C" w:rsidRDefault="00372D5C" w:rsidP="00372D5C">
      <w:r w:rsidRPr="00372D5C">
        <w:t>The language used was not important but the intention behind it.</w:t>
      </w:r>
    </w:p>
    <w:p w:rsidR="00372D5C" w:rsidRDefault="00372D5C" w:rsidP="00372D5C"/>
    <w:p w:rsidR="00372D5C" w:rsidRDefault="00372D5C" w:rsidP="00372D5C"/>
    <w:p w:rsidR="00372D5C" w:rsidRDefault="00372D5C" w:rsidP="00372D5C">
      <w:pPr>
        <w:rPr>
          <w:b/>
          <w:bCs/>
          <w:i/>
          <w:iCs/>
        </w:rPr>
      </w:pPr>
      <w:r w:rsidRPr="00372D5C">
        <w:rPr>
          <w:b/>
          <w:bCs/>
          <w:i/>
          <w:iCs/>
        </w:rPr>
        <w:t>Equity will not assist a volunteer</w:t>
      </w:r>
    </w:p>
    <w:p w:rsidR="00372D5C" w:rsidRDefault="00372D5C" w:rsidP="00372D5C">
      <w:pPr>
        <w:rPr>
          <w:b/>
          <w:bCs/>
          <w:i/>
          <w:iCs/>
        </w:rPr>
      </w:pPr>
    </w:p>
    <w:p w:rsidR="00372D5C" w:rsidRPr="00372D5C" w:rsidRDefault="00372D5C" w:rsidP="00372D5C">
      <w:r w:rsidRPr="00372D5C">
        <w:t xml:space="preserve">A volunteer in this context is someone who has not given value for what they have received, for example the recipient of a gift.  </w:t>
      </w:r>
    </w:p>
    <w:p w:rsidR="00372D5C" w:rsidRDefault="00372D5C" w:rsidP="00372D5C">
      <w:r w:rsidRPr="00372D5C">
        <w:t>This maxim plays a part in the rules about when a trust i</w:t>
      </w:r>
      <w:r>
        <w:t xml:space="preserve">s </w:t>
      </w:r>
      <w:r w:rsidRPr="00372D5C">
        <w:t xml:space="preserve">“fully constituted” and therefore enforceable.  Equity is quite </w:t>
      </w:r>
      <w:proofErr w:type="gramStart"/>
      <w:r w:rsidRPr="00372D5C">
        <w:t>strict, and</w:t>
      </w:r>
      <w:proofErr w:type="gramEnd"/>
      <w:r w:rsidRPr="00372D5C">
        <w:t xml:space="preserve"> will not normally enforce a trust if the process of transferring legal ownership to the trustee is incomplete.</w:t>
      </w:r>
    </w:p>
    <w:p w:rsidR="00372D5C" w:rsidRDefault="00372D5C" w:rsidP="00372D5C"/>
    <w:p w:rsidR="00372D5C" w:rsidRDefault="00372D5C" w:rsidP="00372D5C"/>
    <w:p w:rsidR="00372D5C" w:rsidRDefault="00372D5C" w:rsidP="00372D5C">
      <w:pPr>
        <w:rPr>
          <w:b/>
          <w:bCs/>
          <w:i/>
          <w:iCs/>
        </w:rPr>
      </w:pPr>
      <w:r>
        <w:rPr>
          <w:b/>
          <w:bCs/>
          <w:i/>
          <w:iCs/>
        </w:rPr>
        <w:t>There is no Equity to perfect an imperfect gift</w:t>
      </w:r>
    </w:p>
    <w:p w:rsidR="00372D5C" w:rsidRDefault="00372D5C" w:rsidP="00372D5C">
      <w:pPr>
        <w:rPr>
          <w:b/>
          <w:bCs/>
          <w:i/>
          <w:iCs/>
        </w:rPr>
      </w:pPr>
    </w:p>
    <w:p w:rsidR="00372D5C" w:rsidRDefault="00372D5C" w:rsidP="00372D5C">
      <w:r w:rsidRPr="00372D5C">
        <w:t>To do with the constitution of trusts</w:t>
      </w:r>
      <w:r>
        <w:t>.</w:t>
      </w:r>
    </w:p>
    <w:p w:rsidR="00372D5C" w:rsidRDefault="00372D5C" w:rsidP="00372D5C"/>
    <w:p w:rsidR="00372D5C" w:rsidRDefault="00372D5C" w:rsidP="00372D5C"/>
    <w:p w:rsidR="00372D5C" w:rsidRDefault="00372D5C" w:rsidP="00372D5C">
      <w:pPr>
        <w:rPr>
          <w:b/>
          <w:bCs/>
        </w:rPr>
      </w:pPr>
      <w:r>
        <w:rPr>
          <w:b/>
          <w:bCs/>
        </w:rPr>
        <w:t>Equity abhors a vacuum in ownership</w:t>
      </w:r>
    </w:p>
    <w:p w:rsidR="00372D5C" w:rsidRDefault="00372D5C" w:rsidP="00372D5C">
      <w:pPr>
        <w:rPr>
          <w:b/>
          <w:bCs/>
        </w:rPr>
      </w:pPr>
    </w:p>
    <w:p w:rsidR="00372D5C" w:rsidRDefault="00372D5C" w:rsidP="00372D5C">
      <w:proofErr w:type="gramStart"/>
      <w:r w:rsidRPr="00372D5C">
        <w:t>Again</w:t>
      </w:r>
      <w:proofErr w:type="gramEnd"/>
      <w:r w:rsidRPr="00372D5C">
        <w:t xml:space="preserve"> to do with the con</w:t>
      </w:r>
      <w:r>
        <w:t>s</w:t>
      </w:r>
      <w:r w:rsidRPr="00372D5C">
        <w:t>truction of trusts.</w:t>
      </w:r>
    </w:p>
    <w:p w:rsidR="00372D5C" w:rsidRDefault="00372D5C" w:rsidP="00372D5C"/>
    <w:p w:rsidR="00372D5C" w:rsidRDefault="00372D5C" w:rsidP="00372D5C"/>
    <w:p w:rsidR="00372D5C" w:rsidRDefault="00372D5C" w:rsidP="00372D5C"/>
    <w:p w:rsidR="00372D5C" w:rsidRDefault="00372D5C" w:rsidP="00372D5C">
      <w:pPr>
        <w:rPr>
          <w:b/>
          <w:bCs/>
          <w:sz w:val="28"/>
          <w:szCs w:val="28"/>
          <w:u w:val="single"/>
        </w:rPr>
      </w:pPr>
      <w:r>
        <w:rPr>
          <w:b/>
          <w:bCs/>
          <w:sz w:val="28"/>
          <w:szCs w:val="28"/>
          <w:u w:val="single"/>
        </w:rPr>
        <w:lastRenderedPageBreak/>
        <w:t>A Brief Introduction to Equitable Remedies</w:t>
      </w:r>
    </w:p>
    <w:p w:rsidR="00372D5C" w:rsidRDefault="00372D5C" w:rsidP="00372D5C">
      <w:pPr>
        <w:rPr>
          <w:b/>
          <w:bCs/>
          <w:sz w:val="28"/>
          <w:szCs w:val="28"/>
          <w:u w:val="single"/>
        </w:rPr>
      </w:pPr>
    </w:p>
    <w:p w:rsidR="00372D5C" w:rsidRDefault="00372D5C" w:rsidP="00372D5C">
      <w:r w:rsidRPr="00372D5C">
        <w:t>Equity offers a range of remedies which supplement the common law remedy of damages.  Unlike damages, which is a remedy available as of right, equitable remedies are discretionary.  As equity supplements common law, these remedies are only available if the award of damages would not be an adequate remedy.</w:t>
      </w:r>
    </w:p>
    <w:p w:rsidR="00372D5C" w:rsidRPr="00372D5C" w:rsidRDefault="00372D5C" w:rsidP="00372D5C"/>
    <w:p w:rsidR="00372D5C" w:rsidRPr="00372D5C" w:rsidRDefault="00372D5C" w:rsidP="00372D5C">
      <w:r w:rsidRPr="00372D5C">
        <w:t xml:space="preserve">We will now look at the main equitable </w:t>
      </w:r>
      <w:proofErr w:type="gramStart"/>
      <w:r w:rsidRPr="00372D5C">
        <w:t>remedies:-</w:t>
      </w:r>
      <w:proofErr w:type="gramEnd"/>
    </w:p>
    <w:p w:rsidR="00372D5C" w:rsidRDefault="00372D5C" w:rsidP="00372D5C"/>
    <w:p w:rsidR="00372D5C" w:rsidRPr="00372D5C" w:rsidRDefault="00372D5C" w:rsidP="00372D5C">
      <w:pPr>
        <w:numPr>
          <w:ilvl w:val="0"/>
          <w:numId w:val="4"/>
        </w:numPr>
      </w:pPr>
      <w:r w:rsidRPr="00372D5C">
        <w:t>Specific performance – an order to the party to a contract to perform his obligations under the contract.</w:t>
      </w:r>
    </w:p>
    <w:p w:rsidR="00372D5C" w:rsidRPr="00372D5C" w:rsidRDefault="00372D5C" w:rsidP="00372D5C">
      <w:pPr>
        <w:numPr>
          <w:ilvl w:val="0"/>
          <w:numId w:val="4"/>
        </w:numPr>
      </w:pPr>
      <w:r w:rsidRPr="00372D5C">
        <w:t>Injunction – an order directing a person or persons to refrain from doing a particular act or thing (or, very occasionally, an order requiring them to do something).</w:t>
      </w:r>
    </w:p>
    <w:p w:rsidR="00372D5C" w:rsidRPr="00372D5C" w:rsidRDefault="00372D5C" w:rsidP="00372D5C">
      <w:pPr>
        <w:numPr>
          <w:ilvl w:val="0"/>
          <w:numId w:val="4"/>
        </w:numPr>
      </w:pPr>
      <w:r w:rsidRPr="00372D5C">
        <w:t>Rescission – the setting aside of a contract</w:t>
      </w:r>
    </w:p>
    <w:p w:rsidR="00372D5C" w:rsidRPr="00372D5C" w:rsidRDefault="00372D5C" w:rsidP="00372D5C">
      <w:pPr>
        <w:numPr>
          <w:ilvl w:val="0"/>
          <w:numId w:val="4"/>
        </w:numPr>
      </w:pPr>
      <w:r w:rsidRPr="00372D5C">
        <w:t>Rectification – the correction of a contract where the writing does not properly represent what the parties to the contract had agreed.</w:t>
      </w:r>
    </w:p>
    <w:p w:rsidR="00372D5C" w:rsidRPr="00372D5C" w:rsidRDefault="00372D5C" w:rsidP="00372D5C">
      <w:pPr>
        <w:numPr>
          <w:ilvl w:val="0"/>
          <w:numId w:val="4"/>
        </w:numPr>
      </w:pPr>
      <w:r w:rsidRPr="00372D5C">
        <w:t>Account – the process whereby the sums due from one party to another resulting from transactions between them are investigated</w:t>
      </w:r>
    </w:p>
    <w:p w:rsidR="00372D5C" w:rsidRPr="00372D5C" w:rsidRDefault="00372D5C" w:rsidP="00372D5C">
      <w:pPr>
        <w:numPr>
          <w:ilvl w:val="0"/>
          <w:numId w:val="4"/>
        </w:numPr>
      </w:pPr>
      <w:r w:rsidRPr="00372D5C">
        <w:t xml:space="preserve">The appointment of a receiver – the appointment of a person in order to preserve endangered property for the benefit of those who are entitled to it </w:t>
      </w:r>
    </w:p>
    <w:p w:rsidR="00372D5C" w:rsidRDefault="00372D5C" w:rsidP="00372D5C">
      <w:pPr>
        <w:numPr>
          <w:ilvl w:val="0"/>
          <w:numId w:val="4"/>
        </w:numPr>
      </w:pPr>
      <w:r w:rsidRPr="00372D5C">
        <w:t xml:space="preserve">Restitution – not a remedy as such but an area of the law that is concerned with reversing a defendant’s unjust enrichment at the claimant’s expense.  Some analyses of equitable remedies place emphasis on the role of a </w:t>
      </w:r>
      <w:proofErr w:type="spellStart"/>
      <w:r w:rsidRPr="00372D5C">
        <w:t>restitutionary</w:t>
      </w:r>
      <w:proofErr w:type="spellEnd"/>
      <w:r w:rsidRPr="00372D5C">
        <w:t xml:space="preserve"> approach.</w:t>
      </w:r>
    </w:p>
    <w:p w:rsidR="00372D5C" w:rsidRDefault="00372D5C" w:rsidP="00372D5C">
      <w:pPr>
        <w:ind w:left="720"/>
      </w:pPr>
    </w:p>
    <w:p w:rsidR="00372D5C" w:rsidRDefault="00372D5C" w:rsidP="00372D5C"/>
    <w:p w:rsidR="00372D5C" w:rsidRDefault="00372D5C" w:rsidP="00372D5C">
      <w:pPr>
        <w:rPr>
          <w:b/>
          <w:bCs/>
          <w:sz w:val="28"/>
          <w:szCs w:val="28"/>
          <w:u w:val="single"/>
        </w:rPr>
      </w:pPr>
      <w:r>
        <w:rPr>
          <w:b/>
          <w:bCs/>
          <w:sz w:val="28"/>
          <w:szCs w:val="28"/>
          <w:u w:val="single"/>
        </w:rPr>
        <w:t>A Brief Introduction to the Trust</w:t>
      </w:r>
    </w:p>
    <w:p w:rsidR="00372D5C" w:rsidRDefault="00372D5C" w:rsidP="00372D5C">
      <w:pPr>
        <w:rPr>
          <w:b/>
          <w:bCs/>
          <w:sz w:val="28"/>
          <w:szCs w:val="28"/>
          <w:u w:val="single"/>
        </w:rPr>
      </w:pPr>
    </w:p>
    <w:p w:rsidR="00E02287" w:rsidRDefault="00E02287" w:rsidP="00E02287">
      <w:r w:rsidRPr="00E02287">
        <w:t>The standout creation of equity is the trust. A trust is not easy to define, though the basic idea should be easy to grasp.</w:t>
      </w:r>
    </w:p>
    <w:p w:rsidR="00E02287" w:rsidRPr="00E02287" w:rsidRDefault="00E02287" w:rsidP="00E02287"/>
    <w:p w:rsidR="00E02287" w:rsidRPr="00E02287" w:rsidRDefault="00E02287" w:rsidP="00E02287">
      <w:pPr>
        <w:rPr>
          <w:u w:val="single"/>
        </w:rPr>
      </w:pPr>
      <w:r w:rsidRPr="00E02287">
        <w:rPr>
          <w:u w:val="single"/>
        </w:rPr>
        <w:t>Historical origins</w:t>
      </w:r>
    </w:p>
    <w:p w:rsidR="00E02287" w:rsidRPr="00E02287" w:rsidRDefault="00E02287" w:rsidP="00E02287">
      <w:r w:rsidRPr="00E02287">
        <w:t>The trust has its origins in the concept of the use, which dates back to feudal time.</w:t>
      </w:r>
    </w:p>
    <w:p w:rsidR="00E02287" w:rsidRDefault="00E02287" w:rsidP="00E02287">
      <w:r w:rsidRPr="00E02287">
        <w:t>Land might be given to J to hold it “to the use and benefit of K”.  K might be a knight going on a crusade needing someone to look after things; or a monastic order who can</w:t>
      </w:r>
      <w:r>
        <w:t>’</w:t>
      </w:r>
      <w:r w:rsidRPr="00E02287">
        <w:t xml:space="preserve">t hold property due to the rules of poverty.  It was also employed to settle land within families and evade payment of feudal dues.  </w:t>
      </w:r>
    </w:p>
    <w:p w:rsidR="00E02287" w:rsidRPr="00E02287" w:rsidRDefault="00E02287" w:rsidP="00E02287">
      <w:r w:rsidRPr="00E02287">
        <w:t>In these circumstances it would be unconscionable for J to keep the land for his own benefit.</w:t>
      </w:r>
    </w:p>
    <w:p w:rsidR="00E02287" w:rsidRPr="00E02287" w:rsidRDefault="00E02287" w:rsidP="00E02287">
      <w:r w:rsidRPr="00E02287">
        <w:t>The problem was that, at common law, J would be recognised as the owner and K would have no legal claim or title to it.</w:t>
      </w:r>
    </w:p>
    <w:p w:rsidR="00E02287" w:rsidRPr="00E02287" w:rsidRDefault="00E02287" w:rsidP="00E02287">
      <w:r w:rsidRPr="00E02287">
        <w:t xml:space="preserve">Equity intervened to compel J (whom it had to recognise as the owner) to hold it for the exclusive use of </w:t>
      </w:r>
      <w:proofErr w:type="gramStart"/>
      <w:r w:rsidRPr="00E02287">
        <w:t>K .</w:t>
      </w:r>
      <w:proofErr w:type="gramEnd"/>
    </w:p>
    <w:p w:rsidR="00E02287" w:rsidRDefault="00E02287" w:rsidP="00E02287">
      <w:r w:rsidRPr="00E02287">
        <w:t>This idea forms the basis of the modern trust: the trustee holds the property for the benefit of those who may be viewed as its “real owners”, the beneficiaries.</w:t>
      </w:r>
    </w:p>
    <w:p w:rsidR="00E02287" w:rsidRDefault="00E02287" w:rsidP="00E02287"/>
    <w:p w:rsidR="00E02287" w:rsidRDefault="00E02287" w:rsidP="00E02287">
      <w:pPr>
        <w:rPr>
          <w:u w:val="single"/>
        </w:rPr>
      </w:pPr>
      <w:r>
        <w:rPr>
          <w:u w:val="single"/>
        </w:rPr>
        <w:t>Some Modern Uses of the Trust</w:t>
      </w:r>
    </w:p>
    <w:p w:rsidR="00E02287" w:rsidRDefault="00E02287" w:rsidP="00E02287">
      <w:pPr>
        <w:rPr>
          <w:b/>
          <w:bCs/>
          <w:i/>
          <w:iCs/>
        </w:rPr>
      </w:pPr>
      <w:r w:rsidRPr="00E02287">
        <w:lastRenderedPageBreak/>
        <w:t xml:space="preserve">The trust has developed and has proved to be flexible in order to meet modern needs.  An exhaustive list cannot be given.  As Roxburgh J said in </w:t>
      </w:r>
      <w:r w:rsidRPr="00E02287">
        <w:rPr>
          <w:b/>
          <w:bCs/>
          <w:i/>
          <w:iCs/>
        </w:rPr>
        <w:t xml:space="preserve">Re A Solicitor [1952], </w:t>
      </w:r>
    </w:p>
    <w:p w:rsidR="00E02287" w:rsidRPr="00E02287" w:rsidRDefault="00E02287" w:rsidP="00E02287"/>
    <w:p w:rsidR="00E02287" w:rsidRDefault="00E02287" w:rsidP="00E02287">
      <w:pPr>
        <w:rPr>
          <w:b/>
          <w:bCs/>
          <w:i/>
          <w:iCs/>
        </w:rPr>
      </w:pPr>
      <w:r w:rsidRPr="00E02287">
        <w:rPr>
          <w:b/>
          <w:bCs/>
          <w:i/>
          <w:iCs/>
        </w:rPr>
        <w:t>“as the principles of equity permeate the complications of modern life, the nature and variety of trusts ever grow.”</w:t>
      </w:r>
    </w:p>
    <w:p w:rsidR="00E02287" w:rsidRPr="00E02287" w:rsidRDefault="00E02287" w:rsidP="00E02287"/>
    <w:p w:rsidR="00E02287" w:rsidRDefault="00E02287" w:rsidP="00E02287">
      <w:r w:rsidRPr="00E02287">
        <w:t xml:space="preserve">We will look at some of the </w:t>
      </w:r>
      <w:proofErr w:type="gramStart"/>
      <w:r w:rsidRPr="00E02287">
        <w:t>examples</w:t>
      </w:r>
      <w:r>
        <w:t>:-</w:t>
      </w:r>
      <w:proofErr w:type="gramEnd"/>
    </w:p>
    <w:p w:rsidR="00E02287" w:rsidRDefault="00E02287" w:rsidP="00E02287"/>
    <w:p w:rsidR="00E02287" w:rsidRPr="00E02287" w:rsidRDefault="00E02287" w:rsidP="00E02287">
      <w:pPr>
        <w:numPr>
          <w:ilvl w:val="0"/>
          <w:numId w:val="6"/>
        </w:numPr>
      </w:pPr>
      <w:r w:rsidRPr="00E02287">
        <w:t>To provide for the furtherance of charitable purposes indefinitely or some very limited non-charitable purposes, for example, the upkeep of a pet animal for a defined period;</w:t>
      </w:r>
    </w:p>
    <w:p w:rsidR="00E02287" w:rsidRPr="00E02287" w:rsidRDefault="00E02287" w:rsidP="00E02287">
      <w:pPr>
        <w:numPr>
          <w:ilvl w:val="0"/>
          <w:numId w:val="6"/>
        </w:numPr>
      </w:pPr>
      <w:r w:rsidRPr="00E02287">
        <w:t>To enable 2 or more persons to hold land jointly;</w:t>
      </w:r>
    </w:p>
    <w:p w:rsidR="00E02287" w:rsidRPr="00E02287" w:rsidRDefault="00E02287" w:rsidP="00E02287">
      <w:pPr>
        <w:numPr>
          <w:ilvl w:val="0"/>
          <w:numId w:val="6"/>
        </w:numPr>
      </w:pPr>
      <w:r w:rsidRPr="00E02287">
        <w:t>To tie up family wealth to benefit persons in succession;</w:t>
      </w:r>
    </w:p>
    <w:p w:rsidR="00E02287" w:rsidRPr="00E02287" w:rsidRDefault="00E02287" w:rsidP="00E02287">
      <w:pPr>
        <w:numPr>
          <w:ilvl w:val="0"/>
          <w:numId w:val="6"/>
        </w:numPr>
      </w:pPr>
      <w:r w:rsidRPr="00E02287">
        <w:t>To enable persons to make secret gifts (e.g. to a mistress) in the event of their death;</w:t>
      </w:r>
    </w:p>
    <w:p w:rsidR="00E02287" w:rsidRDefault="00E02287" w:rsidP="00E02287">
      <w:pPr>
        <w:numPr>
          <w:ilvl w:val="0"/>
          <w:numId w:val="6"/>
        </w:numPr>
      </w:pPr>
      <w:r w:rsidRPr="00E02287">
        <w:t>To enable land to be held for the benefit of persons who cannot themselves hold it (</w:t>
      </w:r>
      <w:proofErr w:type="spellStart"/>
      <w:r w:rsidRPr="00E02287">
        <w:t>eg</w:t>
      </w:r>
      <w:proofErr w:type="spellEnd"/>
      <w:r w:rsidRPr="00E02287">
        <w:t xml:space="preserve"> a minor)</w:t>
      </w:r>
    </w:p>
    <w:p w:rsidR="00E02287" w:rsidRPr="00E02287" w:rsidRDefault="00E02287" w:rsidP="00E02287">
      <w:pPr>
        <w:pStyle w:val="ListParagraph"/>
        <w:numPr>
          <w:ilvl w:val="0"/>
          <w:numId w:val="6"/>
        </w:numPr>
      </w:pPr>
      <w:r w:rsidRPr="00E02287">
        <w:t>To facilitate the holding of property by clubs, societies and other unincorporated organisations: their funds and property are usually vested in trustees;</w:t>
      </w:r>
    </w:p>
    <w:p w:rsidR="00E02287" w:rsidRPr="00E02287" w:rsidRDefault="00E02287" w:rsidP="00E02287">
      <w:pPr>
        <w:numPr>
          <w:ilvl w:val="0"/>
          <w:numId w:val="7"/>
        </w:numPr>
      </w:pPr>
      <w:r w:rsidRPr="00E02287">
        <w:t>To enable the operation of pension schemes, and unit trust schemes under which trustees hold investments on behalf of the smaller investor beneficiaries;</w:t>
      </w:r>
    </w:p>
    <w:p w:rsidR="00E02287" w:rsidRPr="00E02287" w:rsidRDefault="00E02287" w:rsidP="00E02287">
      <w:pPr>
        <w:numPr>
          <w:ilvl w:val="0"/>
          <w:numId w:val="7"/>
        </w:numPr>
      </w:pPr>
      <w:r w:rsidRPr="00E02287">
        <w:t>For the mitigation or avoidance of tax;</w:t>
      </w:r>
    </w:p>
    <w:p w:rsidR="00E02287" w:rsidRDefault="00E02287" w:rsidP="00E02287">
      <w:pPr>
        <w:numPr>
          <w:ilvl w:val="0"/>
          <w:numId w:val="7"/>
        </w:numPr>
      </w:pPr>
      <w:r w:rsidRPr="00E02287">
        <w:t xml:space="preserve">As a vehicle for protecting lenders from the insolvency of borrowers – money can be lent on terms which mean that the lender retains the beneficial ownership of the money unless and until it has been used for a specified purpose, at which point the relationship becomes an ordinary debtor-creditor relationship. This is known as a </w:t>
      </w:r>
      <w:proofErr w:type="spellStart"/>
      <w:r w:rsidRPr="00E02287">
        <w:rPr>
          <w:b/>
          <w:bCs/>
          <w:i/>
          <w:iCs/>
        </w:rPr>
        <w:t>Quistclose</w:t>
      </w:r>
      <w:proofErr w:type="spellEnd"/>
      <w:r w:rsidRPr="00E02287">
        <w:rPr>
          <w:b/>
          <w:bCs/>
          <w:i/>
          <w:iCs/>
        </w:rPr>
        <w:t xml:space="preserve"> </w:t>
      </w:r>
      <w:r w:rsidRPr="00E02287">
        <w:t>trust (</w:t>
      </w:r>
      <w:r w:rsidRPr="00E02287">
        <w:rPr>
          <w:b/>
          <w:bCs/>
          <w:i/>
          <w:iCs/>
        </w:rPr>
        <w:t xml:space="preserve">Barclays Bank v </w:t>
      </w:r>
      <w:proofErr w:type="spellStart"/>
      <w:r w:rsidRPr="00E02287">
        <w:rPr>
          <w:b/>
          <w:bCs/>
          <w:i/>
          <w:iCs/>
        </w:rPr>
        <w:t>Quistclose</w:t>
      </w:r>
      <w:proofErr w:type="spellEnd"/>
      <w:r w:rsidRPr="00E02287">
        <w:rPr>
          <w:b/>
          <w:bCs/>
          <w:i/>
          <w:iCs/>
        </w:rPr>
        <w:t xml:space="preserve"> Investments Ltd [1970]</w:t>
      </w:r>
      <w:r>
        <w:t>)</w:t>
      </w:r>
    </w:p>
    <w:p w:rsidR="00E02287" w:rsidRDefault="00E02287" w:rsidP="00E02287"/>
    <w:p w:rsidR="00E02287" w:rsidRDefault="00E02287" w:rsidP="00E02287">
      <w:r w:rsidRPr="00E02287">
        <w:t>Note – not all trusts are created expressly.  Many trusts are instead created by implication or operation of law.</w:t>
      </w:r>
    </w:p>
    <w:p w:rsidR="00E02287" w:rsidRPr="00E02287" w:rsidRDefault="00E02287" w:rsidP="00E02287">
      <w:r w:rsidRPr="00E02287">
        <w:t xml:space="preserve">  </w:t>
      </w:r>
    </w:p>
    <w:p w:rsidR="00E02287" w:rsidRDefault="00E02287" w:rsidP="00E02287">
      <w:r w:rsidRPr="00E02287">
        <w:t xml:space="preserve">There are 2 types of implied </w:t>
      </w:r>
      <w:proofErr w:type="gramStart"/>
      <w:r w:rsidRPr="00E02287">
        <w:t>trusts:-</w:t>
      </w:r>
      <w:proofErr w:type="gramEnd"/>
    </w:p>
    <w:p w:rsidR="00E02287" w:rsidRPr="00E02287" w:rsidRDefault="00E02287" w:rsidP="00E02287"/>
    <w:p w:rsidR="00E02287" w:rsidRPr="00E02287" w:rsidRDefault="00E02287" w:rsidP="00E02287">
      <w:r w:rsidRPr="00E02287">
        <w:rPr>
          <w:i/>
          <w:iCs/>
        </w:rPr>
        <w:t>Resulting trust</w:t>
      </w:r>
    </w:p>
    <w:p w:rsidR="00E02287" w:rsidRDefault="00E02287" w:rsidP="00E02287">
      <w:pPr>
        <w:rPr>
          <w:i/>
          <w:iCs/>
        </w:rPr>
      </w:pPr>
      <w:r w:rsidRPr="00E02287">
        <w:rPr>
          <w:i/>
          <w:iCs/>
        </w:rPr>
        <w:t>Constructive trust</w:t>
      </w:r>
    </w:p>
    <w:p w:rsidR="00E02287" w:rsidRPr="00E02287" w:rsidRDefault="00E02287" w:rsidP="00E02287"/>
    <w:p w:rsidR="00E02287" w:rsidRDefault="00E02287" w:rsidP="00E02287">
      <w:r w:rsidRPr="00E02287">
        <w:t>The case law will help us to understand these.  They are routinely implied in the context of the family home in the absence of an express trust of land.</w:t>
      </w:r>
    </w:p>
    <w:p w:rsidR="00E02287" w:rsidRDefault="00E02287" w:rsidP="00E02287"/>
    <w:p w:rsidR="00E02287" w:rsidRDefault="00E02287" w:rsidP="00E02287">
      <w:pPr>
        <w:rPr>
          <w:u w:val="single"/>
        </w:rPr>
      </w:pPr>
      <w:r>
        <w:rPr>
          <w:u w:val="single"/>
        </w:rPr>
        <w:t>The Nature of an Equitable Right</w:t>
      </w:r>
    </w:p>
    <w:p w:rsidR="00E02287" w:rsidRDefault="00E02287" w:rsidP="00E02287">
      <w:pPr>
        <w:rPr>
          <w:u w:val="single"/>
        </w:rPr>
      </w:pPr>
    </w:p>
    <w:p w:rsidR="00E02287" w:rsidRPr="00E02287" w:rsidRDefault="00E02287" w:rsidP="00E02287">
      <w:r w:rsidRPr="00E02287">
        <w:t xml:space="preserve">The exact nature of a beneficiary’s interest has always been a controversial matter.  The trustee “owns” the </w:t>
      </w:r>
      <w:proofErr w:type="gramStart"/>
      <w:r w:rsidRPr="00E02287">
        <w:t>property</w:t>
      </w:r>
      <w:proofErr w:type="gramEnd"/>
      <w:r w:rsidRPr="00E02287">
        <w:t xml:space="preserve"> but the question remains as to how the beneficial ownership might be characterised.</w:t>
      </w:r>
    </w:p>
    <w:p w:rsidR="00E02287" w:rsidRPr="00E02287" w:rsidRDefault="00E02287" w:rsidP="00E02287">
      <w:r w:rsidRPr="00E02287">
        <w:t xml:space="preserve">A feature of property rights is that they are rights </w:t>
      </w:r>
      <w:r w:rsidRPr="00E02287">
        <w:rPr>
          <w:i/>
          <w:iCs/>
        </w:rPr>
        <w:t xml:space="preserve">in rem, </w:t>
      </w:r>
      <w:r w:rsidRPr="00E02287">
        <w:t>that is a right to the thing itself which is enforceable against the whole world.</w:t>
      </w:r>
    </w:p>
    <w:p w:rsidR="00E02287" w:rsidRPr="00E02287" w:rsidRDefault="00E02287" w:rsidP="00E02287">
      <w:r w:rsidRPr="00E02287">
        <w:t xml:space="preserve">This is contrasted with a right </w:t>
      </w:r>
      <w:r w:rsidRPr="00E02287">
        <w:rPr>
          <w:i/>
          <w:iCs/>
        </w:rPr>
        <w:t xml:space="preserve">in </w:t>
      </w:r>
      <w:proofErr w:type="spellStart"/>
      <w:r w:rsidRPr="00E02287">
        <w:rPr>
          <w:i/>
          <w:iCs/>
        </w:rPr>
        <w:t>personam</w:t>
      </w:r>
      <w:proofErr w:type="spellEnd"/>
      <w:r w:rsidRPr="00E02287">
        <w:rPr>
          <w:i/>
          <w:iCs/>
        </w:rPr>
        <w:t xml:space="preserve"> – </w:t>
      </w:r>
      <w:r w:rsidRPr="00E02287">
        <w:t>enforceable by an action against 1 person (the trustee in the case of a trust).</w:t>
      </w:r>
    </w:p>
    <w:p w:rsidR="00E02287" w:rsidRDefault="00E02287" w:rsidP="00E02287">
      <w:r w:rsidRPr="00E02287">
        <w:lastRenderedPageBreak/>
        <w:t xml:space="preserve">Traditionally the beneficiary’s interest under a trust has been described as </w:t>
      </w:r>
      <w:r w:rsidRPr="00E02287">
        <w:rPr>
          <w:i/>
          <w:iCs/>
        </w:rPr>
        <w:t xml:space="preserve">in </w:t>
      </w:r>
      <w:proofErr w:type="spellStart"/>
      <w:r w:rsidRPr="00E02287">
        <w:rPr>
          <w:i/>
          <w:iCs/>
        </w:rPr>
        <w:t>personam</w:t>
      </w:r>
      <w:proofErr w:type="spellEnd"/>
      <w:r w:rsidRPr="00E02287">
        <w:rPr>
          <w:i/>
          <w:iCs/>
        </w:rPr>
        <w:t xml:space="preserve">. </w:t>
      </w:r>
      <w:r w:rsidRPr="00E02287">
        <w:t>However, although a beneficiary clearly does not have all the rights that a legal owner would have, a beneficiary has something more than a mere right to bring an action against the trustee.</w:t>
      </w:r>
    </w:p>
    <w:p w:rsidR="00E02287" w:rsidRPr="00E02287" w:rsidRDefault="00E02287" w:rsidP="00E02287">
      <w:r w:rsidRPr="00E02287">
        <w:t xml:space="preserve">The development of equity has been marked by a movement towards </w:t>
      </w:r>
      <w:r w:rsidRPr="00E02287">
        <w:rPr>
          <w:i/>
          <w:iCs/>
        </w:rPr>
        <w:t xml:space="preserve">in rem </w:t>
      </w:r>
      <w:r w:rsidRPr="00E02287">
        <w:t>procedure, that is, remedies protecting rights in the property itself.</w:t>
      </w:r>
    </w:p>
    <w:p w:rsidR="00E02287" w:rsidRPr="00E02287" w:rsidRDefault="00E02287" w:rsidP="00E02287">
      <w:r w:rsidRPr="00E02287">
        <w:t xml:space="preserve">The present position is basically that the beneficiary (B) can enforce against everyone except a </w:t>
      </w:r>
      <w:r w:rsidRPr="00E02287">
        <w:rPr>
          <w:i/>
          <w:iCs/>
        </w:rPr>
        <w:t xml:space="preserve">bona fide </w:t>
      </w:r>
      <w:r w:rsidRPr="00E02287">
        <w:t>purchaser for value without notice.</w:t>
      </w:r>
    </w:p>
    <w:p w:rsidR="00E02287" w:rsidRPr="00E02287" w:rsidRDefault="00E02287" w:rsidP="00E02287">
      <w:r w:rsidRPr="00E02287">
        <w:t xml:space="preserve">Therefore, whilst it may be true that the B does not have a right enforceable against the whole world, it is certainly something greater than a right </w:t>
      </w:r>
      <w:r w:rsidRPr="00E02287">
        <w:rPr>
          <w:i/>
          <w:iCs/>
        </w:rPr>
        <w:t xml:space="preserve">in </w:t>
      </w:r>
      <w:proofErr w:type="spellStart"/>
      <w:r w:rsidRPr="00E02287">
        <w:rPr>
          <w:i/>
          <w:iCs/>
        </w:rPr>
        <w:t>personam</w:t>
      </w:r>
      <w:proofErr w:type="spellEnd"/>
      <w:r w:rsidRPr="00E02287">
        <w:rPr>
          <w:i/>
          <w:iCs/>
        </w:rPr>
        <w:t>.</w:t>
      </w:r>
    </w:p>
    <w:p w:rsidR="00E02287" w:rsidRPr="00E02287" w:rsidRDefault="00E02287" w:rsidP="00E02287">
      <w:r w:rsidRPr="00E02287">
        <w:t xml:space="preserve">Academics disagree about whether the B’s rights under a trust should now be regarded as </w:t>
      </w:r>
      <w:r w:rsidRPr="00E02287">
        <w:rPr>
          <w:i/>
          <w:iCs/>
        </w:rPr>
        <w:t xml:space="preserve">in rem, </w:t>
      </w:r>
      <w:r w:rsidRPr="00E02287">
        <w:t xml:space="preserve">or </w:t>
      </w:r>
      <w:r w:rsidRPr="00E02287">
        <w:rPr>
          <w:i/>
          <w:iCs/>
        </w:rPr>
        <w:t xml:space="preserve">in </w:t>
      </w:r>
      <w:proofErr w:type="spellStart"/>
      <w:r w:rsidRPr="00E02287">
        <w:rPr>
          <w:i/>
          <w:iCs/>
        </w:rPr>
        <w:t>personam</w:t>
      </w:r>
      <w:proofErr w:type="spellEnd"/>
      <w:r w:rsidRPr="00E02287">
        <w:rPr>
          <w:i/>
          <w:iCs/>
        </w:rPr>
        <w:t xml:space="preserve"> </w:t>
      </w:r>
      <w:r w:rsidRPr="00E02287">
        <w:t>or a hybrid of the 2.</w:t>
      </w:r>
    </w:p>
    <w:p w:rsidR="00E02287" w:rsidRPr="00E02287" w:rsidRDefault="00E02287" w:rsidP="00E02287">
      <w:r w:rsidRPr="00E02287">
        <w:t>Whatever the rights and wrongs of this debate, it is definitely the case that the B’s interest under a trust displays a number of proprietary characteristics.  It can in principle be bought, sold, mortgaged or bequeathed, for example.</w:t>
      </w:r>
    </w:p>
    <w:p w:rsidR="00E02287" w:rsidRPr="00E02287" w:rsidRDefault="00E02287" w:rsidP="00E02287">
      <w:r w:rsidRPr="00E02287">
        <w:t>The remedial protection afforded historically by equity (acting on the conscience of the trustee) has ultimately created rights in the nature of ownership.</w:t>
      </w:r>
    </w:p>
    <w:p w:rsidR="00E02287" w:rsidRDefault="00E02287" w:rsidP="00E02287">
      <w:proofErr w:type="gramStart"/>
      <w:r w:rsidRPr="00E02287">
        <w:t>So</w:t>
      </w:r>
      <w:proofErr w:type="gramEnd"/>
      <w:r w:rsidRPr="00E02287">
        <w:t xml:space="preserve"> we have </w:t>
      </w:r>
      <w:r w:rsidRPr="00E02287">
        <w:rPr>
          <w:b/>
          <w:bCs/>
        </w:rPr>
        <w:t xml:space="preserve">legal ownership </w:t>
      </w:r>
      <w:r w:rsidRPr="00E02287">
        <w:t xml:space="preserve">vested in the trustee and </w:t>
      </w:r>
      <w:r w:rsidRPr="00E02287">
        <w:rPr>
          <w:b/>
          <w:bCs/>
        </w:rPr>
        <w:t xml:space="preserve">equitable (beneficial) ownership </w:t>
      </w:r>
      <w:r w:rsidRPr="00E02287">
        <w:t>in the B.  This duality of ownership is basic to an understanding of the law of trusts.</w:t>
      </w:r>
    </w:p>
    <w:p w:rsidR="00E02287" w:rsidRDefault="00E02287" w:rsidP="00E02287"/>
    <w:p w:rsidR="00E02287" w:rsidRDefault="00E02287" w:rsidP="00E02287"/>
    <w:p w:rsidR="00E02287" w:rsidRPr="00E02287" w:rsidRDefault="00E02287" w:rsidP="00E02287">
      <w:pPr>
        <w:jc w:val="center"/>
      </w:pPr>
      <w:r>
        <w:rPr>
          <w:noProof/>
        </w:rPr>
        <mc:AlternateContent>
          <mc:Choice Requires="wps">
            <w:drawing>
              <wp:anchor distT="0" distB="0" distL="114300" distR="114300" simplePos="0" relativeHeight="251659264" behindDoc="0" locked="0" layoutInCell="1" allowOverlap="1">
                <wp:simplePos x="0" y="0"/>
                <wp:positionH relativeFrom="column">
                  <wp:posOffset>2251494</wp:posOffset>
                </wp:positionH>
                <wp:positionV relativeFrom="paragraph">
                  <wp:posOffset>9871</wp:posOffset>
                </wp:positionV>
                <wp:extent cx="1285336" cy="474453"/>
                <wp:effectExtent l="0" t="0" r="10160" b="8255"/>
                <wp:wrapNone/>
                <wp:docPr id="1" name="Rectangle 1"/>
                <wp:cNvGraphicFramePr/>
                <a:graphic xmlns:a="http://schemas.openxmlformats.org/drawingml/2006/main">
                  <a:graphicData uri="http://schemas.microsoft.com/office/word/2010/wordprocessingShape">
                    <wps:wsp>
                      <wps:cNvSpPr/>
                      <wps:spPr>
                        <a:xfrm>
                          <a:off x="0" y="0"/>
                          <a:ext cx="1285336" cy="474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02287" w:rsidRDefault="00E02287" w:rsidP="00E02287">
                            <w:pPr>
                              <w:jc w:val="center"/>
                            </w:pPr>
                            <w:r>
                              <w:t>Settlor/testator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o:spid="_x0000_s1026" style="position:absolute;left:0;text-align:left;margin-left:177.3pt;margin-top:.8pt;width:101.2pt;height:37.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" fillcolor="#4472c4 [3204]" strokecolor="#1f3763 [1604]" strokeweight="1pt">
                <v:textbox>
                  <w:txbxContent>
                    <w:p w:rsidR="00E02287" w:rsidRDefault="00E02287" w:rsidP="00E02287">
                      <w:pPr>
                        <w:jc w:val="center"/>
                      </w:pPr>
                      <w:r>
                        <w:t>Settlor/testator</w:t>
                      </w:r>
                    </w:p>
                  </w:txbxContent>
                </v:textbox>
              </v:rect>
            </w:pict>
          </mc:Fallback>
        </mc:AlternateContent>
      </w:r>
    </w:p>
    <w:p w:rsidR="00E02287" w:rsidRPr="00E02287" w:rsidRDefault="00E02287" w:rsidP="00E02287"/>
    <w:p w:rsidR="00E02287" w:rsidRPr="00E02287" w:rsidRDefault="00E02287" w:rsidP="00E02287">
      <w:pPr>
        <w:rPr>
          <w:u w:val="single"/>
        </w:rPr>
      </w:pPr>
      <w:r>
        <w:rPr>
          <w:noProof/>
          <w:u w:val="single"/>
        </w:rPr>
        <mc:AlternateContent>
          <mc:Choice Requires="wps">
            <w:drawing>
              <wp:anchor distT="0" distB="0" distL="114300" distR="114300" simplePos="0" relativeHeight="251662336" behindDoc="0" locked="0" layoutInCell="1" allowOverlap="1">
                <wp:simplePos x="0" y="0"/>
                <wp:positionH relativeFrom="column">
                  <wp:posOffset>2898475</wp:posOffset>
                </wp:positionH>
                <wp:positionV relativeFrom="paragraph">
                  <wp:posOffset>112107</wp:posOffset>
                </wp:positionV>
                <wp:extent cx="0" cy="258901"/>
                <wp:effectExtent l="0" t="0" r="12700" b="8255"/>
                <wp:wrapNone/>
                <wp:docPr id="4" name="Straight Connector 4"/>
                <wp:cNvGraphicFramePr/>
                <a:graphic xmlns:a="http://schemas.openxmlformats.org/drawingml/2006/main">
                  <a:graphicData uri="http://schemas.microsoft.com/office/word/2010/wordprocessingShape">
                    <wps:wsp>
                      <wps:cNvCnPr/>
                      <wps:spPr>
                        <a:xfrm>
                          <a:off x="0" y="0"/>
                          <a:ext cx="0" cy="2589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FEBC33"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28.25pt,8.85pt" to="228.25pt,2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" strokecolor="#4472c4 [3204]" strokeweight=".5pt">
                <v:stroke joinstyle="miter"/>
              </v:line>
            </w:pict>
          </mc:Fallback>
        </mc:AlternateContent>
      </w:r>
    </w:p>
    <w:p w:rsidR="00E02287" w:rsidRPr="00E02287" w:rsidRDefault="00E02287" w:rsidP="00E02287">
      <w:pPr>
        <w:rPr>
          <w:b/>
          <w:bCs/>
        </w:rPr>
      </w:pPr>
    </w:p>
    <w:p w:rsidR="00E02287" w:rsidRPr="00E02287" w:rsidRDefault="00E02287" w:rsidP="00E02287">
      <w:r>
        <w:rPr>
          <w:noProof/>
        </w:rPr>
        <mc:AlternateContent>
          <mc:Choice Requires="wps">
            <w:drawing>
              <wp:anchor distT="0" distB="0" distL="114300" distR="114300" simplePos="0" relativeHeight="251660288" behindDoc="0" locked="0" layoutInCell="1" allowOverlap="1">
                <wp:simplePos x="0" y="0"/>
                <wp:positionH relativeFrom="column">
                  <wp:posOffset>2251494</wp:posOffset>
                </wp:positionH>
                <wp:positionV relativeFrom="paragraph">
                  <wp:posOffset>50656</wp:posOffset>
                </wp:positionV>
                <wp:extent cx="1328444" cy="500332"/>
                <wp:effectExtent l="0" t="0" r="17780" b="8255"/>
                <wp:wrapNone/>
                <wp:docPr id="2" name="Rectangle 2"/>
                <wp:cNvGraphicFramePr/>
                <a:graphic xmlns:a="http://schemas.openxmlformats.org/drawingml/2006/main">
                  <a:graphicData uri="http://schemas.microsoft.com/office/word/2010/wordprocessingShape">
                    <wps:wsp>
                      <wps:cNvSpPr/>
                      <wps:spPr>
                        <a:xfrm>
                          <a:off x="0" y="0"/>
                          <a:ext cx="1328444" cy="50033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02287" w:rsidRDefault="00E02287" w:rsidP="00E02287">
                            <w:pPr>
                              <w:jc w:val="center"/>
                            </w:pPr>
                            <w:r>
                              <w:t>Trustees</w:t>
                            </w:r>
                          </w:p>
                          <w:p w:rsidR="00E02287" w:rsidRDefault="00E02287" w:rsidP="00E02287">
                            <w:pPr>
                              <w:jc w:val="center"/>
                            </w:pPr>
                            <w:r>
                              <w:t>(legal ownership)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margin-left:177.3pt;margin-top:4pt;width:104.6pt;height:3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" fillcolor="#4472c4 [3204]" strokecolor="#1f3763 [1604]" strokeweight="1pt">
                <v:textbox>
                  <w:txbxContent>
                    <w:p w:rsidR="00E02287" w:rsidRDefault="00E02287" w:rsidP="00E02287">
                      <w:pPr>
                        <w:jc w:val="center"/>
                      </w:pPr>
                      <w:r>
                        <w:t>Trustees</w:t>
                      </w:r>
                    </w:p>
                    <w:p w:rsidR="00E02287" w:rsidRDefault="00E02287" w:rsidP="00E02287">
                      <w:pPr>
                        <w:jc w:val="center"/>
                      </w:pPr>
                      <w:r>
                        <w:t>(legal ownership)</w:t>
                      </w:r>
                    </w:p>
                  </w:txbxContent>
                </v:textbox>
              </v:rect>
            </w:pict>
          </mc:Fallback>
        </mc:AlternateContent>
      </w:r>
    </w:p>
    <w:p w:rsidR="00E02287" w:rsidRPr="00E02287" w:rsidRDefault="00E02287" w:rsidP="00E02287"/>
    <w:p w:rsidR="00E02287" w:rsidRPr="00E02287" w:rsidRDefault="00E02287" w:rsidP="00E02287">
      <w:pPr>
        <w:rPr>
          <w:u w:val="single"/>
        </w:rPr>
      </w:pPr>
    </w:p>
    <w:p w:rsidR="00E02287" w:rsidRPr="00E02287" w:rsidRDefault="00E02287" w:rsidP="00E02287">
      <w:r>
        <w:rPr>
          <w:noProof/>
        </w:rPr>
        <mc:AlternateContent>
          <mc:Choice Requires="wps">
            <w:drawing>
              <wp:anchor distT="0" distB="0" distL="114300" distR="114300" simplePos="0" relativeHeight="251663360" behindDoc="0" locked="0" layoutInCell="1" allowOverlap="1">
                <wp:simplePos x="0" y="0"/>
                <wp:positionH relativeFrom="column">
                  <wp:posOffset>2941608</wp:posOffset>
                </wp:positionH>
                <wp:positionV relativeFrom="paragraph">
                  <wp:posOffset>35955</wp:posOffset>
                </wp:positionV>
                <wp:extent cx="0" cy="301925"/>
                <wp:effectExtent l="0" t="0" r="12700" b="15875"/>
                <wp:wrapNone/>
                <wp:docPr id="5" name="Straight Connector 5"/>
                <wp:cNvGraphicFramePr/>
                <a:graphic xmlns:a="http://schemas.openxmlformats.org/drawingml/2006/main">
                  <a:graphicData uri="http://schemas.microsoft.com/office/word/2010/wordprocessingShape">
                    <wps:wsp>
                      <wps:cNvCnPr/>
                      <wps:spPr>
                        <a:xfrm>
                          <a:off x="0" y="0"/>
                          <a:ext cx="0" cy="30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85942E" id="Straight Connector 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31.6pt,2.85pt" to="231.6pt,2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" strokecolor="#4472c4 [3204]" strokeweight=".5pt">
                <v:stroke joinstyle="miter"/>
              </v:line>
            </w:pict>
          </mc:Fallback>
        </mc:AlternateContent>
      </w:r>
    </w:p>
    <w:p w:rsidR="00372D5C" w:rsidRDefault="00E02287" w:rsidP="00372D5C">
      <w:pPr>
        <w:rPr>
          <w:b/>
          <w:bCs/>
          <w:sz w:val="28"/>
          <w:szCs w:val="28"/>
          <w:u w:val="single"/>
        </w:rPr>
      </w:pPr>
      <w:r>
        <w:rPr>
          <w:b/>
          <w:bCs/>
          <w:noProof/>
          <w:sz w:val="28"/>
          <w:szCs w:val="28"/>
          <w:u w:val="single"/>
        </w:rPr>
        <mc:AlternateContent>
          <mc:Choice Requires="wps">
            <w:drawing>
              <wp:anchor distT="0" distB="0" distL="114300" distR="114300" simplePos="0" relativeHeight="251661312" behindDoc="0" locked="0" layoutInCell="1" allowOverlap="1">
                <wp:simplePos x="0" y="0"/>
                <wp:positionH relativeFrom="column">
                  <wp:posOffset>2251494</wp:posOffset>
                </wp:positionH>
                <wp:positionV relativeFrom="paragraph">
                  <wp:posOffset>212210</wp:posOffset>
                </wp:positionV>
                <wp:extent cx="1380227" cy="629728"/>
                <wp:effectExtent l="0" t="0" r="17145" b="18415"/>
                <wp:wrapNone/>
                <wp:docPr id="3" name="Rectangle 3"/>
                <wp:cNvGraphicFramePr/>
                <a:graphic xmlns:a="http://schemas.openxmlformats.org/drawingml/2006/main">
                  <a:graphicData uri="http://schemas.microsoft.com/office/word/2010/wordprocessingShape">
                    <wps:wsp>
                      <wps:cNvSpPr/>
                      <wps:spPr>
                        <a:xfrm>
                          <a:off x="0" y="0"/>
                          <a:ext cx="1380227" cy="6297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02287" w:rsidRDefault="00E02287" w:rsidP="00E02287">
                            <w:pPr>
                              <w:jc w:val="center"/>
                            </w:pPr>
                            <w:r>
                              <w:t>Beneficiaries</w:t>
                            </w:r>
                          </w:p>
                          <w:p w:rsidR="00E02287" w:rsidRDefault="00E02287" w:rsidP="00E02287">
                            <w:pPr>
                              <w:jc w:val="center"/>
                            </w:pPr>
                            <w:r>
                              <w:t>(Equitable Ownership)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8" style="position:absolute;margin-left:177.3pt;margin-top:16.7pt;width:108.7pt;height:4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" fillcolor="#4472c4 [3204]" strokecolor="#1f3763 [1604]" strokeweight="1pt">
                <v:textbox>
                  <w:txbxContent>
                    <w:p w:rsidR="00E02287" w:rsidRDefault="00E02287" w:rsidP="00E02287">
                      <w:pPr>
                        <w:jc w:val="center"/>
                      </w:pPr>
                      <w:r>
                        <w:t>Beneficiaries</w:t>
                      </w:r>
                    </w:p>
                    <w:p w:rsidR="00E02287" w:rsidRDefault="00E02287" w:rsidP="00E02287">
                      <w:pPr>
                        <w:jc w:val="center"/>
                      </w:pPr>
                      <w:r>
                        <w:t>(Equitable Ownership)</w:t>
                      </w:r>
                    </w:p>
                  </w:txbxContent>
                </v:textbox>
              </v:rect>
            </w:pict>
          </mc:Fallback>
        </mc:AlternateContent>
      </w:r>
    </w:p>
    <w:p w:rsidR="00372D5C" w:rsidRDefault="00372D5C" w:rsidP="00372D5C">
      <w:pPr>
        <w:rPr>
          <w:b/>
          <w:bCs/>
          <w:sz w:val="28"/>
          <w:szCs w:val="28"/>
          <w:u w:val="single"/>
        </w:rPr>
      </w:pPr>
    </w:p>
    <w:p w:rsidR="00372D5C" w:rsidRPr="00372D5C" w:rsidRDefault="00372D5C" w:rsidP="00372D5C">
      <w:pPr>
        <w:rPr>
          <w:b/>
          <w:bCs/>
          <w:sz w:val="28"/>
          <w:szCs w:val="28"/>
          <w:u w:val="single"/>
        </w:rPr>
      </w:pPr>
    </w:p>
    <w:p w:rsidR="00372D5C" w:rsidRPr="00372D5C" w:rsidRDefault="00372D5C" w:rsidP="00372D5C"/>
    <w:p w:rsidR="00372D5C" w:rsidRDefault="00372D5C" w:rsidP="00372D5C">
      <w:pPr>
        <w:rPr>
          <w:b/>
          <w:bCs/>
          <w:sz w:val="28"/>
          <w:szCs w:val="28"/>
          <w:u w:val="single"/>
        </w:rPr>
      </w:pPr>
    </w:p>
    <w:p w:rsidR="00E02287" w:rsidRDefault="00E02287" w:rsidP="00372D5C">
      <w:pPr>
        <w:rPr>
          <w:b/>
          <w:bCs/>
          <w:sz w:val="28"/>
          <w:szCs w:val="28"/>
          <w:u w:val="single"/>
        </w:rPr>
      </w:pPr>
    </w:p>
    <w:p w:rsidR="00E02287" w:rsidRPr="00E02287" w:rsidRDefault="00E02287" w:rsidP="00E02287">
      <w:r w:rsidRPr="00E02287">
        <w:t xml:space="preserve">This debate may seem wholly academic but it has a practical significance when seeking to identify the real owner of trust </w:t>
      </w:r>
      <w:proofErr w:type="gramStart"/>
      <w:r w:rsidRPr="00E02287">
        <w:t>property ;</w:t>
      </w:r>
      <w:proofErr w:type="gramEnd"/>
      <w:r w:rsidRPr="00E02287">
        <w:t xml:space="preserve"> trustee or beneficiary?</w:t>
      </w:r>
    </w:p>
    <w:p w:rsidR="00E02287" w:rsidRDefault="00E02287" w:rsidP="00E02287">
      <w:r w:rsidRPr="00E02287">
        <w:t>The case law is not consistent</w:t>
      </w:r>
      <w:r w:rsidR="003B0763">
        <w:t>.</w:t>
      </w:r>
    </w:p>
    <w:p w:rsidR="003B0763" w:rsidRPr="00E02287" w:rsidRDefault="003B0763" w:rsidP="00E02287"/>
    <w:p w:rsidR="003B0763" w:rsidRPr="003B0763" w:rsidRDefault="003B0763" w:rsidP="003B0763">
      <w:pPr>
        <w:rPr>
          <w:b/>
          <w:bCs/>
        </w:rPr>
      </w:pPr>
      <w:r w:rsidRPr="003B0763">
        <w:rPr>
          <w:b/>
          <w:bCs/>
          <w:i/>
          <w:iCs/>
        </w:rPr>
        <w:t>Baker v Archer-</w:t>
      </w:r>
      <w:proofErr w:type="spellStart"/>
      <w:r w:rsidRPr="003B0763">
        <w:rPr>
          <w:b/>
          <w:bCs/>
          <w:i/>
          <w:iCs/>
        </w:rPr>
        <w:t>Shee</w:t>
      </w:r>
      <w:proofErr w:type="spellEnd"/>
      <w:r w:rsidRPr="003B0763">
        <w:rPr>
          <w:b/>
          <w:bCs/>
          <w:i/>
          <w:iCs/>
        </w:rPr>
        <w:t xml:space="preserve"> [1927] </w:t>
      </w:r>
    </w:p>
    <w:p w:rsidR="003B0763" w:rsidRDefault="003B0763" w:rsidP="003B0763">
      <w:r w:rsidRPr="003B0763">
        <w:t>The B</w:t>
      </w:r>
      <w:r>
        <w:t xml:space="preserve">eneficiary </w:t>
      </w:r>
      <w:r w:rsidRPr="003B0763">
        <w:t>was held by the H</w:t>
      </w:r>
      <w:r>
        <w:t xml:space="preserve">ouse </w:t>
      </w:r>
      <w:r w:rsidRPr="003B0763">
        <w:t>of</w:t>
      </w:r>
      <w:r>
        <w:t xml:space="preserve"> </w:t>
      </w:r>
      <w:r w:rsidRPr="003B0763">
        <w:t>L</w:t>
      </w:r>
      <w:r>
        <w:t>ords</w:t>
      </w:r>
      <w:r w:rsidRPr="003B0763">
        <w:t xml:space="preserve"> to be the owner</w:t>
      </w:r>
      <w:r>
        <w:t>.</w:t>
      </w:r>
    </w:p>
    <w:p w:rsidR="003B0763" w:rsidRPr="003B0763" w:rsidRDefault="003B0763" w:rsidP="003B0763"/>
    <w:p w:rsidR="003B0763" w:rsidRPr="003B0763" w:rsidRDefault="003B0763" w:rsidP="003B0763">
      <w:pPr>
        <w:rPr>
          <w:b/>
          <w:bCs/>
        </w:rPr>
      </w:pPr>
      <w:proofErr w:type="spellStart"/>
      <w:r w:rsidRPr="003B0763">
        <w:rPr>
          <w:b/>
          <w:bCs/>
          <w:i/>
          <w:iCs/>
        </w:rPr>
        <w:t>Schalit</w:t>
      </w:r>
      <w:proofErr w:type="spellEnd"/>
      <w:r w:rsidRPr="003B0763">
        <w:rPr>
          <w:b/>
          <w:bCs/>
          <w:i/>
          <w:iCs/>
        </w:rPr>
        <w:t xml:space="preserve"> v Nadler [1933] </w:t>
      </w:r>
    </w:p>
    <w:p w:rsidR="003B0763" w:rsidRDefault="003B0763" w:rsidP="003B0763">
      <w:r w:rsidRPr="003B0763">
        <w:t xml:space="preserve">The </w:t>
      </w:r>
      <w:r w:rsidRPr="003B0763">
        <w:rPr>
          <w:i/>
          <w:iCs/>
        </w:rPr>
        <w:t xml:space="preserve">in </w:t>
      </w:r>
      <w:proofErr w:type="spellStart"/>
      <w:r w:rsidRPr="003B0763">
        <w:rPr>
          <w:i/>
          <w:iCs/>
        </w:rPr>
        <w:t>personam</w:t>
      </w:r>
      <w:proofErr w:type="spellEnd"/>
      <w:r w:rsidRPr="003B0763">
        <w:rPr>
          <w:i/>
          <w:iCs/>
        </w:rPr>
        <w:t xml:space="preserve"> </w:t>
      </w:r>
      <w:r w:rsidRPr="003B0763">
        <w:t>approach was accepted here.</w:t>
      </w:r>
    </w:p>
    <w:p w:rsidR="003B0763" w:rsidRPr="003B0763" w:rsidRDefault="003B0763" w:rsidP="003B0763"/>
    <w:p w:rsidR="003B0763" w:rsidRPr="003B0763" w:rsidRDefault="003B0763" w:rsidP="003B0763">
      <w:pPr>
        <w:rPr>
          <w:b/>
          <w:bCs/>
        </w:rPr>
      </w:pPr>
      <w:r w:rsidRPr="003B0763">
        <w:rPr>
          <w:b/>
          <w:bCs/>
          <w:i/>
          <w:iCs/>
        </w:rPr>
        <w:t xml:space="preserve">Whaley v Whaley [2011] </w:t>
      </w:r>
    </w:p>
    <w:p w:rsidR="003B0763" w:rsidRDefault="003B0763" w:rsidP="003B0763">
      <w:r w:rsidRPr="003B0763">
        <w:lastRenderedPageBreak/>
        <w:t>Highlights the dangers on relying on a trust mechanism to hide assets.</w:t>
      </w:r>
    </w:p>
    <w:p w:rsidR="003B0763" w:rsidRDefault="003B0763" w:rsidP="003B0763"/>
    <w:p w:rsidR="003B0763" w:rsidRPr="003B0763" w:rsidRDefault="003B0763" w:rsidP="003B0763">
      <w:r w:rsidRPr="003B0763">
        <w:t xml:space="preserve">Perhaps we can conclude that the traditional </w:t>
      </w:r>
      <w:r w:rsidRPr="003B0763">
        <w:rPr>
          <w:i/>
          <w:iCs/>
        </w:rPr>
        <w:t xml:space="preserve">in </w:t>
      </w:r>
      <w:proofErr w:type="spellStart"/>
      <w:r w:rsidRPr="003B0763">
        <w:rPr>
          <w:i/>
          <w:iCs/>
        </w:rPr>
        <w:t>personam</w:t>
      </w:r>
      <w:proofErr w:type="spellEnd"/>
      <w:r w:rsidRPr="003B0763">
        <w:rPr>
          <w:i/>
          <w:iCs/>
        </w:rPr>
        <w:t xml:space="preserve"> </w:t>
      </w:r>
      <w:r w:rsidRPr="003B0763">
        <w:t xml:space="preserve">approach is totally acceptable (i.e. the B asserts his rights through the medium of the trustee).  However, in some cases, usually involving tax, trustee insolvency or wrongdoing the theoretical approach may be overtaken by a more pragmatic or realistic approach to equitable ownership.  It then becomes appropriate to treat the B as the holder of rights </w:t>
      </w:r>
      <w:r w:rsidRPr="003B0763">
        <w:rPr>
          <w:i/>
          <w:iCs/>
        </w:rPr>
        <w:t xml:space="preserve">in rem </w:t>
      </w:r>
      <w:r w:rsidRPr="003B0763">
        <w:t>reflecting his essentially proprietary interest.</w:t>
      </w:r>
    </w:p>
    <w:p w:rsidR="003B0763" w:rsidRDefault="003B0763" w:rsidP="003B0763"/>
    <w:p w:rsidR="003B0763" w:rsidRPr="003B0763" w:rsidRDefault="003B0763" w:rsidP="003B0763">
      <w:pPr>
        <w:rPr>
          <w:b/>
          <w:bCs/>
          <w:sz w:val="28"/>
          <w:szCs w:val="28"/>
          <w:u w:val="single"/>
        </w:rPr>
      </w:pPr>
      <w:r w:rsidRPr="003B0763">
        <w:rPr>
          <w:b/>
          <w:bCs/>
          <w:sz w:val="28"/>
          <w:szCs w:val="28"/>
          <w:u w:val="single"/>
        </w:rPr>
        <w:t>The relationship between Equity and the Common Law</w:t>
      </w:r>
    </w:p>
    <w:p w:rsidR="003B0763" w:rsidRDefault="003B0763" w:rsidP="003B0763">
      <w:pPr>
        <w:rPr>
          <w:b/>
          <w:bCs/>
          <w:u w:val="single"/>
        </w:rPr>
      </w:pPr>
    </w:p>
    <w:p w:rsidR="003B0763" w:rsidRPr="003B0763" w:rsidRDefault="003B0763" w:rsidP="003B0763">
      <w:r w:rsidRPr="003B0763">
        <w:t xml:space="preserve">As a consequence of </w:t>
      </w:r>
      <w:r w:rsidRPr="003B0763">
        <w:rPr>
          <w:b/>
          <w:bCs/>
        </w:rPr>
        <w:t>J</w:t>
      </w:r>
      <w:r>
        <w:rPr>
          <w:b/>
          <w:bCs/>
        </w:rPr>
        <w:t xml:space="preserve">udicature </w:t>
      </w:r>
      <w:r w:rsidRPr="003B0763">
        <w:rPr>
          <w:b/>
          <w:bCs/>
        </w:rPr>
        <w:t>A</w:t>
      </w:r>
      <w:r>
        <w:rPr>
          <w:b/>
          <w:bCs/>
        </w:rPr>
        <w:t>cts</w:t>
      </w:r>
      <w:r w:rsidRPr="003B0763">
        <w:rPr>
          <w:b/>
          <w:bCs/>
        </w:rPr>
        <w:t xml:space="preserve"> 1873 </w:t>
      </w:r>
      <w:r w:rsidRPr="003B0763">
        <w:t xml:space="preserve">and </w:t>
      </w:r>
      <w:r w:rsidRPr="003B0763">
        <w:rPr>
          <w:b/>
          <w:bCs/>
        </w:rPr>
        <w:t xml:space="preserve">1875 </w:t>
      </w:r>
      <w:r w:rsidRPr="003B0763">
        <w:t>and the creation of the Supreme Court of Judicature, the rules of equity and the common law were to be administered together in any of the divisions of the High Court.  The distinction between a right at common law and a right in equity requires consideration and there has always been a lively debate on the issue of fusion.</w:t>
      </w:r>
    </w:p>
    <w:p w:rsidR="003B0763" w:rsidRPr="003B0763" w:rsidRDefault="003B0763" w:rsidP="003B0763">
      <w:r w:rsidRPr="003B0763">
        <w:t>The question is whether the merger was merely procedural and administrative in nature, such that the common law and equity remain distinct jurisdictions operating side by side or whether there has been a more complex merging, known as substantive fusion.</w:t>
      </w:r>
    </w:p>
    <w:p w:rsidR="003B0763" w:rsidRDefault="003B0763" w:rsidP="003B0763">
      <w:r w:rsidRPr="003B0763">
        <w:t>Sometimes the courts have reached a decision without clear reference to either equity or common law!</w:t>
      </w:r>
    </w:p>
    <w:p w:rsidR="003B0763" w:rsidRPr="003B0763" w:rsidRDefault="003B0763" w:rsidP="003B0763"/>
    <w:p w:rsidR="003B0763" w:rsidRDefault="003B0763" w:rsidP="003B0763">
      <w:r w:rsidRPr="003B0763">
        <w:rPr>
          <w:b/>
          <w:bCs/>
          <w:i/>
          <w:iCs/>
        </w:rPr>
        <w:t xml:space="preserve">Boyer v </w:t>
      </w:r>
      <w:proofErr w:type="spellStart"/>
      <w:r w:rsidRPr="003B0763">
        <w:rPr>
          <w:b/>
          <w:bCs/>
          <w:i/>
          <w:iCs/>
        </w:rPr>
        <w:t>Warbey</w:t>
      </w:r>
      <w:proofErr w:type="spellEnd"/>
      <w:r w:rsidRPr="003B0763">
        <w:rPr>
          <w:b/>
          <w:bCs/>
          <w:i/>
          <w:iCs/>
        </w:rPr>
        <w:t xml:space="preserve"> [1953] </w:t>
      </w:r>
      <w:proofErr w:type="spellStart"/>
      <w:r w:rsidRPr="003B0763">
        <w:t>CofA</w:t>
      </w:r>
      <w:proofErr w:type="spellEnd"/>
      <w:r w:rsidRPr="003B0763">
        <w:t xml:space="preserve"> indicated that the rules for the running of leasehold covenants should apply equally to enforceable equitable leases and legal ones.</w:t>
      </w:r>
    </w:p>
    <w:p w:rsidR="003B0763" w:rsidRPr="003B0763" w:rsidRDefault="003B0763" w:rsidP="003B0763"/>
    <w:p w:rsidR="003B0763" w:rsidRDefault="003B0763" w:rsidP="003B0763">
      <w:r w:rsidRPr="003B0763">
        <w:rPr>
          <w:b/>
          <w:bCs/>
          <w:i/>
          <w:iCs/>
        </w:rPr>
        <w:t xml:space="preserve">Australian Blue Metal Ltd v Hughes [1963] </w:t>
      </w:r>
      <w:r w:rsidRPr="003B0763">
        <w:t xml:space="preserve">here the issue was the form of notice required to allow a party to withdraw from a particular obligation.  The common law implied a need for reasonable notice and equity would have allowed a reasonable period of grace.  </w:t>
      </w:r>
    </w:p>
    <w:p w:rsidR="003B0763" w:rsidRPr="003B0763" w:rsidRDefault="003B0763" w:rsidP="003B0763">
      <w:r w:rsidRPr="003B0763">
        <w:t>The Privy Council view was that such a theoretical distinction should not lead to different results.  The test was what was reasonable and fair between the parties and the question of the origin of the protection (</w:t>
      </w:r>
      <w:proofErr w:type="spellStart"/>
      <w:r w:rsidRPr="003B0763">
        <w:t>ie</w:t>
      </w:r>
      <w:proofErr w:type="spellEnd"/>
      <w:r w:rsidRPr="003B0763">
        <w:t xml:space="preserve"> whether legal or equitable) was not crucial.</w:t>
      </w:r>
    </w:p>
    <w:p w:rsidR="003B0763" w:rsidRDefault="003B0763" w:rsidP="003B0763">
      <w:r w:rsidRPr="003B0763">
        <w:t>Similarly, modern developments in both promissory and proprietary estoppel have been achieved without any clear indication as to whether they are equitable or common law doctrines or both.</w:t>
      </w:r>
    </w:p>
    <w:p w:rsidR="003B0763" w:rsidRPr="003B0763" w:rsidRDefault="003B0763" w:rsidP="003B0763">
      <w:r w:rsidRPr="003B0763">
        <w:t>Nonetheless, legal and equitable rights and remedies remain distinct in most cases, which suggests that law and equity are not fully fused.</w:t>
      </w:r>
    </w:p>
    <w:p w:rsidR="003B0763" w:rsidRDefault="003B0763" w:rsidP="003B0763"/>
    <w:p w:rsidR="003B0763" w:rsidRDefault="003B0763" w:rsidP="003B0763">
      <w:pPr>
        <w:rPr>
          <w:b/>
          <w:bCs/>
          <w:u w:val="single"/>
        </w:rPr>
      </w:pPr>
      <w:r>
        <w:rPr>
          <w:b/>
          <w:bCs/>
          <w:u w:val="single"/>
        </w:rPr>
        <w:t>Enforceability of an Equitable Interest</w:t>
      </w:r>
    </w:p>
    <w:p w:rsidR="003B0763" w:rsidRDefault="003B0763" w:rsidP="003B0763">
      <w:pPr>
        <w:rPr>
          <w:b/>
          <w:bCs/>
          <w:u w:val="single"/>
        </w:rPr>
      </w:pPr>
    </w:p>
    <w:p w:rsidR="003B0763" w:rsidRPr="003B0763" w:rsidRDefault="003B0763" w:rsidP="003B0763">
      <w:r w:rsidRPr="003B0763">
        <w:t xml:space="preserve">The nature or a trust (or any equitable interest) is such that it binds all persons except a </w:t>
      </w:r>
      <w:r w:rsidRPr="003B0763">
        <w:rPr>
          <w:i/>
          <w:iCs/>
        </w:rPr>
        <w:t xml:space="preserve">bona fide </w:t>
      </w:r>
      <w:r w:rsidRPr="003B0763">
        <w:t xml:space="preserve">purchaser of a legal estate for value without notice – sometimes called equity’s darling. </w:t>
      </w:r>
    </w:p>
    <w:p w:rsidR="003B0763" w:rsidRDefault="003B0763" w:rsidP="003B0763">
      <w:r w:rsidRPr="003B0763">
        <w:t>A bona fide purchase for value without notice has an absolute and complete defence.  Further once the defence has been successfully raised, so that such purchaser takes free from the equitable interests, their good title can be passed on to a later purchaser, even if this purchaser does not have notice of the trust (</w:t>
      </w:r>
      <w:r w:rsidRPr="003B0763">
        <w:rPr>
          <w:i/>
          <w:iCs/>
        </w:rPr>
        <w:t>Wilkes v Spooner [1911]</w:t>
      </w:r>
      <w:r w:rsidRPr="003B0763">
        <w:t>).</w:t>
      </w:r>
    </w:p>
    <w:p w:rsidR="003B0763" w:rsidRDefault="003B0763" w:rsidP="003B0763"/>
    <w:p w:rsidR="003B0763" w:rsidRDefault="003B0763" w:rsidP="003B0763">
      <w:pPr>
        <w:rPr>
          <w:b/>
          <w:bCs/>
          <w:u w:val="single"/>
        </w:rPr>
      </w:pPr>
      <w:r>
        <w:rPr>
          <w:b/>
          <w:bCs/>
          <w:u w:val="single"/>
        </w:rPr>
        <w:lastRenderedPageBreak/>
        <w:t>Equity’s Darling</w:t>
      </w:r>
    </w:p>
    <w:p w:rsidR="003B0763" w:rsidRDefault="003B0763" w:rsidP="003B0763">
      <w:pPr>
        <w:rPr>
          <w:b/>
          <w:bCs/>
          <w:u w:val="single"/>
        </w:rPr>
      </w:pPr>
    </w:p>
    <w:p w:rsidR="003B0763" w:rsidRPr="003B0763" w:rsidRDefault="003B0763" w:rsidP="003B0763">
      <w:r w:rsidRPr="003B0763">
        <w:t>We need to understand this.</w:t>
      </w:r>
    </w:p>
    <w:p w:rsidR="003B0763" w:rsidRPr="003B0763" w:rsidRDefault="003B0763" w:rsidP="003B0763">
      <w:r w:rsidRPr="003B0763">
        <w:t>The doctrine of notice played a prominent role historically in the enforceability of equitable rights against purchaser of land.  It is important to note, however, that its role is limited in this context and the impact of the doctrine has been vastly reduced by legislation.</w:t>
      </w:r>
    </w:p>
    <w:p w:rsidR="003B0763" w:rsidRPr="003B0763" w:rsidRDefault="003B0763" w:rsidP="003B0763">
      <w:r w:rsidRPr="003B0763">
        <w:t>Firstly, it applies only in the case of unregistered land and even here it has been substantially replaced by a system of land charges and the device of overreaching.</w:t>
      </w:r>
    </w:p>
    <w:p w:rsidR="003B0763" w:rsidRPr="003B0763" w:rsidRDefault="003B0763" w:rsidP="003B0763">
      <w:r w:rsidRPr="003B0763">
        <w:t xml:space="preserve">Over 90% of land in England and Wales is registered and here the enforceability of equitable interests is governed by the Land Registration Act 2002 </w:t>
      </w:r>
      <w:proofErr w:type="gramStart"/>
      <w:r w:rsidRPr="003B0763">
        <w:t>-  which</w:t>
      </w:r>
      <w:proofErr w:type="gramEnd"/>
      <w:r w:rsidRPr="003B0763">
        <w:t xml:space="preserve"> means that the doctrine of notice does not apply.</w:t>
      </w:r>
    </w:p>
    <w:p w:rsidR="003B0763" w:rsidRDefault="003B0763" w:rsidP="003B0763">
      <w:r w:rsidRPr="003B0763">
        <w:t xml:space="preserve">The first question is who </w:t>
      </w:r>
      <w:proofErr w:type="gramStart"/>
      <w:r w:rsidRPr="003B0763">
        <w:t xml:space="preserve">may be a </w:t>
      </w:r>
      <w:r w:rsidRPr="003B0763">
        <w:rPr>
          <w:b/>
          <w:bCs/>
          <w:i/>
          <w:iCs/>
        </w:rPr>
        <w:t xml:space="preserve">bona fide </w:t>
      </w:r>
      <w:r w:rsidRPr="003B0763">
        <w:rPr>
          <w:b/>
          <w:bCs/>
        </w:rPr>
        <w:t>purchaser for value without notice</w:t>
      </w:r>
      <w:proofErr w:type="gramEnd"/>
      <w:r w:rsidRPr="003B0763">
        <w:rPr>
          <w:b/>
          <w:bCs/>
        </w:rPr>
        <w:t>.</w:t>
      </w:r>
      <w:r w:rsidRPr="003B0763">
        <w:t xml:space="preserve">  Historically, in the context of a sale of land, this question might be addressed as follows.</w:t>
      </w:r>
    </w:p>
    <w:p w:rsidR="003B0763" w:rsidRPr="003B0763" w:rsidRDefault="003B0763" w:rsidP="003B0763"/>
    <w:p w:rsidR="003B0763" w:rsidRPr="003B0763" w:rsidRDefault="003B0763" w:rsidP="003B0763">
      <w:pPr>
        <w:numPr>
          <w:ilvl w:val="0"/>
          <w:numId w:val="8"/>
        </w:numPr>
      </w:pPr>
      <w:r w:rsidRPr="003B0763">
        <w:rPr>
          <w:b/>
          <w:bCs/>
        </w:rPr>
        <w:t xml:space="preserve">Bona fide – </w:t>
      </w:r>
      <w:r w:rsidRPr="003B0763">
        <w:t>this simply means acting in good faith.  This serves to emphasise that the purchaser is not fraudulent but honest and genuine.</w:t>
      </w:r>
    </w:p>
    <w:p w:rsidR="003B0763" w:rsidRPr="003B0763" w:rsidRDefault="003B0763" w:rsidP="003B0763">
      <w:pPr>
        <w:numPr>
          <w:ilvl w:val="0"/>
          <w:numId w:val="8"/>
        </w:numPr>
      </w:pPr>
      <w:r w:rsidRPr="003B0763">
        <w:rPr>
          <w:b/>
          <w:bCs/>
        </w:rPr>
        <w:t xml:space="preserve">Purchaser for value – </w:t>
      </w:r>
      <w:r w:rsidRPr="003B0763">
        <w:t>the purchaser must have given consideration in the form of money or money’s worth or a future marriage.</w:t>
      </w:r>
    </w:p>
    <w:p w:rsidR="003B0763" w:rsidRDefault="003B0763" w:rsidP="003B0763">
      <w:pPr>
        <w:numPr>
          <w:ilvl w:val="0"/>
          <w:numId w:val="8"/>
        </w:numPr>
      </w:pPr>
      <w:r w:rsidRPr="003B0763">
        <w:rPr>
          <w:b/>
          <w:bCs/>
        </w:rPr>
        <w:t xml:space="preserve">Legal Estate – </w:t>
      </w:r>
      <w:r w:rsidRPr="003B0763">
        <w:t>the legal estate of the purchaser prevails over the equitable interest of the B.  If the purchaser has purchased an equitable interest only, he will be bound by a prior equitable interest.</w:t>
      </w:r>
    </w:p>
    <w:p w:rsidR="00EE5B58" w:rsidRPr="00EE5B58" w:rsidRDefault="00EE5B58" w:rsidP="00EE5B58">
      <w:pPr>
        <w:numPr>
          <w:ilvl w:val="0"/>
          <w:numId w:val="8"/>
        </w:numPr>
      </w:pPr>
      <w:r w:rsidRPr="00EE5B58">
        <w:rPr>
          <w:b/>
          <w:bCs/>
        </w:rPr>
        <w:t xml:space="preserve">Notice – </w:t>
      </w:r>
      <w:r w:rsidRPr="00EE5B58">
        <w:t>3 types are possible;</w:t>
      </w:r>
    </w:p>
    <w:p w:rsidR="00EE5B58" w:rsidRPr="00EE5B58" w:rsidRDefault="00EE5B58" w:rsidP="00EE5B58">
      <w:pPr>
        <w:ind w:left="720"/>
      </w:pPr>
      <w:r w:rsidRPr="00EE5B58">
        <w:tab/>
        <w:t xml:space="preserve">a. </w:t>
      </w:r>
      <w:r w:rsidRPr="00EE5B58">
        <w:rPr>
          <w:b/>
          <w:bCs/>
        </w:rPr>
        <w:t xml:space="preserve">actual – </w:t>
      </w:r>
      <w:r w:rsidRPr="00EE5B58">
        <w:t>where the matter has been drawn to the attention of the purchaser.  Actual notice is not the same as actual knowledge.  A purchaser has notice of the contents of any document of title that has come into his possession, even if he doesn’t read it.</w:t>
      </w:r>
    </w:p>
    <w:p w:rsidR="00EE5B58" w:rsidRPr="00EE5B58" w:rsidRDefault="00EE5B58" w:rsidP="00EE5B58">
      <w:pPr>
        <w:ind w:left="360"/>
      </w:pPr>
      <w:r w:rsidRPr="00EE5B58">
        <w:tab/>
      </w:r>
      <w:r>
        <w:tab/>
      </w:r>
      <w:r w:rsidRPr="00EE5B58">
        <w:t xml:space="preserve">b. </w:t>
      </w:r>
      <w:r w:rsidRPr="00EE5B58">
        <w:rPr>
          <w:b/>
          <w:bCs/>
        </w:rPr>
        <w:t xml:space="preserve">imputed – </w:t>
      </w:r>
      <w:r w:rsidRPr="00EE5B58">
        <w:t>if notice has been given to an agent, such as a solicitor, who is acting for the purchaser, that notice will be imputed to the purchaser. (</w:t>
      </w:r>
      <w:r w:rsidRPr="00EE5B58">
        <w:rPr>
          <w:b/>
          <w:bCs/>
          <w:i/>
          <w:iCs/>
        </w:rPr>
        <w:t>Kingsnorth Finance v Tizard [1986]</w:t>
      </w:r>
      <w:r w:rsidRPr="00EE5B58">
        <w:t>)</w:t>
      </w:r>
    </w:p>
    <w:p w:rsidR="00EE5B58" w:rsidRDefault="00EE5B58" w:rsidP="00EE5B58">
      <w:r w:rsidRPr="00EE5B58">
        <w:tab/>
      </w:r>
      <w:r>
        <w:tab/>
      </w:r>
      <w:r w:rsidRPr="00EE5B58">
        <w:t xml:space="preserve">c. </w:t>
      </w:r>
      <w:r w:rsidRPr="00EE5B58">
        <w:rPr>
          <w:b/>
          <w:bCs/>
        </w:rPr>
        <w:t xml:space="preserve">constructive – </w:t>
      </w:r>
      <w:r w:rsidRPr="00EE5B58">
        <w:t>where a purchaser (or his agent) would have had actual notice if they had made prudent and reasonable enquiries.  This is why enquiries should always be made.</w:t>
      </w:r>
    </w:p>
    <w:p w:rsidR="00EE5B58" w:rsidRDefault="00EE5B58" w:rsidP="00EE5B58"/>
    <w:p w:rsidR="00EE5B58" w:rsidRPr="00EE5B58" w:rsidRDefault="00EE5B58" w:rsidP="00EE5B58">
      <w:r w:rsidRPr="00EE5B58">
        <w:t xml:space="preserve">A purchaser should </w:t>
      </w:r>
      <w:proofErr w:type="gramStart"/>
      <w:r w:rsidRPr="00EE5B58">
        <w:t>always:-</w:t>
      </w:r>
      <w:proofErr w:type="gramEnd"/>
    </w:p>
    <w:p w:rsidR="00EE5B58" w:rsidRPr="00EE5B58" w:rsidRDefault="00EE5B58" w:rsidP="00EE5B58">
      <w:r w:rsidRPr="00EE5B58">
        <w:t xml:space="preserve">Inspect the premises (for rights of third parties) </w:t>
      </w:r>
      <w:r w:rsidRPr="00EE5B58">
        <w:rPr>
          <w:b/>
          <w:bCs/>
          <w:i/>
          <w:iCs/>
        </w:rPr>
        <w:t>Kingsnorth Finance v Tizard.</w:t>
      </w:r>
    </w:p>
    <w:p w:rsidR="00EE5B58" w:rsidRDefault="00EE5B58" w:rsidP="00EE5B58">
      <w:r w:rsidRPr="00EE5B58">
        <w:t>Check the title of the vendor – where unregistered the title deeds should be produced and a good root of title (at</w:t>
      </w:r>
      <w:r>
        <w:t xml:space="preserve"> </w:t>
      </w:r>
      <w:r w:rsidRPr="00EE5B58">
        <w:t>least 15 years) is required.</w:t>
      </w:r>
    </w:p>
    <w:p w:rsidR="00EE5B58" w:rsidRDefault="00EE5B58" w:rsidP="00EE5B58"/>
    <w:p w:rsidR="00EE5B58" w:rsidRDefault="00EE5B58" w:rsidP="00EE5B58"/>
    <w:p w:rsidR="00EE5B58" w:rsidRDefault="00EE5B58" w:rsidP="00EE5B58">
      <w:pPr>
        <w:rPr>
          <w:b/>
          <w:bCs/>
          <w:u w:val="single"/>
        </w:rPr>
      </w:pPr>
      <w:r w:rsidRPr="00EE5B58">
        <w:rPr>
          <w:b/>
          <w:bCs/>
          <w:u w:val="single"/>
        </w:rPr>
        <w:t>Registration provisions and their effect on the doctrine of notice in unregistered land</w:t>
      </w:r>
    </w:p>
    <w:p w:rsidR="00EE5B58" w:rsidRDefault="00EE5B58" w:rsidP="00EE5B58">
      <w:pPr>
        <w:rPr>
          <w:b/>
          <w:bCs/>
          <w:u w:val="single"/>
        </w:rPr>
      </w:pPr>
    </w:p>
    <w:p w:rsidR="00EE5B58" w:rsidRPr="00EE5B58" w:rsidRDefault="00EE5B58" w:rsidP="00EE5B58">
      <w:r w:rsidRPr="00EE5B58">
        <w:t xml:space="preserve">A system of registration for land charges created after 1925 affecting unregistered land was introduced by </w:t>
      </w:r>
      <w:r w:rsidRPr="00EE5B58">
        <w:rPr>
          <w:b/>
          <w:bCs/>
        </w:rPr>
        <w:t xml:space="preserve">Land Charges Act 1925. </w:t>
      </w:r>
      <w:r w:rsidRPr="00EE5B58">
        <w:t xml:space="preserve">The system is now governed by the </w:t>
      </w:r>
      <w:r w:rsidRPr="00EE5B58">
        <w:rPr>
          <w:b/>
          <w:bCs/>
        </w:rPr>
        <w:t xml:space="preserve">Land Charges Act 1972 </w:t>
      </w:r>
      <w:r w:rsidRPr="00EE5B58">
        <w:t>(</w:t>
      </w:r>
      <w:r w:rsidRPr="00EE5B58">
        <w:rPr>
          <w:b/>
          <w:bCs/>
        </w:rPr>
        <w:t xml:space="preserve">S2 </w:t>
      </w:r>
      <w:r w:rsidRPr="00EE5B58">
        <w:t>contains a list of interests registrable as land charges).</w:t>
      </w:r>
    </w:p>
    <w:p w:rsidR="00EE5B58" w:rsidRPr="00EE5B58" w:rsidRDefault="00EE5B58" w:rsidP="00EE5B58">
      <w:r w:rsidRPr="00EE5B58">
        <w:t>Registration is deemed to be notice to all persons as long as registration remains in force.</w:t>
      </w:r>
    </w:p>
    <w:p w:rsidR="00EE5B58" w:rsidRPr="00EE5B58" w:rsidRDefault="00EE5B58" w:rsidP="00EE5B58">
      <w:r w:rsidRPr="00EE5B58">
        <w:lastRenderedPageBreak/>
        <w:t xml:space="preserve">Most equitable interests, </w:t>
      </w:r>
      <w:proofErr w:type="spellStart"/>
      <w:r w:rsidRPr="00EE5B58">
        <w:t>eg</w:t>
      </w:r>
      <w:proofErr w:type="spellEnd"/>
      <w:r w:rsidRPr="00EE5B58">
        <w:t xml:space="preserve"> equitable leases, easements and restrictive covenants are registrable.  A B’s interest under a trust, however, is not registrable.  Other interests continue to depend on the doctrine of notice.</w:t>
      </w:r>
    </w:p>
    <w:p w:rsidR="00EE5B58" w:rsidRPr="00EE5B58" w:rsidRDefault="00EE5B58" w:rsidP="00EE5B58">
      <w:r w:rsidRPr="00EE5B58">
        <w:t>Failure to register a registrable equitable interest makes the interest void against a purchaser of a legal estate for money or money’s worth, even if the purchaser even has notice of it (</w:t>
      </w:r>
      <w:r w:rsidRPr="00EE5B58">
        <w:rPr>
          <w:b/>
          <w:bCs/>
          <w:i/>
          <w:iCs/>
        </w:rPr>
        <w:t>Midland Bank v Green [1981]</w:t>
      </w:r>
      <w:r w:rsidRPr="00EE5B58">
        <w:t xml:space="preserve">).  In some </w:t>
      </w:r>
      <w:proofErr w:type="gramStart"/>
      <w:r w:rsidRPr="00EE5B58">
        <w:t>cases</w:t>
      </w:r>
      <w:proofErr w:type="gramEnd"/>
      <w:r w:rsidRPr="00EE5B58">
        <w:t xml:space="preserve"> it makes the interest void against a purchaser of any interest for value.  To the extent that the land registration rules apply, therefore, the rules as to notice no longer apply.  </w:t>
      </w:r>
    </w:p>
    <w:p w:rsidR="00EE5B58" w:rsidRDefault="00EE5B58" w:rsidP="00EE5B58">
      <w:r w:rsidRPr="00EE5B58">
        <w:t>Remember that the doctrine of notice does not apply at all to registered land.</w:t>
      </w:r>
    </w:p>
    <w:p w:rsidR="00EE5B58" w:rsidRDefault="00EE5B58" w:rsidP="00EE5B58"/>
    <w:p w:rsidR="00EE5B58" w:rsidRDefault="00EE5B58" w:rsidP="00EE5B58">
      <w:pPr>
        <w:rPr>
          <w:b/>
          <w:bCs/>
          <w:u w:val="single"/>
        </w:rPr>
      </w:pPr>
      <w:r>
        <w:rPr>
          <w:b/>
          <w:bCs/>
          <w:u w:val="single"/>
        </w:rPr>
        <w:t>Overreaching Provisions</w:t>
      </w:r>
    </w:p>
    <w:p w:rsidR="00EE5B58" w:rsidRDefault="00EE5B58" w:rsidP="00EE5B58">
      <w:pPr>
        <w:rPr>
          <w:b/>
          <w:bCs/>
          <w:u w:val="single"/>
        </w:rPr>
      </w:pPr>
    </w:p>
    <w:p w:rsidR="00EE5B58" w:rsidRPr="00EE5B58" w:rsidRDefault="00EE5B58" w:rsidP="00EE5B58">
      <w:r w:rsidRPr="00EE5B58">
        <w:t xml:space="preserve">More important at this stage than registrable equitable interests are equitable beneficial interests, that is, those of a B under a trust of land.  These are not </w:t>
      </w:r>
      <w:proofErr w:type="gramStart"/>
      <w:r w:rsidRPr="00EE5B58">
        <w:t>registrable</w:t>
      </w:r>
      <w:proofErr w:type="gramEnd"/>
      <w:r w:rsidRPr="00EE5B58">
        <w:t xml:space="preserve"> but a purchaser of land will take free of them if they are </w:t>
      </w:r>
      <w:r w:rsidRPr="00EE5B58">
        <w:rPr>
          <w:b/>
          <w:bCs/>
        </w:rPr>
        <w:t>overreached.</w:t>
      </w:r>
    </w:p>
    <w:p w:rsidR="00EE5B58" w:rsidRPr="00EE5B58" w:rsidRDefault="00EE5B58" w:rsidP="00EE5B58">
      <w:r w:rsidRPr="00EE5B58">
        <w:t>The legal title to all land held in co-ownership must be held subject to a trust in favour of the co-owners. Land is in co-ownership if is held by more than 1 owner jointly.  Joint ownership may be concurrent (2 or more owners at the same time) or consecutive (first owner has a life interest and then a second owner has an interest that starts when the life interest ends).</w:t>
      </w:r>
    </w:p>
    <w:p w:rsidR="00EE5B58" w:rsidRDefault="00EE5B58" w:rsidP="00EE5B58">
      <w:r w:rsidRPr="00EE5B58">
        <w:t>Sometimes there is a combination of concurrent and consecutive ownership.</w:t>
      </w:r>
    </w:p>
    <w:p w:rsidR="00EE5B58" w:rsidRDefault="00EE5B58" w:rsidP="00EE5B58"/>
    <w:p w:rsidR="00EE5B58" w:rsidRDefault="00EE5B58" w:rsidP="00EE5B58">
      <w:r w:rsidRPr="00EE5B58">
        <w:drawing>
          <wp:inline distT="0" distB="0" distL="0" distR="0" wp14:anchorId="74B6823E" wp14:editId="200DCAB2">
            <wp:extent cx="5727700" cy="2680970"/>
            <wp:effectExtent l="0" t="0" r="0" b="0"/>
            <wp:docPr id="6" name="Content Placeholder 3">
              <a:extLst xmlns:a="http://schemas.openxmlformats.org/drawingml/2006/main">
                <a:ext uri="{FF2B5EF4-FFF2-40B4-BE49-F238E27FC236}">
                  <a16:creationId xmlns:a16="http://schemas.microsoft.com/office/drawing/2014/main" id="{DAE36FA1-F83C-1149-A546-6CAE85C17E5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DAE36FA1-F83C-1149-A546-6CAE85C17E5E}"/>
                        </a:ext>
                      </a:extLst>
                    </pic:cNvPr>
                    <pic:cNvPicPr>
                      <a:picLocks noGrp="1" noChangeAspect="1"/>
                    </pic:cNvPicPr>
                  </pic:nvPicPr>
                  <pic:blipFill>
                    <a:blip r:embed="rId5"/>
                    <a:stretch>
                      <a:fillRect/>
                    </a:stretch>
                  </pic:blipFill>
                  <pic:spPr>
                    <a:xfrm>
                      <a:off x="0" y="0"/>
                      <a:ext cx="5727700" cy="2680970"/>
                    </a:xfrm>
                    <a:prstGeom prst="rect">
                      <a:avLst/>
                    </a:prstGeom>
                    <a:noFill/>
                    <a:ln>
                      <a:noFill/>
                    </a:ln>
                  </pic:spPr>
                </pic:pic>
              </a:graphicData>
            </a:graphic>
          </wp:inline>
        </w:drawing>
      </w:r>
    </w:p>
    <w:p w:rsidR="00EE5B58" w:rsidRPr="00EE5B58" w:rsidRDefault="00EE5B58" w:rsidP="00EE5B58">
      <w:r w:rsidRPr="00EE5B58">
        <w:t>The equitable interests of co-owners under such trusts of land are held under either joint tenancies (collective entitlement to the whole of the property) or tenancies in common (with distinct shares).</w:t>
      </w:r>
    </w:p>
    <w:p w:rsidR="00EE5B58" w:rsidRPr="00EE5B58" w:rsidRDefault="00EE5B58" w:rsidP="00EE5B58">
      <w:r w:rsidRPr="00EE5B58">
        <w:t>The overreaching provisions are designed to ensure that when a purchaser acquires the legal estate to land held on trust, he will take free of the claims of those who had equitable interests under the trusts.  In order to overreach those equitable interests, the purchaser must pay the purchase money to at least 2 trustees or a trust corporation (in other words, at least 2 Trustees must sign the receipt). A maximum of 4 names may be listed as the legal owners.</w:t>
      </w:r>
    </w:p>
    <w:p w:rsidR="00EE5B58" w:rsidRPr="00EE5B58" w:rsidRDefault="00EE5B58" w:rsidP="00EE5B58">
      <w:r w:rsidRPr="00EE5B58">
        <w:t>The process of overreaching applies to registered and unregistered land (</w:t>
      </w:r>
      <w:r w:rsidRPr="00EE5B58">
        <w:rPr>
          <w:b/>
          <w:bCs/>
          <w:i/>
          <w:iCs/>
        </w:rPr>
        <w:t xml:space="preserve">City of London Building Society v </w:t>
      </w:r>
      <w:proofErr w:type="spellStart"/>
      <w:r w:rsidRPr="00EE5B58">
        <w:rPr>
          <w:b/>
          <w:bCs/>
          <w:i/>
          <w:iCs/>
        </w:rPr>
        <w:t>Flegg</w:t>
      </w:r>
      <w:proofErr w:type="spellEnd"/>
      <w:r w:rsidRPr="00EE5B58">
        <w:rPr>
          <w:b/>
          <w:bCs/>
          <w:i/>
          <w:iCs/>
        </w:rPr>
        <w:t xml:space="preserve"> [1988].  </w:t>
      </w:r>
      <w:r w:rsidRPr="00EE5B58">
        <w:t xml:space="preserve">It operates to convert the interests of beneficiaries in the </w:t>
      </w:r>
      <w:r w:rsidRPr="00EE5B58">
        <w:lastRenderedPageBreak/>
        <w:t>land to interests in the proceeds of sale, allowing the purchaser to take free of the rights of the beneficiaries.</w:t>
      </w:r>
    </w:p>
    <w:p w:rsidR="00EE5B58" w:rsidRPr="00EE5B58" w:rsidRDefault="00EE5B58" w:rsidP="00EE5B58">
      <w:r w:rsidRPr="00EE5B58">
        <w:t>Overreaching will not operate however where there is a single legal owner of the land (the payment to 2 trustees is designed to prevent fraud).  Where overreaching fails for this reason, the interests of the beneficiaries may bind the purchaser.</w:t>
      </w:r>
    </w:p>
    <w:p w:rsidR="00EE5B58" w:rsidRPr="00EE5B58" w:rsidRDefault="00EE5B58" w:rsidP="00EE5B58">
      <w:r w:rsidRPr="00EE5B58">
        <w:t>In unregistered land the answer will depend on the doctrine of notice.</w:t>
      </w:r>
    </w:p>
    <w:p w:rsidR="00EE5B58" w:rsidRPr="00EE5B58" w:rsidRDefault="00EE5B58" w:rsidP="00EE5B58">
      <w:r w:rsidRPr="00EE5B58">
        <w:t>In registered land, it is possible that actual occupation will serve to protect a B’s right and render it buying on a purchaser.</w:t>
      </w:r>
    </w:p>
    <w:p w:rsidR="00EE5B58" w:rsidRPr="00EE5B58" w:rsidRDefault="00EE5B58" w:rsidP="00EE5B58">
      <w:r w:rsidRPr="00EE5B58">
        <w:t>In practice, this will be rare.  A trustee, B or, indeed, the Land Registrar may make an entry on the Land Register, known as a restriction, to indicate the existence of beneficial interests which must be overreached on sale.</w:t>
      </w:r>
    </w:p>
    <w:p w:rsidR="00EE5B58" w:rsidRDefault="00EE5B58" w:rsidP="00EE5B58"/>
    <w:p w:rsidR="00EE5B58" w:rsidRDefault="00EE5B58" w:rsidP="00EE5B58">
      <w:pPr>
        <w:rPr>
          <w:b/>
          <w:bCs/>
          <w:u w:val="single"/>
        </w:rPr>
      </w:pPr>
      <w:r>
        <w:rPr>
          <w:b/>
          <w:bCs/>
          <w:u w:val="single"/>
        </w:rPr>
        <w:t>The creativity of Equity</w:t>
      </w:r>
    </w:p>
    <w:p w:rsidR="00EE5B58" w:rsidRDefault="00EE5B58" w:rsidP="00EE5B58">
      <w:pPr>
        <w:rPr>
          <w:b/>
          <w:bCs/>
          <w:u w:val="single"/>
        </w:rPr>
      </w:pPr>
    </w:p>
    <w:p w:rsidR="00EE5B58" w:rsidRPr="00EE5B58" w:rsidRDefault="00EE5B58" w:rsidP="00EE5B58">
      <w:r w:rsidRPr="00EE5B58">
        <w:t xml:space="preserve">Be aware that equity can still </w:t>
      </w:r>
      <w:proofErr w:type="gramStart"/>
      <w:r w:rsidRPr="00EE5B58">
        <w:t>develop</w:t>
      </w:r>
      <w:proofErr w:type="gramEnd"/>
      <w:r w:rsidRPr="00EE5B58">
        <w:t xml:space="preserve"> and the category of equitable interests is not closed.</w:t>
      </w:r>
    </w:p>
    <w:p w:rsidR="00EE5B58" w:rsidRPr="00EE5B58" w:rsidRDefault="00EE5B58" w:rsidP="00EE5B58">
      <w:r w:rsidRPr="00EE5B58">
        <w:t>The recognition of the restrictive covenant in land enforceable in equity against purchasers with notice is illustrative of this (</w:t>
      </w:r>
      <w:proofErr w:type="spellStart"/>
      <w:r w:rsidRPr="00EE5B58">
        <w:rPr>
          <w:b/>
          <w:bCs/>
          <w:i/>
          <w:iCs/>
        </w:rPr>
        <w:t>Tulk</w:t>
      </w:r>
      <w:proofErr w:type="spellEnd"/>
      <w:r w:rsidRPr="00EE5B58">
        <w:rPr>
          <w:b/>
          <w:bCs/>
          <w:i/>
          <w:iCs/>
        </w:rPr>
        <w:t xml:space="preserve"> v </w:t>
      </w:r>
      <w:proofErr w:type="spellStart"/>
      <w:r w:rsidRPr="00EE5B58">
        <w:rPr>
          <w:b/>
          <w:bCs/>
          <w:i/>
          <w:iCs/>
        </w:rPr>
        <w:t>Moxhay</w:t>
      </w:r>
      <w:proofErr w:type="spellEnd"/>
      <w:r w:rsidRPr="00EE5B58">
        <w:rPr>
          <w:b/>
          <w:bCs/>
          <w:i/>
          <w:iCs/>
        </w:rPr>
        <w:t xml:space="preserve"> [1848]</w:t>
      </w:r>
      <w:r w:rsidRPr="00EE5B58">
        <w:t xml:space="preserve">).  In </w:t>
      </w:r>
      <w:proofErr w:type="spellStart"/>
      <w:r w:rsidRPr="00EE5B58">
        <w:rPr>
          <w:b/>
          <w:bCs/>
          <w:i/>
          <w:iCs/>
        </w:rPr>
        <w:t>Cowcher</w:t>
      </w:r>
      <w:proofErr w:type="spellEnd"/>
      <w:r w:rsidRPr="00EE5B58">
        <w:rPr>
          <w:b/>
          <w:bCs/>
          <w:i/>
          <w:iCs/>
        </w:rPr>
        <w:t xml:space="preserve"> v </w:t>
      </w:r>
      <w:proofErr w:type="spellStart"/>
      <w:r w:rsidRPr="00EE5B58">
        <w:rPr>
          <w:b/>
          <w:bCs/>
          <w:i/>
          <w:iCs/>
        </w:rPr>
        <w:t>Cowcher</w:t>
      </w:r>
      <w:proofErr w:type="spellEnd"/>
      <w:r w:rsidRPr="00EE5B58">
        <w:rPr>
          <w:b/>
          <w:bCs/>
          <w:i/>
          <w:iCs/>
        </w:rPr>
        <w:t xml:space="preserve"> [1972]</w:t>
      </w:r>
      <w:r w:rsidRPr="00EE5B58">
        <w:rPr>
          <w:i/>
          <w:iCs/>
        </w:rPr>
        <w:t xml:space="preserve"> </w:t>
      </w:r>
      <w:r w:rsidRPr="00EE5B58">
        <w:t xml:space="preserve">Bagnall J accepted the need for settled principles but added that </w:t>
      </w:r>
    </w:p>
    <w:p w:rsidR="00EE5B58" w:rsidRDefault="00EE5B58" w:rsidP="00EE5B58">
      <w:r w:rsidRPr="00EE5B58">
        <w:t>“this does not mean that equity is past child-bearing; simply that its progeny must be legitimate – by precedent out of principle.”</w:t>
      </w:r>
    </w:p>
    <w:p w:rsidR="00EE5B58" w:rsidRPr="00EE5B58" w:rsidRDefault="00EE5B58" w:rsidP="00EE5B58">
      <w:r w:rsidRPr="00EE5B58">
        <w:t>The scope for equity to develop creatively will be seen throughout the topic but notable examples are:</w:t>
      </w:r>
    </w:p>
    <w:p w:rsidR="00EE5B58" w:rsidRPr="00EE5B58" w:rsidRDefault="00EE5B58" w:rsidP="00EE5B58">
      <w:pPr>
        <w:numPr>
          <w:ilvl w:val="0"/>
          <w:numId w:val="9"/>
        </w:numPr>
      </w:pPr>
      <w:r w:rsidRPr="00EE5B58">
        <w:t>The evolution of new powerful forms of injunction, namely the freezing order and the search order;</w:t>
      </w:r>
    </w:p>
    <w:p w:rsidR="00EE5B58" w:rsidRPr="00EE5B58" w:rsidRDefault="00EE5B58" w:rsidP="00EE5B58">
      <w:pPr>
        <w:numPr>
          <w:ilvl w:val="0"/>
          <w:numId w:val="9"/>
        </w:numPr>
      </w:pPr>
      <w:r w:rsidRPr="00EE5B58">
        <w:t>The development of the constructive trust in contexts such as the family home, joint ventures and the prevention of fraud;</w:t>
      </w:r>
    </w:p>
    <w:p w:rsidR="00EE5B58" w:rsidRDefault="00EE5B58" w:rsidP="00EE5B58">
      <w:pPr>
        <w:numPr>
          <w:ilvl w:val="0"/>
          <w:numId w:val="9"/>
        </w:numPr>
      </w:pPr>
      <w:r w:rsidRPr="00EE5B58">
        <w:t>Proprietary estoppel</w:t>
      </w:r>
    </w:p>
    <w:p w:rsidR="00EE5B58" w:rsidRPr="00EE5B58" w:rsidRDefault="00EE5B58" w:rsidP="00EE5B58">
      <w:pPr>
        <w:numPr>
          <w:ilvl w:val="0"/>
          <w:numId w:val="9"/>
        </w:numPr>
      </w:pPr>
    </w:p>
    <w:p w:rsidR="00EE5B58" w:rsidRDefault="00EE5B58" w:rsidP="00EE5B58">
      <w:r w:rsidRPr="00EE5B58">
        <w:t>In an increasing number of cases, equitable intervention is justified in broad terms by reference to the principle of unconscionability.  Basically, there are growing examples of the courts interfering in novel ways on the basis that justice demands it.</w:t>
      </w:r>
    </w:p>
    <w:p w:rsidR="00EE5B58" w:rsidRPr="00EE5B58" w:rsidRDefault="00EE5B58" w:rsidP="00EE5B58"/>
    <w:p w:rsidR="00EE5B58" w:rsidRDefault="00EE5B58" w:rsidP="00EE5B58">
      <w:r w:rsidRPr="00EE5B58">
        <w:rPr>
          <w:b/>
          <w:bCs/>
          <w:i/>
          <w:iCs/>
        </w:rPr>
        <w:t xml:space="preserve">Pennington v </w:t>
      </w:r>
      <w:proofErr w:type="spellStart"/>
      <w:r w:rsidRPr="00EE5B58">
        <w:rPr>
          <w:b/>
          <w:bCs/>
          <w:i/>
          <w:iCs/>
        </w:rPr>
        <w:t>Waine</w:t>
      </w:r>
      <w:proofErr w:type="spellEnd"/>
      <w:r w:rsidRPr="00EE5B58">
        <w:rPr>
          <w:b/>
          <w:bCs/>
          <w:i/>
          <w:iCs/>
        </w:rPr>
        <w:t xml:space="preserve"> [2002]</w:t>
      </w:r>
      <w:r>
        <w:rPr>
          <w:b/>
          <w:bCs/>
          <w:i/>
          <w:iCs/>
        </w:rPr>
        <w:t xml:space="preserve"> - </w:t>
      </w:r>
      <w:r>
        <w:t>i</w:t>
      </w:r>
      <w:r w:rsidRPr="00EE5B58">
        <w:t xml:space="preserve">s an example of this where legal requirements for the transfer of title had not been met, but the court perfected an imperfect gift of shares on the novel ground that it had become unconscionable to </w:t>
      </w:r>
      <w:proofErr w:type="spellStart"/>
      <w:r w:rsidRPr="00EE5B58">
        <w:t>resile</w:t>
      </w:r>
      <w:proofErr w:type="spellEnd"/>
      <w:r w:rsidRPr="00EE5B58">
        <w:t xml:space="preserve"> from the gift.</w:t>
      </w:r>
    </w:p>
    <w:p w:rsidR="00570821" w:rsidRDefault="00570821" w:rsidP="00EE5B58"/>
    <w:p w:rsidR="00570821" w:rsidRDefault="00570821" w:rsidP="00EE5B58">
      <w:pPr>
        <w:rPr>
          <w:b/>
          <w:bCs/>
          <w:u w:val="single"/>
        </w:rPr>
      </w:pPr>
      <w:r>
        <w:rPr>
          <w:b/>
          <w:bCs/>
          <w:u w:val="single"/>
        </w:rPr>
        <w:t>Summary</w:t>
      </w:r>
    </w:p>
    <w:p w:rsidR="00570821" w:rsidRPr="00570821" w:rsidRDefault="00570821" w:rsidP="00EE5B58">
      <w:pPr>
        <w:rPr>
          <w:b/>
          <w:bCs/>
          <w:u w:val="single"/>
        </w:rPr>
      </w:pPr>
    </w:p>
    <w:p w:rsidR="00570821" w:rsidRPr="00570821" w:rsidRDefault="00570821" w:rsidP="00570821">
      <w:pPr>
        <w:numPr>
          <w:ilvl w:val="0"/>
          <w:numId w:val="10"/>
        </w:numPr>
      </w:pPr>
      <w:r w:rsidRPr="00570821">
        <w:t>The law of equity was developed as a means of supplementing the rigidity of the common law.  One of the main creations of equity is the trust, which proved to be a flexible institution always developing to meet modern needs.</w:t>
      </w:r>
    </w:p>
    <w:p w:rsidR="00570821" w:rsidRDefault="00570821" w:rsidP="00570821">
      <w:pPr>
        <w:numPr>
          <w:ilvl w:val="0"/>
          <w:numId w:val="10"/>
        </w:numPr>
      </w:pPr>
      <w:r w:rsidRPr="00570821">
        <w:t xml:space="preserve">The consequence of </w:t>
      </w:r>
      <w:r w:rsidRPr="00570821">
        <w:rPr>
          <w:b/>
          <w:bCs/>
        </w:rPr>
        <w:t xml:space="preserve">JA 1873 </w:t>
      </w:r>
      <w:r w:rsidRPr="00570821">
        <w:t xml:space="preserve">and </w:t>
      </w:r>
      <w:r w:rsidRPr="00570821">
        <w:rPr>
          <w:b/>
          <w:bCs/>
        </w:rPr>
        <w:t xml:space="preserve">JA 1875 </w:t>
      </w:r>
      <w:r w:rsidRPr="00570821">
        <w:t>is that the administration of the common law and equity has been fused.  The question remains as to whether the 2 systems of law have been fused in a substantive fashion or merely in a procedural sense, although there is some evidence that the development of common law and equity means that the 2 systems continue to remain separate and distinct.</w:t>
      </w:r>
    </w:p>
    <w:p w:rsidR="00570821" w:rsidRPr="00570821" w:rsidRDefault="00570821" w:rsidP="00570821">
      <w:pPr>
        <w:numPr>
          <w:ilvl w:val="0"/>
          <w:numId w:val="10"/>
        </w:numPr>
      </w:pPr>
      <w:r w:rsidRPr="00570821">
        <w:t xml:space="preserve">The concept of </w:t>
      </w:r>
      <w:r w:rsidRPr="00570821">
        <w:rPr>
          <w:b/>
          <w:bCs/>
          <w:i/>
          <w:iCs/>
        </w:rPr>
        <w:t xml:space="preserve">equity’s darling </w:t>
      </w:r>
      <w:r w:rsidRPr="00570821">
        <w:t>protects purchasers of unregistered land.</w:t>
      </w:r>
    </w:p>
    <w:p w:rsidR="00570821" w:rsidRDefault="00570821" w:rsidP="00570821">
      <w:pPr>
        <w:numPr>
          <w:ilvl w:val="0"/>
          <w:numId w:val="10"/>
        </w:numPr>
      </w:pPr>
      <w:r w:rsidRPr="00570821">
        <w:lastRenderedPageBreak/>
        <w:t>4. Equitable beneficial interests are not registrable, but a purchaser of land will take free of them if they are overreached.</w:t>
      </w:r>
    </w:p>
    <w:p w:rsidR="00570821" w:rsidRPr="00570821" w:rsidRDefault="00570821" w:rsidP="00570821">
      <w:pPr>
        <w:ind w:left="720"/>
      </w:pPr>
      <w:bookmarkStart w:id="0" w:name="_GoBack"/>
      <w:bookmarkEnd w:id="0"/>
    </w:p>
    <w:p w:rsidR="00570821" w:rsidRPr="00570821" w:rsidRDefault="00570821" w:rsidP="00570821">
      <w:r w:rsidRPr="00570821">
        <w:rPr>
          <w:b/>
          <w:bCs/>
          <w:i/>
          <w:iCs/>
        </w:rPr>
        <w:t>Key Cases</w:t>
      </w:r>
    </w:p>
    <w:p w:rsidR="00570821" w:rsidRPr="00570821" w:rsidRDefault="00570821" w:rsidP="00570821">
      <w:r w:rsidRPr="00570821">
        <w:rPr>
          <w:b/>
          <w:bCs/>
        </w:rPr>
        <w:t>Walsh v Lonsdale [1882]</w:t>
      </w:r>
    </w:p>
    <w:p w:rsidR="00570821" w:rsidRPr="00570821" w:rsidRDefault="00570821" w:rsidP="00570821">
      <w:r w:rsidRPr="00570821">
        <w:rPr>
          <w:b/>
          <w:bCs/>
        </w:rPr>
        <w:t>Penn v Lord Baltimore [1750]</w:t>
      </w:r>
    </w:p>
    <w:p w:rsidR="00570821" w:rsidRPr="00570821" w:rsidRDefault="00570821" w:rsidP="00570821">
      <w:r w:rsidRPr="00570821">
        <w:rPr>
          <w:b/>
          <w:bCs/>
        </w:rPr>
        <w:t>Lee v Haley [1869]</w:t>
      </w:r>
    </w:p>
    <w:p w:rsidR="00570821" w:rsidRPr="00570821" w:rsidRDefault="00570821" w:rsidP="00570821">
      <w:r w:rsidRPr="00570821">
        <w:rPr>
          <w:b/>
          <w:bCs/>
        </w:rPr>
        <w:t>O’Sullivan v Management Agency and Music Ltd [1985]</w:t>
      </w:r>
    </w:p>
    <w:p w:rsidR="00570821" w:rsidRPr="00570821" w:rsidRDefault="00570821" w:rsidP="00570821">
      <w:r w:rsidRPr="00570821">
        <w:rPr>
          <w:b/>
          <w:bCs/>
        </w:rPr>
        <w:t>Baker v Archer-</w:t>
      </w:r>
      <w:proofErr w:type="spellStart"/>
      <w:r w:rsidRPr="00570821">
        <w:rPr>
          <w:b/>
          <w:bCs/>
        </w:rPr>
        <w:t>Shee</w:t>
      </w:r>
      <w:proofErr w:type="spellEnd"/>
      <w:r w:rsidRPr="00570821">
        <w:rPr>
          <w:b/>
          <w:bCs/>
        </w:rPr>
        <w:t xml:space="preserve"> [1927]</w:t>
      </w:r>
    </w:p>
    <w:p w:rsidR="00570821" w:rsidRPr="00570821" w:rsidRDefault="00570821" w:rsidP="00570821">
      <w:proofErr w:type="spellStart"/>
      <w:r w:rsidRPr="00570821">
        <w:rPr>
          <w:b/>
          <w:bCs/>
        </w:rPr>
        <w:t>Schalit</w:t>
      </w:r>
      <w:proofErr w:type="spellEnd"/>
      <w:r w:rsidRPr="00570821">
        <w:rPr>
          <w:b/>
          <w:bCs/>
        </w:rPr>
        <w:t xml:space="preserve"> v Nadler [1933]</w:t>
      </w:r>
    </w:p>
    <w:p w:rsidR="00570821" w:rsidRPr="00570821" w:rsidRDefault="00570821" w:rsidP="00570821">
      <w:pPr>
        <w:ind w:left="720"/>
      </w:pPr>
    </w:p>
    <w:p w:rsidR="00EE5B58" w:rsidRPr="00EE5B58" w:rsidRDefault="00EE5B58" w:rsidP="00EE5B58"/>
    <w:p w:rsidR="00EE5B58" w:rsidRPr="00EE5B58" w:rsidRDefault="00EE5B58" w:rsidP="00EE5B58"/>
    <w:p w:rsidR="00EE5B58" w:rsidRPr="00EE5B58" w:rsidRDefault="00EE5B58" w:rsidP="00EE5B58">
      <w:pPr>
        <w:rPr>
          <w:b/>
          <w:bCs/>
          <w:u w:val="single"/>
        </w:rPr>
      </w:pPr>
    </w:p>
    <w:p w:rsidR="00EE5B58" w:rsidRPr="00EE5B58" w:rsidRDefault="00EE5B58" w:rsidP="00EE5B58"/>
    <w:p w:rsidR="00EE5B58" w:rsidRPr="00EE5B58" w:rsidRDefault="00EE5B58" w:rsidP="00EE5B58"/>
    <w:p w:rsidR="00EE5B58" w:rsidRPr="00EE5B58" w:rsidRDefault="00EE5B58" w:rsidP="00EE5B58"/>
    <w:p w:rsidR="003B0763" w:rsidRPr="003B0763" w:rsidRDefault="003B0763" w:rsidP="003B0763"/>
    <w:p w:rsidR="003B0763" w:rsidRPr="003B0763" w:rsidRDefault="003B0763" w:rsidP="003B0763"/>
    <w:p w:rsidR="003B0763" w:rsidRPr="003B0763" w:rsidRDefault="003B0763" w:rsidP="003B0763">
      <w:pPr>
        <w:rPr>
          <w:b/>
          <w:bCs/>
          <w:u w:val="single"/>
        </w:rPr>
      </w:pPr>
    </w:p>
    <w:p w:rsidR="003B0763" w:rsidRPr="003B0763" w:rsidRDefault="003B0763" w:rsidP="003B0763">
      <w:pPr>
        <w:rPr>
          <w:b/>
          <w:bCs/>
          <w:u w:val="single"/>
        </w:rPr>
      </w:pPr>
    </w:p>
    <w:p w:rsidR="003B0763" w:rsidRPr="003B0763" w:rsidRDefault="003B0763" w:rsidP="003B0763"/>
    <w:p w:rsidR="003B0763" w:rsidRPr="003B0763" w:rsidRDefault="003B0763" w:rsidP="003B0763"/>
    <w:p w:rsidR="003B0763" w:rsidRPr="003B0763" w:rsidRDefault="003B0763" w:rsidP="003B0763">
      <w:pPr>
        <w:rPr>
          <w:b/>
          <w:bCs/>
          <w:u w:val="single"/>
        </w:rPr>
      </w:pPr>
    </w:p>
    <w:p w:rsidR="00E02287" w:rsidRDefault="00E02287" w:rsidP="00372D5C">
      <w:pPr>
        <w:rPr>
          <w:b/>
          <w:bCs/>
          <w:sz w:val="28"/>
          <w:szCs w:val="28"/>
          <w:u w:val="single"/>
        </w:rPr>
      </w:pPr>
    </w:p>
    <w:p w:rsidR="00372D5C" w:rsidRDefault="00372D5C" w:rsidP="00372D5C">
      <w:pPr>
        <w:rPr>
          <w:b/>
          <w:bCs/>
          <w:sz w:val="28"/>
          <w:szCs w:val="28"/>
          <w:u w:val="single"/>
        </w:rPr>
      </w:pPr>
    </w:p>
    <w:p w:rsidR="00372D5C" w:rsidRDefault="00372D5C" w:rsidP="00372D5C">
      <w:pPr>
        <w:rPr>
          <w:b/>
          <w:bCs/>
          <w:sz w:val="28"/>
          <w:szCs w:val="28"/>
          <w:u w:val="single"/>
        </w:rPr>
      </w:pPr>
    </w:p>
    <w:p w:rsidR="00372D5C" w:rsidRPr="00372D5C" w:rsidRDefault="00372D5C" w:rsidP="00372D5C">
      <w:pPr>
        <w:rPr>
          <w:b/>
          <w:bCs/>
          <w:sz w:val="28"/>
          <w:szCs w:val="28"/>
          <w:u w:val="single"/>
        </w:rPr>
      </w:pPr>
    </w:p>
    <w:p w:rsidR="00372D5C" w:rsidRPr="00372D5C" w:rsidRDefault="00372D5C" w:rsidP="00372D5C">
      <w:pPr>
        <w:rPr>
          <w:i/>
          <w:iCs/>
        </w:rPr>
      </w:pPr>
    </w:p>
    <w:p w:rsidR="00372D5C" w:rsidRPr="00372D5C" w:rsidRDefault="00372D5C" w:rsidP="00372D5C"/>
    <w:p w:rsidR="00372D5C" w:rsidRDefault="00372D5C" w:rsidP="00372D5C">
      <w:pPr>
        <w:rPr>
          <w:b/>
          <w:bCs/>
          <w:i/>
          <w:iCs/>
        </w:rPr>
      </w:pPr>
    </w:p>
    <w:p w:rsidR="00372D5C" w:rsidRPr="00372D5C" w:rsidRDefault="00372D5C" w:rsidP="00372D5C">
      <w:pPr>
        <w:rPr>
          <w:b/>
          <w:bCs/>
          <w:i/>
          <w:iCs/>
        </w:rPr>
      </w:pPr>
    </w:p>
    <w:p w:rsidR="00372D5C" w:rsidRPr="00372D5C" w:rsidRDefault="00372D5C" w:rsidP="00372D5C">
      <w:pPr>
        <w:rPr>
          <w:b/>
          <w:bCs/>
          <w:i/>
          <w:iCs/>
        </w:rPr>
      </w:pPr>
    </w:p>
    <w:p w:rsidR="00372D5C" w:rsidRPr="00372D5C" w:rsidRDefault="00372D5C" w:rsidP="00372D5C">
      <w:pPr>
        <w:rPr>
          <w:b/>
          <w:bCs/>
          <w:i/>
          <w:iCs/>
        </w:rPr>
      </w:pPr>
    </w:p>
    <w:p w:rsidR="009B3B5F" w:rsidRPr="009B3B5F" w:rsidRDefault="009B3B5F" w:rsidP="009B3B5F">
      <w:pPr>
        <w:rPr>
          <w:b/>
          <w:bCs/>
          <w:i/>
          <w:iCs/>
        </w:rPr>
      </w:pPr>
    </w:p>
    <w:p w:rsidR="009B3B5F" w:rsidRPr="009B3B5F" w:rsidRDefault="009B3B5F" w:rsidP="009B3B5F">
      <w:pPr>
        <w:ind w:left="720"/>
      </w:pPr>
    </w:p>
    <w:p w:rsidR="009B3B5F" w:rsidRPr="009B3B5F" w:rsidRDefault="009B3B5F" w:rsidP="009B3B5F"/>
    <w:p w:rsidR="009B3B5F" w:rsidRPr="004B0487" w:rsidRDefault="009B3B5F" w:rsidP="004B0487">
      <w:pPr>
        <w:rPr>
          <w:b/>
          <w:bCs/>
          <w:i/>
          <w:iCs/>
        </w:rPr>
      </w:pPr>
    </w:p>
    <w:p w:rsidR="004B0487" w:rsidRPr="004B0487" w:rsidRDefault="004B0487" w:rsidP="004B0487">
      <w:pPr>
        <w:rPr>
          <w:b/>
          <w:bCs/>
          <w:i/>
          <w:iCs/>
        </w:rPr>
      </w:pPr>
    </w:p>
    <w:p w:rsidR="004B0487" w:rsidRPr="004B0487" w:rsidRDefault="004B0487" w:rsidP="004B0487">
      <w:pPr>
        <w:rPr>
          <w:i/>
          <w:iCs/>
        </w:rPr>
      </w:pPr>
    </w:p>
    <w:p w:rsidR="004B0487" w:rsidRPr="004B0487" w:rsidRDefault="004B0487" w:rsidP="004B0487">
      <w:pPr>
        <w:rPr>
          <w:b/>
          <w:bCs/>
          <w:i/>
          <w:iCs/>
        </w:rPr>
      </w:pPr>
    </w:p>
    <w:p w:rsidR="004B0487" w:rsidRPr="000A2D60" w:rsidRDefault="004B0487" w:rsidP="000A2D60"/>
    <w:p w:rsidR="000A2D60" w:rsidRPr="000A2D60" w:rsidRDefault="000A2D60" w:rsidP="000A2D60"/>
    <w:p w:rsidR="000A2D60" w:rsidRPr="000A2D60" w:rsidRDefault="000A2D60" w:rsidP="000A2D60"/>
    <w:p w:rsidR="000A2D60" w:rsidRPr="000A2D60" w:rsidRDefault="000A2D60" w:rsidP="000A2D60"/>
    <w:p w:rsidR="000A2D60" w:rsidRPr="000A2D60" w:rsidRDefault="000A2D60" w:rsidP="000A2D60"/>
    <w:p w:rsidR="005B544D" w:rsidRDefault="00570821"/>
    <w:sectPr w:rsidR="005B544D"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40234"/>
    <w:multiLevelType w:val="hybridMultilevel"/>
    <w:tmpl w:val="635C2852"/>
    <w:lvl w:ilvl="0" w:tplc="18363B2C">
      <w:start w:val="1"/>
      <w:numFmt w:val="decimal"/>
      <w:lvlText w:val="%1."/>
      <w:lvlJc w:val="left"/>
      <w:pPr>
        <w:tabs>
          <w:tab w:val="num" w:pos="720"/>
        </w:tabs>
        <w:ind w:left="720" w:hanging="360"/>
      </w:pPr>
    </w:lvl>
    <w:lvl w:ilvl="1" w:tplc="7AEE5F90" w:tentative="1">
      <w:start w:val="1"/>
      <w:numFmt w:val="decimal"/>
      <w:lvlText w:val="%2."/>
      <w:lvlJc w:val="left"/>
      <w:pPr>
        <w:tabs>
          <w:tab w:val="num" w:pos="1440"/>
        </w:tabs>
        <w:ind w:left="1440" w:hanging="360"/>
      </w:pPr>
    </w:lvl>
    <w:lvl w:ilvl="2" w:tplc="B6A2DF10" w:tentative="1">
      <w:start w:val="1"/>
      <w:numFmt w:val="decimal"/>
      <w:lvlText w:val="%3."/>
      <w:lvlJc w:val="left"/>
      <w:pPr>
        <w:tabs>
          <w:tab w:val="num" w:pos="2160"/>
        </w:tabs>
        <w:ind w:left="2160" w:hanging="360"/>
      </w:pPr>
    </w:lvl>
    <w:lvl w:ilvl="3" w:tplc="E218357E" w:tentative="1">
      <w:start w:val="1"/>
      <w:numFmt w:val="decimal"/>
      <w:lvlText w:val="%4."/>
      <w:lvlJc w:val="left"/>
      <w:pPr>
        <w:tabs>
          <w:tab w:val="num" w:pos="2880"/>
        </w:tabs>
        <w:ind w:left="2880" w:hanging="360"/>
      </w:pPr>
    </w:lvl>
    <w:lvl w:ilvl="4" w:tplc="703E7728" w:tentative="1">
      <w:start w:val="1"/>
      <w:numFmt w:val="decimal"/>
      <w:lvlText w:val="%5."/>
      <w:lvlJc w:val="left"/>
      <w:pPr>
        <w:tabs>
          <w:tab w:val="num" w:pos="3600"/>
        </w:tabs>
        <w:ind w:left="3600" w:hanging="360"/>
      </w:pPr>
    </w:lvl>
    <w:lvl w:ilvl="5" w:tplc="AEDC9FD8" w:tentative="1">
      <w:start w:val="1"/>
      <w:numFmt w:val="decimal"/>
      <w:lvlText w:val="%6."/>
      <w:lvlJc w:val="left"/>
      <w:pPr>
        <w:tabs>
          <w:tab w:val="num" w:pos="4320"/>
        </w:tabs>
        <w:ind w:left="4320" w:hanging="360"/>
      </w:pPr>
    </w:lvl>
    <w:lvl w:ilvl="6" w:tplc="93F228A2" w:tentative="1">
      <w:start w:val="1"/>
      <w:numFmt w:val="decimal"/>
      <w:lvlText w:val="%7."/>
      <w:lvlJc w:val="left"/>
      <w:pPr>
        <w:tabs>
          <w:tab w:val="num" w:pos="5040"/>
        </w:tabs>
        <w:ind w:left="5040" w:hanging="360"/>
      </w:pPr>
    </w:lvl>
    <w:lvl w:ilvl="7" w:tplc="18E67FBE" w:tentative="1">
      <w:start w:val="1"/>
      <w:numFmt w:val="decimal"/>
      <w:lvlText w:val="%8."/>
      <w:lvlJc w:val="left"/>
      <w:pPr>
        <w:tabs>
          <w:tab w:val="num" w:pos="5760"/>
        </w:tabs>
        <w:ind w:left="5760" w:hanging="360"/>
      </w:pPr>
    </w:lvl>
    <w:lvl w:ilvl="8" w:tplc="2370F3F2" w:tentative="1">
      <w:start w:val="1"/>
      <w:numFmt w:val="decimal"/>
      <w:lvlText w:val="%9."/>
      <w:lvlJc w:val="left"/>
      <w:pPr>
        <w:tabs>
          <w:tab w:val="num" w:pos="6480"/>
        </w:tabs>
        <w:ind w:left="6480" w:hanging="360"/>
      </w:pPr>
    </w:lvl>
  </w:abstractNum>
  <w:abstractNum w:abstractNumId="1" w15:restartNumberingAfterBreak="0">
    <w:nsid w:val="12CF3A7C"/>
    <w:multiLevelType w:val="hybridMultilevel"/>
    <w:tmpl w:val="B4FA6972"/>
    <w:lvl w:ilvl="0" w:tplc="976215E6">
      <w:start w:val="1"/>
      <w:numFmt w:val="lowerLetter"/>
      <w:lvlText w:val="%1."/>
      <w:lvlJc w:val="left"/>
      <w:pPr>
        <w:tabs>
          <w:tab w:val="num" w:pos="720"/>
        </w:tabs>
        <w:ind w:left="720" w:hanging="360"/>
      </w:pPr>
    </w:lvl>
    <w:lvl w:ilvl="1" w:tplc="7E3075A0" w:tentative="1">
      <w:start w:val="1"/>
      <w:numFmt w:val="lowerLetter"/>
      <w:lvlText w:val="%2."/>
      <w:lvlJc w:val="left"/>
      <w:pPr>
        <w:tabs>
          <w:tab w:val="num" w:pos="1440"/>
        </w:tabs>
        <w:ind w:left="1440" w:hanging="360"/>
      </w:pPr>
    </w:lvl>
    <w:lvl w:ilvl="2" w:tplc="DA5202CC" w:tentative="1">
      <w:start w:val="1"/>
      <w:numFmt w:val="lowerLetter"/>
      <w:lvlText w:val="%3."/>
      <w:lvlJc w:val="left"/>
      <w:pPr>
        <w:tabs>
          <w:tab w:val="num" w:pos="2160"/>
        </w:tabs>
        <w:ind w:left="2160" w:hanging="360"/>
      </w:pPr>
    </w:lvl>
    <w:lvl w:ilvl="3" w:tplc="99CA8762" w:tentative="1">
      <w:start w:val="1"/>
      <w:numFmt w:val="lowerLetter"/>
      <w:lvlText w:val="%4."/>
      <w:lvlJc w:val="left"/>
      <w:pPr>
        <w:tabs>
          <w:tab w:val="num" w:pos="2880"/>
        </w:tabs>
        <w:ind w:left="2880" w:hanging="360"/>
      </w:pPr>
    </w:lvl>
    <w:lvl w:ilvl="4" w:tplc="348A0834" w:tentative="1">
      <w:start w:val="1"/>
      <w:numFmt w:val="lowerLetter"/>
      <w:lvlText w:val="%5."/>
      <w:lvlJc w:val="left"/>
      <w:pPr>
        <w:tabs>
          <w:tab w:val="num" w:pos="3600"/>
        </w:tabs>
        <w:ind w:left="3600" w:hanging="360"/>
      </w:pPr>
    </w:lvl>
    <w:lvl w:ilvl="5" w:tplc="344A41D0" w:tentative="1">
      <w:start w:val="1"/>
      <w:numFmt w:val="lowerLetter"/>
      <w:lvlText w:val="%6."/>
      <w:lvlJc w:val="left"/>
      <w:pPr>
        <w:tabs>
          <w:tab w:val="num" w:pos="4320"/>
        </w:tabs>
        <w:ind w:left="4320" w:hanging="360"/>
      </w:pPr>
    </w:lvl>
    <w:lvl w:ilvl="6" w:tplc="2272CCF0" w:tentative="1">
      <w:start w:val="1"/>
      <w:numFmt w:val="lowerLetter"/>
      <w:lvlText w:val="%7."/>
      <w:lvlJc w:val="left"/>
      <w:pPr>
        <w:tabs>
          <w:tab w:val="num" w:pos="5040"/>
        </w:tabs>
        <w:ind w:left="5040" w:hanging="360"/>
      </w:pPr>
    </w:lvl>
    <w:lvl w:ilvl="7" w:tplc="D2CA30AE" w:tentative="1">
      <w:start w:val="1"/>
      <w:numFmt w:val="lowerLetter"/>
      <w:lvlText w:val="%8."/>
      <w:lvlJc w:val="left"/>
      <w:pPr>
        <w:tabs>
          <w:tab w:val="num" w:pos="5760"/>
        </w:tabs>
        <w:ind w:left="5760" w:hanging="360"/>
      </w:pPr>
    </w:lvl>
    <w:lvl w:ilvl="8" w:tplc="E42E4FFE" w:tentative="1">
      <w:start w:val="1"/>
      <w:numFmt w:val="lowerLetter"/>
      <w:lvlText w:val="%9."/>
      <w:lvlJc w:val="left"/>
      <w:pPr>
        <w:tabs>
          <w:tab w:val="num" w:pos="6480"/>
        </w:tabs>
        <w:ind w:left="6480" w:hanging="360"/>
      </w:pPr>
    </w:lvl>
  </w:abstractNum>
  <w:abstractNum w:abstractNumId="2" w15:restartNumberingAfterBreak="0">
    <w:nsid w:val="17414057"/>
    <w:multiLevelType w:val="hybridMultilevel"/>
    <w:tmpl w:val="C0D42D40"/>
    <w:lvl w:ilvl="0" w:tplc="6752397C">
      <w:start w:val="1"/>
      <w:numFmt w:val="bullet"/>
      <w:lvlText w:val=""/>
      <w:lvlJc w:val="left"/>
      <w:pPr>
        <w:tabs>
          <w:tab w:val="num" w:pos="720"/>
        </w:tabs>
        <w:ind w:left="720" w:hanging="360"/>
      </w:pPr>
      <w:rPr>
        <w:rFonts w:ascii="Wingdings 3" w:hAnsi="Wingdings 3" w:hint="default"/>
      </w:rPr>
    </w:lvl>
    <w:lvl w:ilvl="1" w:tplc="9488CFD6" w:tentative="1">
      <w:start w:val="1"/>
      <w:numFmt w:val="bullet"/>
      <w:lvlText w:val=""/>
      <w:lvlJc w:val="left"/>
      <w:pPr>
        <w:tabs>
          <w:tab w:val="num" w:pos="1440"/>
        </w:tabs>
        <w:ind w:left="1440" w:hanging="360"/>
      </w:pPr>
      <w:rPr>
        <w:rFonts w:ascii="Wingdings 3" w:hAnsi="Wingdings 3" w:hint="default"/>
      </w:rPr>
    </w:lvl>
    <w:lvl w:ilvl="2" w:tplc="BDE6D5EE" w:tentative="1">
      <w:start w:val="1"/>
      <w:numFmt w:val="bullet"/>
      <w:lvlText w:val=""/>
      <w:lvlJc w:val="left"/>
      <w:pPr>
        <w:tabs>
          <w:tab w:val="num" w:pos="2160"/>
        </w:tabs>
        <w:ind w:left="2160" w:hanging="360"/>
      </w:pPr>
      <w:rPr>
        <w:rFonts w:ascii="Wingdings 3" w:hAnsi="Wingdings 3" w:hint="default"/>
      </w:rPr>
    </w:lvl>
    <w:lvl w:ilvl="3" w:tplc="A3E65E52" w:tentative="1">
      <w:start w:val="1"/>
      <w:numFmt w:val="bullet"/>
      <w:lvlText w:val=""/>
      <w:lvlJc w:val="left"/>
      <w:pPr>
        <w:tabs>
          <w:tab w:val="num" w:pos="2880"/>
        </w:tabs>
        <w:ind w:left="2880" w:hanging="360"/>
      </w:pPr>
      <w:rPr>
        <w:rFonts w:ascii="Wingdings 3" w:hAnsi="Wingdings 3" w:hint="default"/>
      </w:rPr>
    </w:lvl>
    <w:lvl w:ilvl="4" w:tplc="07907B0C" w:tentative="1">
      <w:start w:val="1"/>
      <w:numFmt w:val="bullet"/>
      <w:lvlText w:val=""/>
      <w:lvlJc w:val="left"/>
      <w:pPr>
        <w:tabs>
          <w:tab w:val="num" w:pos="3600"/>
        </w:tabs>
        <w:ind w:left="3600" w:hanging="360"/>
      </w:pPr>
      <w:rPr>
        <w:rFonts w:ascii="Wingdings 3" w:hAnsi="Wingdings 3" w:hint="default"/>
      </w:rPr>
    </w:lvl>
    <w:lvl w:ilvl="5" w:tplc="FE00F0D2" w:tentative="1">
      <w:start w:val="1"/>
      <w:numFmt w:val="bullet"/>
      <w:lvlText w:val=""/>
      <w:lvlJc w:val="left"/>
      <w:pPr>
        <w:tabs>
          <w:tab w:val="num" w:pos="4320"/>
        </w:tabs>
        <w:ind w:left="4320" w:hanging="360"/>
      </w:pPr>
      <w:rPr>
        <w:rFonts w:ascii="Wingdings 3" w:hAnsi="Wingdings 3" w:hint="default"/>
      </w:rPr>
    </w:lvl>
    <w:lvl w:ilvl="6" w:tplc="67686994" w:tentative="1">
      <w:start w:val="1"/>
      <w:numFmt w:val="bullet"/>
      <w:lvlText w:val=""/>
      <w:lvlJc w:val="left"/>
      <w:pPr>
        <w:tabs>
          <w:tab w:val="num" w:pos="5040"/>
        </w:tabs>
        <w:ind w:left="5040" w:hanging="360"/>
      </w:pPr>
      <w:rPr>
        <w:rFonts w:ascii="Wingdings 3" w:hAnsi="Wingdings 3" w:hint="default"/>
      </w:rPr>
    </w:lvl>
    <w:lvl w:ilvl="7" w:tplc="D3088012" w:tentative="1">
      <w:start w:val="1"/>
      <w:numFmt w:val="bullet"/>
      <w:lvlText w:val=""/>
      <w:lvlJc w:val="left"/>
      <w:pPr>
        <w:tabs>
          <w:tab w:val="num" w:pos="5760"/>
        </w:tabs>
        <w:ind w:left="5760" w:hanging="360"/>
      </w:pPr>
      <w:rPr>
        <w:rFonts w:ascii="Wingdings 3" w:hAnsi="Wingdings 3" w:hint="default"/>
      </w:rPr>
    </w:lvl>
    <w:lvl w:ilvl="8" w:tplc="CFB2585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7B914A6"/>
    <w:multiLevelType w:val="hybridMultilevel"/>
    <w:tmpl w:val="8B827556"/>
    <w:lvl w:ilvl="0" w:tplc="F10881B6">
      <w:start w:val="1"/>
      <w:numFmt w:val="decimal"/>
      <w:lvlText w:val="%1."/>
      <w:lvlJc w:val="left"/>
      <w:pPr>
        <w:tabs>
          <w:tab w:val="num" w:pos="720"/>
        </w:tabs>
        <w:ind w:left="720" w:hanging="360"/>
      </w:pPr>
    </w:lvl>
    <w:lvl w:ilvl="1" w:tplc="989660A0" w:tentative="1">
      <w:start w:val="1"/>
      <w:numFmt w:val="decimal"/>
      <w:lvlText w:val="%2."/>
      <w:lvlJc w:val="left"/>
      <w:pPr>
        <w:tabs>
          <w:tab w:val="num" w:pos="1440"/>
        </w:tabs>
        <w:ind w:left="1440" w:hanging="360"/>
      </w:pPr>
    </w:lvl>
    <w:lvl w:ilvl="2" w:tplc="528E9884" w:tentative="1">
      <w:start w:val="1"/>
      <w:numFmt w:val="decimal"/>
      <w:lvlText w:val="%3."/>
      <w:lvlJc w:val="left"/>
      <w:pPr>
        <w:tabs>
          <w:tab w:val="num" w:pos="2160"/>
        </w:tabs>
        <w:ind w:left="2160" w:hanging="360"/>
      </w:pPr>
    </w:lvl>
    <w:lvl w:ilvl="3" w:tplc="9D2E7218" w:tentative="1">
      <w:start w:val="1"/>
      <w:numFmt w:val="decimal"/>
      <w:lvlText w:val="%4."/>
      <w:lvlJc w:val="left"/>
      <w:pPr>
        <w:tabs>
          <w:tab w:val="num" w:pos="2880"/>
        </w:tabs>
        <w:ind w:left="2880" w:hanging="360"/>
      </w:pPr>
    </w:lvl>
    <w:lvl w:ilvl="4" w:tplc="6F92930A" w:tentative="1">
      <w:start w:val="1"/>
      <w:numFmt w:val="decimal"/>
      <w:lvlText w:val="%5."/>
      <w:lvlJc w:val="left"/>
      <w:pPr>
        <w:tabs>
          <w:tab w:val="num" w:pos="3600"/>
        </w:tabs>
        <w:ind w:left="3600" w:hanging="360"/>
      </w:pPr>
    </w:lvl>
    <w:lvl w:ilvl="5" w:tplc="4FF28CEE" w:tentative="1">
      <w:start w:val="1"/>
      <w:numFmt w:val="decimal"/>
      <w:lvlText w:val="%6."/>
      <w:lvlJc w:val="left"/>
      <w:pPr>
        <w:tabs>
          <w:tab w:val="num" w:pos="4320"/>
        </w:tabs>
        <w:ind w:left="4320" w:hanging="360"/>
      </w:pPr>
    </w:lvl>
    <w:lvl w:ilvl="6" w:tplc="0D90C63E" w:tentative="1">
      <w:start w:val="1"/>
      <w:numFmt w:val="decimal"/>
      <w:lvlText w:val="%7."/>
      <w:lvlJc w:val="left"/>
      <w:pPr>
        <w:tabs>
          <w:tab w:val="num" w:pos="5040"/>
        </w:tabs>
        <w:ind w:left="5040" w:hanging="360"/>
      </w:pPr>
    </w:lvl>
    <w:lvl w:ilvl="7" w:tplc="CDC0CFAE" w:tentative="1">
      <w:start w:val="1"/>
      <w:numFmt w:val="decimal"/>
      <w:lvlText w:val="%8."/>
      <w:lvlJc w:val="left"/>
      <w:pPr>
        <w:tabs>
          <w:tab w:val="num" w:pos="5760"/>
        </w:tabs>
        <w:ind w:left="5760" w:hanging="360"/>
      </w:pPr>
    </w:lvl>
    <w:lvl w:ilvl="8" w:tplc="BD90DADA" w:tentative="1">
      <w:start w:val="1"/>
      <w:numFmt w:val="decimal"/>
      <w:lvlText w:val="%9."/>
      <w:lvlJc w:val="left"/>
      <w:pPr>
        <w:tabs>
          <w:tab w:val="num" w:pos="6480"/>
        </w:tabs>
        <w:ind w:left="6480" w:hanging="360"/>
      </w:pPr>
    </w:lvl>
  </w:abstractNum>
  <w:abstractNum w:abstractNumId="4" w15:restartNumberingAfterBreak="0">
    <w:nsid w:val="28435112"/>
    <w:multiLevelType w:val="hybridMultilevel"/>
    <w:tmpl w:val="F1282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1F6404"/>
    <w:multiLevelType w:val="hybridMultilevel"/>
    <w:tmpl w:val="556C8ED4"/>
    <w:lvl w:ilvl="0" w:tplc="E2E61556">
      <w:start w:val="1"/>
      <w:numFmt w:val="bullet"/>
      <w:lvlText w:val=""/>
      <w:lvlJc w:val="left"/>
      <w:pPr>
        <w:tabs>
          <w:tab w:val="num" w:pos="720"/>
        </w:tabs>
        <w:ind w:left="720" w:hanging="360"/>
      </w:pPr>
      <w:rPr>
        <w:rFonts w:ascii="Wingdings 3" w:hAnsi="Wingdings 3" w:hint="default"/>
      </w:rPr>
    </w:lvl>
    <w:lvl w:ilvl="1" w:tplc="E256B14E" w:tentative="1">
      <w:start w:val="1"/>
      <w:numFmt w:val="bullet"/>
      <w:lvlText w:val=""/>
      <w:lvlJc w:val="left"/>
      <w:pPr>
        <w:tabs>
          <w:tab w:val="num" w:pos="1440"/>
        </w:tabs>
        <w:ind w:left="1440" w:hanging="360"/>
      </w:pPr>
      <w:rPr>
        <w:rFonts w:ascii="Wingdings 3" w:hAnsi="Wingdings 3" w:hint="default"/>
      </w:rPr>
    </w:lvl>
    <w:lvl w:ilvl="2" w:tplc="9F8A20C2" w:tentative="1">
      <w:start w:val="1"/>
      <w:numFmt w:val="bullet"/>
      <w:lvlText w:val=""/>
      <w:lvlJc w:val="left"/>
      <w:pPr>
        <w:tabs>
          <w:tab w:val="num" w:pos="2160"/>
        </w:tabs>
        <w:ind w:left="2160" w:hanging="360"/>
      </w:pPr>
      <w:rPr>
        <w:rFonts w:ascii="Wingdings 3" w:hAnsi="Wingdings 3" w:hint="default"/>
      </w:rPr>
    </w:lvl>
    <w:lvl w:ilvl="3" w:tplc="2490072C" w:tentative="1">
      <w:start w:val="1"/>
      <w:numFmt w:val="bullet"/>
      <w:lvlText w:val=""/>
      <w:lvlJc w:val="left"/>
      <w:pPr>
        <w:tabs>
          <w:tab w:val="num" w:pos="2880"/>
        </w:tabs>
        <w:ind w:left="2880" w:hanging="360"/>
      </w:pPr>
      <w:rPr>
        <w:rFonts w:ascii="Wingdings 3" w:hAnsi="Wingdings 3" w:hint="default"/>
      </w:rPr>
    </w:lvl>
    <w:lvl w:ilvl="4" w:tplc="92ECD12C" w:tentative="1">
      <w:start w:val="1"/>
      <w:numFmt w:val="bullet"/>
      <w:lvlText w:val=""/>
      <w:lvlJc w:val="left"/>
      <w:pPr>
        <w:tabs>
          <w:tab w:val="num" w:pos="3600"/>
        </w:tabs>
        <w:ind w:left="3600" w:hanging="360"/>
      </w:pPr>
      <w:rPr>
        <w:rFonts w:ascii="Wingdings 3" w:hAnsi="Wingdings 3" w:hint="default"/>
      </w:rPr>
    </w:lvl>
    <w:lvl w:ilvl="5" w:tplc="01428220" w:tentative="1">
      <w:start w:val="1"/>
      <w:numFmt w:val="bullet"/>
      <w:lvlText w:val=""/>
      <w:lvlJc w:val="left"/>
      <w:pPr>
        <w:tabs>
          <w:tab w:val="num" w:pos="4320"/>
        </w:tabs>
        <w:ind w:left="4320" w:hanging="360"/>
      </w:pPr>
      <w:rPr>
        <w:rFonts w:ascii="Wingdings 3" w:hAnsi="Wingdings 3" w:hint="default"/>
      </w:rPr>
    </w:lvl>
    <w:lvl w:ilvl="6" w:tplc="99A6107C" w:tentative="1">
      <w:start w:val="1"/>
      <w:numFmt w:val="bullet"/>
      <w:lvlText w:val=""/>
      <w:lvlJc w:val="left"/>
      <w:pPr>
        <w:tabs>
          <w:tab w:val="num" w:pos="5040"/>
        </w:tabs>
        <w:ind w:left="5040" w:hanging="360"/>
      </w:pPr>
      <w:rPr>
        <w:rFonts w:ascii="Wingdings 3" w:hAnsi="Wingdings 3" w:hint="default"/>
      </w:rPr>
    </w:lvl>
    <w:lvl w:ilvl="7" w:tplc="E56A9774" w:tentative="1">
      <w:start w:val="1"/>
      <w:numFmt w:val="bullet"/>
      <w:lvlText w:val=""/>
      <w:lvlJc w:val="left"/>
      <w:pPr>
        <w:tabs>
          <w:tab w:val="num" w:pos="5760"/>
        </w:tabs>
        <w:ind w:left="5760" w:hanging="360"/>
      </w:pPr>
      <w:rPr>
        <w:rFonts w:ascii="Wingdings 3" w:hAnsi="Wingdings 3" w:hint="default"/>
      </w:rPr>
    </w:lvl>
    <w:lvl w:ilvl="8" w:tplc="CD641FD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C27263B"/>
    <w:multiLevelType w:val="hybridMultilevel"/>
    <w:tmpl w:val="9E9A1836"/>
    <w:lvl w:ilvl="0" w:tplc="27CE9832">
      <w:start w:val="1"/>
      <w:numFmt w:val="decimal"/>
      <w:lvlText w:val="%1."/>
      <w:lvlJc w:val="left"/>
      <w:pPr>
        <w:tabs>
          <w:tab w:val="num" w:pos="720"/>
        </w:tabs>
        <w:ind w:left="720" w:hanging="360"/>
      </w:pPr>
    </w:lvl>
    <w:lvl w:ilvl="1" w:tplc="24A40600" w:tentative="1">
      <w:start w:val="1"/>
      <w:numFmt w:val="decimal"/>
      <w:lvlText w:val="%2."/>
      <w:lvlJc w:val="left"/>
      <w:pPr>
        <w:tabs>
          <w:tab w:val="num" w:pos="1440"/>
        </w:tabs>
        <w:ind w:left="1440" w:hanging="360"/>
      </w:pPr>
    </w:lvl>
    <w:lvl w:ilvl="2" w:tplc="7B026A44" w:tentative="1">
      <w:start w:val="1"/>
      <w:numFmt w:val="decimal"/>
      <w:lvlText w:val="%3."/>
      <w:lvlJc w:val="left"/>
      <w:pPr>
        <w:tabs>
          <w:tab w:val="num" w:pos="2160"/>
        </w:tabs>
        <w:ind w:left="2160" w:hanging="360"/>
      </w:pPr>
    </w:lvl>
    <w:lvl w:ilvl="3" w:tplc="2A02098C" w:tentative="1">
      <w:start w:val="1"/>
      <w:numFmt w:val="decimal"/>
      <w:lvlText w:val="%4."/>
      <w:lvlJc w:val="left"/>
      <w:pPr>
        <w:tabs>
          <w:tab w:val="num" w:pos="2880"/>
        </w:tabs>
        <w:ind w:left="2880" w:hanging="360"/>
      </w:pPr>
    </w:lvl>
    <w:lvl w:ilvl="4" w:tplc="956A93C8" w:tentative="1">
      <w:start w:val="1"/>
      <w:numFmt w:val="decimal"/>
      <w:lvlText w:val="%5."/>
      <w:lvlJc w:val="left"/>
      <w:pPr>
        <w:tabs>
          <w:tab w:val="num" w:pos="3600"/>
        </w:tabs>
        <w:ind w:left="3600" w:hanging="360"/>
      </w:pPr>
    </w:lvl>
    <w:lvl w:ilvl="5" w:tplc="E0B8918C" w:tentative="1">
      <w:start w:val="1"/>
      <w:numFmt w:val="decimal"/>
      <w:lvlText w:val="%6."/>
      <w:lvlJc w:val="left"/>
      <w:pPr>
        <w:tabs>
          <w:tab w:val="num" w:pos="4320"/>
        </w:tabs>
        <w:ind w:left="4320" w:hanging="360"/>
      </w:pPr>
    </w:lvl>
    <w:lvl w:ilvl="6" w:tplc="445A9394" w:tentative="1">
      <w:start w:val="1"/>
      <w:numFmt w:val="decimal"/>
      <w:lvlText w:val="%7."/>
      <w:lvlJc w:val="left"/>
      <w:pPr>
        <w:tabs>
          <w:tab w:val="num" w:pos="5040"/>
        </w:tabs>
        <w:ind w:left="5040" w:hanging="360"/>
      </w:pPr>
    </w:lvl>
    <w:lvl w:ilvl="7" w:tplc="27C28638" w:tentative="1">
      <w:start w:val="1"/>
      <w:numFmt w:val="decimal"/>
      <w:lvlText w:val="%8."/>
      <w:lvlJc w:val="left"/>
      <w:pPr>
        <w:tabs>
          <w:tab w:val="num" w:pos="5760"/>
        </w:tabs>
        <w:ind w:left="5760" w:hanging="360"/>
      </w:pPr>
    </w:lvl>
    <w:lvl w:ilvl="8" w:tplc="B0B6B29A" w:tentative="1">
      <w:start w:val="1"/>
      <w:numFmt w:val="decimal"/>
      <w:lvlText w:val="%9."/>
      <w:lvlJc w:val="left"/>
      <w:pPr>
        <w:tabs>
          <w:tab w:val="num" w:pos="6480"/>
        </w:tabs>
        <w:ind w:left="6480" w:hanging="360"/>
      </w:pPr>
    </w:lvl>
  </w:abstractNum>
  <w:abstractNum w:abstractNumId="7" w15:restartNumberingAfterBreak="0">
    <w:nsid w:val="56971E65"/>
    <w:multiLevelType w:val="hybridMultilevel"/>
    <w:tmpl w:val="7C008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B1571A"/>
    <w:multiLevelType w:val="hybridMultilevel"/>
    <w:tmpl w:val="9F609408"/>
    <w:lvl w:ilvl="0" w:tplc="7626FBB0">
      <w:start w:val="1"/>
      <w:numFmt w:val="bullet"/>
      <w:lvlText w:val=""/>
      <w:lvlJc w:val="left"/>
      <w:pPr>
        <w:tabs>
          <w:tab w:val="num" w:pos="720"/>
        </w:tabs>
        <w:ind w:left="720" w:hanging="360"/>
      </w:pPr>
      <w:rPr>
        <w:rFonts w:ascii="Wingdings 3" w:hAnsi="Wingdings 3" w:hint="default"/>
      </w:rPr>
    </w:lvl>
    <w:lvl w:ilvl="1" w:tplc="12826AC4" w:tentative="1">
      <w:start w:val="1"/>
      <w:numFmt w:val="bullet"/>
      <w:lvlText w:val=""/>
      <w:lvlJc w:val="left"/>
      <w:pPr>
        <w:tabs>
          <w:tab w:val="num" w:pos="1440"/>
        </w:tabs>
        <w:ind w:left="1440" w:hanging="360"/>
      </w:pPr>
      <w:rPr>
        <w:rFonts w:ascii="Wingdings 3" w:hAnsi="Wingdings 3" w:hint="default"/>
      </w:rPr>
    </w:lvl>
    <w:lvl w:ilvl="2" w:tplc="4D22A050" w:tentative="1">
      <w:start w:val="1"/>
      <w:numFmt w:val="bullet"/>
      <w:lvlText w:val=""/>
      <w:lvlJc w:val="left"/>
      <w:pPr>
        <w:tabs>
          <w:tab w:val="num" w:pos="2160"/>
        </w:tabs>
        <w:ind w:left="2160" w:hanging="360"/>
      </w:pPr>
      <w:rPr>
        <w:rFonts w:ascii="Wingdings 3" w:hAnsi="Wingdings 3" w:hint="default"/>
      </w:rPr>
    </w:lvl>
    <w:lvl w:ilvl="3" w:tplc="A9F0DA66" w:tentative="1">
      <w:start w:val="1"/>
      <w:numFmt w:val="bullet"/>
      <w:lvlText w:val=""/>
      <w:lvlJc w:val="left"/>
      <w:pPr>
        <w:tabs>
          <w:tab w:val="num" w:pos="2880"/>
        </w:tabs>
        <w:ind w:left="2880" w:hanging="360"/>
      </w:pPr>
      <w:rPr>
        <w:rFonts w:ascii="Wingdings 3" w:hAnsi="Wingdings 3" w:hint="default"/>
      </w:rPr>
    </w:lvl>
    <w:lvl w:ilvl="4" w:tplc="364EDF04" w:tentative="1">
      <w:start w:val="1"/>
      <w:numFmt w:val="bullet"/>
      <w:lvlText w:val=""/>
      <w:lvlJc w:val="left"/>
      <w:pPr>
        <w:tabs>
          <w:tab w:val="num" w:pos="3600"/>
        </w:tabs>
        <w:ind w:left="3600" w:hanging="360"/>
      </w:pPr>
      <w:rPr>
        <w:rFonts w:ascii="Wingdings 3" w:hAnsi="Wingdings 3" w:hint="default"/>
      </w:rPr>
    </w:lvl>
    <w:lvl w:ilvl="5" w:tplc="4A6ECBCA" w:tentative="1">
      <w:start w:val="1"/>
      <w:numFmt w:val="bullet"/>
      <w:lvlText w:val=""/>
      <w:lvlJc w:val="left"/>
      <w:pPr>
        <w:tabs>
          <w:tab w:val="num" w:pos="4320"/>
        </w:tabs>
        <w:ind w:left="4320" w:hanging="360"/>
      </w:pPr>
      <w:rPr>
        <w:rFonts w:ascii="Wingdings 3" w:hAnsi="Wingdings 3" w:hint="default"/>
      </w:rPr>
    </w:lvl>
    <w:lvl w:ilvl="6" w:tplc="9F2E434E" w:tentative="1">
      <w:start w:val="1"/>
      <w:numFmt w:val="bullet"/>
      <w:lvlText w:val=""/>
      <w:lvlJc w:val="left"/>
      <w:pPr>
        <w:tabs>
          <w:tab w:val="num" w:pos="5040"/>
        </w:tabs>
        <w:ind w:left="5040" w:hanging="360"/>
      </w:pPr>
      <w:rPr>
        <w:rFonts w:ascii="Wingdings 3" w:hAnsi="Wingdings 3" w:hint="default"/>
      </w:rPr>
    </w:lvl>
    <w:lvl w:ilvl="7" w:tplc="91E6D226" w:tentative="1">
      <w:start w:val="1"/>
      <w:numFmt w:val="bullet"/>
      <w:lvlText w:val=""/>
      <w:lvlJc w:val="left"/>
      <w:pPr>
        <w:tabs>
          <w:tab w:val="num" w:pos="5760"/>
        </w:tabs>
        <w:ind w:left="5760" w:hanging="360"/>
      </w:pPr>
      <w:rPr>
        <w:rFonts w:ascii="Wingdings 3" w:hAnsi="Wingdings 3" w:hint="default"/>
      </w:rPr>
    </w:lvl>
    <w:lvl w:ilvl="8" w:tplc="83909564"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6B01617"/>
    <w:multiLevelType w:val="hybridMultilevel"/>
    <w:tmpl w:val="30DCC506"/>
    <w:lvl w:ilvl="0" w:tplc="0E7C24DA">
      <w:start w:val="1"/>
      <w:numFmt w:val="bullet"/>
      <w:lvlText w:val=""/>
      <w:lvlJc w:val="left"/>
      <w:pPr>
        <w:tabs>
          <w:tab w:val="num" w:pos="720"/>
        </w:tabs>
        <w:ind w:left="720" w:hanging="360"/>
      </w:pPr>
      <w:rPr>
        <w:rFonts w:ascii="Wingdings 3" w:hAnsi="Wingdings 3" w:hint="default"/>
      </w:rPr>
    </w:lvl>
    <w:lvl w:ilvl="1" w:tplc="427AB3F6" w:tentative="1">
      <w:start w:val="1"/>
      <w:numFmt w:val="bullet"/>
      <w:lvlText w:val=""/>
      <w:lvlJc w:val="left"/>
      <w:pPr>
        <w:tabs>
          <w:tab w:val="num" w:pos="1440"/>
        </w:tabs>
        <w:ind w:left="1440" w:hanging="360"/>
      </w:pPr>
      <w:rPr>
        <w:rFonts w:ascii="Wingdings 3" w:hAnsi="Wingdings 3" w:hint="default"/>
      </w:rPr>
    </w:lvl>
    <w:lvl w:ilvl="2" w:tplc="9A401022" w:tentative="1">
      <w:start w:val="1"/>
      <w:numFmt w:val="bullet"/>
      <w:lvlText w:val=""/>
      <w:lvlJc w:val="left"/>
      <w:pPr>
        <w:tabs>
          <w:tab w:val="num" w:pos="2160"/>
        </w:tabs>
        <w:ind w:left="2160" w:hanging="360"/>
      </w:pPr>
      <w:rPr>
        <w:rFonts w:ascii="Wingdings 3" w:hAnsi="Wingdings 3" w:hint="default"/>
      </w:rPr>
    </w:lvl>
    <w:lvl w:ilvl="3" w:tplc="51906156" w:tentative="1">
      <w:start w:val="1"/>
      <w:numFmt w:val="bullet"/>
      <w:lvlText w:val=""/>
      <w:lvlJc w:val="left"/>
      <w:pPr>
        <w:tabs>
          <w:tab w:val="num" w:pos="2880"/>
        </w:tabs>
        <w:ind w:left="2880" w:hanging="360"/>
      </w:pPr>
      <w:rPr>
        <w:rFonts w:ascii="Wingdings 3" w:hAnsi="Wingdings 3" w:hint="default"/>
      </w:rPr>
    </w:lvl>
    <w:lvl w:ilvl="4" w:tplc="B30A2CDE" w:tentative="1">
      <w:start w:val="1"/>
      <w:numFmt w:val="bullet"/>
      <w:lvlText w:val=""/>
      <w:lvlJc w:val="left"/>
      <w:pPr>
        <w:tabs>
          <w:tab w:val="num" w:pos="3600"/>
        </w:tabs>
        <w:ind w:left="3600" w:hanging="360"/>
      </w:pPr>
      <w:rPr>
        <w:rFonts w:ascii="Wingdings 3" w:hAnsi="Wingdings 3" w:hint="default"/>
      </w:rPr>
    </w:lvl>
    <w:lvl w:ilvl="5" w:tplc="BC3E29BE" w:tentative="1">
      <w:start w:val="1"/>
      <w:numFmt w:val="bullet"/>
      <w:lvlText w:val=""/>
      <w:lvlJc w:val="left"/>
      <w:pPr>
        <w:tabs>
          <w:tab w:val="num" w:pos="4320"/>
        </w:tabs>
        <w:ind w:left="4320" w:hanging="360"/>
      </w:pPr>
      <w:rPr>
        <w:rFonts w:ascii="Wingdings 3" w:hAnsi="Wingdings 3" w:hint="default"/>
      </w:rPr>
    </w:lvl>
    <w:lvl w:ilvl="6" w:tplc="AA5AC926" w:tentative="1">
      <w:start w:val="1"/>
      <w:numFmt w:val="bullet"/>
      <w:lvlText w:val=""/>
      <w:lvlJc w:val="left"/>
      <w:pPr>
        <w:tabs>
          <w:tab w:val="num" w:pos="5040"/>
        </w:tabs>
        <w:ind w:left="5040" w:hanging="360"/>
      </w:pPr>
      <w:rPr>
        <w:rFonts w:ascii="Wingdings 3" w:hAnsi="Wingdings 3" w:hint="default"/>
      </w:rPr>
    </w:lvl>
    <w:lvl w:ilvl="7" w:tplc="60A2C1AE" w:tentative="1">
      <w:start w:val="1"/>
      <w:numFmt w:val="bullet"/>
      <w:lvlText w:val=""/>
      <w:lvlJc w:val="left"/>
      <w:pPr>
        <w:tabs>
          <w:tab w:val="num" w:pos="5760"/>
        </w:tabs>
        <w:ind w:left="5760" w:hanging="360"/>
      </w:pPr>
      <w:rPr>
        <w:rFonts w:ascii="Wingdings 3" w:hAnsi="Wingdings 3" w:hint="default"/>
      </w:rPr>
    </w:lvl>
    <w:lvl w:ilvl="8" w:tplc="C0B43820"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7"/>
  </w:num>
  <w:num w:numId="3">
    <w:abstractNumId w:val="1"/>
  </w:num>
  <w:num w:numId="4">
    <w:abstractNumId w:val="5"/>
  </w:num>
  <w:num w:numId="5">
    <w:abstractNumId w:val="9"/>
  </w:num>
  <w:num w:numId="6">
    <w:abstractNumId w:val="2"/>
  </w:num>
  <w:num w:numId="7">
    <w:abstractNumId w:val="8"/>
  </w:num>
  <w:num w:numId="8">
    <w:abstractNumId w:val="6"/>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D60"/>
    <w:rsid w:val="000A2D60"/>
    <w:rsid w:val="00372D5C"/>
    <w:rsid w:val="003B0763"/>
    <w:rsid w:val="004B0487"/>
    <w:rsid w:val="00570821"/>
    <w:rsid w:val="005C6E88"/>
    <w:rsid w:val="00880DB3"/>
    <w:rsid w:val="009B3B5F"/>
    <w:rsid w:val="00E02287"/>
    <w:rsid w:val="00EE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C233F"/>
  <w15:chartTrackingRefBased/>
  <w15:docId w15:val="{14633D1C-37B7-A64C-B319-228C229FB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0487"/>
    <w:pPr>
      <w:ind w:left="720"/>
      <w:contextualSpacing/>
    </w:pPr>
  </w:style>
  <w:style w:type="paragraph" w:styleId="NormalWeb">
    <w:name w:val="Normal (Web)"/>
    <w:basedOn w:val="Normal"/>
    <w:uiPriority w:val="99"/>
    <w:semiHidden/>
    <w:unhideWhenUsed/>
    <w:rsid w:val="009B3B5F"/>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98877">
      <w:bodyDiv w:val="1"/>
      <w:marLeft w:val="0"/>
      <w:marRight w:val="0"/>
      <w:marTop w:val="0"/>
      <w:marBottom w:val="0"/>
      <w:divBdr>
        <w:top w:val="none" w:sz="0" w:space="0" w:color="auto"/>
        <w:left w:val="none" w:sz="0" w:space="0" w:color="auto"/>
        <w:bottom w:val="none" w:sz="0" w:space="0" w:color="auto"/>
        <w:right w:val="none" w:sz="0" w:space="0" w:color="auto"/>
      </w:divBdr>
    </w:div>
    <w:div w:id="50006926">
      <w:bodyDiv w:val="1"/>
      <w:marLeft w:val="0"/>
      <w:marRight w:val="0"/>
      <w:marTop w:val="0"/>
      <w:marBottom w:val="0"/>
      <w:divBdr>
        <w:top w:val="none" w:sz="0" w:space="0" w:color="auto"/>
        <w:left w:val="none" w:sz="0" w:space="0" w:color="auto"/>
        <w:bottom w:val="none" w:sz="0" w:space="0" w:color="auto"/>
        <w:right w:val="none" w:sz="0" w:space="0" w:color="auto"/>
      </w:divBdr>
    </w:div>
    <w:div w:id="55708281">
      <w:bodyDiv w:val="1"/>
      <w:marLeft w:val="0"/>
      <w:marRight w:val="0"/>
      <w:marTop w:val="0"/>
      <w:marBottom w:val="0"/>
      <w:divBdr>
        <w:top w:val="none" w:sz="0" w:space="0" w:color="auto"/>
        <w:left w:val="none" w:sz="0" w:space="0" w:color="auto"/>
        <w:bottom w:val="none" w:sz="0" w:space="0" w:color="auto"/>
        <w:right w:val="none" w:sz="0" w:space="0" w:color="auto"/>
      </w:divBdr>
    </w:div>
    <w:div w:id="60250317">
      <w:bodyDiv w:val="1"/>
      <w:marLeft w:val="0"/>
      <w:marRight w:val="0"/>
      <w:marTop w:val="0"/>
      <w:marBottom w:val="0"/>
      <w:divBdr>
        <w:top w:val="none" w:sz="0" w:space="0" w:color="auto"/>
        <w:left w:val="none" w:sz="0" w:space="0" w:color="auto"/>
        <w:bottom w:val="none" w:sz="0" w:space="0" w:color="auto"/>
        <w:right w:val="none" w:sz="0" w:space="0" w:color="auto"/>
      </w:divBdr>
    </w:div>
    <w:div w:id="116684431">
      <w:bodyDiv w:val="1"/>
      <w:marLeft w:val="0"/>
      <w:marRight w:val="0"/>
      <w:marTop w:val="0"/>
      <w:marBottom w:val="0"/>
      <w:divBdr>
        <w:top w:val="none" w:sz="0" w:space="0" w:color="auto"/>
        <w:left w:val="none" w:sz="0" w:space="0" w:color="auto"/>
        <w:bottom w:val="none" w:sz="0" w:space="0" w:color="auto"/>
        <w:right w:val="none" w:sz="0" w:space="0" w:color="auto"/>
      </w:divBdr>
    </w:div>
    <w:div w:id="119883983">
      <w:bodyDiv w:val="1"/>
      <w:marLeft w:val="0"/>
      <w:marRight w:val="0"/>
      <w:marTop w:val="0"/>
      <w:marBottom w:val="0"/>
      <w:divBdr>
        <w:top w:val="none" w:sz="0" w:space="0" w:color="auto"/>
        <w:left w:val="none" w:sz="0" w:space="0" w:color="auto"/>
        <w:bottom w:val="none" w:sz="0" w:space="0" w:color="auto"/>
        <w:right w:val="none" w:sz="0" w:space="0" w:color="auto"/>
      </w:divBdr>
    </w:div>
    <w:div w:id="139426407">
      <w:bodyDiv w:val="1"/>
      <w:marLeft w:val="0"/>
      <w:marRight w:val="0"/>
      <w:marTop w:val="0"/>
      <w:marBottom w:val="0"/>
      <w:divBdr>
        <w:top w:val="none" w:sz="0" w:space="0" w:color="auto"/>
        <w:left w:val="none" w:sz="0" w:space="0" w:color="auto"/>
        <w:bottom w:val="none" w:sz="0" w:space="0" w:color="auto"/>
        <w:right w:val="none" w:sz="0" w:space="0" w:color="auto"/>
      </w:divBdr>
    </w:div>
    <w:div w:id="181434214">
      <w:bodyDiv w:val="1"/>
      <w:marLeft w:val="0"/>
      <w:marRight w:val="0"/>
      <w:marTop w:val="0"/>
      <w:marBottom w:val="0"/>
      <w:divBdr>
        <w:top w:val="none" w:sz="0" w:space="0" w:color="auto"/>
        <w:left w:val="none" w:sz="0" w:space="0" w:color="auto"/>
        <w:bottom w:val="none" w:sz="0" w:space="0" w:color="auto"/>
        <w:right w:val="none" w:sz="0" w:space="0" w:color="auto"/>
      </w:divBdr>
    </w:div>
    <w:div w:id="185337001">
      <w:bodyDiv w:val="1"/>
      <w:marLeft w:val="0"/>
      <w:marRight w:val="0"/>
      <w:marTop w:val="0"/>
      <w:marBottom w:val="0"/>
      <w:divBdr>
        <w:top w:val="none" w:sz="0" w:space="0" w:color="auto"/>
        <w:left w:val="none" w:sz="0" w:space="0" w:color="auto"/>
        <w:bottom w:val="none" w:sz="0" w:space="0" w:color="auto"/>
        <w:right w:val="none" w:sz="0" w:space="0" w:color="auto"/>
      </w:divBdr>
    </w:div>
    <w:div w:id="228731001">
      <w:bodyDiv w:val="1"/>
      <w:marLeft w:val="0"/>
      <w:marRight w:val="0"/>
      <w:marTop w:val="0"/>
      <w:marBottom w:val="0"/>
      <w:divBdr>
        <w:top w:val="none" w:sz="0" w:space="0" w:color="auto"/>
        <w:left w:val="none" w:sz="0" w:space="0" w:color="auto"/>
        <w:bottom w:val="none" w:sz="0" w:space="0" w:color="auto"/>
        <w:right w:val="none" w:sz="0" w:space="0" w:color="auto"/>
      </w:divBdr>
    </w:div>
    <w:div w:id="282154110">
      <w:bodyDiv w:val="1"/>
      <w:marLeft w:val="0"/>
      <w:marRight w:val="0"/>
      <w:marTop w:val="0"/>
      <w:marBottom w:val="0"/>
      <w:divBdr>
        <w:top w:val="none" w:sz="0" w:space="0" w:color="auto"/>
        <w:left w:val="none" w:sz="0" w:space="0" w:color="auto"/>
        <w:bottom w:val="none" w:sz="0" w:space="0" w:color="auto"/>
        <w:right w:val="none" w:sz="0" w:space="0" w:color="auto"/>
      </w:divBdr>
    </w:div>
    <w:div w:id="291206693">
      <w:bodyDiv w:val="1"/>
      <w:marLeft w:val="0"/>
      <w:marRight w:val="0"/>
      <w:marTop w:val="0"/>
      <w:marBottom w:val="0"/>
      <w:divBdr>
        <w:top w:val="none" w:sz="0" w:space="0" w:color="auto"/>
        <w:left w:val="none" w:sz="0" w:space="0" w:color="auto"/>
        <w:bottom w:val="none" w:sz="0" w:space="0" w:color="auto"/>
        <w:right w:val="none" w:sz="0" w:space="0" w:color="auto"/>
      </w:divBdr>
    </w:div>
    <w:div w:id="318734011">
      <w:bodyDiv w:val="1"/>
      <w:marLeft w:val="0"/>
      <w:marRight w:val="0"/>
      <w:marTop w:val="0"/>
      <w:marBottom w:val="0"/>
      <w:divBdr>
        <w:top w:val="none" w:sz="0" w:space="0" w:color="auto"/>
        <w:left w:val="none" w:sz="0" w:space="0" w:color="auto"/>
        <w:bottom w:val="none" w:sz="0" w:space="0" w:color="auto"/>
        <w:right w:val="none" w:sz="0" w:space="0" w:color="auto"/>
      </w:divBdr>
    </w:div>
    <w:div w:id="322974066">
      <w:bodyDiv w:val="1"/>
      <w:marLeft w:val="0"/>
      <w:marRight w:val="0"/>
      <w:marTop w:val="0"/>
      <w:marBottom w:val="0"/>
      <w:divBdr>
        <w:top w:val="none" w:sz="0" w:space="0" w:color="auto"/>
        <w:left w:val="none" w:sz="0" w:space="0" w:color="auto"/>
        <w:bottom w:val="none" w:sz="0" w:space="0" w:color="auto"/>
        <w:right w:val="none" w:sz="0" w:space="0" w:color="auto"/>
      </w:divBdr>
    </w:div>
    <w:div w:id="349111201">
      <w:bodyDiv w:val="1"/>
      <w:marLeft w:val="0"/>
      <w:marRight w:val="0"/>
      <w:marTop w:val="0"/>
      <w:marBottom w:val="0"/>
      <w:divBdr>
        <w:top w:val="none" w:sz="0" w:space="0" w:color="auto"/>
        <w:left w:val="none" w:sz="0" w:space="0" w:color="auto"/>
        <w:bottom w:val="none" w:sz="0" w:space="0" w:color="auto"/>
        <w:right w:val="none" w:sz="0" w:space="0" w:color="auto"/>
      </w:divBdr>
    </w:div>
    <w:div w:id="416680111">
      <w:bodyDiv w:val="1"/>
      <w:marLeft w:val="0"/>
      <w:marRight w:val="0"/>
      <w:marTop w:val="0"/>
      <w:marBottom w:val="0"/>
      <w:divBdr>
        <w:top w:val="none" w:sz="0" w:space="0" w:color="auto"/>
        <w:left w:val="none" w:sz="0" w:space="0" w:color="auto"/>
        <w:bottom w:val="none" w:sz="0" w:space="0" w:color="auto"/>
        <w:right w:val="none" w:sz="0" w:space="0" w:color="auto"/>
      </w:divBdr>
    </w:div>
    <w:div w:id="473524799">
      <w:bodyDiv w:val="1"/>
      <w:marLeft w:val="0"/>
      <w:marRight w:val="0"/>
      <w:marTop w:val="0"/>
      <w:marBottom w:val="0"/>
      <w:divBdr>
        <w:top w:val="none" w:sz="0" w:space="0" w:color="auto"/>
        <w:left w:val="none" w:sz="0" w:space="0" w:color="auto"/>
        <w:bottom w:val="none" w:sz="0" w:space="0" w:color="auto"/>
        <w:right w:val="none" w:sz="0" w:space="0" w:color="auto"/>
      </w:divBdr>
    </w:div>
    <w:div w:id="513886450">
      <w:bodyDiv w:val="1"/>
      <w:marLeft w:val="0"/>
      <w:marRight w:val="0"/>
      <w:marTop w:val="0"/>
      <w:marBottom w:val="0"/>
      <w:divBdr>
        <w:top w:val="none" w:sz="0" w:space="0" w:color="auto"/>
        <w:left w:val="none" w:sz="0" w:space="0" w:color="auto"/>
        <w:bottom w:val="none" w:sz="0" w:space="0" w:color="auto"/>
        <w:right w:val="none" w:sz="0" w:space="0" w:color="auto"/>
      </w:divBdr>
      <w:divsChild>
        <w:div w:id="1814713038">
          <w:marLeft w:val="547"/>
          <w:marRight w:val="0"/>
          <w:marTop w:val="200"/>
          <w:marBottom w:val="0"/>
          <w:divBdr>
            <w:top w:val="none" w:sz="0" w:space="0" w:color="auto"/>
            <w:left w:val="none" w:sz="0" w:space="0" w:color="auto"/>
            <w:bottom w:val="none" w:sz="0" w:space="0" w:color="auto"/>
            <w:right w:val="none" w:sz="0" w:space="0" w:color="auto"/>
          </w:divBdr>
        </w:div>
        <w:div w:id="1490636092">
          <w:marLeft w:val="547"/>
          <w:marRight w:val="0"/>
          <w:marTop w:val="200"/>
          <w:marBottom w:val="0"/>
          <w:divBdr>
            <w:top w:val="none" w:sz="0" w:space="0" w:color="auto"/>
            <w:left w:val="none" w:sz="0" w:space="0" w:color="auto"/>
            <w:bottom w:val="none" w:sz="0" w:space="0" w:color="auto"/>
            <w:right w:val="none" w:sz="0" w:space="0" w:color="auto"/>
          </w:divBdr>
        </w:div>
        <w:div w:id="1229799726">
          <w:marLeft w:val="547"/>
          <w:marRight w:val="0"/>
          <w:marTop w:val="200"/>
          <w:marBottom w:val="0"/>
          <w:divBdr>
            <w:top w:val="none" w:sz="0" w:space="0" w:color="auto"/>
            <w:left w:val="none" w:sz="0" w:space="0" w:color="auto"/>
            <w:bottom w:val="none" w:sz="0" w:space="0" w:color="auto"/>
            <w:right w:val="none" w:sz="0" w:space="0" w:color="auto"/>
          </w:divBdr>
        </w:div>
        <w:div w:id="110714469">
          <w:marLeft w:val="547"/>
          <w:marRight w:val="0"/>
          <w:marTop w:val="200"/>
          <w:marBottom w:val="0"/>
          <w:divBdr>
            <w:top w:val="none" w:sz="0" w:space="0" w:color="auto"/>
            <w:left w:val="none" w:sz="0" w:space="0" w:color="auto"/>
            <w:bottom w:val="none" w:sz="0" w:space="0" w:color="auto"/>
            <w:right w:val="none" w:sz="0" w:space="0" w:color="auto"/>
          </w:divBdr>
        </w:div>
        <w:div w:id="1736469075">
          <w:marLeft w:val="547"/>
          <w:marRight w:val="0"/>
          <w:marTop w:val="200"/>
          <w:marBottom w:val="0"/>
          <w:divBdr>
            <w:top w:val="none" w:sz="0" w:space="0" w:color="auto"/>
            <w:left w:val="none" w:sz="0" w:space="0" w:color="auto"/>
            <w:bottom w:val="none" w:sz="0" w:space="0" w:color="auto"/>
            <w:right w:val="none" w:sz="0" w:space="0" w:color="auto"/>
          </w:divBdr>
        </w:div>
      </w:divsChild>
    </w:div>
    <w:div w:id="527186167">
      <w:bodyDiv w:val="1"/>
      <w:marLeft w:val="0"/>
      <w:marRight w:val="0"/>
      <w:marTop w:val="0"/>
      <w:marBottom w:val="0"/>
      <w:divBdr>
        <w:top w:val="none" w:sz="0" w:space="0" w:color="auto"/>
        <w:left w:val="none" w:sz="0" w:space="0" w:color="auto"/>
        <w:bottom w:val="none" w:sz="0" w:space="0" w:color="auto"/>
        <w:right w:val="none" w:sz="0" w:space="0" w:color="auto"/>
      </w:divBdr>
    </w:div>
    <w:div w:id="536622633">
      <w:bodyDiv w:val="1"/>
      <w:marLeft w:val="0"/>
      <w:marRight w:val="0"/>
      <w:marTop w:val="0"/>
      <w:marBottom w:val="0"/>
      <w:divBdr>
        <w:top w:val="none" w:sz="0" w:space="0" w:color="auto"/>
        <w:left w:val="none" w:sz="0" w:space="0" w:color="auto"/>
        <w:bottom w:val="none" w:sz="0" w:space="0" w:color="auto"/>
        <w:right w:val="none" w:sz="0" w:space="0" w:color="auto"/>
      </w:divBdr>
    </w:div>
    <w:div w:id="543299186">
      <w:bodyDiv w:val="1"/>
      <w:marLeft w:val="0"/>
      <w:marRight w:val="0"/>
      <w:marTop w:val="0"/>
      <w:marBottom w:val="0"/>
      <w:divBdr>
        <w:top w:val="none" w:sz="0" w:space="0" w:color="auto"/>
        <w:left w:val="none" w:sz="0" w:space="0" w:color="auto"/>
        <w:bottom w:val="none" w:sz="0" w:space="0" w:color="auto"/>
        <w:right w:val="none" w:sz="0" w:space="0" w:color="auto"/>
      </w:divBdr>
    </w:div>
    <w:div w:id="569534035">
      <w:bodyDiv w:val="1"/>
      <w:marLeft w:val="0"/>
      <w:marRight w:val="0"/>
      <w:marTop w:val="0"/>
      <w:marBottom w:val="0"/>
      <w:divBdr>
        <w:top w:val="none" w:sz="0" w:space="0" w:color="auto"/>
        <w:left w:val="none" w:sz="0" w:space="0" w:color="auto"/>
        <w:bottom w:val="none" w:sz="0" w:space="0" w:color="auto"/>
        <w:right w:val="none" w:sz="0" w:space="0" w:color="auto"/>
      </w:divBdr>
    </w:div>
    <w:div w:id="587230990">
      <w:bodyDiv w:val="1"/>
      <w:marLeft w:val="0"/>
      <w:marRight w:val="0"/>
      <w:marTop w:val="0"/>
      <w:marBottom w:val="0"/>
      <w:divBdr>
        <w:top w:val="none" w:sz="0" w:space="0" w:color="auto"/>
        <w:left w:val="none" w:sz="0" w:space="0" w:color="auto"/>
        <w:bottom w:val="none" w:sz="0" w:space="0" w:color="auto"/>
        <w:right w:val="none" w:sz="0" w:space="0" w:color="auto"/>
      </w:divBdr>
      <w:divsChild>
        <w:div w:id="279142600">
          <w:marLeft w:val="547"/>
          <w:marRight w:val="0"/>
          <w:marTop w:val="200"/>
          <w:marBottom w:val="0"/>
          <w:divBdr>
            <w:top w:val="none" w:sz="0" w:space="0" w:color="auto"/>
            <w:left w:val="none" w:sz="0" w:space="0" w:color="auto"/>
            <w:bottom w:val="none" w:sz="0" w:space="0" w:color="auto"/>
            <w:right w:val="none" w:sz="0" w:space="0" w:color="auto"/>
          </w:divBdr>
        </w:div>
        <w:div w:id="693000503">
          <w:marLeft w:val="547"/>
          <w:marRight w:val="0"/>
          <w:marTop w:val="200"/>
          <w:marBottom w:val="0"/>
          <w:divBdr>
            <w:top w:val="none" w:sz="0" w:space="0" w:color="auto"/>
            <w:left w:val="none" w:sz="0" w:space="0" w:color="auto"/>
            <w:bottom w:val="none" w:sz="0" w:space="0" w:color="auto"/>
            <w:right w:val="none" w:sz="0" w:space="0" w:color="auto"/>
          </w:divBdr>
        </w:div>
      </w:divsChild>
    </w:div>
    <w:div w:id="595481658">
      <w:bodyDiv w:val="1"/>
      <w:marLeft w:val="0"/>
      <w:marRight w:val="0"/>
      <w:marTop w:val="0"/>
      <w:marBottom w:val="0"/>
      <w:divBdr>
        <w:top w:val="none" w:sz="0" w:space="0" w:color="auto"/>
        <w:left w:val="none" w:sz="0" w:space="0" w:color="auto"/>
        <w:bottom w:val="none" w:sz="0" w:space="0" w:color="auto"/>
        <w:right w:val="none" w:sz="0" w:space="0" w:color="auto"/>
      </w:divBdr>
    </w:div>
    <w:div w:id="595597699">
      <w:bodyDiv w:val="1"/>
      <w:marLeft w:val="0"/>
      <w:marRight w:val="0"/>
      <w:marTop w:val="0"/>
      <w:marBottom w:val="0"/>
      <w:divBdr>
        <w:top w:val="none" w:sz="0" w:space="0" w:color="auto"/>
        <w:left w:val="none" w:sz="0" w:space="0" w:color="auto"/>
        <w:bottom w:val="none" w:sz="0" w:space="0" w:color="auto"/>
        <w:right w:val="none" w:sz="0" w:space="0" w:color="auto"/>
      </w:divBdr>
    </w:div>
    <w:div w:id="604072747">
      <w:bodyDiv w:val="1"/>
      <w:marLeft w:val="0"/>
      <w:marRight w:val="0"/>
      <w:marTop w:val="0"/>
      <w:marBottom w:val="0"/>
      <w:divBdr>
        <w:top w:val="none" w:sz="0" w:space="0" w:color="auto"/>
        <w:left w:val="none" w:sz="0" w:space="0" w:color="auto"/>
        <w:bottom w:val="none" w:sz="0" w:space="0" w:color="auto"/>
        <w:right w:val="none" w:sz="0" w:space="0" w:color="auto"/>
      </w:divBdr>
    </w:div>
    <w:div w:id="685063055">
      <w:bodyDiv w:val="1"/>
      <w:marLeft w:val="0"/>
      <w:marRight w:val="0"/>
      <w:marTop w:val="0"/>
      <w:marBottom w:val="0"/>
      <w:divBdr>
        <w:top w:val="none" w:sz="0" w:space="0" w:color="auto"/>
        <w:left w:val="none" w:sz="0" w:space="0" w:color="auto"/>
        <w:bottom w:val="none" w:sz="0" w:space="0" w:color="auto"/>
        <w:right w:val="none" w:sz="0" w:space="0" w:color="auto"/>
      </w:divBdr>
    </w:div>
    <w:div w:id="746463140">
      <w:bodyDiv w:val="1"/>
      <w:marLeft w:val="0"/>
      <w:marRight w:val="0"/>
      <w:marTop w:val="0"/>
      <w:marBottom w:val="0"/>
      <w:divBdr>
        <w:top w:val="none" w:sz="0" w:space="0" w:color="auto"/>
        <w:left w:val="none" w:sz="0" w:space="0" w:color="auto"/>
        <w:bottom w:val="none" w:sz="0" w:space="0" w:color="auto"/>
        <w:right w:val="none" w:sz="0" w:space="0" w:color="auto"/>
      </w:divBdr>
    </w:div>
    <w:div w:id="865480302">
      <w:bodyDiv w:val="1"/>
      <w:marLeft w:val="0"/>
      <w:marRight w:val="0"/>
      <w:marTop w:val="0"/>
      <w:marBottom w:val="0"/>
      <w:divBdr>
        <w:top w:val="none" w:sz="0" w:space="0" w:color="auto"/>
        <w:left w:val="none" w:sz="0" w:space="0" w:color="auto"/>
        <w:bottom w:val="none" w:sz="0" w:space="0" w:color="auto"/>
        <w:right w:val="none" w:sz="0" w:space="0" w:color="auto"/>
      </w:divBdr>
    </w:div>
    <w:div w:id="909655321">
      <w:bodyDiv w:val="1"/>
      <w:marLeft w:val="0"/>
      <w:marRight w:val="0"/>
      <w:marTop w:val="0"/>
      <w:marBottom w:val="0"/>
      <w:divBdr>
        <w:top w:val="none" w:sz="0" w:space="0" w:color="auto"/>
        <w:left w:val="none" w:sz="0" w:space="0" w:color="auto"/>
        <w:bottom w:val="none" w:sz="0" w:space="0" w:color="auto"/>
        <w:right w:val="none" w:sz="0" w:space="0" w:color="auto"/>
      </w:divBdr>
    </w:div>
    <w:div w:id="1030765231">
      <w:bodyDiv w:val="1"/>
      <w:marLeft w:val="0"/>
      <w:marRight w:val="0"/>
      <w:marTop w:val="0"/>
      <w:marBottom w:val="0"/>
      <w:divBdr>
        <w:top w:val="none" w:sz="0" w:space="0" w:color="auto"/>
        <w:left w:val="none" w:sz="0" w:space="0" w:color="auto"/>
        <w:bottom w:val="none" w:sz="0" w:space="0" w:color="auto"/>
        <w:right w:val="none" w:sz="0" w:space="0" w:color="auto"/>
      </w:divBdr>
    </w:div>
    <w:div w:id="1061977200">
      <w:bodyDiv w:val="1"/>
      <w:marLeft w:val="0"/>
      <w:marRight w:val="0"/>
      <w:marTop w:val="0"/>
      <w:marBottom w:val="0"/>
      <w:divBdr>
        <w:top w:val="none" w:sz="0" w:space="0" w:color="auto"/>
        <w:left w:val="none" w:sz="0" w:space="0" w:color="auto"/>
        <w:bottom w:val="none" w:sz="0" w:space="0" w:color="auto"/>
        <w:right w:val="none" w:sz="0" w:space="0" w:color="auto"/>
      </w:divBdr>
    </w:div>
    <w:div w:id="1089809976">
      <w:bodyDiv w:val="1"/>
      <w:marLeft w:val="0"/>
      <w:marRight w:val="0"/>
      <w:marTop w:val="0"/>
      <w:marBottom w:val="0"/>
      <w:divBdr>
        <w:top w:val="none" w:sz="0" w:space="0" w:color="auto"/>
        <w:left w:val="none" w:sz="0" w:space="0" w:color="auto"/>
        <w:bottom w:val="none" w:sz="0" w:space="0" w:color="auto"/>
        <w:right w:val="none" w:sz="0" w:space="0" w:color="auto"/>
      </w:divBdr>
    </w:div>
    <w:div w:id="1091124110">
      <w:bodyDiv w:val="1"/>
      <w:marLeft w:val="0"/>
      <w:marRight w:val="0"/>
      <w:marTop w:val="0"/>
      <w:marBottom w:val="0"/>
      <w:divBdr>
        <w:top w:val="none" w:sz="0" w:space="0" w:color="auto"/>
        <w:left w:val="none" w:sz="0" w:space="0" w:color="auto"/>
        <w:bottom w:val="none" w:sz="0" w:space="0" w:color="auto"/>
        <w:right w:val="none" w:sz="0" w:space="0" w:color="auto"/>
      </w:divBdr>
    </w:div>
    <w:div w:id="1135638152">
      <w:bodyDiv w:val="1"/>
      <w:marLeft w:val="0"/>
      <w:marRight w:val="0"/>
      <w:marTop w:val="0"/>
      <w:marBottom w:val="0"/>
      <w:divBdr>
        <w:top w:val="none" w:sz="0" w:space="0" w:color="auto"/>
        <w:left w:val="none" w:sz="0" w:space="0" w:color="auto"/>
        <w:bottom w:val="none" w:sz="0" w:space="0" w:color="auto"/>
        <w:right w:val="none" w:sz="0" w:space="0" w:color="auto"/>
      </w:divBdr>
    </w:div>
    <w:div w:id="1194609322">
      <w:bodyDiv w:val="1"/>
      <w:marLeft w:val="0"/>
      <w:marRight w:val="0"/>
      <w:marTop w:val="0"/>
      <w:marBottom w:val="0"/>
      <w:divBdr>
        <w:top w:val="none" w:sz="0" w:space="0" w:color="auto"/>
        <w:left w:val="none" w:sz="0" w:space="0" w:color="auto"/>
        <w:bottom w:val="none" w:sz="0" w:space="0" w:color="auto"/>
        <w:right w:val="none" w:sz="0" w:space="0" w:color="auto"/>
      </w:divBdr>
    </w:div>
    <w:div w:id="1214653025">
      <w:bodyDiv w:val="1"/>
      <w:marLeft w:val="0"/>
      <w:marRight w:val="0"/>
      <w:marTop w:val="0"/>
      <w:marBottom w:val="0"/>
      <w:divBdr>
        <w:top w:val="none" w:sz="0" w:space="0" w:color="auto"/>
        <w:left w:val="none" w:sz="0" w:space="0" w:color="auto"/>
        <w:bottom w:val="none" w:sz="0" w:space="0" w:color="auto"/>
        <w:right w:val="none" w:sz="0" w:space="0" w:color="auto"/>
      </w:divBdr>
    </w:div>
    <w:div w:id="1252934255">
      <w:bodyDiv w:val="1"/>
      <w:marLeft w:val="0"/>
      <w:marRight w:val="0"/>
      <w:marTop w:val="0"/>
      <w:marBottom w:val="0"/>
      <w:divBdr>
        <w:top w:val="none" w:sz="0" w:space="0" w:color="auto"/>
        <w:left w:val="none" w:sz="0" w:space="0" w:color="auto"/>
        <w:bottom w:val="none" w:sz="0" w:space="0" w:color="auto"/>
        <w:right w:val="none" w:sz="0" w:space="0" w:color="auto"/>
      </w:divBdr>
    </w:div>
    <w:div w:id="1310671963">
      <w:bodyDiv w:val="1"/>
      <w:marLeft w:val="0"/>
      <w:marRight w:val="0"/>
      <w:marTop w:val="0"/>
      <w:marBottom w:val="0"/>
      <w:divBdr>
        <w:top w:val="none" w:sz="0" w:space="0" w:color="auto"/>
        <w:left w:val="none" w:sz="0" w:space="0" w:color="auto"/>
        <w:bottom w:val="none" w:sz="0" w:space="0" w:color="auto"/>
        <w:right w:val="none" w:sz="0" w:space="0" w:color="auto"/>
      </w:divBdr>
    </w:div>
    <w:div w:id="1328628486">
      <w:bodyDiv w:val="1"/>
      <w:marLeft w:val="0"/>
      <w:marRight w:val="0"/>
      <w:marTop w:val="0"/>
      <w:marBottom w:val="0"/>
      <w:divBdr>
        <w:top w:val="none" w:sz="0" w:space="0" w:color="auto"/>
        <w:left w:val="none" w:sz="0" w:space="0" w:color="auto"/>
        <w:bottom w:val="none" w:sz="0" w:space="0" w:color="auto"/>
        <w:right w:val="none" w:sz="0" w:space="0" w:color="auto"/>
      </w:divBdr>
    </w:div>
    <w:div w:id="1405493414">
      <w:bodyDiv w:val="1"/>
      <w:marLeft w:val="0"/>
      <w:marRight w:val="0"/>
      <w:marTop w:val="0"/>
      <w:marBottom w:val="0"/>
      <w:divBdr>
        <w:top w:val="none" w:sz="0" w:space="0" w:color="auto"/>
        <w:left w:val="none" w:sz="0" w:space="0" w:color="auto"/>
        <w:bottom w:val="none" w:sz="0" w:space="0" w:color="auto"/>
        <w:right w:val="none" w:sz="0" w:space="0" w:color="auto"/>
      </w:divBdr>
    </w:div>
    <w:div w:id="1410150561">
      <w:bodyDiv w:val="1"/>
      <w:marLeft w:val="0"/>
      <w:marRight w:val="0"/>
      <w:marTop w:val="0"/>
      <w:marBottom w:val="0"/>
      <w:divBdr>
        <w:top w:val="none" w:sz="0" w:space="0" w:color="auto"/>
        <w:left w:val="none" w:sz="0" w:space="0" w:color="auto"/>
        <w:bottom w:val="none" w:sz="0" w:space="0" w:color="auto"/>
        <w:right w:val="none" w:sz="0" w:space="0" w:color="auto"/>
      </w:divBdr>
    </w:div>
    <w:div w:id="1443916836">
      <w:bodyDiv w:val="1"/>
      <w:marLeft w:val="0"/>
      <w:marRight w:val="0"/>
      <w:marTop w:val="0"/>
      <w:marBottom w:val="0"/>
      <w:divBdr>
        <w:top w:val="none" w:sz="0" w:space="0" w:color="auto"/>
        <w:left w:val="none" w:sz="0" w:space="0" w:color="auto"/>
        <w:bottom w:val="none" w:sz="0" w:space="0" w:color="auto"/>
        <w:right w:val="none" w:sz="0" w:space="0" w:color="auto"/>
      </w:divBdr>
    </w:div>
    <w:div w:id="1445272551">
      <w:bodyDiv w:val="1"/>
      <w:marLeft w:val="0"/>
      <w:marRight w:val="0"/>
      <w:marTop w:val="0"/>
      <w:marBottom w:val="0"/>
      <w:divBdr>
        <w:top w:val="none" w:sz="0" w:space="0" w:color="auto"/>
        <w:left w:val="none" w:sz="0" w:space="0" w:color="auto"/>
        <w:bottom w:val="none" w:sz="0" w:space="0" w:color="auto"/>
        <w:right w:val="none" w:sz="0" w:space="0" w:color="auto"/>
      </w:divBdr>
      <w:divsChild>
        <w:div w:id="625696819">
          <w:marLeft w:val="547"/>
          <w:marRight w:val="0"/>
          <w:marTop w:val="200"/>
          <w:marBottom w:val="0"/>
          <w:divBdr>
            <w:top w:val="none" w:sz="0" w:space="0" w:color="auto"/>
            <w:left w:val="none" w:sz="0" w:space="0" w:color="auto"/>
            <w:bottom w:val="none" w:sz="0" w:space="0" w:color="auto"/>
            <w:right w:val="none" w:sz="0" w:space="0" w:color="auto"/>
          </w:divBdr>
        </w:div>
        <w:div w:id="1921285915">
          <w:marLeft w:val="547"/>
          <w:marRight w:val="0"/>
          <w:marTop w:val="200"/>
          <w:marBottom w:val="0"/>
          <w:divBdr>
            <w:top w:val="none" w:sz="0" w:space="0" w:color="auto"/>
            <w:left w:val="none" w:sz="0" w:space="0" w:color="auto"/>
            <w:bottom w:val="none" w:sz="0" w:space="0" w:color="auto"/>
            <w:right w:val="none" w:sz="0" w:space="0" w:color="auto"/>
          </w:divBdr>
        </w:div>
      </w:divsChild>
    </w:div>
    <w:div w:id="1469668607">
      <w:bodyDiv w:val="1"/>
      <w:marLeft w:val="0"/>
      <w:marRight w:val="0"/>
      <w:marTop w:val="0"/>
      <w:marBottom w:val="0"/>
      <w:divBdr>
        <w:top w:val="none" w:sz="0" w:space="0" w:color="auto"/>
        <w:left w:val="none" w:sz="0" w:space="0" w:color="auto"/>
        <w:bottom w:val="none" w:sz="0" w:space="0" w:color="auto"/>
        <w:right w:val="none" w:sz="0" w:space="0" w:color="auto"/>
      </w:divBdr>
    </w:div>
    <w:div w:id="1474102056">
      <w:bodyDiv w:val="1"/>
      <w:marLeft w:val="0"/>
      <w:marRight w:val="0"/>
      <w:marTop w:val="0"/>
      <w:marBottom w:val="0"/>
      <w:divBdr>
        <w:top w:val="none" w:sz="0" w:space="0" w:color="auto"/>
        <w:left w:val="none" w:sz="0" w:space="0" w:color="auto"/>
        <w:bottom w:val="none" w:sz="0" w:space="0" w:color="auto"/>
        <w:right w:val="none" w:sz="0" w:space="0" w:color="auto"/>
      </w:divBdr>
      <w:divsChild>
        <w:div w:id="288362063">
          <w:marLeft w:val="547"/>
          <w:marRight w:val="0"/>
          <w:marTop w:val="200"/>
          <w:marBottom w:val="0"/>
          <w:divBdr>
            <w:top w:val="none" w:sz="0" w:space="0" w:color="auto"/>
            <w:left w:val="none" w:sz="0" w:space="0" w:color="auto"/>
            <w:bottom w:val="none" w:sz="0" w:space="0" w:color="auto"/>
            <w:right w:val="none" w:sz="0" w:space="0" w:color="auto"/>
          </w:divBdr>
        </w:div>
        <w:div w:id="1631746584">
          <w:marLeft w:val="547"/>
          <w:marRight w:val="0"/>
          <w:marTop w:val="200"/>
          <w:marBottom w:val="0"/>
          <w:divBdr>
            <w:top w:val="none" w:sz="0" w:space="0" w:color="auto"/>
            <w:left w:val="none" w:sz="0" w:space="0" w:color="auto"/>
            <w:bottom w:val="none" w:sz="0" w:space="0" w:color="auto"/>
            <w:right w:val="none" w:sz="0" w:space="0" w:color="auto"/>
          </w:divBdr>
        </w:div>
        <w:div w:id="1948583345">
          <w:marLeft w:val="547"/>
          <w:marRight w:val="0"/>
          <w:marTop w:val="200"/>
          <w:marBottom w:val="0"/>
          <w:divBdr>
            <w:top w:val="none" w:sz="0" w:space="0" w:color="auto"/>
            <w:left w:val="none" w:sz="0" w:space="0" w:color="auto"/>
            <w:bottom w:val="none" w:sz="0" w:space="0" w:color="auto"/>
            <w:right w:val="none" w:sz="0" w:space="0" w:color="auto"/>
          </w:divBdr>
        </w:div>
      </w:divsChild>
    </w:div>
    <w:div w:id="1546602519">
      <w:bodyDiv w:val="1"/>
      <w:marLeft w:val="0"/>
      <w:marRight w:val="0"/>
      <w:marTop w:val="0"/>
      <w:marBottom w:val="0"/>
      <w:divBdr>
        <w:top w:val="none" w:sz="0" w:space="0" w:color="auto"/>
        <w:left w:val="none" w:sz="0" w:space="0" w:color="auto"/>
        <w:bottom w:val="none" w:sz="0" w:space="0" w:color="auto"/>
        <w:right w:val="none" w:sz="0" w:space="0" w:color="auto"/>
      </w:divBdr>
    </w:div>
    <w:div w:id="1578394764">
      <w:bodyDiv w:val="1"/>
      <w:marLeft w:val="0"/>
      <w:marRight w:val="0"/>
      <w:marTop w:val="0"/>
      <w:marBottom w:val="0"/>
      <w:divBdr>
        <w:top w:val="none" w:sz="0" w:space="0" w:color="auto"/>
        <w:left w:val="none" w:sz="0" w:space="0" w:color="auto"/>
        <w:bottom w:val="none" w:sz="0" w:space="0" w:color="auto"/>
        <w:right w:val="none" w:sz="0" w:space="0" w:color="auto"/>
      </w:divBdr>
    </w:div>
    <w:div w:id="1587497404">
      <w:bodyDiv w:val="1"/>
      <w:marLeft w:val="0"/>
      <w:marRight w:val="0"/>
      <w:marTop w:val="0"/>
      <w:marBottom w:val="0"/>
      <w:divBdr>
        <w:top w:val="none" w:sz="0" w:space="0" w:color="auto"/>
        <w:left w:val="none" w:sz="0" w:space="0" w:color="auto"/>
        <w:bottom w:val="none" w:sz="0" w:space="0" w:color="auto"/>
        <w:right w:val="none" w:sz="0" w:space="0" w:color="auto"/>
      </w:divBdr>
    </w:div>
    <w:div w:id="1593002139">
      <w:bodyDiv w:val="1"/>
      <w:marLeft w:val="0"/>
      <w:marRight w:val="0"/>
      <w:marTop w:val="0"/>
      <w:marBottom w:val="0"/>
      <w:divBdr>
        <w:top w:val="none" w:sz="0" w:space="0" w:color="auto"/>
        <w:left w:val="none" w:sz="0" w:space="0" w:color="auto"/>
        <w:bottom w:val="none" w:sz="0" w:space="0" w:color="auto"/>
        <w:right w:val="none" w:sz="0" w:space="0" w:color="auto"/>
      </w:divBdr>
    </w:div>
    <w:div w:id="1606376649">
      <w:bodyDiv w:val="1"/>
      <w:marLeft w:val="0"/>
      <w:marRight w:val="0"/>
      <w:marTop w:val="0"/>
      <w:marBottom w:val="0"/>
      <w:divBdr>
        <w:top w:val="none" w:sz="0" w:space="0" w:color="auto"/>
        <w:left w:val="none" w:sz="0" w:space="0" w:color="auto"/>
        <w:bottom w:val="none" w:sz="0" w:space="0" w:color="auto"/>
        <w:right w:val="none" w:sz="0" w:space="0" w:color="auto"/>
      </w:divBdr>
    </w:div>
    <w:div w:id="1609775283">
      <w:bodyDiv w:val="1"/>
      <w:marLeft w:val="0"/>
      <w:marRight w:val="0"/>
      <w:marTop w:val="0"/>
      <w:marBottom w:val="0"/>
      <w:divBdr>
        <w:top w:val="none" w:sz="0" w:space="0" w:color="auto"/>
        <w:left w:val="none" w:sz="0" w:space="0" w:color="auto"/>
        <w:bottom w:val="none" w:sz="0" w:space="0" w:color="auto"/>
        <w:right w:val="none" w:sz="0" w:space="0" w:color="auto"/>
      </w:divBdr>
    </w:div>
    <w:div w:id="1611820009">
      <w:bodyDiv w:val="1"/>
      <w:marLeft w:val="0"/>
      <w:marRight w:val="0"/>
      <w:marTop w:val="0"/>
      <w:marBottom w:val="0"/>
      <w:divBdr>
        <w:top w:val="none" w:sz="0" w:space="0" w:color="auto"/>
        <w:left w:val="none" w:sz="0" w:space="0" w:color="auto"/>
        <w:bottom w:val="none" w:sz="0" w:space="0" w:color="auto"/>
        <w:right w:val="none" w:sz="0" w:space="0" w:color="auto"/>
      </w:divBdr>
    </w:div>
    <w:div w:id="1700471262">
      <w:bodyDiv w:val="1"/>
      <w:marLeft w:val="0"/>
      <w:marRight w:val="0"/>
      <w:marTop w:val="0"/>
      <w:marBottom w:val="0"/>
      <w:divBdr>
        <w:top w:val="none" w:sz="0" w:space="0" w:color="auto"/>
        <w:left w:val="none" w:sz="0" w:space="0" w:color="auto"/>
        <w:bottom w:val="none" w:sz="0" w:space="0" w:color="auto"/>
        <w:right w:val="none" w:sz="0" w:space="0" w:color="auto"/>
      </w:divBdr>
    </w:div>
    <w:div w:id="1709377338">
      <w:bodyDiv w:val="1"/>
      <w:marLeft w:val="0"/>
      <w:marRight w:val="0"/>
      <w:marTop w:val="0"/>
      <w:marBottom w:val="0"/>
      <w:divBdr>
        <w:top w:val="none" w:sz="0" w:space="0" w:color="auto"/>
        <w:left w:val="none" w:sz="0" w:space="0" w:color="auto"/>
        <w:bottom w:val="none" w:sz="0" w:space="0" w:color="auto"/>
        <w:right w:val="none" w:sz="0" w:space="0" w:color="auto"/>
      </w:divBdr>
      <w:divsChild>
        <w:div w:id="278337881">
          <w:marLeft w:val="547"/>
          <w:marRight w:val="0"/>
          <w:marTop w:val="200"/>
          <w:marBottom w:val="0"/>
          <w:divBdr>
            <w:top w:val="none" w:sz="0" w:space="0" w:color="auto"/>
            <w:left w:val="none" w:sz="0" w:space="0" w:color="auto"/>
            <w:bottom w:val="none" w:sz="0" w:space="0" w:color="auto"/>
            <w:right w:val="none" w:sz="0" w:space="0" w:color="auto"/>
          </w:divBdr>
        </w:div>
        <w:div w:id="145126800">
          <w:marLeft w:val="547"/>
          <w:marRight w:val="0"/>
          <w:marTop w:val="200"/>
          <w:marBottom w:val="0"/>
          <w:divBdr>
            <w:top w:val="none" w:sz="0" w:space="0" w:color="auto"/>
            <w:left w:val="none" w:sz="0" w:space="0" w:color="auto"/>
            <w:bottom w:val="none" w:sz="0" w:space="0" w:color="auto"/>
            <w:right w:val="none" w:sz="0" w:space="0" w:color="auto"/>
          </w:divBdr>
        </w:div>
        <w:div w:id="1928033414">
          <w:marLeft w:val="547"/>
          <w:marRight w:val="0"/>
          <w:marTop w:val="200"/>
          <w:marBottom w:val="0"/>
          <w:divBdr>
            <w:top w:val="none" w:sz="0" w:space="0" w:color="auto"/>
            <w:left w:val="none" w:sz="0" w:space="0" w:color="auto"/>
            <w:bottom w:val="none" w:sz="0" w:space="0" w:color="auto"/>
            <w:right w:val="none" w:sz="0" w:space="0" w:color="auto"/>
          </w:divBdr>
        </w:div>
      </w:divsChild>
    </w:div>
    <w:div w:id="1749770832">
      <w:bodyDiv w:val="1"/>
      <w:marLeft w:val="0"/>
      <w:marRight w:val="0"/>
      <w:marTop w:val="0"/>
      <w:marBottom w:val="0"/>
      <w:divBdr>
        <w:top w:val="none" w:sz="0" w:space="0" w:color="auto"/>
        <w:left w:val="none" w:sz="0" w:space="0" w:color="auto"/>
        <w:bottom w:val="none" w:sz="0" w:space="0" w:color="auto"/>
        <w:right w:val="none" w:sz="0" w:space="0" w:color="auto"/>
      </w:divBdr>
    </w:div>
    <w:div w:id="1763407100">
      <w:bodyDiv w:val="1"/>
      <w:marLeft w:val="0"/>
      <w:marRight w:val="0"/>
      <w:marTop w:val="0"/>
      <w:marBottom w:val="0"/>
      <w:divBdr>
        <w:top w:val="none" w:sz="0" w:space="0" w:color="auto"/>
        <w:left w:val="none" w:sz="0" w:space="0" w:color="auto"/>
        <w:bottom w:val="none" w:sz="0" w:space="0" w:color="auto"/>
        <w:right w:val="none" w:sz="0" w:space="0" w:color="auto"/>
      </w:divBdr>
    </w:div>
    <w:div w:id="1777091865">
      <w:bodyDiv w:val="1"/>
      <w:marLeft w:val="0"/>
      <w:marRight w:val="0"/>
      <w:marTop w:val="0"/>
      <w:marBottom w:val="0"/>
      <w:divBdr>
        <w:top w:val="none" w:sz="0" w:space="0" w:color="auto"/>
        <w:left w:val="none" w:sz="0" w:space="0" w:color="auto"/>
        <w:bottom w:val="none" w:sz="0" w:space="0" w:color="auto"/>
        <w:right w:val="none" w:sz="0" w:space="0" w:color="auto"/>
      </w:divBdr>
    </w:div>
    <w:div w:id="1800804809">
      <w:bodyDiv w:val="1"/>
      <w:marLeft w:val="0"/>
      <w:marRight w:val="0"/>
      <w:marTop w:val="0"/>
      <w:marBottom w:val="0"/>
      <w:divBdr>
        <w:top w:val="none" w:sz="0" w:space="0" w:color="auto"/>
        <w:left w:val="none" w:sz="0" w:space="0" w:color="auto"/>
        <w:bottom w:val="none" w:sz="0" w:space="0" w:color="auto"/>
        <w:right w:val="none" w:sz="0" w:space="0" w:color="auto"/>
      </w:divBdr>
    </w:div>
    <w:div w:id="1806577718">
      <w:bodyDiv w:val="1"/>
      <w:marLeft w:val="0"/>
      <w:marRight w:val="0"/>
      <w:marTop w:val="0"/>
      <w:marBottom w:val="0"/>
      <w:divBdr>
        <w:top w:val="none" w:sz="0" w:space="0" w:color="auto"/>
        <w:left w:val="none" w:sz="0" w:space="0" w:color="auto"/>
        <w:bottom w:val="none" w:sz="0" w:space="0" w:color="auto"/>
        <w:right w:val="none" w:sz="0" w:space="0" w:color="auto"/>
      </w:divBdr>
    </w:div>
    <w:div w:id="1821994096">
      <w:bodyDiv w:val="1"/>
      <w:marLeft w:val="0"/>
      <w:marRight w:val="0"/>
      <w:marTop w:val="0"/>
      <w:marBottom w:val="0"/>
      <w:divBdr>
        <w:top w:val="none" w:sz="0" w:space="0" w:color="auto"/>
        <w:left w:val="none" w:sz="0" w:space="0" w:color="auto"/>
        <w:bottom w:val="none" w:sz="0" w:space="0" w:color="auto"/>
        <w:right w:val="none" w:sz="0" w:space="0" w:color="auto"/>
      </w:divBdr>
    </w:div>
    <w:div w:id="1846819511">
      <w:bodyDiv w:val="1"/>
      <w:marLeft w:val="0"/>
      <w:marRight w:val="0"/>
      <w:marTop w:val="0"/>
      <w:marBottom w:val="0"/>
      <w:divBdr>
        <w:top w:val="none" w:sz="0" w:space="0" w:color="auto"/>
        <w:left w:val="none" w:sz="0" w:space="0" w:color="auto"/>
        <w:bottom w:val="none" w:sz="0" w:space="0" w:color="auto"/>
        <w:right w:val="none" w:sz="0" w:space="0" w:color="auto"/>
      </w:divBdr>
      <w:divsChild>
        <w:div w:id="13268780">
          <w:marLeft w:val="547"/>
          <w:marRight w:val="0"/>
          <w:marTop w:val="200"/>
          <w:marBottom w:val="0"/>
          <w:divBdr>
            <w:top w:val="none" w:sz="0" w:space="0" w:color="auto"/>
            <w:left w:val="none" w:sz="0" w:space="0" w:color="auto"/>
            <w:bottom w:val="none" w:sz="0" w:space="0" w:color="auto"/>
            <w:right w:val="none" w:sz="0" w:space="0" w:color="auto"/>
          </w:divBdr>
        </w:div>
        <w:div w:id="116878441">
          <w:marLeft w:val="547"/>
          <w:marRight w:val="0"/>
          <w:marTop w:val="200"/>
          <w:marBottom w:val="0"/>
          <w:divBdr>
            <w:top w:val="none" w:sz="0" w:space="0" w:color="auto"/>
            <w:left w:val="none" w:sz="0" w:space="0" w:color="auto"/>
            <w:bottom w:val="none" w:sz="0" w:space="0" w:color="auto"/>
            <w:right w:val="none" w:sz="0" w:space="0" w:color="auto"/>
          </w:divBdr>
        </w:div>
        <w:div w:id="2066373648">
          <w:marLeft w:val="547"/>
          <w:marRight w:val="0"/>
          <w:marTop w:val="200"/>
          <w:marBottom w:val="0"/>
          <w:divBdr>
            <w:top w:val="none" w:sz="0" w:space="0" w:color="auto"/>
            <w:left w:val="none" w:sz="0" w:space="0" w:color="auto"/>
            <w:bottom w:val="none" w:sz="0" w:space="0" w:color="auto"/>
            <w:right w:val="none" w:sz="0" w:space="0" w:color="auto"/>
          </w:divBdr>
        </w:div>
      </w:divsChild>
    </w:div>
    <w:div w:id="1860698971">
      <w:bodyDiv w:val="1"/>
      <w:marLeft w:val="0"/>
      <w:marRight w:val="0"/>
      <w:marTop w:val="0"/>
      <w:marBottom w:val="0"/>
      <w:divBdr>
        <w:top w:val="none" w:sz="0" w:space="0" w:color="auto"/>
        <w:left w:val="none" w:sz="0" w:space="0" w:color="auto"/>
        <w:bottom w:val="none" w:sz="0" w:space="0" w:color="auto"/>
        <w:right w:val="none" w:sz="0" w:space="0" w:color="auto"/>
      </w:divBdr>
    </w:div>
    <w:div w:id="1921402562">
      <w:bodyDiv w:val="1"/>
      <w:marLeft w:val="0"/>
      <w:marRight w:val="0"/>
      <w:marTop w:val="0"/>
      <w:marBottom w:val="0"/>
      <w:divBdr>
        <w:top w:val="none" w:sz="0" w:space="0" w:color="auto"/>
        <w:left w:val="none" w:sz="0" w:space="0" w:color="auto"/>
        <w:bottom w:val="none" w:sz="0" w:space="0" w:color="auto"/>
        <w:right w:val="none" w:sz="0" w:space="0" w:color="auto"/>
      </w:divBdr>
      <w:divsChild>
        <w:div w:id="24136544">
          <w:marLeft w:val="547"/>
          <w:marRight w:val="0"/>
          <w:marTop w:val="200"/>
          <w:marBottom w:val="0"/>
          <w:divBdr>
            <w:top w:val="none" w:sz="0" w:space="0" w:color="auto"/>
            <w:left w:val="none" w:sz="0" w:space="0" w:color="auto"/>
            <w:bottom w:val="none" w:sz="0" w:space="0" w:color="auto"/>
            <w:right w:val="none" w:sz="0" w:space="0" w:color="auto"/>
          </w:divBdr>
        </w:div>
        <w:div w:id="1552185085">
          <w:marLeft w:val="547"/>
          <w:marRight w:val="0"/>
          <w:marTop w:val="200"/>
          <w:marBottom w:val="0"/>
          <w:divBdr>
            <w:top w:val="none" w:sz="0" w:space="0" w:color="auto"/>
            <w:left w:val="none" w:sz="0" w:space="0" w:color="auto"/>
            <w:bottom w:val="none" w:sz="0" w:space="0" w:color="auto"/>
            <w:right w:val="none" w:sz="0" w:space="0" w:color="auto"/>
          </w:divBdr>
        </w:div>
        <w:div w:id="620649863">
          <w:marLeft w:val="547"/>
          <w:marRight w:val="0"/>
          <w:marTop w:val="200"/>
          <w:marBottom w:val="0"/>
          <w:divBdr>
            <w:top w:val="none" w:sz="0" w:space="0" w:color="auto"/>
            <w:left w:val="none" w:sz="0" w:space="0" w:color="auto"/>
            <w:bottom w:val="none" w:sz="0" w:space="0" w:color="auto"/>
            <w:right w:val="none" w:sz="0" w:space="0" w:color="auto"/>
          </w:divBdr>
        </w:div>
        <w:div w:id="1049189215">
          <w:marLeft w:val="547"/>
          <w:marRight w:val="0"/>
          <w:marTop w:val="200"/>
          <w:marBottom w:val="0"/>
          <w:divBdr>
            <w:top w:val="none" w:sz="0" w:space="0" w:color="auto"/>
            <w:left w:val="none" w:sz="0" w:space="0" w:color="auto"/>
            <w:bottom w:val="none" w:sz="0" w:space="0" w:color="auto"/>
            <w:right w:val="none" w:sz="0" w:space="0" w:color="auto"/>
          </w:divBdr>
        </w:div>
        <w:div w:id="1038894308">
          <w:marLeft w:val="547"/>
          <w:marRight w:val="0"/>
          <w:marTop w:val="200"/>
          <w:marBottom w:val="0"/>
          <w:divBdr>
            <w:top w:val="none" w:sz="0" w:space="0" w:color="auto"/>
            <w:left w:val="none" w:sz="0" w:space="0" w:color="auto"/>
            <w:bottom w:val="none" w:sz="0" w:space="0" w:color="auto"/>
            <w:right w:val="none" w:sz="0" w:space="0" w:color="auto"/>
          </w:divBdr>
        </w:div>
      </w:divsChild>
    </w:div>
    <w:div w:id="1921794799">
      <w:bodyDiv w:val="1"/>
      <w:marLeft w:val="0"/>
      <w:marRight w:val="0"/>
      <w:marTop w:val="0"/>
      <w:marBottom w:val="0"/>
      <w:divBdr>
        <w:top w:val="none" w:sz="0" w:space="0" w:color="auto"/>
        <w:left w:val="none" w:sz="0" w:space="0" w:color="auto"/>
        <w:bottom w:val="none" w:sz="0" w:space="0" w:color="auto"/>
        <w:right w:val="none" w:sz="0" w:space="0" w:color="auto"/>
      </w:divBdr>
    </w:div>
    <w:div w:id="1989050173">
      <w:bodyDiv w:val="1"/>
      <w:marLeft w:val="0"/>
      <w:marRight w:val="0"/>
      <w:marTop w:val="0"/>
      <w:marBottom w:val="0"/>
      <w:divBdr>
        <w:top w:val="none" w:sz="0" w:space="0" w:color="auto"/>
        <w:left w:val="none" w:sz="0" w:space="0" w:color="auto"/>
        <w:bottom w:val="none" w:sz="0" w:space="0" w:color="auto"/>
        <w:right w:val="none" w:sz="0" w:space="0" w:color="auto"/>
      </w:divBdr>
    </w:div>
    <w:div w:id="1996491048">
      <w:bodyDiv w:val="1"/>
      <w:marLeft w:val="0"/>
      <w:marRight w:val="0"/>
      <w:marTop w:val="0"/>
      <w:marBottom w:val="0"/>
      <w:divBdr>
        <w:top w:val="none" w:sz="0" w:space="0" w:color="auto"/>
        <w:left w:val="none" w:sz="0" w:space="0" w:color="auto"/>
        <w:bottom w:val="none" w:sz="0" w:space="0" w:color="auto"/>
        <w:right w:val="none" w:sz="0" w:space="0" w:color="auto"/>
      </w:divBdr>
      <w:divsChild>
        <w:div w:id="1666933151">
          <w:marLeft w:val="547"/>
          <w:marRight w:val="0"/>
          <w:marTop w:val="200"/>
          <w:marBottom w:val="0"/>
          <w:divBdr>
            <w:top w:val="none" w:sz="0" w:space="0" w:color="auto"/>
            <w:left w:val="none" w:sz="0" w:space="0" w:color="auto"/>
            <w:bottom w:val="none" w:sz="0" w:space="0" w:color="auto"/>
            <w:right w:val="none" w:sz="0" w:space="0" w:color="auto"/>
          </w:divBdr>
        </w:div>
        <w:div w:id="100690618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15</Pages>
  <Words>4772</Words>
  <Characters>27202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H15HolmesT</cp:lastModifiedBy>
  <cp:revision>1</cp:revision>
  <dcterms:created xsi:type="dcterms:W3CDTF">2019-09-15T13:26:00Z</dcterms:created>
  <dcterms:modified xsi:type="dcterms:W3CDTF">2019-09-15T14:40:00Z</dcterms:modified>
</cp:coreProperties>
</file>