
<file path=[Content_Types].xml><?xml version="1.0" encoding="utf-8"?>
<Types xmlns="http://schemas.openxmlformats.org/package/2006/content-types">
  <Default Extension="bin" ContentType="image/unknown"/>
  <Default Extension="docx" ContentType="application/vnd.openxmlformats-officedocument.wordprocessingml.documen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5DD3325" w14:textId="7AEADB35" w:rsidR="0046267F" w:rsidRDefault="00733558" w:rsidP="00146D62">
      <w:pPr>
        <w:pStyle w:val="TOCHeading"/>
        <w:jc w:val="center"/>
      </w:pPr>
      <w:bookmarkStart w:id="0" w:name="_Hlk193661421"/>
      <w:bookmarkEnd w:id="0"/>
      <w:r w:rsidRPr="0046267F">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6267F">
        <w:t xml:space="preserve">Assessment </w:t>
      </w:r>
      <w:r w:rsidR="00090F37">
        <w:t>Title:</w:t>
      </w:r>
    </w:p>
    <w:p w14:paraId="612D20CB" w14:textId="5B5B2473" w:rsidR="0038278E" w:rsidRDefault="0045365F" w:rsidP="0045365F">
      <w:pPr>
        <w:spacing w:line="240" w:lineRule="auto"/>
        <w:jc w:val="center"/>
        <w:rPr>
          <w:rFonts w:eastAsiaTheme="majorEastAsia" w:cstheme="majorBidi"/>
          <w:b/>
          <w:color w:val="000000" w:themeColor="text1"/>
          <w:kern w:val="0"/>
          <w:sz w:val="32"/>
          <w:szCs w:val="32"/>
          <w14:ligatures w14:val="none"/>
        </w:rPr>
      </w:pPr>
      <w:r w:rsidRPr="0045365F">
        <w:rPr>
          <w:rFonts w:eastAsiaTheme="majorEastAsia" w:cstheme="majorBidi"/>
          <w:b/>
          <w:color w:val="000000" w:themeColor="text1"/>
          <w:kern w:val="0"/>
          <w:sz w:val="32"/>
          <w:szCs w:val="32"/>
          <w14:ligatures w14:val="none"/>
        </w:rPr>
        <w:t xml:space="preserve">Synthesize a solution to a potential </w:t>
      </w:r>
      <w:proofErr w:type="gramStart"/>
      <w:r w:rsidRPr="0045365F">
        <w:rPr>
          <w:rFonts w:eastAsiaTheme="majorEastAsia" w:cstheme="majorBidi"/>
          <w:b/>
          <w:color w:val="000000" w:themeColor="text1"/>
          <w:kern w:val="0"/>
          <w:sz w:val="32"/>
          <w:szCs w:val="32"/>
          <w14:ligatures w14:val="none"/>
        </w:rPr>
        <w:t>real life</w:t>
      </w:r>
      <w:proofErr w:type="gramEnd"/>
      <w:r w:rsidRPr="0045365F">
        <w:rPr>
          <w:rFonts w:eastAsiaTheme="majorEastAsia" w:cstheme="majorBidi"/>
          <w:b/>
          <w:color w:val="000000" w:themeColor="text1"/>
          <w:kern w:val="0"/>
          <w:sz w:val="32"/>
          <w:szCs w:val="32"/>
          <w14:ligatures w14:val="none"/>
        </w:rPr>
        <w:t xml:space="preserve"> scenario</w:t>
      </w:r>
      <w:r w:rsidR="00090F37">
        <w:rPr>
          <w:rFonts w:eastAsiaTheme="majorEastAsia" w:cstheme="majorBidi"/>
          <w:b/>
          <w:color w:val="000000" w:themeColor="text1"/>
          <w:kern w:val="0"/>
          <w:sz w:val="32"/>
          <w:szCs w:val="32"/>
          <w14:ligatures w14:val="none"/>
        </w:rPr>
        <w:t>.</w:t>
      </w:r>
    </w:p>
    <w:p w14:paraId="5292457D" w14:textId="77777777" w:rsidR="00090F37" w:rsidRPr="0038278E" w:rsidRDefault="00090F37" w:rsidP="0045365F">
      <w:pPr>
        <w:spacing w:line="240" w:lineRule="auto"/>
        <w:jc w:val="center"/>
      </w:pPr>
    </w:p>
    <w:p w14:paraId="35FDDCDD" w14:textId="77777777" w:rsidR="001D4D7A" w:rsidRDefault="001D4D7A" w:rsidP="001D4D7A">
      <w:pPr>
        <w:spacing w:line="240" w:lineRule="auto"/>
        <w:jc w:val="center"/>
        <w:rPr>
          <w:b/>
          <w:bCs/>
          <w:color w:val="0A2F41" w:themeColor="accent1" w:themeShade="80"/>
          <w:sz w:val="40"/>
          <w:szCs w:val="40"/>
        </w:rPr>
      </w:pPr>
      <w:bookmarkStart w:id="1" w:name="_Hlk206672359"/>
    </w:p>
    <w:p w14:paraId="3A5EBE50" w14:textId="4853129D" w:rsidR="00DB7D35" w:rsidRPr="0046267F" w:rsidRDefault="00FB783B" w:rsidP="001D4D7A">
      <w:pPr>
        <w:spacing w:line="240" w:lineRule="auto"/>
        <w:jc w:val="center"/>
        <w:rPr>
          <w:b/>
          <w:bCs/>
          <w:color w:val="0A2F41" w:themeColor="accent1" w:themeShade="80"/>
          <w:sz w:val="40"/>
          <w:szCs w:val="40"/>
        </w:rPr>
      </w:pPr>
      <w:r w:rsidRPr="0046267F">
        <w:rPr>
          <w:b/>
          <w:bCs/>
          <w:color w:val="0A2F41" w:themeColor="accent1" w:themeShade="80"/>
          <w:sz w:val="40"/>
          <w:szCs w:val="40"/>
        </w:rPr>
        <w:t>CertHE Computing Skills for Workplace</w:t>
      </w:r>
    </w:p>
    <w:bookmarkEnd w:id="1"/>
    <w:p w14:paraId="0E92ACCB" w14:textId="77777777" w:rsidR="00401752" w:rsidRDefault="00401752" w:rsidP="001D4D7A">
      <w:pPr>
        <w:pStyle w:val="Title"/>
        <w:jc w:val="center"/>
        <w:rPr>
          <w:rFonts w:ascii="Arial" w:hAnsi="Arial" w:cs="Arial"/>
          <w:b/>
          <w:color w:val="0F4761" w:themeColor="accent1" w:themeShade="BF"/>
          <w:sz w:val="40"/>
          <w:szCs w:val="40"/>
        </w:rPr>
      </w:pPr>
      <w:r w:rsidRPr="00401752">
        <w:rPr>
          <w:rFonts w:ascii="Arial" w:hAnsi="Arial" w:cs="Arial"/>
          <w:b/>
          <w:color w:val="0F4761" w:themeColor="accent1" w:themeShade="BF"/>
          <w:sz w:val="40"/>
          <w:szCs w:val="40"/>
        </w:rPr>
        <w:t>Networks and Cyber Security Essentials</w:t>
      </w:r>
    </w:p>
    <w:p w14:paraId="0EA718E5" w14:textId="616BEF87" w:rsidR="0030743F" w:rsidRDefault="0003580C" w:rsidP="001D4D7A">
      <w:pPr>
        <w:pStyle w:val="Title"/>
        <w:jc w:val="center"/>
        <w:rPr>
          <w:rFonts w:ascii="Arial" w:hAnsi="Arial" w:cs="Arial"/>
          <w:b/>
          <w:color w:val="0B769F" w:themeColor="accent4" w:themeShade="BF"/>
          <w:sz w:val="40"/>
          <w:szCs w:val="40"/>
        </w:rPr>
      </w:pPr>
      <w:r w:rsidRPr="0046267F">
        <w:rPr>
          <w:rFonts w:ascii="Arial" w:hAnsi="Arial" w:cs="Arial"/>
          <w:b/>
          <w:color w:val="0B769F" w:themeColor="accent4" w:themeShade="BF"/>
          <w:sz w:val="40"/>
          <w:szCs w:val="40"/>
        </w:rPr>
        <w:t>ACCA40</w:t>
      </w:r>
      <w:r w:rsidR="00401752">
        <w:rPr>
          <w:rFonts w:ascii="Arial" w:hAnsi="Arial" w:cs="Arial"/>
          <w:b/>
          <w:color w:val="0B769F" w:themeColor="accent4" w:themeShade="BF"/>
          <w:sz w:val="40"/>
          <w:szCs w:val="40"/>
        </w:rPr>
        <w:t>24</w:t>
      </w:r>
      <w:r w:rsidR="0030743F" w:rsidRPr="0046267F">
        <w:rPr>
          <w:rFonts w:ascii="Arial" w:hAnsi="Arial" w:cs="Arial"/>
          <w:b/>
          <w:color w:val="0B769F" w:themeColor="accent4" w:themeShade="BF"/>
          <w:sz w:val="40"/>
          <w:szCs w:val="40"/>
        </w:rPr>
        <w:t>_LON</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13D5C326" w:rsidR="00FB783B" w:rsidRPr="00BE3E3D" w:rsidRDefault="00FB783B" w:rsidP="001D4D7A">
      <w:pPr>
        <w:shd w:val="clear" w:color="auto" w:fill="0C3512" w:themeFill="accent3" w:themeFillShade="80"/>
        <w:spacing w:line="240" w:lineRule="auto"/>
        <w:jc w:val="center"/>
        <w:rPr>
          <w:b/>
          <w:bCs/>
          <w:color w:val="F2F2F2" w:themeColor="background1" w:themeShade="F2"/>
          <w:sz w:val="36"/>
          <w:szCs w:val="36"/>
        </w:rPr>
      </w:pPr>
      <w:r w:rsidRPr="00BE3E3D">
        <w:rPr>
          <w:rFonts w:cs="Arial"/>
          <w:b/>
          <w:bCs/>
          <w:color w:val="F2F2F2" w:themeColor="background1" w:themeShade="F2"/>
          <w:sz w:val="36"/>
          <w:szCs w:val="36"/>
        </w:rPr>
        <w:t>DR</w:t>
      </w:r>
      <w:r w:rsidRPr="00BE3E3D">
        <w:rPr>
          <w:rFonts w:cs="Arial"/>
          <w:color w:val="F2F2F2" w:themeColor="background1" w:themeShade="F2"/>
          <w:sz w:val="36"/>
          <w:szCs w:val="36"/>
        </w:rPr>
        <w:t xml:space="preserve">. </w:t>
      </w:r>
      <w:r w:rsidR="00401752" w:rsidRPr="00401752">
        <w:rPr>
          <w:b/>
          <w:bCs/>
          <w:color w:val="F2F2F2" w:themeColor="background1" w:themeShade="F2"/>
          <w:sz w:val="36"/>
          <w:szCs w:val="36"/>
        </w:rPr>
        <w:t xml:space="preserve">Amit Naik </w:t>
      </w:r>
      <w:r w:rsidRPr="00BE3E3D">
        <w:rPr>
          <w:b/>
          <w:bCs/>
          <w:color w:val="F2F2F2" w:themeColor="background1" w:themeShade="F2"/>
          <w:sz w:val="36"/>
          <w:szCs w:val="36"/>
        </w:rPr>
        <w:t>(Lecturer)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2EAC46FF"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Name: </w:t>
      </w:r>
      <w:r w:rsidR="00FB783B" w:rsidRPr="00201CB7">
        <w:rPr>
          <w:b/>
          <w:bCs/>
          <w:sz w:val="28"/>
          <w:szCs w:val="28"/>
        </w:rPr>
        <w:t>Mr. Shugirthan Rasaratnam Amirthalingam</w:t>
      </w:r>
    </w:p>
    <w:p w14:paraId="620D9E07" w14:textId="094705EE"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3F191E6E"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9D1420">
        <w:rPr>
          <w:b/>
          <w:bCs/>
          <w:sz w:val="28"/>
          <w:szCs w:val="28"/>
        </w:rPr>
        <w:t>1</w:t>
      </w:r>
      <w:r w:rsidR="00CE639C">
        <w:rPr>
          <w:b/>
          <w:bCs/>
          <w:sz w:val="28"/>
          <w:szCs w:val="28"/>
        </w:rPr>
        <w:t>7</w:t>
      </w:r>
      <w:r w:rsidR="009D1420">
        <w:rPr>
          <w:b/>
          <w:bCs/>
          <w:sz w:val="28"/>
          <w:szCs w:val="28"/>
        </w:rPr>
        <w:t>/12/2025</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2A7377">
          <w:pPr>
            <w:pStyle w:val="TOCHeading"/>
          </w:pPr>
          <w:r>
            <w:t>Table of Contents</w:t>
          </w:r>
        </w:p>
        <w:p w14:paraId="5D793F49" w14:textId="26E20DAC" w:rsidR="003610F5" w:rsidRDefault="0094401D">
          <w:pPr>
            <w:pStyle w:val="TOC1"/>
            <w:tabs>
              <w:tab w:val="left" w:pos="440"/>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16921797" w:history="1">
            <w:r w:rsidR="003610F5" w:rsidRPr="00A84A79">
              <w:rPr>
                <w:rStyle w:val="Hyperlink"/>
                <w:noProof/>
              </w:rPr>
              <w:t>1.</w:t>
            </w:r>
            <w:r w:rsidR="003610F5">
              <w:rPr>
                <w:rFonts w:asciiTheme="minorHAnsi" w:eastAsiaTheme="minorEastAsia" w:hAnsiTheme="minorHAnsi"/>
                <w:noProof/>
                <w:kern w:val="0"/>
                <w:lang w:val="en-GB" w:eastAsia="en-GB"/>
                <w14:ligatures w14:val="none"/>
              </w:rPr>
              <w:tab/>
            </w:r>
            <w:r w:rsidR="003610F5" w:rsidRPr="00A84A79">
              <w:rPr>
                <w:rStyle w:val="Hyperlink"/>
                <w:noProof/>
              </w:rPr>
              <w:t>Introduction</w:t>
            </w:r>
            <w:r w:rsidR="003610F5">
              <w:rPr>
                <w:noProof/>
                <w:webHidden/>
              </w:rPr>
              <w:tab/>
            </w:r>
            <w:r w:rsidR="003610F5">
              <w:rPr>
                <w:noProof/>
                <w:webHidden/>
              </w:rPr>
              <w:fldChar w:fldCharType="begin"/>
            </w:r>
            <w:r w:rsidR="003610F5">
              <w:rPr>
                <w:noProof/>
                <w:webHidden/>
              </w:rPr>
              <w:instrText xml:space="preserve"> PAGEREF _Toc216921797 \h </w:instrText>
            </w:r>
            <w:r w:rsidR="003610F5">
              <w:rPr>
                <w:noProof/>
                <w:webHidden/>
              </w:rPr>
            </w:r>
            <w:r w:rsidR="003610F5">
              <w:rPr>
                <w:noProof/>
                <w:webHidden/>
              </w:rPr>
              <w:fldChar w:fldCharType="separate"/>
            </w:r>
            <w:r w:rsidR="003610F5">
              <w:rPr>
                <w:noProof/>
                <w:webHidden/>
              </w:rPr>
              <w:t>1</w:t>
            </w:r>
            <w:r w:rsidR="003610F5">
              <w:rPr>
                <w:noProof/>
                <w:webHidden/>
              </w:rPr>
              <w:fldChar w:fldCharType="end"/>
            </w:r>
          </w:hyperlink>
        </w:p>
        <w:p w14:paraId="0F7DBD66" w14:textId="2D3B209B"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798" w:history="1">
            <w:r w:rsidR="003610F5" w:rsidRPr="00A84A79">
              <w:rPr>
                <w:rStyle w:val="Hyperlink"/>
                <w:noProof/>
              </w:rPr>
              <w:t>2. Identification of Modern Threats</w:t>
            </w:r>
            <w:r w:rsidR="003610F5">
              <w:rPr>
                <w:noProof/>
                <w:webHidden/>
              </w:rPr>
              <w:tab/>
            </w:r>
            <w:r w:rsidR="003610F5">
              <w:rPr>
                <w:noProof/>
                <w:webHidden/>
              </w:rPr>
              <w:fldChar w:fldCharType="begin"/>
            </w:r>
            <w:r w:rsidR="003610F5">
              <w:rPr>
                <w:noProof/>
                <w:webHidden/>
              </w:rPr>
              <w:instrText xml:space="preserve"> PAGEREF _Toc216921798 \h </w:instrText>
            </w:r>
            <w:r w:rsidR="003610F5">
              <w:rPr>
                <w:noProof/>
                <w:webHidden/>
              </w:rPr>
            </w:r>
            <w:r w:rsidR="003610F5">
              <w:rPr>
                <w:noProof/>
                <w:webHidden/>
              </w:rPr>
              <w:fldChar w:fldCharType="separate"/>
            </w:r>
            <w:r w:rsidR="003610F5">
              <w:rPr>
                <w:noProof/>
                <w:webHidden/>
              </w:rPr>
              <w:t>1</w:t>
            </w:r>
            <w:r w:rsidR="003610F5">
              <w:rPr>
                <w:noProof/>
                <w:webHidden/>
              </w:rPr>
              <w:fldChar w:fldCharType="end"/>
            </w:r>
          </w:hyperlink>
        </w:p>
        <w:p w14:paraId="65D7986A" w14:textId="35343D0E"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799" w:history="1">
            <w:r w:rsidR="003610F5" w:rsidRPr="00A84A79">
              <w:rPr>
                <w:rStyle w:val="Hyperlink"/>
                <w:noProof/>
              </w:rPr>
              <w:t>2.1 Ransomware-as-a-Service (RaaS)</w:t>
            </w:r>
            <w:r w:rsidR="003610F5">
              <w:rPr>
                <w:noProof/>
                <w:webHidden/>
              </w:rPr>
              <w:tab/>
            </w:r>
            <w:r w:rsidR="003610F5">
              <w:rPr>
                <w:noProof/>
                <w:webHidden/>
              </w:rPr>
              <w:fldChar w:fldCharType="begin"/>
            </w:r>
            <w:r w:rsidR="003610F5">
              <w:rPr>
                <w:noProof/>
                <w:webHidden/>
              </w:rPr>
              <w:instrText xml:space="preserve"> PAGEREF _Toc216921799 \h </w:instrText>
            </w:r>
            <w:r w:rsidR="003610F5">
              <w:rPr>
                <w:noProof/>
                <w:webHidden/>
              </w:rPr>
            </w:r>
            <w:r w:rsidR="003610F5">
              <w:rPr>
                <w:noProof/>
                <w:webHidden/>
              </w:rPr>
              <w:fldChar w:fldCharType="separate"/>
            </w:r>
            <w:r w:rsidR="003610F5">
              <w:rPr>
                <w:noProof/>
                <w:webHidden/>
              </w:rPr>
              <w:t>2</w:t>
            </w:r>
            <w:r w:rsidR="003610F5">
              <w:rPr>
                <w:noProof/>
                <w:webHidden/>
              </w:rPr>
              <w:fldChar w:fldCharType="end"/>
            </w:r>
          </w:hyperlink>
        </w:p>
        <w:p w14:paraId="1AFF1AB6" w14:textId="6DD1DAB5"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00" w:history="1">
            <w:r w:rsidR="003610F5" w:rsidRPr="00A84A79">
              <w:rPr>
                <w:rStyle w:val="Hyperlink"/>
                <w:noProof/>
              </w:rPr>
              <w:t>2.2 AI-Powered Social Engineering</w:t>
            </w:r>
            <w:r w:rsidR="003610F5">
              <w:rPr>
                <w:noProof/>
                <w:webHidden/>
              </w:rPr>
              <w:tab/>
            </w:r>
            <w:r w:rsidR="003610F5">
              <w:rPr>
                <w:noProof/>
                <w:webHidden/>
              </w:rPr>
              <w:fldChar w:fldCharType="begin"/>
            </w:r>
            <w:r w:rsidR="003610F5">
              <w:rPr>
                <w:noProof/>
                <w:webHidden/>
              </w:rPr>
              <w:instrText xml:space="preserve"> PAGEREF _Toc216921800 \h </w:instrText>
            </w:r>
            <w:r w:rsidR="003610F5">
              <w:rPr>
                <w:noProof/>
                <w:webHidden/>
              </w:rPr>
            </w:r>
            <w:r w:rsidR="003610F5">
              <w:rPr>
                <w:noProof/>
                <w:webHidden/>
              </w:rPr>
              <w:fldChar w:fldCharType="separate"/>
            </w:r>
            <w:r w:rsidR="003610F5">
              <w:rPr>
                <w:noProof/>
                <w:webHidden/>
              </w:rPr>
              <w:t>2</w:t>
            </w:r>
            <w:r w:rsidR="003610F5">
              <w:rPr>
                <w:noProof/>
                <w:webHidden/>
              </w:rPr>
              <w:fldChar w:fldCharType="end"/>
            </w:r>
          </w:hyperlink>
        </w:p>
        <w:p w14:paraId="47B089CA" w14:textId="63CAD0A6"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01" w:history="1">
            <w:r w:rsidR="003610F5" w:rsidRPr="00A84A79">
              <w:rPr>
                <w:rStyle w:val="Hyperlink"/>
                <w:noProof/>
              </w:rPr>
              <w:t>2.3 Supply Chain Compromises</w:t>
            </w:r>
            <w:r w:rsidR="003610F5">
              <w:rPr>
                <w:noProof/>
                <w:webHidden/>
              </w:rPr>
              <w:tab/>
            </w:r>
            <w:r w:rsidR="003610F5">
              <w:rPr>
                <w:noProof/>
                <w:webHidden/>
              </w:rPr>
              <w:fldChar w:fldCharType="begin"/>
            </w:r>
            <w:r w:rsidR="003610F5">
              <w:rPr>
                <w:noProof/>
                <w:webHidden/>
              </w:rPr>
              <w:instrText xml:space="preserve"> PAGEREF _Toc216921801 \h </w:instrText>
            </w:r>
            <w:r w:rsidR="003610F5">
              <w:rPr>
                <w:noProof/>
                <w:webHidden/>
              </w:rPr>
            </w:r>
            <w:r w:rsidR="003610F5">
              <w:rPr>
                <w:noProof/>
                <w:webHidden/>
              </w:rPr>
              <w:fldChar w:fldCharType="separate"/>
            </w:r>
            <w:r w:rsidR="003610F5">
              <w:rPr>
                <w:noProof/>
                <w:webHidden/>
              </w:rPr>
              <w:t>2</w:t>
            </w:r>
            <w:r w:rsidR="003610F5">
              <w:rPr>
                <w:noProof/>
                <w:webHidden/>
              </w:rPr>
              <w:fldChar w:fldCharType="end"/>
            </w:r>
          </w:hyperlink>
        </w:p>
        <w:p w14:paraId="5AA2E3C5" w14:textId="729A81F7"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02" w:history="1">
            <w:r w:rsidR="003610F5" w:rsidRPr="00A84A79">
              <w:rPr>
                <w:rStyle w:val="Hyperlink"/>
                <w:noProof/>
              </w:rPr>
              <w:t>3. Modern Security Policies Aligned with Zero Trust</w:t>
            </w:r>
            <w:r w:rsidR="003610F5">
              <w:rPr>
                <w:noProof/>
                <w:webHidden/>
              </w:rPr>
              <w:tab/>
            </w:r>
            <w:r w:rsidR="003610F5">
              <w:rPr>
                <w:noProof/>
                <w:webHidden/>
              </w:rPr>
              <w:fldChar w:fldCharType="begin"/>
            </w:r>
            <w:r w:rsidR="003610F5">
              <w:rPr>
                <w:noProof/>
                <w:webHidden/>
              </w:rPr>
              <w:instrText xml:space="preserve"> PAGEREF _Toc216921802 \h </w:instrText>
            </w:r>
            <w:r w:rsidR="003610F5">
              <w:rPr>
                <w:noProof/>
                <w:webHidden/>
              </w:rPr>
            </w:r>
            <w:r w:rsidR="003610F5">
              <w:rPr>
                <w:noProof/>
                <w:webHidden/>
              </w:rPr>
              <w:fldChar w:fldCharType="separate"/>
            </w:r>
            <w:r w:rsidR="003610F5">
              <w:rPr>
                <w:noProof/>
                <w:webHidden/>
              </w:rPr>
              <w:t>3</w:t>
            </w:r>
            <w:r w:rsidR="003610F5">
              <w:rPr>
                <w:noProof/>
                <w:webHidden/>
              </w:rPr>
              <w:fldChar w:fldCharType="end"/>
            </w:r>
          </w:hyperlink>
        </w:p>
        <w:p w14:paraId="3608F128" w14:textId="052DB3A4"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03" w:history="1">
            <w:r w:rsidR="003610F5" w:rsidRPr="00A84A79">
              <w:rPr>
                <w:rStyle w:val="Hyperlink"/>
                <w:noProof/>
              </w:rPr>
              <w:t>4. Technical Mitigation Measures</w:t>
            </w:r>
            <w:r w:rsidR="003610F5">
              <w:rPr>
                <w:noProof/>
                <w:webHidden/>
              </w:rPr>
              <w:tab/>
            </w:r>
            <w:r w:rsidR="003610F5">
              <w:rPr>
                <w:noProof/>
                <w:webHidden/>
              </w:rPr>
              <w:fldChar w:fldCharType="begin"/>
            </w:r>
            <w:r w:rsidR="003610F5">
              <w:rPr>
                <w:noProof/>
                <w:webHidden/>
              </w:rPr>
              <w:instrText xml:space="preserve"> PAGEREF _Toc216921803 \h </w:instrText>
            </w:r>
            <w:r w:rsidR="003610F5">
              <w:rPr>
                <w:noProof/>
                <w:webHidden/>
              </w:rPr>
            </w:r>
            <w:r w:rsidR="003610F5">
              <w:rPr>
                <w:noProof/>
                <w:webHidden/>
              </w:rPr>
              <w:fldChar w:fldCharType="separate"/>
            </w:r>
            <w:r w:rsidR="003610F5">
              <w:rPr>
                <w:noProof/>
                <w:webHidden/>
              </w:rPr>
              <w:t>4</w:t>
            </w:r>
            <w:r w:rsidR="003610F5">
              <w:rPr>
                <w:noProof/>
                <w:webHidden/>
              </w:rPr>
              <w:fldChar w:fldCharType="end"/>
            </w:r>
          </w:hyperlink>
        </w:p>
        <w:p w14:paraId="10185749" w14:textId="3CC4FBE2"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04" w:history="1">
            <w:r w:rsidR="003610F5" w:rsidRPr="00A84A79">
              <w:rPr>
                <w:rStyle w:val="Hyperlink"/>
                <w:noProof/>
              </w:rPr>
              <w:t>4.1 Identity and Access Management</w:t>
            </w:r>
            <w:r w:rsidR="003610F5">
              <w:rPr>
                <w:noProof/>
                <w:webHidden/>
              </w:rPr>
              <w:tab/>
            </w:r>
            <w:r w:rsidR="003610F5">
              <w:rPr>
                <w:noProof/>
                <w:webHidden/>
              </w:rPr>
              <w:fldChar w:fldCharType="begin"/>
            </w:r>
            <w:r w:rsidR="003610F5">
              <w:rPr>
                <w:noProof/>
                <w:webHidden/>
              </w:rPr>
              <w:instrText xml:space="preserve"> PAGEREF _Toc216921804 \h </w:instrText>
            </w:r>
            <w:r w:rsidR="003610F5">
              <w:rPr>
                <w:noProof/>
                <w:webHidden/>
              </w:rPr>
            </w:r>
            <w:r w:rsidR="003610F5">
              <w:rPr>
                <w:noProof/>
                <w:webHidden/>
              </w:rPr>
              <w:fldChar w:fldCharType="separate"/>
            </w:r>
            <w:r w:rsidR="003610F5">
              <w:rPr>
                <w:noProof/>
                <w:webHidden/>
              </w:rPr>
              <w:t>4</w:t>
            </w:r>
            <w:r w:rsidR="003610F5">
              <w:rPr>
                <w:noProof/>
                <w:webHidden/>
              </w:rPr>
              <w:fldChar w:fldCharType="end"/>
            </w:r>
          </w:hyperlink>
        </w:p>
        <w:p w14:paraId="10D95780" w14:textId="1D01365B"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05" w:history="1">
            <w:r w:rsidR="003610F5" w:rsidRPr="00A84A79">
              <w:rPr>
                <w:rStyle w:val="Hyperlink"/>
                <w:noProof/>
              </w:rPr>
              <w:t>4.2 Vulnerability Management and CISA KEV Integration</w:t>
            </w:r>
            <w:r w:rsidR="003610F5">
              <w:rPr>
                <w:noProof/>
                <w:webHidden/>
              </w:rPr>
              <w:tab/>
            </w:r>
            <w:r w:rsidR="003610F5">
              <w:rPr>
                <w:noProof/>
                <w:webHidden/>
              </w:rPr>
              <w:fldChar w:fldCharType="begin"/>
            </w:r>
            <w:r w:rsidR="003610F5">
              <w:rPr>
                <w:noProof/>
                <w:webHidden/>
              </w:rPr>
              <w:instrText xml:space="preserve"> PAGEREF _Toc216921805 \h </w:instrText>
            </w:r>
            <w:r w:rsidR="003610F5">
              <w:rPr>
                <w:noProof/>
                <w:webHidden/>
              </w:rPr>
            </w:r>
            <w:r w:rsidR="003610F5">
              <w:rPr>
                <w:noProof/>
                <w:webHidden/>
              </w:rPr>
              <w:fldChar w:fldCharType="separate"/>
            </w:r>
            <w:r w:rsidR="003610F5">
              <w:rPr>
                <w:noProof/>
                <w:webHidden/>
              </w:rPr>
              <w:t>4</w:t>
            </w:r>
            <w:r w:rsidR="003610F5">
              <w:rPr>
                <w:noProof/>
                <w:webHidden/>
              </w:rPr>
              <w:fldChar w:fldCharType="end"/>
            </w:r>
          </w:hyperlink>
        </w:p>
        <w:p w14:paraId="7CFE8404" w14:textId="19AC0A4F"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06" w:history="1">
            <w:r w:rsidR="003610F5" w:rsidRPr="00A84A79">
              <w:rPr>
                <w:rStyle w:val="Hyperlink"/>
                <w:noProof/>
              </w:rPr>
              <w:t>4.3 EDR/XDR and Network Security</w:t>
            </w:r>
            <w:r w:rsidR="003610F5">
              <w:rPr>
                <w:noProof/>
                <w:webHidden/>
              </w:rPr>
              <w:tab/>
            </w:r>
            <w:r w:rsidR="003610F5">
              <w:rPr>
                <w:noProof/>
                <w:webHidden/>
              </w:rPr>
              <w:fldChar w:fldCharType="begin"/>
            </w:r>
            <w:r w:rsidR="003610F5">
              <w:rPr>
                <w:noProof/>
                <w:webHidden/>
              </w:rPr>
              <w:instrText xml:space="preserve"> PAGEREF _Toc216921806 \h </w:instrText>
            </w:r>
            <w:r w:rsidR="003610F5">
              <w:rPr>
                <w:noProof/>
                <w:webHidden/>
              </w:rPr>
            </w:r>
            <w:r w:rsidR="003610F5">
              <w:rPr>
                <w:noProof/>
                <w:webHidden/>
              </w:rPr>
              <w:fldChar w:fldCharType="separate"/>
            </w:r>
            <w:r w:rsidR="003610F5">
              <w:rPr>
                <w:noProof/>
                <w:webHidden/>
              </w:rPr>
              <w:t>4</w:t>
            </w:r>
            <w:r w:rsidR="003610F5">
              <w:rPr>
                <w:noProof/>
                <w:webHidden/>
              </w:rPr>
              <w:fldChar w:fldCharType="end"/>
            </w:r>
          </w:hyperlink>
        </w:p>
        <w:p w14:paraId="4B1B8856" w14:textId="14A6637E"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07" w:history="1">
            <w:r w:rsidR="003610F5" w:rsidRPr="00A84A79">
              <w:rPr>
                <w:rStyle w:val="Hyperlink"/>
                <w:noProof/>
              </w:rPr>
              <w:t>5. Proactive Monitoring and Incident Response</w:t>
            </w:r>
            <w:r w:rsidR="003610F5">
              <w:rPr>
                <w:noProof/>
                <w:webHidden/>
              </w:rPr>
              <w:tab/>
            </w:r>
            <w:r w:rsidR="003610F5">
              <w:rPr>
                <w:noProof/>
                <w:webHidden/>
              </w:rPr>
              <w:fldChar w:fldCharType="begin"/>
            </w:r>
            <w:r w:rsidR="003610F5">
              <w:rPr>
                <w:noProof/>
                <w:webHidden/>
              </w:rPr>
              <w:instrText xml:space="preserve"> PAGEREF _Toc216921807 \h </w:instrText>
            </w:r>
            <w:r w:rsidR="003610F5">
              <w:rPr>
                <w:noProof/>
                <w:webHidden/>
              </w:rPr>
            </w:r>
            <w:r w:rsidR="003610F5">
              <w:rPr>
                <w:noProof/>
                <w:webHidden/>
              </w:rPr>
              <w:fldChar w:fldCharType="separate"/>
            </w:r>
            <w:r w:rsidR="003610F5">
              <w:rPr>
                <w:noProof/>
                <w:webHidden/>
              </w:rPr>
              <w:t>5</w:t>
            </w:r>
            <w:r w:rsidR="003610F5">
              <w:rPr>
                <w:noProof/>
                <w:webHidden/>
              </w:rPr>
              <w:fldChar w:fldCharType="end"/>
            </w:r>
          </w:hyperlink>
        </w:p>
        <w:p w14:paraId="7A4A20E2" w14:textId="4BB44CBC"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08" w:history="1">
            <w:r w:rsidR="003610F5" w:rsidRPr="00A84A79">
              <w:rPr>
                <w:rStyle w:val="Hyperlink"/>
                <w:noProof/>
              </w:rPr>
              <w:t>6. Continuous Training and Security Awareness</w:t>
            </w:r>
            <w:r w:rsidR="003610F5">
              <w:rPr>
                <w:noProof/>
                <w:webHidden/>
              </w:rPr>
              <w:tab/>
            </w:r>
            <w:r w:rsidR="003610F5">
              <w:rPr>
                <w:noProof/>
                <w:webHidden/>
              </w:rPr>
              <w:fldChar w:fldCharType="begin"/>
            </w:r>
            <w:r w:rsidR="003610F5">
              <w:rPr>
                <w:noProof/>
                <w:webHidden/>
              </w:rPr>
              <w:instrText xml:space="preserve"> PAGEREF _Toc216921808 \h </w:instrText>
            </w:r>
            <w:r w:rsidR="003610F5">
              <w:rPr>
                <w:noProof/>
                <w:webHidden/>
              </w:rPr>
            </w:r>
            <w:r w:rsidR="003610F5">
              <w:rPr>
                <w:noProof/>
                <w:webHidden/>
              </w:rPr>
              <w:fldChar w:fldCharType="separate"/>
            </w:r>
            <w:r w:rsidR="003610F5">
              <w:rPr>
                <w:noProof/>
                <w:webHidden/>
              </w:rPr>
              <w:t>6</w:t>
            </w:r>
            <w:r w:rsidR="003610F5">
              <w:rPr>
                <w:noProof/>
                <w:webHidden/>
              </w:rPr>
              <w:fldChar w:fldCharType="end"/>
            </w:r>
          </w:hyperlink>
        </w:p>
        <w:p w14:paraId="08DC6F8C" w14:textId="2CD8EB27"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09" w:history="1">
            <w:r w:rsidR="003610F5" w:rsidRPr="00A84A79">
              <w:rPr>
                <w:rStyle w:val="Hyperlink"/>
                <w:noProof/>
              </w:rPr>
              <w:t>7. Conclusion and Strategic Imperatives</w:t>
            </w:r>
            <w:r w:rsidR="003610F5">
              <w:rPr>
                <w:noProof/>
                <w:webHidden/>
              </w:rPr>
              <w:tab/>
            </w:r>
            <w:r w:rsidR="003610F5">
              <w:rPr>
                <w:noProof/>
                <w:webHidden/>
              </w:rPr>
              <w:fldChar w:fldCharType="begin"/>
            </w:r>
            <w:r w:rsidR="003610F5">
              <w:rPr>
                <w:noProof/>
                <w:webHidden/>
              </w:rPr>
              <w:instrText xml:space="preserve"> PAGEREF _Toc216921809 \h </w:instrText>
            </w:r>
            <w:r w:rsidR="003610F5">
              <w:rPr>
                <w:noProof/>
                <w:webHidden/>
              </w:rPr>
            </w:r>
            <w:r w:rsidR="003610F5">
              <w:rPr>
                <w:noProof/>
                <w:webHidden/>
              </w:rPr>
              <w:fldChar w:fldCharType="separate"/>
            </w:r>
            <w:r w:rsidR="003610F5">
              <w:rPr>
                <w:noProof/>
                <w:webHidden/>
              </w:rPr>
              <w:t>7</w:t>
            </w:r>
            <w:r w:rsidR="003610F5">
              <w:rPr>
                <w:noProof/>
                <w:webHidden/>
              </w:rPr>
              <w:fldChar w:fldCharType="end"/>
            </w:r>
          </w:hyperlink>
        </w:p>
        <w:p w14:paraId="0BB001A3" w14:textId="75DECD3D"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10" w:history="1">
            <w:r w:rsidR="003610F5" w:rsidRPr="00A84A79">
              <w:rPr>
                <w:rStyle w:val="Hyperlink"/>
                <w:noProof/>
              </w:rPr>
              <w:t>References</w:t>
            </w:r>
            <w:r w:rsidR="003610F5">
              <w:rPr>
                <w:noProof/>
                <w:webHidden/>
              </w:rPr>
              <w:tab/>
            </w:r>
            <w:r w:rsidR="003610F5">
              <w:rPr>
                <w:noProof/>
                <w:webHidden/>
              </w:rPr>
              <w:fldChar w:fldCharType="begin"/>
            </w:r>
            <w:r w:rsidR="003610F5">
              <w:rPr>
                <w:noProof/>
                <w:webHidden/>
              </w:rPr>
              <w:instrText xml:space="preserve"> PAGEREF _Toc216921810 \h </w:instrText>
            </w:r>
            <w:r w:rsidR="003610F5">
              <w:rPr>
                <w:noProof/>
                <w:webHidden/>
              </w:rPr>
            </w:r>
            <w:r w:rsidR="003610F5">
              <w:rPr>
                <w:noProof/>
                <w:webHidden/>
              </w:rPr>
              <w:fldChar w:fldCharType="separate"/>
            </w:r>
            <w:r w:rsidR="003610F5">
              <w:rPr>
                <w:noProof/>
                <w:webHidden/>
              </w:rPr>
              <w:t>7</w:t>
            </w:r>
            <w:r w:rsidR="003610F5">
              <w:rPr>
                <w:noProof/>
                <w:webHidden/>
              </w:rPr>
              <w:fldChar w:fldCharType="end"/>
            </w:r>
          </w:hyperlink>
        </w:p>
        <w:p w14:paraId="7A3B9165" w14:textId="6312C794" w:rsidR="003610F5" w:rsidRDefault="000C5A31">
          <w:pPr>
            <w:pStyle w:val="TOC1"/>
            <w:tabs>
              <w:tab w:val="right" w:leader="dot" w:pos="10456"/>
            </w:tabs>
            <w:rPr>
              <w:rFonts w:asciiTheme="minorHAnsi" w:eastAsiaTheme="minorEastAsia" w:hAnsiTheme="minorHAnsi"/>
              <w:noProof/>
              <w:kern w:val="0"/>
              <w:lang w:val="en-GB" w:eastAsia="en-GB"/>
              <w14:ligatures w14:val="none"/>
            </w:rPr>
          </w:pPr>
          <w:hyperlink w:anchor="_Toc216921811" w:history="1">
            <w:r w:rsidR="003610F5" w:rsidRPr="00A84A79">
              <w:rPr>
                <w:rStyle w:val="Hyperlink"/>
                <w:noProof/>
              </w:rPr>
              <w:t>Appendices</w:t>
            </w:r>
            <w:r w:rsidR="003610F5">
              <w:rPr>
                <w:noProof/>
                <w:webHidden/>
              </w:rPr>
              <w:tab/>
            </w:r>
            <w:r w:rsidR="003610F5">
              <w:rPr>
                <w:noProof/>
                <w:webHidden/>
              </w:rPr>
              <w:fldChar w:fldCharType="begin"/>
            </w:r>
            <w:r w:rsidR="003610F5">
              <w:rPr>
                <w:noProof/>
                <w:webHidden/>
              </w:rPr>
              <w:instrText xml:space="preserve"> PAGEREF _Toc216921811 \h </w:instrText>
            </w:r>
            <w:r w:rsidR="003610F5">
              <w:rPr>
                <w:noProof/>
                <w:webHidden/>
              </w:rPr>
            </w:r>
            <w:r w:rsidR="003610F5">
              <w:rPr>
                <w:noProof/>
                <w:webHidden/>
              </w:rPr>
              <w:fldChar w:fldCharType="separate"/>
            </w:r>
            <w:r w:rsidR="003610F5">
              <w:rPr>
                <w:noProof/>
                <w:webHidden/>
              </w:rPr>
              <w:t>9</w:t>
            </w:r>
            <w:r w:rsidR="003610F5">
              <w:rPr>
                <w:noProof/>
                <w:webHidden/>
              </w:rPr>
              <w:fldChar w:fldCharType="end"/>
            </w:r>
          </w:hyperlink>
        </w:p>
        <w:p w14:paraId="5A45BEF5" w14:textId="5D06F159"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12" w:history="1">
            <w:r w:rsidR="003610F5" w:rsidRPr="00A84A79">
              <w:rPr>
                <w:rStyle w:val="Hyperlink"/>
                <w:noProof/>
              </w:rPr>
              <w:t>Presentation</w:t>
            </w:r>
            <w:r w:rsidR="003610F5">
              <w:rPr>
                <w:noProof/>
                <w:webHidden/>
              </w:rPr>
              <w:tab/>
            </w:r>
            <w:r w:rsidR="003610F5">
              <w:rPr>
                <w:noProof/>
                <w:webHidden/>
              </w:rPr>
              <w:fldChar w:fldCharType="begin"/>
            </w:r>
            <w:r w:rsidR="003610F5">
              <w:rPr>
                <w:noProof/>
                <w:webHidden/>
              </w:rPr>
              <w:instrText xml:space="preserve"> PAGEREF _Toc216921812 \h </w:instrText>
            </w:r>
            <w:r w:rsidR="003610F5">
              <w:rPr>
                <w:noProof/>
                <w:webHidden/>
              </w:rPr>
            </w:r>
            <w:r w:rsidR="003610F5">
              <w:rPr>
                <w:noProof/>
                <w:webHidden/>
              </w:rPr>
              <w:fldChar w:fldCharType="separate"/>
            </w:r>
            <w:r w:rsidR="003610F5">
              <w:rPr>
                <w:noProof/>
                <w:webHidden/>
              </w:rPr>
              <w:t>9</w:t>
            </w:r>
            <w:r w:rsidR="003610F5">
              <w:rPr>
                <w:noProof/>
                <w:webHidden/>
              </w:rPr>
              <w:fldChar w:fldCharType="end"/>
            </w:r>
          </w:hyperlink>
        </w:p>
        <w:p w14:paraId="40BBB32B" w14:textId="529ABD4E" w:rsidR="003610F5" w:rsidRDefault="000C5A31">
          <w:pPr>
            <w:pStyle w:val="TOC2"/>
            <w:tabs>
              <w:tab w:val="right" w:leader="dot" w:pos="10456"/>
            </w:tabs>
            <w:rPr>
              <w:rFonts w:asciiTheme="minorHAnsi" w:eastAsiaTheme="minorEastAsia" w:hAnsiTheme="minorHAnsi"/>
              <w:noProof/>
              <w:kern w:val="0"/>
              <w:lang w:val="en-GB" w:eastAsia="en-GB"/>
              <w14:ligatures w14:val="none"/>
            </w:rPr>
          </w:pPr>
          <w:hyperlink w:anchor="_Toc216921813" w:history="1">
            <w:r w:rsidR="003610F5" w:rsidRPr="00A84A79">
              <w:rPr>
                <w:rStyle w:val="Hyperlink"/>
                <w:noProof/>
              </w:rPr>
              <w:t>Certificates</w:t>
            </w:r>
            <w:r w:rsidR="003610F5">
              <w:rPr>
                <w:noProof/>
                <w:webHidden/>
              </w:rPr>
              <w:tab/>
            </w:r>
            <w:r w:rsidR="003610F5">
              <w:rPr>
                <w:noProof/>
                <w:webHidden/>
              </w:rPr>
              <w:fldChar w:fldCharType="begin"/>
            </w:r>
            <w:r w:rsidR="003610F5">
              <w:rPr>
                <w:noProof/>
                <w:webHidden/>
              </w:rPr>
              <w:instrText xml:space="preserve"> PAGEREF _Toc216921813 \h </w:instrText>
            </w:r>
            <w:r w:rsidR="003610F5">
              <w:rPr>
                <w:noProof/>
                <w:webHidden/>
              </w:rPr>
            </w:r>
            <w:r w:rsidR="003610F5">
              <w:rPr>
                <w:noProof/>
                <w:webHidden/>
              </w:rPr>
              <w:fldChar w:fldCharType="separate"/>
            </w:r>
            <w:r w:rsidR="003610F5">
              <w:rPr>
                <w:noProof/>
                <w:webHidden/>
              </w:rPr>
              <w:t>16</w:t>
            </w:r>
            <w:r w:rsidR="003610F5">
              <w:rPr>
                <w:noProof/>
                <w:webHidden/>
              </w:rPr>
              <w:fldChar w:fldCharType="end"/>
            </w:r>
          </w:hyperlink>
        </w:p>
        <w:p w14:paraId="6D5A6A69" w14:textId="7BD53D41" w:rsidR="00C27183" w:rsidRDefault="0094401D" w:rsidP="004F683A">
          <w:r w:rsidRPr="000405AE">
            <w:rPr>
              <w:b/>
              <w:bCs/>
              <w:noProof/>
              <w:sz w:val="18"/>
              <w:szCs w:val="18"/>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1E94697F" w14:textId="695457E6" w:rsidR="00576C24" w:rsidRDefault="00D55B2D" w:rsidP="00BD3432">
      <w:pPr>
        <w:pStyle w:val="Heading1"/>
        <w:numPr>
          <w:ilvl w:val="0"/>
          <w:numId w:val="24"/>
        </w:numPr>
        <w:ind w:left="0" w:firstLine="0"/>
      </w:pPr>
      <w:bookmarkStart w:id="2" w:name="_Toc216921797"/>
      <w:r w:rsidRPr="00D55B2D">
        <w:lastRenderedPageBreak/>
        <w:t>Introduction</w:t>
      </w:r>
      <w:bookmarkEnd w:id="2"/>
    </w:p>
    <w:p w14:paraId="015522CA" w14:textId="0856B702" w:rsidR="00A012A5" w:rsidRPr="00A012A5" w:rsidRDefault="00A012A5" w:rsidP="00A012A5">
      <w:pPr>
        <w:rPr>
          <w:lang w:val="en-GB"/>
        </w:rPr>
      </w:pPr>
      <w:r w:rsidRPr="00A012A5">
        <w:rPr>
          <w:lang w:val="en-GB"/>
        </w:rPr>
        <w:t xml:space="preserve">Vigilant Trust &amp; Asset Management confronts an unprecedented threat landscape demanding fundamental security transformation. Financial services organisations experienced a </w:t>
      </w:r>
      <w:r w:rsidRPr="00A012A5">
        <w:rPr>
          <w:b/>
          <w:bCs/>
          <w:lang w:val="en-GB"/>
        </w:rPr>
        <w:t>$6.08 million average breach cost</w:t>
      </w:r>
      <w:r w:rsidRPr="00A012A5">
        <w:rPr>
          <w:lang w:val="en-GB"/>
        </w:rPr>
        <w:t xml:space="preserve"> in 2024, representing 22% above the global average and the second-highest of any industry</w:t>
      </w:r>
      <w:r w:rsidR="00C77120">
        <w:rPr>
          <w:lang w:val="en-GB"/>
        </w:rPr>
        <w:t xml:space="preserve"> </w:t>
      </w:r>
      <w:sdt>
        <w:sdtPr>
          <w:rPr>
            <w:lang w:val="en-GB"/>
          </w:rPr>
          <w:id w:val="1469471938"/>
          <w:citation/>
        </w:sdtPr>
        <w:sdtEndPr/>
        <w:sdtContent>
          <w:r w:rsidR="002025E0">
            <w:rPr>
              <w:lang w:val="en-GB"/>
            </w:rPr>
            <w:fldChar w:fldCharType="begin"/>
          </w:r>
          <w:r w:rsidR="002025E0">
            <w:rPr>
              <w:lang w:val="en-GB"/>
            </w:rPr>
            <w:instrText xml:space="preserve"> CITATION 01_IBM_Security \l 2057 </w:instrText>
          </w:r>
          <w:r w:rsidR="002025E0">
            <w:rPr>
              <w:lang w:val="en-GB"/>
            </w:rPr>
            <w:fldChar w:fldCharType="separate"/>
          </w:r>
          <w:r w:rsidR="002025E0" w:rsidRPr="002025E0">
            <w:rPr>
              <w:noProof/>
              <w:lang w:val="en-GB"/>
            </w:rPr>
            <w:t>[1]</w:t>
          </w:r>
          <w:r w:rsidR="002025E0">
            <w:rPr>
              <w:lang w:val="en-GB"/>
            </w:rPr>
            <w:fldChar w:fldCharType="end"/>
          </w:r>
        </w:sdtContent>
      </w:sdt>
      <w:r w:rsidRPr="00A012A5">
        <w:rPr>
          <w:lang w:val="en-GB"/>
        </w:rPr>
        <w:t xml:space="preserve">. Ransomware attacks now affect 65% of financial institutions, a dramatic increase from 34% in 2021, with average ransom payments escalating from $400,000 to $2 </w:t>
      </w:r>
      <w:proofErr w:type="gramStart"/>
      <w:r w:rsidRPr="00A012A5">
        <w:rPr>
          <w:lang w:val="en-GB"/>
        </w:rPr>
        <w:t>million</w:t>
      </w:r>
      <w:r>
        <w:rPr>
          <w:lang w:val="en-GB"/>
        </w:rPr>
        <w:t xml:space="preserve">  -</w:t>
      </w:r>
      <w:proofErr w:type="gramEnd"/>
      <w:r w:rsidRPr="00A012A5">
        <w:rPr>
          <w:lang w:val="en-GB"/>
        </w:rPr>
        <w:t>a staggering 500% increase reflecting both attacker sophistication and victim desperation</w:t>
      </w:r>
      <w:r w:rsidR="00CE6167">
        <w:rPr>
          <w:lang w:val="en-GB"/>
        </w:rPr>
        <w:t xml:space="preserve"> </w:t>
      </w:r>
      <w:sdt>
        <w:sdtPr>
          <w:rPr>
            <w:lang w:val="en-GB"/>
          </w:rPr>
          <w:id w:val="-292371959"/>
          <w:citation/>
        </w:sdtPr>
        <w:sdtEndPr/>
        <w:sdtContent>
          <w:r w:rsidR="00CE6167">
            <w:rPr>
              <w:lang w:val="en-GB"/>
            </w:rPr>
            <w:fldChar w:fldCharType="begin"/>
          </w:r>
          <w:r w:rsidR="00CE6167">
            <w:rPr>
              <w:lang w:val="en-GB"/>
            </w:rPr>
            <w:instrText xml:space="preserve"> CITATION 02_Sophos \l 2057 </w:instrText>
          </w:r>
          <w:r w:rsidR="00CE6167">
            <w:rPr>
              <w:lang w:val="en-GB"/>
            </w:rPr>
            <w:fldChar w:fldCharType="separate"/>
          </w:r>
          <w:r w:rsidR="00CE6167" w:rsidRPr="00CE6167">
            <w:rPr>
              <w:noProof/>
              <w:lang w:val="en-GB"/>
            </w:rPr>
            <w:t>[2]</w:t>
          </w:r>
          <w:r w:rsidR="00CE6167">
            <w:rPr>
              <w:lang w:val="en-GB"/>
            </w:rPr>
            <w:fldChar w:fldCharType="end"/>
          </w:r>
        </w:sdtContent>
      </w:sdt>
      <w:r w:rsidRPr="00A012A5">
        <w:rPr>
          <w:lang w:val="en-GB"/>
        </w:rPr>
        <w:t xml:space="preserve">. This framework establishes our comprehensive Zero Trust implementation strategy aligned with NIST SP 800-207 principles </w:t>
      </w:r>
      <w:sdt>
        <w:sdtPr>
          <w:rPr>
            <w:lang w:val="en-GB"/>
          </w:rPr>
          <w:id w:val="-1690209706"/>
          <w:citation/>
        </w:sdtPr>
        <w:sdtEndPr/>
        <w:sdtContent>
          <w:r w:rsidR="00CE6167">
            <w:rPr>
              <w:lang w:val="en-GB"/>
            </w:rPr>
            <w:fldChar w:fldCharType="begin"/>
          </w:r>
          <w:r w:rsidR="00CE6167">
            <w:rPr>
              <w:lang w:val="en-GB"/>
            </w:rPr>
            <w:instrText xml:space="preserve"> CITATION 03_Rose_NIST \l 2057 </w:instrText>
          </w:r>
          <w:r w:rsidR="00CE6167">
            <w:rPr>
              <w:lang w:val="en-GB"/>
            </w:rPr>
            <w:fldChar w:fldCharType="separate"/>
          </w:r>
          <w:r w:rsidR="00CE6167" w:rsidRPr="00CE6167">
            <w:rPr>
              <w:noProof/>
              <w:lang w:val="en-GB"/>
            </w:rPr>
            <w:t>[3]</w:t>
          </w:r>
          <w:r w:rsidR="00CE6167">
            <w:rPr>
              <w:lang w:val="en-GB"/>
            </w:rPr>
            <w:fldChar w:fldCharType="end"/>
          </w:r>
        </w:sdtContent>
      </w:sdt>
      <w:r w:rsidRPr="00A012A5">
        <w:rPr>
          <w:lang w:val="en-GB"/>
        </w:rPr>
        <w:t xml:space="preserve">, regulatory requirements including SEC cybersecurity disclosure rules </w:t>
      </w:r>
      <w:sdt>
        <w:sdtPr>
          <w:rPr>
            <w:lang w:val="en-GB"/>
          </w:rPr>
          <w:id w:val="-402299972"/>
          <w:citation/>
        </w:sdtPr>
        <w:sdtEndPr/>
        <w:sdtContent>
          <w:r w:rsidR="00CE6167">
            <w:rPr>
              <w:lang w:val="en-GB"/>
            </w:rPr>
            <w:fldChar w:fldCharType="begin"/>
          </w:r>
          <w:r w:rsidR="00CE6167">
            <w:rPr>
              <w:lang w:val="en-GB"/>
            </w:rPr>
            <w:instrText xml:space="preserve"> CITATION 04_SEC \l 2057 </w:instrText>
          </w:r>
          <w:r w:rsidR="00CE6167">
            <w:rPr>
              <w:lang w:val="en-GB"/>
            </w:rPr>
            <w:fldChar w:fldCharType="separate"/>
          </w:r>
          <w:r w:rsidR="00CE6167" w:rsidRPr="00CE6167">
            <w:rPr>
              <w:noProof/>
              <w:lang w:val="en-GB"/>
            </w:rPr>
            <w:t>[4]</w:t>
          </w:r>
          <w:r w:rsidR="00CE6167">
            <w:rPr>
              <w:lang w:val="en-GB"/>
            </w:rPr>
            <w:fldChar w:fldCharType="end"/>
          </w:r>
        </w:sdtContent>
      </w:sdt>
      <w:r w:rsidRPr="00A012A5">
        <w:rPr>
          <w:lang w:val="en-GB"/>
        </w:rPr>
        <w:t>, and industry best practices from ISO 27001:2022.</w:t>
      </w:r>
    </w:p>
    <w:p w14:paraId="3A244EF7" w14:textId="6C32E378" w:rsidR="00A012A5" w:rsidRDefault="00A012A5" w:rsidP="00A012A5">
      <w:pPr>
        <w:rPr>
          <w:lang w:val="en-GB"/>
        </w:rPr>
      </w:pPr>
      <w:r w:rsidRPr="00A012A5">
        <w:rPr>
          <w:lang w:val="en-GB"/>
        </w:rPr>
        <w:t xml:space="preserve">Our Q3 2024 security </w:t>
      </w:r>
      <w:proofErr w:type="gramStart"/>
      <w:r w:rsidRPr="00A012A5">
        <w:rPr>
          <w:lang w:val="en-GB"/>
        </w:rPr>
        <w:t>incidents</w:t>
      </w:r>
      <w:r>
        <w:rPr>
          <w:lang w:val="en-GB"/>
        </w:rPr>
        <w:t xml:space="preserve">  -</w:t>
      </w:r>
      <w:proofErr w:type="gramEnd"/>
      <w:r w:rsidRPr="00A012A5">
        <w:rPr>
          <w:lang w:val="en-GB"/>
        </w:rPr>
        <w:t>a sophisticated phishing campaign that bypassed traditional email filters and an attempted ransomware infection that reached our network perimeter</w:t>
      </w:r>
      <w:r>
        <w:rPr>
          <w:lang w:val="en-GB"/>
        </w:rPr>
        <w:t xml:space="preserve">  -</w:t>
      </w:r>
      <w:r w:rsidRPr="00A012A5">
        <w:rPr>
          <w:lang w:val="en-GB"/>
        </w:rPr>
        <w:t>underscore the urgent need for transformation. The convergence of AI-powered social engineering, software supply chain vulnerabilities, and increasingly professionalised Ransomware-as-a-Service operations demands continuous verification rather than implicit trust at every access decision point. The board has mandated comprehensive modernisation of our security posture, and this document provides the strategic roadmap for achieving that critical objective within an 18-month implementation timeline.</w:t>
      </w:r>
    </w:p>
    <w:p w14:paraId="2889AAB5" w14:textId="77777777" w:rsidR="00A012A5" w:rsidRDefault="00A012A5" w:rsidP="00A012A5">
      <w:pPr>
        <w:spacing w:before="200" w:after="150"/>
      </w:pPr>
      <w:r>
        <w:rPr>
          <w:b/>
          <w:bCs/>
          <w:i/>
          <w:iCs/>
        </w:rPr>
        <w:t>Table 1: Financial Services Cybersecurity Statistics (2024)</w:t>
      </w:r>
    </w:p>
    <w:tbl>
      <w:tblPr>
        <w:tblW w:w="10438" w:type="dxa"/>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95"/>
        <w:gridCol w:w="4343"/>
      </w:tblGrid>
      <w:tr w:rsidR="00A012A5" w14:paraId="6B57CE9B" w14:textId="77777777" w:rsidTr="00A012A5">
        <w:trPr>
          <w:trHeight w:val="522"/>
          <w:tblHeader/>
        </w:trPr>
        <w:tc>
          <w:tcPr>
            <w:tcW w:w="6095" w:type="dxa"/>
            <w:shd w:val="clear" w:color="auto" w:fill="1A365D"/>
          </w:tcPr>
          <w:p w14:paraId="446699F4" w14:textId="77777777" w:rsidR="00A012A5" w:rsidRDefault="00A012A5" w:rsidP="00CD502A">
            <w:pPr>
              <w:jc w:val="center"/>
            </w:pPr>
            <w:r>
              <w:rPr>
                <w:b/>
                <w:bCs/>
                <w:color w:val="FFFFFF"/>
              </w:rPr>
              <w:t>Metric</w:t>
            </w:r>
          </w:p>
        </w:tc>
        <w:tc>
          <w:tcPr>
            <w:tcW w:w="4343" w:type="dxa"/>
            <w:shd w:val="clear" w:color="auto" w:fill="1A365D"/>
          </w:tcPr>
          <w:p w14:paraId="2F2CF8F6" w14:textId="77777777" w:rsidR="00A012A5" w:rsidRDefault="00A012A5" w:rsidP="00CD502A">
            <w:pPr>
              <w:jc w:val="center"/>
            </w:pPr>
            <w:r>
              <w:rPr>
                <w:b/>
                <w:bCs/>
                <w:color w:val="FFFFFF"/>
              </w:rPr>
              <w:t>Value</w:t>
            </w:r>
          </w:p>
        </w:tc>
      </w:tr>
      <w:tr w:rsidR="00A012A5" w14:paraId="3317EDC1" w14:textId="77777777" w:rsidTr="00A012A5">
        <w:trPr>
          <w:trHeight w:val="508"/>
        </w:trPr>
        <w:tc>
          <w:tcPr>
            <w:tcW w:w="6095" w:type="dxa"/>
          </w:tcPr>
          <w:p w14:paraId="229DF6F6" w14:textId="77777777" w:rsidR="00A012A5" w:rsidRDefault="00A012A5" w:rsidP="00CD502A">
            <w:r>
              <w:t>Average Breach Cost (Financial Services)</w:t>
            </w:r>
          </w:p>
        </w:tc>
        <w:tc>
          <w:tcPr>
            <w:tcW w:w="4343" w:type="dxa"/>
          </w:tcPr>
          <w:p w14:paraId="21180F84" w14:textId="5EAEAC2D" w:rsidR="00A012A5" w:rsidRDefault="00A012A5" w:rsidP="003F0ADE">
            <w:pPr>
              <w:jc w:val="center"/>
            </w:pPr>
            <w:r>
              <w:t xml:space="preserve">$6.08 million </w:t>
            </w:r>
            <w:sdt>
              <w:sdtPr>
                <w:id w:val="-182824298"/>
                <w:citation/>
              </w:sdtPr>
              <w:sdtEndPr/>
              <w:sdtContent>
                <w:r w:rsidR="002025E0">
                  <w:fldChar w:fldCharType="begin"/>
                </w:r>
                <w:r w:rsidR="002025E0">
                  <w:rPr>
                    <w:lang w:val="en-GB"/>
                  </w:rPr>
                  <w:instrText xml:space="preserve"> CITATION 01_IBM_Security \l 2057 </w:instrText>
                </w:r>
                <w:r w:rsidR="002025E0">
                  <w:fldChar w:fldCharType="separate"/>
                </w:r>
                <w:r w:rsidR="002025E0" w:rsidRPr="002025E0">
                  <w:rPr>
                    <w:noProof/>
                    <w:lang w:val="en-GB"/>
                  </w:rPr>
                  <w:t>[1]</w:t>
                </w:r>
                <w:r w:rsidR="002025E0">
                  <w:fldChar w:fldCharType="end"/>
                </w:r>
              </w:sdtContent>
            </w:sdt>
          </w:p>
        </w:tc>
      </w:tr>
      <w:tr w:rsidR="00A012A5" w14:paraId="16E601ED" w14:textId="77777777" w:rsidTr="00A012A5">
        <w:trPr>
          <w:trHeight w:val="522"/>
        </w:trPr>
        <w:tc>
          <w:tcPr>
            <w:tcW w:w="6095" w:type="dxa"/>
            <w:shd w:val="clear" w:color="auto" w:fill="F7FAFC"/>
          </w:tcPr>
          <w:p w14:paraId="3808E4CC" w14:textId="77777777" w:rsidR="00A012A5" w:rsidRDefault="00A012A5" w:rsidP="00CD502A">
            <w:r>
              <w:t>Breaches Involving Human Element</w:t>
            </w:r>
          </w:p>
        </w:tc>
        <w:tc>
          <w:tcPr>
            <w:tcW w:w="4343" w:type="dxa"/>
            <w:shd w:val="clear" w:color="auto" w:fill="F7FAFC"/>
          </w:tcPr>
          <w:p w14:paraId="483E3E3A" w14:textId="0B5C9770" w:rsidR="00A012A5" w:rsidRDefault="00A012A5" w:rsidP="003F0ADE">
            <w:pPr>
              <w:jc w:val="center"/>
            </w:pPr>
            <w:r>
              <w:t xml:space="preserve">68% </w:t>
            </w:r>
            <w:sdt>
              <w:sdtPr>
                <w:id w:val="-1474367006"/>
                <w:citation/>
              </w:sdtPr>
              <w:sdtEndPr/>
              <w:sdtContent>
                <w:r w:rsidR="00CE6167">
                  <w:fldChar w:fldCharType="begin"/>
                </w:r>
                <w:r w:rsidR="00CE6167">
                  <w:rPr>
                    <w:lang w:val="en-GB"/>
                  </w:rPr>
                  <w:instrText xml:space="preserve"> CITATION 05_Verizon \l 2057 </w:instrText>
                </w:r>
                <w:r w:rsidR="00CE6167">
                  <w:fldChar w:fldCharType="separate"/>
                </w:r>
                <w:r w:rsidR="00CE6167" w:rsidRPr="00CE6167">
                  <w:rPr>
                    <w:noProof/>
                    <w:lang w:val="en-GB"/>
                  </w:rPr>
                  <w:t>[5]</w:t>
                </w:r>
                <w:r w:rsidR="00CE6167">
                  <w:fldChar w:fldCharType="end"/>
                </w:r>
              </w:sdtContent>
            </w:sdt>
          </w:p>
        </w:tc>
      </w:tr>
      <w:tr w:rsidR="00A012A5" w14:paraId="4E4DEF99" w14:textId="77777777" w:rsidTr="00A012A5">
        <w:trPr>
          <w:trHeight w:val="522"/>
        </w:trPr>
        <w:tc>
          <w:tcPr>
            <w:tcW w:w="6095" w:type="dxa"/>
          </w:tcPr>
          <w:p w14:paraId="10E4A62F" w14:textId="77777777" w:rsidR="00A012A5" w:rsidRDefault="00A012A5" w:rsidP="00CD502A">
            <w:r>
              <w:t>Average Ransom Payment Increase (YoY)</w:t>
            </w:r>
          </w:p>
        </w:tc>
        <w:tc>
          <w:tcPr>
            <w:tcW w:w="4343" w:type="dxa"/>
          </w:tcPr>
          <w:p w14:paraId="2EC81EAF" w14:textId="0C2D7ABB" w:rsidR="00A012A5" w:rsidRDefault="00A012A5" w:rsidP="003F0ADE">
            <w:pPr>
              <w:jc w:val="center"/>
            </w:pPr>
            <w:r>
              <w:t>500%</w:t>
            </w:r>
            <w:r w:rsidR="00CE6167">
              <w:t xml:space="preserve"> </w:t>
            </w:r>
            <w:sdt>
              <w:sdtPr>
                <w:id w:val="335890177"/>
                <w:citation/>
              </w:sdtPr>
              <w:sdtEndPr/>
              <w:sdtContent>
                <w:r w:rsidR="00CE6167">
                  <w:fldChar w:fldCharType="begin"/>
                </w:r>
                <w:r w:rsidR="00CE6167">
                  <w:rPr>
                    <w:lang w:val="en-GB"/>
                  </w:rPr>
                  <w:instrText xml:space="preserve"> CITATION 02_Sophos \l 2057 </w:instrText>
                </w:r>
                <w:r w:rsidR="00CE6167">
                  <w:fldChar w:fldCharType="separate"/>
                </w:r>
                <w:r w:rsidR="00CE6167" w:rsidRPr="00CE6167">
                  <w:rPr>
                    <w:noProof/>
                    <w:lang w:val="en-GB"/>
                  </w:rPr>
                  <w:t>[2]</w:t>
                </w:r>
                <w:r w:rsidR="00CE6167">
                  <w:fldChar w:fldCharType="end"/>
                </w:r>
              </w:sdtContent>
            </w:sdt>
          </w:p>
        </w:tc>
      </w:tr>
      <w:tr w:rsidR="00A012A5" w14:paraId="22DEE01C" w14:textId="77777777" w:rsidTr="00A012A5">
        <w:trPr>
          <w:trHeight w:val="508"/>
        </w:trPr>
        <w:tc>
          <w:tcPr>
            <w:tcW w:w="6095" w:type="dxa"/>
            <w:shd w:val="clear" w:color="auto" w:fill="F7FAFC"/>
          </w:tcPr>
          <w:p w14:paraId="1EED9A20" w14:textId="77777777" w:rsidR="00A012A5" w:rsidRDefault="00A012A5" w:rsidP="00CD502A">
            <w:r>
              <w:t>Mean Time to Identify Breach</w:t>
            </w:r>
          </w:p>
        </w:tc>
        <w:tc>
          <w:tcPr>
            <w:tcW w:w="4343" w:type="dxa"/>
            <w:shd w:val="clear" w:color="auto" w:fill="F7FAFC"/>
          </w:tcPr>
          <w:p w14:paraId="1C3E736D" w14:textId="2B41D7D6" w:rsidR="00A012A5" w:rsidRDefault="00A012A5" w:rsidP="003F0ADE">
            <w:pPr>
              <w:jc w:val="center"/>
            </w:pPr>
            <w:r>
              <w:t>168 days</w:t>
            </w:r>
            <w:r w:rsidR="002025E0">
              <w:t xml:space="preserve"> </w:t>
            </w:r>
            <w:sdt>
              <w:sdtPr>
                <w:id w:val="1126827669"/>
                <w:citation/>
              </w:sdtPr>
              <w:sdtEndPr/>
              <w:sdtContent>
                <w:r w:rsidR="002025E0">
                  <w:fldChar w:fldCharType="begin"/>
                </w:r>
                <w:r w:rsidR="002025E0">
                  <w:rPr>
                    <w:lang w:val="en-GB"/>
                  </w:rPr>
                  <w:instrText xml:space="preserve"> CITATION 01_IBM_Security \l 2057 </w:instrText>
                </w:r>
                <w:r w:rsidR="002025E0">
                  <w:fldChar w:fldCharType="separate"/>
                </w:r>
                <w:r w:rsidR="002025E0" w:rsidRPr="002025E0">
                  <w:rPr>
                    <w:noProof/>
                    <w:lang w:val="en-GB"/>
                  </w:rPr>
                  <w:t>[1]</w:t>
                </w:r>
                <w:r w:rsidR="002025E0">
                  <w:fldChar w:fldCharType="end"/>
                </w:r>
              </w:sdtContent>
            </w:sdt>
          </w:p>
        </w:tc>
      </w:tr>
      <w:tr w:rsidR="00A012A5" w14:paraId="3C8A2F5D" w14:textId="77777777" w:rsidTr="00A012A5">
        <w:trPr>
          <w:trHeight w:val="508"/>
        </w:trPr>
        <w:tc>
          <w:tcPr>
            <w:tcW w:w="6095" w:type="dxa"/>
          </w:tcPr>
          <w:p w14:paraId="5B485EE6" w14:textId="77777777" w:rsidR="00A012A5" w:rsidRDefault="00A012A5" w:rsidP="00CD502A">
            <w:r>
              <w:t>Third-Party Related Breaches</w:t>
            </w:r>
          </w:p>
        </w:tc>
        <w:tc>
          <w:tcPr>
            <w:tcW w:w="4343" w:type="dxa"/>
          </w:tcPr>
          <w:p w14:paraId="026D7766" w14:textId="3481EA5C" w:rsidR="00A012A5" w:rsidRDefault="00A012A5" w:rsidP="003F0ADE">
            <w:pPr>
              <w:jc w:val="center"/>
            </w:pPr>
            <w:r>
              <w:t xml:space="preserve">30% </w:t>
            </w:r>
            <w:sdt>
              <w:sdtPr>
                <w:id w:val="-1869132465"/>
                <w:citation/>
              </w:sdtPr>
              <w:sdtEndPr/>
              <w:sdtContent>
                <w:r w:rsidR="00CE6167">
                  <w:fldChar w:fldCharType="begin"/>
                </w:r>
                <w:r w:rsidR="00CE6167">
                  <w:rPr>
                    <w:lang w:val="en-GB"/>
                  </w:rPr>
                  <w:instrText xml:space="preserve"> CITATION 05_Verizon \l 2057 </w:instrText>
                </w:r>
                <w:r w:rsidR="00CE6167">
                  <w:fldChar w:fldCharType="separate"/>
                </w:r>
                <w:r w:rsidR="00CE6167" w:rsidRPr="00CE6167">
                  <w:rPr>
                    <w:noProof/>
                    <w:lang w:val="en-GB"/>
                  </w:rPr>
                  <w:t>[5]</w:t>
                </w:r>
                <w:r w:rsidR="00CE6167">
                  <w:fldChar w:fldCharType="end"/>
                </w:r>
              </w:sdtContent>
            </w:sdt>
          </w:p>
        </w:tc>
      </w:tr>
    </w:tbl>
    <w:p w14:paraId="4311CC8B" w14:textId="296EBAE7" w:rsidR="00904655" w:rsidRDefault="00904655" w:rsidP="00904655"/>
    <w:p w14:paraId="547C492F" w14:textId="3F107B72" w:rsidR="00BD3432" w:rsidRPr="00BD3432" w:rsidRDefault="00BD3432" w:rsidP="00BD3432">
      <w:pPr>
        <w:pStyle w:val="Heading1"/>
      </w:pPr>
      <w:bookmarkStart w:id="3" w:name="_Toc216921798"/>
      <w:r>
        <w:t>2. Identification of Modern Threats</w:t>
      </w:r>
      <w:bookmarkEnd w:id="3"/>
    </w:p>
    <w:p w14:paraId="7C09AEBD" w14:textId="31CCA7F5" w:rsidR="00BD3432" w:rsidRDefault="00BD3432" w:rsidP="00BD3432">
      <w:r w:rsidRPr="00BD3432">
        <w:rPr>
          <w:lang w:val="en-GB"/>
        </w:rPr>
        <w:t>The financial services sector remains the most targeted industry vertical globally, facing three times more cyberattacks than other sectors according to IBM's 2024 Cost of a Data Breach Report</w:t>
      </w:r>
      <w:r w:rsidR="002025E0">
        <w:rPr>
          <w:lang w:val="en-GB"/>
        </w:rPr>
        <w:t xml:space="preserve"> </w:t>
      </w:r>
      <w:sdt>
        <w:sdtPr>
          <w:rPr>
            <w:lang w:val="en-GB"/>
          </w:rPr>
          <w:id w:val="2113014396"/>
          <w:citation/>
        </w:sdtPr>
        <w:sdtEndPr/>
        <w:sdtContent>
          <w:r w:rsidR="002025E0">
            <w:rPr>
              <w:lang w:val="en-GB"/>
            </w:rPr>
            <w:fldChar w:fldCharType="begin"/>
          </w:r>
          <w:r w:rsidR="002025E0">
            <w:rPr>
              <w:lang w:val="en-GB"/>
            </w:rPr>
            <w:instrText xml:space="preserve"> CITATION 01_IBM_Security \l 2057 </w:instrText>
          </w:r>
          <w:r w:rsidR="002025E0">
            <w:rPr>
              <w:lang w:val="en-GB"/>
            </w:rPr>
            <w:fldChar w:fldCharType="separate"/>
          </w:r>
          <w:r w:rsidR="002025E0" w:rsidRPr="002025E0">
            <w:rPr>
              <w:noProof/>
              <w:lang w:val="en-GB"/>
            </w:rPr>
            <w:t>[1]</w:t>
          </w:r>
          <w:r w:rsidR="002025E0">
            <w:rPr>
              <w:lang w:val="en-GB"/>
            </w:rPr>
            <w:fldChar w:fldCharType="end"/>
          </w:r>
        </w:sdtContent>
      </w:sdt>
      <w:r w:rsidRPr="00BD3432">
        <w:rPr>
          <w:lang w:val="en-GB"/>
        </w:rPr>
        <w:t>. Our industry's breach lifecycle averages 168 days to identify and 51 days to contain incidents</w:t>
      </w:r>
      <w:r w:rsidR="00BB798F">
        <w:rPr>
          <w:lang w:val="en-GB"/>
        </w:rPr>
        <w:t xml:space="preserve"> </w:t>
      </w:r>
      <w:r w:rsidRPr="00BD3432">
        <w:rPr>
          <w:lang w:val="en-GB"/>
        </w:rPr>
        <w:t>while faster than cross-industry averages, this still provides adversaries substantial dwell time for data exfiltration, privilege escalation, and ransomware deployment. Understanding this evolving threat landscape is essential for prioritising our defensive</w:t>
      </w:r>
      <w:r>
        <w:rPr>
          <w:lang w:val="en-GB"/>
        </w:rPr>
        <w:t xml:space="preserve"> </w:t>
      </w:r>
      <w:r>
        <w:t>investments and aligning them with the CIA triad principles of confidentiality, integrity, and availability.</w:t>
      </w:r>
    </w:p>
    <w:p w14:paraId="67D70827" w14:textId="45435F09" w:rsidR="00BD3432" w:rsidRDefault="00BD3432" w:rsidP="00BD3432">
      <w:pPr>
        <w:pStyle w:val="Heading2"/>
      </w:pPr>
      <w:bookmarkStart w:id="4" w:name="_Toc216921799"/>
      <w:r>
        <w:lastRenderedPageBreak/>
        <w:t>2.1 Ransomware-as-a-Service (RaaS)</w:t>
      </w:r>
      <w:bookmarkEnd w:id="4"/>
    </w:p>
    <w:p w14:paraId="62267BE5" w14:textId="722DBF13" w:rsidR="00BD3432" w:rsidRPr="00BD3432" w:rsidRDefault="00BD3432" w:rsidP="00BD3432">
      <w:pPr>
        <w:rPr>
          <w:lang w:val="en-GB"/>
        </w:rPr>
      </w:pPr>
      <w:r w:rsidRPr="00BD3432">
        <w:rPr>
          <w:lang w:val="en-GB"/>
        </w:rPr>
        <w:t xml:space="preserve">The RaaS model has fundamentally democratised ransomware operations, enabling technically unsophisticated criminals to deploy sophisticated malware through affiliate programmes that operate like legitimate software-as-a-service businesses. Criminal groups including </w:t>
      </w:r>
      <w:proofErr w:type="spellStart"/>
      <w:r w:rsidRPr="00BD3432">
        <w:rPr>
          <w:lang w:val="en-GB"/>
        </w:rPr>
        <w:t>LockBit</w:t>
      </w:r>
      <w:proofErr w:type="spellEnd"/>
      <w:r w:rsidRPr="00BD3432">
        <w:rPr>
          <w:lang w:val="en-GB"/>
        </w:rPr>
        <w:t>, ALPHV/</w:t>
      </w:r>
      <w:proofErr w:type="spellStart"/>
      <w:r w:rsidRPr="00BD3432">
        <w:rPr>
          <w:lang w:val="en-GB"/>
        </w:rPr>
        <w:t>BlackCat</w:t>
      </w:r>
      <w:proofErr w:type="spellEnd"/>
      <w:r w:rsidRPr="00BD3432">
        <w:rPr>
          <w:lang w:val="en-GB"/>
        </w:rPr>
        <w:t>, and Cl0p operate sophisticated enterprises with customer support portals, negotiation teams, and quality assurance processes. Double and triple extortion tactics</w:t>
      </w:r>
      <w:r w:rsidR="00BB798F">
        <w:rPr>
          <w:lang w:val="en-GB"/>
        </w:rPr>
        <w:t xml:space="preserve"> </w:t>
      </w:r>
      <w:r w:rsidRPr="00BD3432">
        <w:rPr>
          <w:lang w:val="en-GB"/>
        </w:rPr>
        <w:t>combining file encryption with data theft threats and distributed denial-of-service attacks</w:t>
      </w:r>
      <w:r w:rsidR="00BB798F">
        <w:rPr>
          <w:lang w:val="en-GB"/>
        </w:rPr>
        <w:t xml:space="preserve"> </w:t>
      </w:r>
      <w:r w:rsidRPr="00BD3432">
        <w:rPr>
          <w:lang w:val="en-GB"/>
        </w:rPr>
        <w:t xml:space="preserve">have become standard operational procedure, maximising pressure on victims to pay ransoms </w:t>
      </w:r>
      <w:sdt>
        <w:sdtPr>
          <w:rPr>
            <w:lang w:val="en-GB"/>
          </w:rPr>
          <w:id w:val="54137736"/>
          <w:citation/>
        </w:sdtPr>
        <w:sdtEndPr/>
        <w:sdtContent>
          <w:r w:rsidR="00CE6167">
            <w:rPr>
              <w:lang w:val="en-GB"/>
            </w:rPr>
            <w:fldChar w:fldCharType="begin"/>
          </w:r>
          <w:r w:rsidR="00CE6167">
            <w:rPr>
              <w:lang w:val="en-GB"/>
            </w:rPr>
            <w:instrText xml:space="preserve"> CITATION 02_Sophos \l 2057 </w:instrText>
          </w:r>
          <w:r w:rsidR="00CE6167">
            <w:rPr>
              <w:lang w:val="en-GB"/>
            </w:rPr>
            <w:fldChar w:fldCharType="separate"/>
          </w:r>
          <w:r w:rsidR="00CE6167" w:rsidRPr="00CE6167">
            <w:rPr>
              <w:noProof/>
              <w:lang w:val="en-GB"/>
            </w:rPr>
            <w:t>[2]</w:t>
          </w:r>
          <w:r w:rsidR="00CE6167">
            <w:rPr>
              <w:lang w:val="en-GB"/>
            </w:rPr>
            <w:fldChar w:fldCharType="end"/>
          </w:r>
        </w:sdtContent>
      </w:sdt>
      <w:r w:rsidRPr="00BD3432">
        <w:rPr>
          <w:lang w:val="en-GB"/>
        </w:rPr>
        <w:t>. The financial services sector's regulatory obligations and reputational sensitivity make us particularly vulnerable to these multi-pronged extortion strategies.</w:t>
      </w:r>
    </w:p>
    <w:p w14:paraId="23EDE618" w14:textId="77777777" w:rsidR="00BD3432" w:rsidRDefault="00BD3432" w:rsidP="00BD3432">
      <w:pPr>
        <w:pStyle w:val="Heading2"/>
      </w:pPr>
      <w:bookmarkStart w:id="5" w:name="_Toc216921800"/>
      <w:r>
        <w:t>2.2 AI-Powered Social Engineering</w:t>
      </w:r>
      <w:bookmarkEnd w:id="5"/>
    </w:p>
    <w:p w14:paraId="7B6DDBEB" w14:textId="340051E2" w:rsidR="00BD3432" w:rsidRDefault="00BD3432" w:rsidP="00BD3432">
      <w:pPr>
        <w:spacing w:after="200"/>
      </w:pPr>
      <w:r>
        <w:t xml:space="preserve">AI-enhanced attacks have transitioned from theoretical concern to operational reality. The January 2024 Arup deepfake incident exemplifies this dangerous evolution: sophisticated attackers used AI-generated video to impersonate a CFO and multiple colleagues during a video conference, convincing a finance employee to execute 15 wire transfers totaling $25.6 million to attacker-controlled accounts in Hong Kong </w:t>
      </w:r>
      <w:sdt>
        <w:sdtPr>
          <w:id w:val="-972129484"/>
          <w:citation/>
        </w:sdtPr>
        <w:sdtEndPr/>
        <w:sdtContent>
          <w:r w:rsidR="00CE6167">
            <w:fldChar w:fldCharType="begin"/>
          </w:r>
          <w:r w:rsidR="00CE6167">
            <w:rPr>
              <w:lang w:val="en-GB"/>
            </w:rPr>
            <w:instrText xml:space="preserve"> CITATION 06_CNN \l 2057 </w:instrText>
          </w:r>
          <w:r w:rsidR="00CE6167">
            <w:fldChar w:fldCharType="separate"/>
          </w:r>
          <w:r w:rsidR="00CE6167" w:rsidRPr="00CE6167">
            <w:rPr>
              <w:noProof/>
              <w:lang w:val="en-GB"/>
            </w:rPr>
            <w:t>[6]</w:t>
          </w:r>
          <w:r w:rsidR="00CE6167">
            <w:fldChar w:fldCharType="end"/>
          </w:r>
        </w:sdtContent>
      </w:sdt>
      <w:r>
        <w:t xml:space="preserve">. Voice phishing campaigns now achieve a 77% success rate in stealing credentials, with financial services impersonation comprising over 44% of vishing calls globally </w:t>
      </w:r>
      <w:sdt>
        <w:sdtPr>
          <w:id w:val="-1503581118"/>
          <w:citation/>
        </w:sdtPr>
        <w:sdtEndPr/>
        <w:sdtContent>
          <w:r w:rsidR="00CE6167">
            <w:fldChar w:fldCharType="begin"/>
          </w:r>
          <w:r w:rsidR="00CE6167">
            <w:rPr>
              <w:lang w:val="en-GB"/>
            </w:rPr>
            <w:instrText xml:space="preserve"> CITATION 07_Hiya \l 2057 </w:instrText>
          </w:r>
          <w:r w:rsidR="00CE6167">
            <w:fldChar w:fldCharType="separate"/>
          </w:r>
          <w:r w:rsidR="00CE6167" w:rsidRPr="00CE6167">
            <w:rPr>
              <w:noProof/>
              <w:lang w:val="en-GB"/>
            </w:rPr>
            <w:t>[7]</w:t>
          </w:r>
          <w:r w:rsidR="00CE6167">
            <w:fldChar w:fldCharType="end"/>
          </w:r>
        </w:sdtContent>
      </w:sdt>
      <w:r>
        <w:t>. These developments render traditional perimeter-based security architectures and static authentication mechanisms dangerously obsolete.</w:t>
      </w:r>
    </w:p>
    <w:p w14:paraId="4A5B0F07" w14:textId="77777777" w:rsidR="00BD3432" w:rsidRDefault="00BD3432" w:rsidP="00BD3432">
      <w:pPr>
        <w:pStyle w:val="Heading2"/>
      </w:pPr>
      <w:bookmarkStart w:id="6" w:name="_Toc216921801"/>
      <w:r>
        <w:t>2.3 Supply Chain Compromises</w:t>
      </w:r>
      <w:bookmarkEnd w:id="6"/>
    </w:p>
    <w:p w14:paraId="428922A5" w14:textId="1E3270B2" w:rsidR="00BD3432" w:rsidRDefault="00BD3432" w:rsidP="00BD3432">
      <w:r>
        <w:t xml:space="preserve">Supply chain compromises present existential risk following the catastrophic MOVEit breach, which affected 2,773 </w:t>
      </w:r>
      <w:proofErr w:type="spellStart"/>
      <w:r>
        <w:t>organisations</w:t>
      </w:r>
      <w:proofErr w:type="spellEnd"/>
      <w:r>
        <w:t xml:space="preserve"> worldwide and exposed sensitive data on 93.3 million individuals through a single SQL injection vulnerability exploited by the Cl0p ransomware group </w:t>
      </w:r>
      <w:sdt>
        <w:sdtPr>
          <w:id w:val="640625725"/>
          <w:citation/>
        </w:sdtPr>
        <w:sdtEndPr/>
        <w:sdtContent>
          <w:r w:rsidR="00CE6167">
            <w:fldChar w:fldCharType="begin"/>
          </w:r>
          <w:r w:rsidR="00CE6167">
            <w:rPr>
              <w:lang w:val="en-GB"/>
            </w:rPr>
            <w:instrText xml:space="preserve"> CITATION 08_Emsisoft \l 2057 </w:instrText>
          </w:r>
          <w:r w:rsidR="00CE6167">
            <w:fldChar w:fldCharType="separate"/>
          </w:r>
          <w:r w:rsidR="00CE6167" w:rsidRPr="00CE6167">
            <w:rPr>
              <w:noProof/>
              <w:lang w:val="en-GB"/>
            </w:rPr>
            <w:t>[8]</w:t>
          </w:r>
          <w:r w:rsidR="00CE6167">
            <w:fldChar w:fldCharType="end"/>
          </w:r>
        </w:sdtContent>
      </w:sdt>
      <w:r>
        <w:t xml:space="preserve">. Third-party breaches now account for 30% of all security incidents, having doubled year-over-year according to Verizon's 2024 Data Breach Investigations Report </w:t>
      </w:r>
      <w:sdt>
        <w:sdtPr>
          <w:id w:val="1948810307"/>
          <w:citation/>
        </w:sdtPr>
        <w:sdtEndPr/>
        <w:sdtContent>
          <w:r w:rsidR="00CE6167">
            <w:fldChar w:fldCharType="begin"/>
          </w:r>
          <w:r w:rsidR="00CE6167">
            <w:rPr>
              <w:lang w:val="en-GB"/>
            </w:rPr>
            <w:instrText xml:space="preserve"> CITATION 05_Verizon \l 2057 </w:instrText>
          </w:r>
          <w:r w:rsidR="00CE6167">
            <w:fldChar w:fldCharType="separate"/>
          </w:r>
          <w:r w:rsidR="00CE6167" w:rsidRPr="00CE6167">
            <w:rPr>
              <w:noProof/>
              <w:lang w:val="en-GB"/>
            </w:rPr>
            <w:t>[5]</w:t>
          </w:r>
          <w:r w:rsidR="00CE6167">
            <w:fldChar w:fldCharType="end"/>
          </w:r>
        </w:sdtContent>
      </w:sdt>
      <w:r>
        <w:t xml:space="preserve">. Our sector's reliance on interconnected payment systems, technology vendors, and service providers creates systemic risk requiring comprehensive third-party risk management </w:t>
      </w:r>
      <w:proofErr w:type="spellStart"/>
      <w:r>
        <w:t>programmes</w:t>
      </w:r>
      <w:proofErr w:type="spellEnd"/>
      <w:r>
        <w:t xml:space="preserve"> aligned with regulatory expectations and contractual security requirements.</w:t>
      </w:r>
    </w:p>
    <w:p w14:paraId="5895EFBE" w14:textId="77777777" w:rsidR="00BD3432" w:rsidRDefault="00BD3432" w:rsidP="00BD3432">
      <w:pPr>
        <w:spacing w:before="200" w:after="150"/>
      </w:pPr>
      <w:r>
        <w:rPr>
          <w:b/>
          <w:bCs/>
          <w:i/>
          <w:iCs/>
        </w:rPr>
        <w:t>Table 2: Threat Matrix with NIST CSF 2.0 Mapping</w:t>
      </w:r>
    </w:p>
    <w:tbl>
      <w:tblPr>
        <w:tblW w:w="10574" w:type="dxa"/>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67"/>
        <w:gridCol w:w="1685"/>
        <w:gridCol w:w="2537"/>
        <w:gridCol w:w="3085"/>
      </w:tblGrid>
      <w:tr w:rsidR="00BD3432" w14:paraId="0F4FCAE0" w14:textId="77777777" w:rsidTr="00BD3432">
        <w:trPr>
          <w:trHeight w:val="648"/>
          <w:tblHeader/>
        </w:trPr>
        <w:tc>
          <w:tcPr>
            <w:tcW w:w="0" w:type="auto"/>
            <w:shd w:val="clear" w:color="auto" w:fill="1A365D"/>
          </w:tcPr>
          <w:p w14:paraId="0B1B3BBF" w14:textId="77777777" w:rsidR="00BD3432" w:rsidRDefault="00BD3432" w:rsidP="00CD502A">
            <w:pPr>
              <w:jc w:val="center"/>
            </w:pPr>
            <w:r>
              <w:rPr>
                <w:b/>
                <w:bCs/>
                <w:color w:val="FFFFFF"/>
                <w:sz w:val="20"/>
                <w:szCs w:val="20"/>
              </w:rPr>
              <w:t>Threat Category</w:t>
            </w:r>
          </w:p>
        </w:tc>
        <w:tc>
          <w:tcPr>
            <w:tcW w:w="0" w:type="auto"/>
            <w:shd w:val="clear" w:color="auto" w:fill="1A365D"/>
          </w:tcPr>
          <w:p w14:paraId="2ECFBB32" w14:textId="77777777" w:rsidR="00BD3432" w:rsidRDefault="00BD3432" w:rsidP="00CD502A">
            <w:pPr>
              <w:jc w:val="center"/>
            </w:pPr>
            <w:r>
              <w:rPr>
                <w:b/>
                <w:bCs/>
                <w:color w:val="FFFFFF"/>
                <w:sz w:val="20"/>
                <w:szCs w:val="20"/>
              </w:rPr>
              <w:t>Impact Level</w:t>
            </w:r>
          </w:p>
        </w:tc>
        <w:tc>
          <w:tcPr>
            <w:tcW w:w="0" w:type="auto"/>
            <w:shd w:val="clear" w:color="auto" w:fill="1A365D"/>
          </w:tcPr>
          <w:p w14:paraId="724D3877" w14:textId="77777777" w:rsidR="00BD3432" w:rsidRDefault="00BD3432" w:rsidP="00CD502A">
            <w:pPr>
              <w:jc w:val="center"/>
            </w:pPr>
            <w:r>
              <w:rPr>
                <w:b/>
                <w:bCs/>
                <w:color w:val="FFFFFF"/>
                <w:sz w:val="20"/>
                <w:szCs w:val="20"/>
              </w:rPr>
              <w:t>Primary Vector</w:t>
            </w:r>
          </w:p>
        </w:tc>
        <w:tc>
          <w:tcPr>
            <w:tcW w:w="0" w:type="auto"/>
            <w:shd w:val="clear" w:color="auto" w:fill="1A365D"/>
          </w:tcPr>
          <w:p w14:paraId="177C1C21" w14:textId="77777777" w:rsidR="00BD3432" w:rsidRDefault="00BD3432" w:rsidP="00CD502A">
            <w:pPr>
              <w:jc w:val="center"/>
            </w:pPr>
            <w:r>
              <w:rPr>
                <w:b/>
                <w:bCs/>
                <w:color w:val="FFFFFF"/>
                <w:sz w:val="20"/>
                <w:szCs w:val="20"/>
              </w:rPr>
              <w:t>CSF Function</w:t>
            </w:r>
          </w:p>
        </w:tc>
      </w:tr>
      <w:tr w:rsidR="00BD3432" w14:paraId="5E449C92" w14:textId="77777777" w:rsidTr="00BD3432">
        <w:trPr>
          <w:trHeight w:val="668"/>
        </w:trPr>
        <w:tc>
          <w:tcPr>
            <w:tcW w:w="0" w:type="auto"/>
          </w:tcPr>
          <w:p w14:paraId="03269F49" w14:textId="77777777" w:rsidR="00BD3432" w:rsidRDefault="00BD3432" w:rsidP="00CD502A">
            <w:r>
              <w:rPr>
                <w:sz w:val="20"/>
                <w:szCs w:val="20"/>
              </w:rPr>
              <w:t>Ransomware-as-a-Service</w:t>
            </w:r>
          </w:p>
        </w:tc>
        <w:tc>
          <w:tcPr>
            <w:tcW w:w="0" w:type="auto"/>
          </w:tcPr>
          <w:p w14:paraId="7BB977ED" w14:textId="77777777" w:rsidR="00BD3432" w:rsidRDefault="00BD3432" w:rsidP="00CD502A">
            <w:pPr>
              <w:jc w:val="center"/>
            </w:pPr>
            <w:r>
              <w:rPr>
                <w:color w:val="C53030"/>
                <w:sz w:val="20"/>
                <w:szCs w:val="20"/>
              </w:rPr>
              <w:t>Critical</w:t>
            </w:r>
          </w:p>
        </w:tc>
        <w:tc>
          <w:tcPr>
            <w:tcW w:w="0" w:type="auto"/>
          </w:tcPr>
          <w:p w14:paraId="153AB916" w14:textId="77777777" w:rsidR="00BD3432" w:rsidRDefault="00BD3432" w:rsidP="00CD502A">
            <w:r>
              <w:rPr>
                <w:sz w:val="20"/>
                <w:szCs w:val="20"/>
              </w:rPr>
              <w:t>Phishing, RDP</w:t>
            </w:r>
          </w:p>
        </w:tc>
        <w:tc>
          <w:tcPr>
            <w:tcW w:w="0" w:type="auto"/>
          </w:tcPr>
          <w:p w14:paraId="08DB4076" w14:textId="77777777" w:rsidR="00BD3432" w:rsidRDefault="00BD3432" w:rsidP="00CD502A">
            <w:r>
              <w:rPr>
                <w:sz w:val="20"/>
                <w:szCs w:val="20"/>
              </w:rPr>
              <w:t>Protect, Detect, Respond</w:t>
            </w:r>
          </w:p>
        </w:tc>
      </w:tr>
      <w:tr w:rsidR="00BD3432" w14:paraId="732CC0AD" w14:textId="77777777" w:rsidTr="00BD3432">
        <w:trPr>
          <w:trHeight w:val="648"/>
        </w:trPr>
        <w:tc>
          <w:tcPr>
            <w:tcW w:w="0" w:type="auto"/>
            <w:shd w:val="clear" w:color="auto" w:fill="F7FAFC"/>
          </w:tcPr>
          <w:p w14:paraId="0937859A" w14:textId="77777777" w:rsidR="00BD3432" w:rsidRDefault="00BD3432" w:rsidP="00CD502A">
            <w:r>
              <w:rPr>
                <w:sz w:val="20"/>
                <w:szCs w:val="20"/>
              </w:rPr>
              <w:t>AI Vishing/Deepfakes</w:t>
            </w:r>
          </w:p>
        </w:tc>
        <w:tc>
          <w:tcPr>
            <w:tcW w:w="0" w:type="auto"/>
            <w:shd w:val="clear" w:color="auto" w:fill="F7FAFC"/>
          </w:tcPr>
          <w:p w14:paraId="320D2263" w14:textId="77777777" w:rsidR="00BD3432" w:rsidRDefault="00BD3432" w:rsidP="00CD502A">
            <w:pPr>
              <w:jc w:val="center"/>
            </w:pPr>
            <w:r>
              <w:rPr>
                <w:color w:val="C53030"/>
                <w:sz w:val="20"/>
                <w:szCs w:val="20"/>
              </w:rPr>
              <w:t>Critical</w:t>
            </w:r>
          </w:p>
        </w:tc>
        <w:tc>
          <w:tcPr>
            <w:tcW w:w="0" w:type="auto"/>
            <w:shd w:val="clear" w:color="auto" w:fill="F7FAFC"/>
          </w:tcPr>
          <w:p w14:paraId="3CED07B5" w14:textId="77777777" w:rsidR="00BD3432" w:rsidRDefault="00BD3432" w:rsidP="00CD502A">
            <w:r>
              <w:rPr>
                <w:sz w:val="20"/>
                <w:szCs w:val="20"/>
              </w:rPr>
              <w:t>Voice, Video calls</w:t>
            </w:r>
          </w:p>
        </w:tc>
        <w:tc>
          <w:tcPr>
            <w:tcW w:w="0" w:type="auto"/>
            <w:shd w:val="clear" w:color="auto" w:fill="F7FAFC"/>
          </w:tcPr>
          <w:p w14:paraId="6C4D7920" w14:textId="77777777" w:rsidR="00BD3432" w:rsidRDefault="00BD3432" w:rsidP="00CD502A">
            <w:r>
              <w:rPr>
                <w:sz w:val="20"/>
                <w:szCs w:val="20"/>
              </w:rPr>
              <w:t>Identify, Protect</w:t>
            </w:r>
          </w:p>
        </w:tc>
      </w:tr>
      <w:tr w:rsidR="00BD3432" w14:paraId="389ECB08" w14:textId="77777777" w:rsidTr="00BD3432">
        <w:trPr>
          <w:trHeight w:val="648"/>
        </w:trPr>
        <w:tc>
          <w:tcPr>
            <w:tcW w:w="0" w:type="auto"/>
          </w:tcPr>
          <w:p w14:paraId="16E89706" w14:textId="77777777" w:rsidR="00BD3432" w:rsidRDefault="00BD3432" w:rsidP="00CD502A">
            <w:r>
              <w:rPr>
                <w:sz w:val="20"/>
                <w:szCs w:val="20"/>
              </w:rPr>
              <w:t>Supply Chain Attacks</w:t>
            </w:r>
          </w:p>
        </w:tc>
        <w:tc>
          <w:tcPr>
            <w:tcW w:w="0" w:type="auto"/>
          </w:tcPr>
          <w:p w14:paraId="73F6837D" w14:textId="77777777" w:rsidR="00BD3432" w:rsidRDefault="00BD3432" w:rsidP="00CD502A">
            <w:pPr>
              <w:jc w:val="center"/>
            </w:pPr>
            <w:r>
              <w:rPr>
                <w:color w:val="DD6B20"/>
                <w:sz w:val="20"/>
                <w:szCs w:val="20"/>
              </w:rPr>
              <w:t>High</w:t>
            </w:r>
          </w:p>
        </w:tc>
        <w:tc>
          <w:tcPr>
            <w:tcW w:w="0" w:type="auto"/>
          </w:tcPr>
          <w:p w14:paraId="531F4919" w14:textId="77777777" w:rsidR="00BD3432" w:rsidRDefault="00BD3432" w:rsidP="00CD502A">
            <w:r>
              <w:rPr>
                <w:sz w:val="20"/>
                <w:szCs w:val="20"/>
              </w:rPr>
              <w:t>Third-party software</w:t>
            </w:r>
          </w:p>
        </w:tc>
        <w:tc>
          <w:tcPr>
            <w:tcW w:w="0" w:type="auto"/>
          </w:tcPr>
          <w:p w14:paraId="72441321" w14:textId="77777777" w:rsidR="00BD3432" w:rsidRDefault="00BD3432" w:rsidP="00CD502A">
            <w:r>
              <w:rPr>
                <w:sz w:val="20"/>
                <w:szCs w:val="20"/>
              </w:rPr>
              <w:t>Govern, Identify</w:t>
            </w:r>
          </w:p>
        </w:tc>
      </w:tr>
      <w:tr w:rsidR="00BD3432" w14:paraId="19FB4CCB" w14:textId="77777777" w:rsidTr="00BD3432">
        <w:trPr>
          <w:trHeight w:val="648"/>
        </w:trPr>
        <w:tc>
          <w:tcPr>
            <w:tcW w:w="0" w:type="auto"/>
            <w:shd w:val="clear" w:color="auto" w:fill="F7FAFC"/>
          </w:tcPr>
          <w:p w14:paraId="3EDFB711" w14:textId="77777777" w:rsidR="00BD3432" w:rsidRDefault="00BD3432" w:rsidP="00CD502A">
            <w:r>
              <w:rPr>
                <w:sz w:val="20"/>
                <w:szCs w:val="20"/>
              </w:rPr>
              <w:t>Cloud Misconfiguration</w:t>
            </w:r>
          </w:p>
        </w:tc>
        <w:tc>
          <w:tcPr>
            <w:tcW w:w="0" w:type="auto"/>
            <w:shd w:val="clear" w:color="auto" w:fill="F7FAFC"/>
          </w:tcPr>
          <w:p w14:paraId="277ED3C1" w14:textId="77777777" w:rsidR="00BD3432" w:rsidRDefault="00BD3432" w:rsidP="00CD502A">
            <w:pPr>
              <w:jc w:val="center"/>
            </w:pPr>
            <w:r>
              <w:rPr>
                <w:color w:val="DD6B20"/>
                <w:sz w:val="20"/>
                <w:szCs w:val="20"/>
              </w:rPr>
              <w:t>High</w:t>
            </w:r>
          </w:p>
        </w:tc>
        <w:tc>
          <w:tcPr>
            <w:tcW w:w="0" w:type="auto"/>
            <w:shd w:val="clear" w:color="auto" w:fill="F7FAFC"/>
          </w:tcPr>
          <w:p w14:paraId="478E5F04" w14:textId="77777777" w:rsidR="00BD3432" w:rsidRDefault="00BD3432" w:rsidP="00CD502A">
            <w:r>
              <w:rPr>
                <w:sz w:val="20"/>
                <w:szCs w:val="20"/>
              </w:rPr>
              <w:t>IaaS/SaaS exposure</w:t>
            </w:r>
          </w:p>
        </w:tc>
        <w:tc>
          <w:tcPr>
            <w:tcW w:w="0" w:type="auto"/>
            <w:shd w:val="clear" w:color="auto" w:fill="F7FAFC"/>
          </w:tcPr>
          <w:p w14:paraId="3BDFF65E" w14:textId="77777777" w:rsidR="00BD3432" w:rsidRDefault="00BD3432" w:rsidP="00CD502A">
            <w:r>
              <w:rPr>
                <w:sz w:val="20"/>
                <w:szCs w:val="20"/>
              </w:rPr>
              <w:t>Identify, Protect</w:t>
            </w:r>
          </w:p>
        </w:tc>
      </w:tr>
    </w:tbl>
    <w:p w14:paraId="09247DDD" w14:textId="030E491F" w:rsidR="00BD3432" w:rsidRDefault="00BD3432" w:rsidP="00BD3432"/>
    <w:p w14:paraId="2A8A38B3" w14:textId="77777777" w:rsidR="00BD3432" w:rsidRDefault="00BD3432" w:rsidP="00BD3432">
      <w:pPr>
        <w:pStyle w:val="Heading1"/>
      </w:pPr>
      <w:bookmarkStart w:id="7" w:name="_Toc216921802"/>
      <w:r>
        <w:lastRenderedPageBreak/>
        <w:t>3. Modern Security Policies Aligned with Zero Trust</w:t>
      </w:r>
      <w:bookmarkEnd w:id="7"/>
    </w:p>
    <w:p w14:paraId="13ADE7A6" w14:textId="6CA86F01" w:rsidR="00BD3432" w:rsidRDefault="00BD3432" w:rsidP="00BD3432">
      <w:pPr>
        <w:spacing w:after="200"/>
      </w:pPr>
      <w:r>
        <w:t xml:space="preserve">Our Zero Trust Architecture implementation follows the seven foundational tenets established in NIST Special Publication 800-207, which </w:t>
      </w:r>
      <w:proofErr w:type="spellStart"/>
      <w:r>
        <w:t>reconceptualises</w:t>
      </w:r>
      <w:proofErr w:type="spellEnd"/>
      <w:r>
        <w:t xml:space="preserve"> enterprise security as 'a collection of concepts and ideas designed to minimize uncertainty in enforcing accurate, least privilege per-request access decisions in information systems and services in the face of a network viewed as compromised' </w:t>
      </w:r>
      <w:sdt>
        <w:sdtPr>
          <w:id w:val="-1961090997"/>
          <w:citation/>
        </w:sdtPr>
        <w:sdtEndPr/>
        <w:sdtContent>
          <w:r w:rsidR="00CE6167">
            <w:fldChar w:fldCharType="begin"/>
          </w:r>
          <w:r w:rsidR="00CE6167">
            <w:rPr>
              <w:lang w:val="en-GB"/>
            </w:rPr>
            <w:instrText xml:space="preserve"> CITATION 03_Rose_NIST \l 2057 </w:instrText>
          </w:r>
          <w:r w:rsidR="00CE6167">
            <w:fldChar w:fldCharType="separate"/>
          </w:r>
          <w:r w:rsidR="00CE6167" w:rsidRPr="00CE6167">
            <w:rPr>
              <w:noProof/>
              <w:lang w:val="en-GB"/>
            </w:rPr>
            <w:t>[3]</w:t>
          </w:r>
          <w:r w:rsidR="00CE6167">
            <w:fldChar w:fldCharType="end"/>
          </w:r>
        </w:sdtContent>
      </w:sdt>
      <w:r>
        <w:t>. This fundamental paradigm shift eliminates implicit trust based on network location, corporate ownership, or physical position, instead requiring continuous verification for every access request regardless of origin.</w:t>
      </w:r>
    </w:p>
    <w:p w14:paraId="119C7CC3" w14:textId="5BD50A40" w:rsidR="00BD3432" w:rsidRDefault="00BD3432" w:rsidP="00BD3432">
      <w:pPr>
        <w:spacing w:after="200"/>
      </w:pPr>
      <w:r>
        <w:t xml:space="preserve">The architecture </w:t>
      </w:r>
      <w:proofErr w:type="spellStart"/>
      <w:r>
        <w:t>centres</w:t>
      </w:r>
      <w:proofErr w:type="spellEnd"/>
      <w:r>
        <w:t xml:space="preserve"> on three core logical components as defined by NIST. The </w:t>
      </w:r>
      <w:r>
        <w:rPr>
          <w:b/>
          <w:bCs/>
        </w:rPr>
        <w:t>Policy Engine</w:t>
      </w:r>
      <w:r>
        <w:t xml:space="preserve"> serves as the decision authority, evaluating access requests against enterprise policy, real-time threat intelligence feeds, and contextual risk signals including device posture and user </w:t>
      </w:r>
      <w:proofErr w:type="spellStart"/>
      <w:r>
        <w:t>behaviour</w:t>
      </w:r>
      <w:proofErr w:type="spellEnd"/>
      <w:r>
        <w:t xml:space="preserve"> analytics. The </w:t>
      </w:r>
      <w:r>
        <w:rPr>
          <w:b/>
          <w:bCs/>
        </w:rPr>
        <w:t>Policy Administrator</w:t>
      </w:r>
      <w:r>
        <w:t xml:space="preserve"> executes these decisions by establishing or terminating communication paths and generating session-specific authentication credentials with appropriate scope and duration. The </w:t>
      </w:r>
      <w:r>
        <w:rPr>
          <w:b/>
          <w:bCs/>
        </w:rPr>
        <w:t>Policy Enforcement Point</w:t>
      </w:r>
      <w:r>
        <w:t xml:space="preserve"> sits at the access boundary, enabling, monitoring, and terminating connections based on Policy Administrator directives while logging all transactions for audit purposes </w:t>
      </w:r>
      <w:sdt>
        <w:sdtPr>
          <w:id w:val="858086062"/>
          <w:citation/>
        </w:sdtPr>
        <w:sdtEndPr/>
        <w:sdtContent>
          <w:r w:rsidR="00CE6167">
            <w:fldChar w:fldCharType="begin"/>
          </w:r>
          <w:r w:rsidR="00CE6167">
            <w:rPr>
              <w:lang w:val="en-GB"/>
            </w:rPr>
            <w:instrText xml:space="preserve"> CITATION 03_Rose_NIST \l 2057 </w:instrText>
          </w:r>
          <w:r w:rsidR="00CE6167">
            <w:fldChar w:fldCharType="separate"/>
          </w:r>
          <w:r w:rsidR="00CE6167" w:rsidRPr="00CE6167">
            <w:rPr>
              <w:noProof/>
              <w:lang w:val="en-GB"/>
            </w:rPr>
            <w:t>[3]</w:t>
          </w:r>
          <w:r w:rsidR="00CE6167">
            <w:fldChar w:fldCharType="end"/>
          </w:r>
        </w:sdtContent>
      </w:sdt>
      <w:r>
        <w:t>.</w:t>
      </w:r>
    </w:p>
    <w:p w14:paraId="3B6AF3D2" w14:textId="6896C316" w:rsidR="00BD3432" w:rsidRDefault="00BD3432" w:rsidP="00BD3432">
      <w:pPr>
        <w:spacing w:after="200"/>
      </w:pPr>
      <w:r>
        <w:t>Implementation follows the CISA Zero Trust Maturity Model's five pillars</w:t>
      </w:r>
      <w:r w:rsidR="00BB798F">
        <w:t xml:space="preserve"> </w:t>
      </w:r>
      <w:r>
        <w:t>Identity, Devices, Networks, Applications/Workloads, and Data</w:t>
      </w:r>
      <w:r w:rsidR="00BB798F">
        <w:t xml:space="preserve"> </w:t>
      </w:r>
      <w:r>
        <w:t xml:space="preserve">with </w:t>
      </w:r>
      <w:proofErr w:type="spellStart"/>
      <w:r>
        <w:t>organisations</w:t>
      </w:r>
      <w:proofErr w:type="spellEnd"/>
      <w:r>
        <w:t xml:space="preserve"> progressing through four maturity levels from Traditional to Optimal </w:t>
      </w:r>
      <w:sdt>
        <w:sdtPr>
          <w:id w:val="-1128086322"/>
          <w:citation/>
        </w:sdtPr>
        <w:sdtEndPr/>
        <w:sdtContent>
          <w:r w:rsidR="00CE6167">
            <w:fldChar w:fldCharType="begin"/>
          </w:r>
          <w:r w:rsidR="00CE6167">
            <w:rPr>
              <w:lang w:val="en-GB"/>
            </w:rPr>
            <w:instrText xml:space="preserve"> CITATION 09_CISA_ZTMM \l 2057 </w:instrText>
          </w:r>
          <w:r w:rsidR="00CE6167">
            <w:fldChar w:fldCharType="separate"/>
          </w:r>
          <w:r w:rsidR="00CE6167" w:rsidRPr="00CE6167">
            <w:rPr>
              <w:noProof/>
              <w:lang w:val="en-GB"/>
            </w:rPr>
            <w:t>[9]</w:t>
          </w:r>
          <w:r w:rsidR="00CE6167">
            <w:fldChar w:fldCharType="end"/>
          </w:r>
        </w:sdtContent>
      </w:sdt>
      <w:r>
        <w:t>. Our 24-month roadmap targets Advanced maturity across all pillars, with Optimal capabilities for critical trading and custody systems. Cross-cutting capabilities in visibility and analytics, automation and orchestration, and governance provide the connective tissue enabling coordinated enforcement across all pillars and alignment with ISO 27001:2022 requirements.</w:t>
      </w:r>
    </w:p>
    <w:p w14:paraId="183F0EE4" w14:textId="77777777" w:rsidR="00BD3432" w:rsidRDefault="00BD3432" w:rsidP="00BD3432">
      <w:pPr>
        <w:spacing w:before="200" w:after="150"/>
        <w:jc w:val="center"/>
      </w:pPr>
      <w:r>
        <w:rPr>
          <w:b/>
          <w:bCs/>
          <w:i/>
          <w:iCs/>
        </w:rPr>
        <w:t>Figure 1: VTAM Zero Trust Security Architecture</w:t>
      </w:r>
    </w:p>
    <w:p w14:paraId="697F25AF" w14:textId="460C8086" w:rsidR="00BD3432" w:rsidRDefault="00BD3432" w:rsidP="00BD3432">
      <w:pPr>
        <w:spacing w:after="200"/>
        <w:jc w:val="center"/>
      </w:pPr>
      <w:r>
        <w:rPr>
          <w:noProof/>
        </w:rPr>
        <w:drawing>
          <wp:inline distT="0" distB="0" distL="0" distR="0" wp14:anchorId="174683AD" wp14:editId="4ABD7D34">
            <wp:extent cx="5705252" cy="35566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16370" cy="3563566"/>
                    </a:xfrm>
                    <a:prstGeom prst="rect">
                      <a:avLst/>
                    </a:prstGeom>
                  </pic:spPr>
                </pic:pic>
              </a:graphicData>
            </a:graphic>
          </wp:inline>
        </w:drawing>
      </w:r>
    </w:p>
    <w:p w14:paraId="38F7CA50" w14:textId="1DD3D0B7" w:rsidR="00BD3432" w:rsidRDefault="00BD3432" w:rsidP="00BD3432">
      <w:pPr>
        <w:spacing w:after="200"/>
        <w:jc w:val="center"/>
        <w:rPr>
          <w:i/>
          <w:iCs/>
          <w:color w:val="666666"/>
          <w:sz w:val="20"/>
          <w:szCs w:val="20"/>
        </w:rPr>
      </w:pPr>
      <w:r>
        <w:rPr>
          <w:i/>
          <w:iCs/>
          <w:color w:val="666666"/>
          <w:sz w:val="20"/>
          <w:szCs w:val="20"/>
        </w:rPr>
        <w:t xml:space="preserve">Source: Adapted from CISA Zero Trust Maturity Model v2.0 </w:t>
      </w:r>
      <w:sdt>
        <w:sdtPr>
          <w:rPr>
            <w:i/>
            <w:iCs/>
            <w:color w:val="666666"/>
            <w:sz w:val="20"/>
            <w:szCs w:val="20"/>
          </w:rPr>
          <w:id w:val="735899990"/>
          <w:citation/>
        </w:sdtPr>
        <w:sdtEndPr/>
        <w:sdtContent>
          <w:r w:rsidR="00CE6167">
            <w:rPr>
              <w:i/>
              <w:iCs/>
              <w:color w:val="666666"/>
              <w:sz w:val="20"/>
              <w:szCs w:val="20"/>
            </w:rPr>
            <w:fldChar w:fldCharType="begin"/>
          </w:r>
          <w:r w:rsidR="00CE6167">
            <w:rPr>
              <w:i/>
              <w:iCs/>
              <w:color w:val="666666"/>
              <w:sz w:val="20"/>
              <w:szCs w:val="20"/>
              <w:lang w:val="en-GB"/>
            </w:rPr>
            <w:instrText xml:space="preserve"> CITATION 09_CISA_ZTMM \l 2057 </w:instrText>
          </w:r>
          <w:r w:rsidR="00CE6167">
            <w:rPr>
              <w:i/>
              <w:iCs/>
              <w:color w:val="666666"/>
              <w:sz w:val="20"/>
              <w:szCs w:val="20"/>
            </w:rPr>
            <w:fldChar w:fldCharType="separate"/>
          </w:r>
          <w:r w:rsidR="00CE6167" w:rsidRPr="00CE6167">
            <w:rPr>
              <w:noProof/>
              <w:color w:val="666666"/>
              <w:sz w:val="20"/>
              <w:szCs w:val="20"/>
              <w:lang w:val="en-GB"/>
            </w:rPr>
            <w:t>[9]</w:t>
          </w:r>
          <w:r w:rsidR="00CE6167">
            <w:rPr>
              <w:i/>
              <w:iCs/>
              <w:color w:val="666666"/>
              <w:sz w:val="20"/>
              <w:szCs w:val="20"/>
            </w:rPr>
            <w:fldChar w:fldCharType="end"/>
          </w:r>
        </w:sdtContent>
      </w:sdt>
      <w:r>
        <w:rPr>
          <w:i/>
          <w:iCs/>
          <w:color w:val="666666"/>
          <w:sz w:val="20"/>
          <w:szCs w:val="20"/>
        </w:rPr>
        <w:t xml:space="preserve"> and NIST SP 800-207 </w:t>
      </w:r>
      <w:sdt>
        <w:sdtPr>
          <w:rPr>
            <w:i/>
            <w:iCs/>
            <w:color w:val="666666"/>
            <w:sz w:val="20"/>
            <w:szCs w:val="20"/>
          </w:rPr>
          <w:id w:val="-545679768"/>
          <w:citation/>
        </w:sdtPr>
        <w:sdtEndPr/>
        <w:sdtContent>
          <w:r w:rsidR="00CE6167">
            <w:rPr>
              <w:i/>
              <w:iCs/>
              <w:color w:val="666666"/>
              <w:sz w:val="20"/>
              <w:szCs w:val="20"/>
            </w:rPr>
            <w:fldChar w:fldCharType="begin"/>
          </w:r>
          <w:r w:rsidR="00CE6167">
            <w:rPr>
              <w:i/>
              <w:iCs/>
              <w:color w:val="666666"/>
              <w:sz w:val="20"/>
              <w:szCs w:val="20"/>
              <w:lang w:val="en-GB"/>
            </w:rPr>
            <w:instrText xml:space="preserve"> CITATION 03_Rose_NIST \l 2057 </w:instrText>
          </w:r>
          <w:r w:rsidR="00CE6167">
            <w:rPr>
              <w:i/>
              <w:iCs/>
              <w:color w:val="666666"/>
              <w:sz w:val="20"/>
              <w:szCs w:val="20"/>
            </w:rPr>
            <w:fldChar w:fldCharType="separate"/>
          </w:r>
          <w:r w:rsidR="00CE6167" w:rsidRPr="00CE6167">
            <w:rPr>
              <w:noProof/>
              <w:color w:val="666666"/>
              <w:sz w:val="20"/>
              <w:szCs w:val="20"/>
              <w:lang w:val="en-GB"/>
            </w:rPr>
            <w:t>[3]</w:t>
          </w:r>
          <w:r w:rsidR="00CE6167">
            <w:rPr>
              <w:i/>
              <w:iCs/>
              <w:color w:val="666666"/>
              <w:sz w:val="20"/>
              <w:szCs w:val="20"/>
            </w:rPr>
            <w:fldChar w:fldCharType="end"/>
          </w:r>
        </w:sdtContent>
      </w:sdt>
    </w:p>
    <w:p w14:paraId="10FA7A0B" w14:textId="77777777" w:rsidR="00BD3432" w:rsidRDefault="00BD3432" w:rsidP="00BD3432">
      <w:pPr>
        <w:pStyle w:val="Heading1"/>
      </w:pPr>
      <w:bookmarkStart w:id="8" w:name="_Toc216921803"/>
      <w:r>
        <w:lastRenderedPageBreak/>
        <w:t>4. Technical Mitigation Measures</w:t>
      </w:r>
      <w:bookmarkEnd w:id="8"/>
    </w:p>
    <w:p w14:paraId="7428BF40" w14:textId="77777777" w:rsidR="00BD3432" w:rsidRDefault="00BD3432" w:rsidP="00BD3432">
      <w:pPr>
        <w:pStyle w:val="Heading2"/>
      </w:pPr>
      <w:bookmarkStart w:id="9" w:name="_Toc216921804"/>
      <w:r>
        <w:t>4.1 Identity and Access Management</w:t>
      </w:r>
      <w:bookmarkEnd w:id="9"/>
    </w:p>
    <w:p w14:paraId="5A3DF07C" w14:textId="406AF734" w:rsidR="00BD3432" w:rsidRDefault="00BD3432" w:rsidP="00BD3432">
      <w:pPr>
        <w:spacing w:after="200"/>
      </w:pPr>
      <w:r>
        <w:t xml:space="preserve">Identity represents the foundational pillar upon which all Zero Trust capabilities depend. We are implementing </w:t>
      </w:r>
      <w:r>
        <w:rPr>
          <w:b/>
          <w:bCs/>
        </w:rPr>
        <w:t>phishing-resistant multi-factor authentication</w:t>
      </w:r>
      <w:r>
        <w:t xml:space="preserve"> using FIDO2/</w:t>
      </w:r>
      <w:proofErr w:type="spellStart"/>
      <w:r>
        <w:t>WebAuthn</w:t>
      </w:r>
      <w:proofErr w:type="spellEnd"/>
      <w:r>
        <w:t xml:space="preserve"> protocols for all privileged accounts by Q2 2025, with enterprise-wide deployment completing by Q4 2025 </w:t>
      </w:r>
      <w:sdt>
        <w:sdtPr>
          <w:id w:val="1985425358"/>
          <w:citation/>
        </w:sdtPr>
        <w:sdtEndPr/>
        <w:sdtContent>
          <w:r w:rsidR="00CE6167">
            <w:fldChar w:fldCharType="begin"/>
          </w:r>
          <w:r w:rsidR="00CE6167">
            <w:rPr>
              <w:lang w:val="en-GB"/>
            </w:rPr>
            <w:instrText xml:space="preserve"> CITATION 10_CISA_SIEM \l 2057 </w:instrText>
          </w:r>
          <w:r w:rsidR="00CE6167">
            <w:fldChar w:fldCharType="separate"/>
          </w:r>
          <w:r w:rsidR="00CE6167" w:rsidRPr="00CE6167">
            <w:rPr>
              <w:noProof/>
              <w:lang w:val="en-GB"/>
            </w:rPr>
            <w:t>[10]</w:t>
          </w:r>
          <w:r w:rsidR="00CE6167">
            <w:fldChar w:fldCharType="end"/>
          </w:r>
        </w:sdtContent>
      </w:sdt>
      <w:r>
        <w:t>. CISA and OMB M-22-09 guidance identifies only FIDO2/</w:t>
      </w:r>
      <w:proofErr w:type="spellStart"/>
      <w:r>
        <w:t>WebAuthn</w:t>
      </w:r>
      <w:proofErr w:type="spellEnd"/>
      <w:r>
        <w:t xml:space="preserve"> authentication and PKI-based smart cards as truly phishing-resistant methods </w:t>
      </w:r>
      <w:sdt>
        <w:sdtPr>
          <w:id w:val="-1766909504"/>
          <w:citation/>
        </w:sdtPr>
        <w:sdtEndPr/>
        <w:sdtContent>
          <w:r w:rsidR="00CE6167">
            <w:fldChar w:fldCharType="begin"/>
          </w:r>
          <w:r w:rsidR="00CE6167">
            <w:rPr>
              <w:lang w:val="en-GB"/>
            </w:rPr>
            <w:instrText xml:space="preserve"> CITATION 09_CISA_ZTMM \l 2057 </w:instrText>
          </w:r>
          <w:r w:rsidR="00CE6167">
            <w:fldChar w:fldCharType="separate"/>
          </w:r>
          <w:r w:rsidR="00CE6167" w:rsidRPr="00CE6167">
            <w:rPr>
              <w:noProof/>
              <w:lang w:val="en-GB"/>
            </w:rPr>
            <w:t>[9]</w:t>
          </w:r>
          <w:r w:rsidR="00CE6167">
            <w:fldChar w:fldCharType="end"/>
          </w:r>
        </w:sdtContent>
      </w:sdt>
      <w:r>
        <w:t>. This approach eliminates vulnerabilities inherent in SMS, voice, and push-notification MFA</w:t>
      </w:r>
      <w:r w:rsidR="00BB798F">
        <w:t xml:space="preserve"> </w:t>
      </w:r>
      <w:r>
        <w:t>attacks like SIM swapping, SS7 exploitation, and push bombing become technically infeasible when authentication relies on cryptographic origin binding.</w:t>
      </w:r>
    </w:p>
    <w:p w14:paraId="153FB72A" w14:textId="77777777" w:rsidR="00BD3432" w:rsidRDefault="00BD3432" w:rsidP="00BD3432">
      <w:pPr>
        <w:pStyle w:val="Heading2"/>
      </w:pPr>
      <w:bookmarkStart w:id="10" w:name="_Toc216921805"/>
      <w:r>
        <w:t>4.2 Vulnerability Management and CISA KEV Integration</w:t>
      </w:r>
      <w:bookmarkEnd w:id="10"/>
    </w:p>
    <w:p w14:paraId="7492D4F1" w14:textId="5848CFBE" w:rsidR="00BD3432" w:rsidRDefault="00BD3432" w:rsidP="00BD3432">
      <w:pPr>
        <w:spacing w:after="200"/>
        <w:jc w:val="left"/>
      </w:pPr>
      <w:r>
        <w:t xml:space="preserve">Vulnerability management integrates the CISA Known Exploited Vulnerabilities catalogue, currently containing approximately 1,238 actively exploited vulnerabilities, as the authoritative </w:t>
      </w:r>
      <w:proofErr w:type="spellStart"/>
      <w:r>
        <w:t>prioritisation</w:t>
      </w:r>
      <w:proofErr w:type="spellEnd"/>
      <w:r>
        <w:t xml:space="preserve"> input for our patching </w:t>
      </w:r>
      <w:proofErr w:type="spellStart"/>
      <w:r>
        <w:t>programme</w:t>
      </w:r>
      <w:proofErr w:type="spellEnd"/>
      <w:r>
        <w:t xml:space="preserve"> </w:t>
      </w:r>
      <w:sdt>
        <w:sdtPr>
          <w:id w:val="-633175429"/>
          <w:citation/>
        </w:sdtPr>
        <w:sdtEndPr/>
        <w:sdtContent>
          <w:r w:rsidR="00CE6167">
            <w:fldChar w:fldCharType="begin"/>
          </w:r>
          <w:r w:rsidR="00CE6167">
            <w:rPr>
              <w:lang w:val="en-GB"/>
            </w:rPr>
            <w:instrText xml:space="preserve"> CITATION 11_Gartner_SOAR \l 2057 </w:instrText>
          </w:r>
          <w:r w:rsidR="00CE6167">
            <w:fldChar w:fldCharType="separate"/>
          </w:r>
          <w:r w:rsidR="00CE6167" w:rsidRPr="00CE6167">
            <w:rPr>
              <w:noProof/>
              <w:lang w:val="en-GB"/>
            </w:rPr>
            <w:t>[11]</w:t>
          </w:r>
          <w:r w:rsidR="00CE6167">
            <w:fldChar w:fldCharType="end"/>
          </w:r>
        </w:sdtContent>
      </w:sdt>
      <w:r>
        <w:t xml:space="preserve">. Per Binding Operational Directive 22-01, vulnerabilities added to the KEV catalogue require remediation within two weeks for post-2021 CVEs. Our vulnerability management </w:t>
      </w:r>
      <w:proofErr w:type="spellStart"/>
      <w:r>
        <w:t>programme</w:t>
      </w:r>
      <w:proofErr w:type="spellEnd"/>
      <w:r>
        <w:t xml:space="preserve"> cross-references scan results against KEV entries automatically, escalating matching vulnerabilities for emergency patching regardless of CVSS scores</w:t>
      </w:r>
      <w:r w:rsidR="00BB798F">
        <w:t xml:space="preserve"> </w:t>
      </w:r>
      <w:r>
        <w:t>ensuring we address vulnerabilities adversaries are actively exploiting rather than theoretical risks.</w:t>
      </w:r>
    </w:p>
    <w:p w14:paraId="03A00AF3" w14:textId="77777777" w:rsidR="00BD3432" w:rsidRDefault="00BD3432" w:rsidP="00BD3432">
      <w:pPr>
        <w:pStyle w:val="Heading2"/>
      </w:pPr>
      <w:bookmarkStart w:id="11" w:name="_Toc216921806"/>
      <w:r>
        <w:t>4.3 EDR/XDR and Network Security</w:t>
      </w:r>
      <w:bookmarkEnd w:id="11"/>
    </w:p>
    <w:p w14:paraId="2DD0C96C" w14:textId="4FA583F5" w:rsidR="00BD3432" w:rsidRDefault="00BD3432" w:rsidP="00BD3432">
      <w:pPr>
        <w:spacing w:after="200"/>
      </w:pPr>
      <w:r>
        <w:t xml:space="preserve">Endpoint Detection and Response capabilities deploy across all managed endpoints, providing continuous </w:t>
      </w:r>
      <w:proofErr w:type="spellStart"/>
      <w:r>
        <w:t>behavioural</w:t>
      </w:r>
      <w:proofErr w:type="spellEnd"/>
      <w:r>
        <w:t xml:space="preserve"> monitoring, automated threat response, and comprehensive forensic data collection </w:t>
      </w:r>
      <w:sdt>
        <w:sdtPr>
          <w:id w:val="-1313639636"/>
          <w:citation/>
        </w:sdtPr>
        <w:sdtEndPr/>
        <w:sdtContent>
          <w:r w:rsidR="00CE6167">
            <w:fldChar w:fldCharType="begin"/>
          </w:r>
          <w:r w:rsidR="00CE6167">
            <w:rPr>
              <w:lang w:val="en-GB"/>
            </w:rPr>
            <w:instrText xml:space="preserve"> CITATION 12_Gartner_EDR \l 2057 </w:instrText>
          </w:r>
          <w:r w:rsidR="00CE6167">
            <w:fldChar w:fldCharType="separate"/>
          </w:r>
          <w:r w:rsidR="00CE6167" w:rsidRPr="00CE6167">
            <w:rPr>
              <w:noProof/>
              <w:lang w:val="en-GB"/>
            </w:rPr>
            <w:t>[12]</w:t>
          </w:r>
          <w:r w:rsidR="00CE6167">
            <w:fldChar w:fldCharType="end"/>
          </w:r>
        </w:sdtContent>
      </w:sdt>
      <w:r>
        <w:t xml:space="preserve">. Our XDR platform correlates endpoint telemetry with network traffic analysis and cloud workload signals, enabling detection of sophisticated attacks spanning multiple security domains. Network </w:t>
      </w:r>
      <w:proofErr w:type="spellStart"/>
      <w:r>
        <w:t>microsegmentation</w:t>
      </w:r>
      <w:proofErr w:type="spellEnd"/>
      <w:r>
        <w:t xml:space="preserve"> implements the Zero Trust principle that network location conveys no implicit trust </w:t>
      </w:r>
      <w:sdt>
        <w:sdtPr>
          <w:id w:val="-1864590139"/>
          <w:citation/>
        </w:sdtPr>
        <w:sdtEndPr/>
        <w:sdtContent>
          <w:r w:rsidR="00CE6167">
            <w:fldChar w:fldCharType="begin"/>
          </w:r>
          <w:r w:rsidR="00CE6167">
            <w:rPr>
              <w:lang w:val="en-GB"/>
            </w:rPr>
            <w:instrText xml:space="preserve"> CITATION 03_Rose_NIST \l 2057 </w:instrText>
          </w:r>
          <w:r w:rsidR="00CE6167">
            <w:fldChar w:fldCharType="separate"/>
          </w:r>
          <w:r w:rsidR="00CE6167" w:rsidRPr="00CE6167">
            <w:rPr>
              <w:noProof/>
              <w:lang w:val="en-GB"/>
            </w:rPr>
            <w:t>[3]</w:t>
          </w:r>
          <w:r w:rsidR="00CE6167">
            <w:fldChar w:fldCharType="end"/>
          </w:r>
        </w:sdtContent>
      </w:sdt>
      <w:r>
        <w:t xml:space="preserve">, replacing traditional VPN with software-defined perimeter technology granting application-specific access. Immutable backup architecture follows the 3-2-1-1-0 rule using S3 Object Lock in compliance mode combined with air-gapped tape storage </w:t>
      </w:r>
      <w:sdt>
        <w:sdtPr>
          <w:id w:val="-1468116366"/>
          <w:citation/>
        </w:sdtPr>
        <w:sdtEndPr/>
        <w:sdtContent>
          <w:r w:rsidR="00CE6167">
            <w:fldChar w:fldCharType="begin"/>
          </w:r>
          <w:r w:rsidR="00CE6167">
            <w:rPr>
              <w:lang w:val="en-GB"/>
            </w:rPr>
            <w:instrText xml:space="preserve"> CITATION 13_Veeam \l 2057 </w:instrText>
          </w:r>
          <w:r w:rsidR="00CE6167">
            <w:fldChar w:fldCharType="separate"/>
          </w:r>
          <w:r w:rsidR="00CE6167" w:rsidRPr="00CE6167">
            <w:rPr>
              <w:noProof/>
              <w:lang w:val="en-GB"/>
            </w:rPr>
            <w:t>[13]</w:t>
          </w:r>
          <w:r w:rsidR="00CE6167">
            <w:fldChar w:fldCharType="end"/>
          </w:r>
        </w:sdtContent>
      </w:sdt>
      <w:r>
        <w:t>.</w:t>
      </w:r>
    </w:p>
    <w:p w14:paraId="3DCBF01A" w14:textId="77777777" w:rsidR="00BD3432" w:rsidRDefault="00BD3432" w:rsidP="00BD3432">
      <w:pPr>
        <w:spacing w:before="200" w:after="150"/>
        <w:jc w:val="center"/>
      </w:pPr>
      <w:r>
        <w:rPr>
          <w:b/>
          <w:bCs/>
          <w:i/>
          <w:iCs/>
        </w:rPr>
        <w:t>Table 3: Technical Controls Implementation Summary</w:t>
      </w:r>
    </w:p>
    <w:tbl>
      <w:tblPr>
        <w:tblW w:w="10480" w:type="dxa"/>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13"/>
        <w:gridCol w:w="3407"/>
        <w:gridCol w:w="1263"/>
        <w:gridCol w:w="1997"/>
      </w:tblGrid>
      <w:tr w:rsidR="00BD3432" w14:paraId="31BC6605" w14:textId="77777777" w:rsidTr="00BD3432">
        <w:trPr>
          <w:trHeight w:val="486"/>
          <w:tblHeader/>
        </w:trPr>
        <w:tc>
          <w:tcPr>
            <w:tcW w:w="0" w:type="auto"/>
            <w:shd w:val="clear" w:color="auto" w:fill="1A365D"/>
          </w:tcPr>
          <w:p w14:paraId="53C6F44E" w14:textId="77777777" w:rsidR="00BD3432" w:rsidRDefault="00BD3432" w:rsidP="00CD502A">
            <w:pPr>
              <w:jc w:val="center"/>
            </w:pPr>
            <w:r>
              <w:rPr>
                <w:b/>
                <w:bCs/>
                <w:color w:val="FFFFFF"/>
                <w:sz w:val="20"/>
                <w:szCs w:val="20"/>
              </w:rPr>
              <w:t>Control</w:t>
            </w:r>
          </w:p>
        </w:tc>
        <w:tc>
          <w:tcPr>
            <w:tcW w:w="0" w:type="auto"/>
            <w:shd w:val="clear" w:color="auto" w:fill="1A365D"/>
          </w:tcPr>
          <w:p w14:paraId="12972C88" w14:textId="77777777" w:rsidR="00BD3432" w:rsidRDefault="00BD3432" w:rsidP="00CD502A">
            <w:pPr>
              <w:jc w:val="center"/>
            </w:pPr>
            <w:r>
              <w:rPr>
                <w:b/>
                <w:bCs/>
                <w:color w:val="FFFFFF"/>
                <w:sz w:val="20"/>
                <w:szCs w:val="20"/>
              </w:rPr>
              <w:t>Technology</w:t>
            </w:r>
          </w:p>
        </w:tc>
        <w:tc>
          <w:tcPr>
            <w:tcW w:w="0" w:type="auto"/>
            <w:shd w:val="clear" w:color="auto" w:fill="1A365D"/>
          </w:tcPr>
          <w:p w14:paraId="4C9408DD" w14:textId="77777777" w:rsidR="00BD3432" w:rsidRDefault="00BD3432" w:rsidP="00CD502A">
            <w:pPr>
              <w:jc w:val="center"/>
            </w:pPr>
            <w:r>
              <w:rPr>
                <w:b/>
                <w:bCs/>
                <w:color w:val="FFFFFF"/>
                <w:sz w:val="20"/>
                <w:szCs w:val="20"/>
              </w:rPr>
              <w:t>Timeline</w:t>
            </w:r>
          </w:p>
        </w:tc>
        <w:tc>
          <w:tcPr>
            <w:tcW w:w="0" w:type="auto"/>
            <w:shd w:val="clear" w:color="auto" w:fill="1A365D"/>
          </w:tcPr>
          <w:p w14:paraId="6624ED9C" w14:textId="77777777" w:rsidR="00BD3432" w:rsidRDefault="00BD3432" w:rsidP="00CD502A">
            <w:pPr>
              <w:jc w:val="center"/>
            </w:pPr>
            <w:r>
              <w:rPr>
                <w:b/>
                <w:bCs/>
                <w:color w:val="FFFFFF"/>
                <w:sz w:val="20"/>
                <w:szCs w:val="20"/>
              </w:rPr>
              <w:t>NIST CSF Ref</w:t>
            </w:r>
          </w:p>
        </w:tc>
      </w:tr>
      <w:tr w:rsidR="00BD3432" w14:paraId="16BE072D" w14:textId="77777777" w:rsidTr="00BD3432">
        <w:trPr>
          <w:trHeight w:val="501"/>
        </w:trPr>
        <w:tc>
          <w:tcPr>
            <w:tcW w:w="0" w:type="auto"/>
          </w:tcPr>
          <w:p w14:paraId="23A29A52" w14:textId="77777777" w:rsidR="00BD3432" w:rsidRDefault="00BD3432" w:rsidP="00CD502A">
            <w:r>
              <w:rPr>
                <w:sz w:val="20"/>
                <w:szCs w:val="20"/>
              </w:rPr>
              <w:t>Phishing-Resistant MFA</w:t>
            </w:r>
          </w:p>
        </w:tc>
        <w:tc>
          <w:tcPr>
            <w:tcW w:w="0" w:type="auto"/>
          </w:tcPr>
          <w:p w14:paraId="300700B9" w14:textId="77777777" w:rsidR="00BD3432" w:rsidRDefault="00BD3432" w:rsidP="00CD502A">
            <w:r>
              <w:rPr>
                <w:sz w:val="20"/>
                <w:szCs w:val="20"/>
              </w:rPr>
              <w:t>FIDO2/</w:t>
            </w:r>
            <w:proofErr w:type="spellStart"/>
            <w:r>
              <w:rPr>
                <w:sz w:val="20"/>
                <w:szCs w:val="20"/>
              </w:rPr>
              <w:t>WebAuthn</w:t>
            </w:r>
            <w:proofErr w:type="spellEnd"/>
          </w:p>
        </w:tc>
        <w:tc>
          <w:tcPr>
            <w:tcW w:w="0" w:type="auto"/>
          </w:tcPr>
          <w:p w14:paraId="17B3973F" w14:textId="77777777" w:rsidR="00BD3432" w:rsidRDefault="00BD3432" w:rsidP="00CD502A">
            <w:pPr>
              <w:jc w:val="center"/>
            </w:pPr>
            <w:r>
              <w:rPr>
                <w:sz w:val="20"/>
                <w:szCs w:val="20"/>
              </w:rPr>
              <w:t>Q2 2025</w:t>
            </w:r>
          </w:p>
        </w:tc>
        <w:tc>
          <w:tcPr>
            <w:tcW w:w="0" w:type="auto"/>
          </w:tcPr>
          <w:p w14:paraId="5FBDFDCA" w14:textId="77777777" w:rsidR="00BD3432" w:rsidRDefault="00BD3432" w:rsidP="00CD502A">
            <w:r>
              <w:rPr>
                <w:sz w:val="20"/>
                <w:szCs w:val="20"/>
              </w:rPr>
              <w:t>PR.AC-7</w:t>
            </w:r>
          </w:p>
        </w:tc>
      </w:tr>
      <w:tr w:rsidR="00BD3432" w14:paraId="1379C517" w14:textId="77777777" w:rsidTr="00BD3432">
        <w:trPr>
          <w:trHeight w:val="486"/>
        </w:trPr>
        <w:tc>
          <w:tcPr>
            <w:tcW w:w="0" w:type="auto"/>
            <w:shd w:val="clear" w:color="auto" w:fill="F7FAFC"/>
          </w:tcPr>
          <w:p w14:paraId="13260631" w14:textId="77777777" w:rsidR="00BD3432" w:rsidRDefault="00BD3432" w:rsidP="00CD502A">
            <w:r>
              <w:rPr>
                <w:sz w:val="20"/>
                <w:szCs w:val="20"/>
              </w:rPr>
              <w:t>EDR/XDR Platform</w:t>
            </w:r>
          </w:p>
        </w:tc>
        <w:tc>
          <w:tcPr>
            <w:tcW w:w="0" w:type="auto"/>
            <w:shd w:val="clear" w:color="auto" w:fill="F7FAFC"/>
          </w:tcPr>
          <w:p w14:paraId="34C84C29" w14:textId="77777777" w:rsidR="00BD3432" w:rsidRDefault="00BD3432" w:rsidP="00CD502A">
            <w:r>
              <w:rPr>
                <w:sz w:val="20"/>
                <w:szCs w:val="20"/>
              </w:rPr>
              <w:t>CrowdStrike/Defender</w:t>
            </w:r>
          </w:p>
        </w:tc>
        <w:tc>
          <w:tcPr>
            <w:tcW w:w="0" w:type="auto"/>
            <w:shd w:val="clear" w:color="auto" w:fill="F7FAFC"/>
          </w:tcPr>
          <w:p w14:paraId="031E89E1" w14:textId="77777777" w:rsidR="00BD3432" w:rsidRDefault="00BD3432" w:rsidP="00CD502A">
            <w:pPr>
              <w:jc w:val="center"/>
            </w:pPr>
            <w:r>
              <w:rPr>
                <w:sz w:val="20"/>
                <w:szCs w:val="20"/>
              </w:rPr>
              <w:t>Q1 2025</w:t>
            </w:r>
          </w:p>
        </w:tc>
        <w:tc>
          <w:tcPr>
            <w:tcW w:w="0" w:type="auto"/>
            <w:shd w:val="clear" w:color="auto" w:fill="F7FAFC"/>
          </w:tcPr>
          <w:p w14:paraId="459C2D11" w14:textId="77777777" w:rsidR="00BD3432" w:rsidRDefault="00BD3432" w:rsidP="00CD502A">
            <w:r>
              <w:rPr>
                <w:sz w:val="20"/>
                <w:szCs w:val="20"/>
              </w:rPr>
              <w:t>DE.CM-4</w:t>
            </w:r>
          </w:p>
        </w:tc>
      </w:tr>
      <w:tr w:rsidR="00BD3432" w14:paraId="014E446B" w14:textId="77777777" w:rsidTr="00BD3432">
        <w:trPr>
          <w:trHeight w:val="486"/>
        </w:trPr>
        <w:tc>
          <w:tcPr>
            <w:tcW w:w="0" w:type="auto"/>
          </w:tcPr>
          <w:p w14:paraId="418ABAA7" w14:textId="77777777" w:rsidR="00BD3432" w:rsidRDefault="00BD3432" w:rsidP="00CD502A">
            <w:r>
              <w:rPr>
                <w:sz w:val="20"/>
                <w:szCs w:val="20"/>
              </w:rPr>
              <w:t>SIEM/SOAR Integration</w:t>
            </w:r>
          </w:p>
        </w:tc>
        <w:tc>
          <w:tcPr>
            <w:tcW w:w="0" w:type="auto"/>
          </w:tcPr>
          <w:p w14:paraId="02277476" w14:textId="77777777" w:rsidR="00BD3432" w:rsidRDefault="00BD3432" w:rsidP="00CD502A">
            <w:r>
              <w:rPr>
                <w:sz w:val="20"/>
                <w:szCs w:val="20"/>
              </w:rPr>
              <w:t>Splunk/Palo Alto XSOAR</w:t>
            </w:r>
          </w:p>
        </w:tc>
        <w:tc>
          <w:tcPr>
            <w:tcW w:w="0" w:type="auto"/>
          </w:tcPr>
          <w:p w14:paraId="3EAB7389" w14:textId="77777777" w:rsidR="00BD3432" w:rsidRDefault="00BD3432" w:rsidP="00CD502A">
            <w:pPr>
              <w:jc w:val="center"/>
            </w:pPr>
            <w:r>
              <w:rPr>
                <w:sz w:val="20"/>
                <w:szCs w:val="20"/>
              </w:rPr>
              <w:t>Q1 2025</w:t>
            </w:r>
          </w:p>
        </w:tc>
        <w:tc>
          <w:tcPr>
            <w:tcW w:w="0" w:type="auto"/>
          </w:tcPr>
          <w:p w14:paraId="527C301A" w14:textId="77777777" w:rsidR="00BD3432" w:rsidRDefault="00BD3432" w:rsidP="00CD502A">
            <w:r>
              <w:rPr>
                <w:sz w:val="20"/>
                <w:szCs w:val="20"/>
              </w:rPr>
              <w:t>DE.AE-2</w:t>
            </w:r>
          </w:p>
        </w:tc>
      </w:tr>
      <w:tr w:rsidR="00BD3432" w14:paraId="09F2197D" w14:textId="77777777" w:rsidTr="00BD3432">
        <w:trPr>
          <w:trHeight w:val="486"/>
        </w:trPr>
        <w:tc>
          <w:tcPr>
            <w:tcW w:w="0" w:type="auto"/>
            <w:shd w:val="clear" w:color="auto" w:fill="F7FAFC"/>
          </w:tcPr>
          <w:p w14:paraId="32A370B9" w14:textId="77777777" w:rsidR="00BD3432" w:rsidRDefault="00BD3432" w:rsidP="00CD502A">
            <w:r>
              <w:rPr>
                <w:sz w:val="20"/>
                <w:szCs w:val="20"/>
              </w:rPr>
              <w:t xml:space="preserve">Network </w:t>
            </w:r>
            <w:proofErr w:type="spellStart"/>
            <w:r>
              <w:rPr>
                <w:sz w:val="20"/>
                <w:szCs w:val="20"/>
              </w:rPr>
              <w:t>Microsegmentation</w:t>
            </w:r>
            <w:proofErr w:type="spellEnd"/>
          </w:p>
        </w:tc>
        <w:tc>
          <w:tcPr>
            <w:tcW w:w="0" w:type="auto"/>
            <w:shd w:val="clear" w:color="auto" w:fill="F7FAFC"/>
          </w:tcPr>
          <w:p w14:paraId="4328375C" w14:textId="77777777" w:rsidR="00BD3432" w:rsidRDefault="00BD3432" w:rsidP="00CD502A">
            <w:r>
              <w:rPr>
                <w:sz w:val="20"/>
                <w:szCs w:val="20"/>
              </w:rPr>
              <w:t>Illumio/</w:t>
            </w:r>
            <w:proofErr w:type="spellStart"/>
            <w:r>
              <w:rPr>
                <w:sz w:val="20"/>
                <w:szCs w:val="20"/>
              </w:rPr>
              <w:t>Zscaler</w:t>
            </w:r>
            <w:proofErr w:type="spellEnd"/>
            <w:r>
              <w:rPr>
                <w:sz w:val="20"/>
                <w:szCs w:val="20"/>
              </w:rPr>
              <w:t xml:space="preserve"> ZPA</w:t>
            </w:r>
          </w:p>
        </w:tc>
        <w:tc>
          <w:tcPr>
            <w:tcW w:w="0" w:type="auto"/>
            <w:shd w:val="clear" w:color="auto" w:fill="F7FAFC"/>
          </w:tcPr>
          <w:p w14:paraId="78E094B4" w14:textId="77777777" w:rsidR="00BD3432" w:rsidRDefault="00BD3432" w:rsidP="00CD502A">
            <w:pPr>
              <w:jc w:val="center"/>
            </w:pPr>
            <w:r>
              <w:rPr>
                <w:sz w:val="20"/>
                <w:szCs w:val="20"/>
              </w:rPr>
              <w:t>Q3 2025</w:t>
            </w:r>
          </w:p>
        </w:tc>
        <w:tc>
          <w:tcPr>
            <w:tcW w:w="0" w:type="auto"/>
            <w:shd w:val="clear" w:color="auto" w:fill="F7FAFC"/>
          </w:tcPr>
          <w:p w14:paraId="5AB5C276" w14:textId="77777777" w:rsidR="00BD3432" w:rsidRDefault="00BD3432" w:rsidP="00CD502A">
            <w:r>
              <w:rPr>
                <w:sz w:val="20"/>
                <w:szCs w:val="20"/>
              </w:rPr>
              <w:t>PR.AC-5</w:t>
            </w:r>
          </w:p>
        </w:tc>
      </w:tr>
    </w:tbl>
    <w:p w14:paraId="27C8841D" w14:textId="77777777" w:rsidR="00BD3432" w:rsidRDefault="00BD3432" w:rsidP="00BD3432">
      <w:pPr>
        <w:pStyle w:val="Heading1"/>
      </w:pPr>
      <w:bookmarkStart w:id="12" w:name="_Toc216921807"/>
      <w:r>
        <w:lastRenderedPageBreak/>
        <w:t>5. Proactive Monitoring and Incident Response</w:t>
      </w:r>
      <w:bookmarkEnd w:id="12"/>
    </w:p>
    <w:p w14:paraId="52810CBF" w14:textId="1E26834A" w:rsidR="00BD3432" w:rsidRDefault="00BD3432" w:rsidP="00BD3432">
      <w:pPr>
        <w:spacing w:after="200"/>
      </w:pPr>
      <w:proofErr w:type="spellStart"/>
      <w:r>
        <w:t>Organisations</w:t>
      </w:r>
      <w:proofErr w:type="spellEnd"/>
      <w:r>
        <w:t xml:space="preserve"> deploying extensive security AI and automation reduced breach costs by $2.2 million compared to those without such capabilities, according to IBM's 2024 analysis </w:t>
      </w:r>
      <w:sdt>
        <w:sdtPr>
          <w:id w:val="1314054708"/>
          <w:citation/>
        </w:sdtPr>
        <w:sdtEndPr/>
        <w:sdtContent>
          <w:r w:rsidR="002025E0">
            <w:fldChar w:fldCharType="begin"/>
          </w:r>
          <w:r w:rsidR="002025E0">
            <w:rPr>
              <w:lang w:val="en-GB"/>
            </w:rPr>
            <w:instrText xml:space="preserve"> CITATION 01_IBM_Security \l 2057 </w:instrText>
          </w:r>
          <w:r w:rsidR="002025E0">
            <w:fldChar w:fldCharType="separate"/>
          </w:r>
          <w:r w:rsidR="002025E0" w:rsidRPr="002025E0">
            <w:rPr>
              <w:noProof/>
              <w:lang w:val="en-GB"/>
            </w:rPr>
            <w:t>[1]</w:t>
          </w:r>
          <w:r w:rsidR="002025E0">
            <w:fldChar w:fldCharType="end"/>
          </w:r>
        </w:sdtContent>
      </w:sdt>
      <w:r>
        <w:t xml:space="preserve">. Our Security Operations Centre operates 24/7, </w:t>
      </w:r>
      <w:proofErr w:type="spellStart"/>
      <w:r>
        <w:t>utilising</w:t>
      </w:r>
      <w:proofErr w:type="spellEnd"/>
      <w:r>
        <w:t xml:space="preserve"> SIEM correlation and automated playbooks to achieve target detection times under 15 minutes for critical systems. The financial services industry median MTTD of 42 minutes and MTTR of 58 minutes</w:t>
      </w:r>
      <w:r w:rsidR="00BB798F">
        <w:t xml:space="preserve"> </w:t>
      </w:r>
      <w:r>
        <w:t xml:space="preserve">the highest performance of any sector per New Relic's 2024 observability report </w:t>
      </w:r>
      <w:sdt>
        <w:sdtPr>
          <w:id w:val="1915657847"/>
          <w:citation/>
        </w:sdtPr>
        <w:sdtEndPr/>
        <w:sdtContent>
          <w:r w:rsidR="00CE6167">
            <w:fldChar w:fldCharType="begin"/>
          </w:r>
          <w:r w:rsidR="00CE6167">
            <w:rPr>
              <w:lang w:val="en-GB"/>
            </w:rPr>
            <w:instrText xml:space="preserve"> CITATION 14_NewRelic \l 2057 </w:instrText>
          </w:r>
          <w:r w:rsidR="00CE6167">
            <w:fldChar w:fldCharType="separate"/>
          </w:r>
          <w:r w:rsidR="00CE6167" w:rsidRPr="00CE6167">
            <w:rPr>
              <w:noProof/>
              <w:lang w:val="en-GB"/>
            </w:rPr>
            <w:t>[14]</w:t>
          </w:r>
          <w:r w:rsidR="00CE6167">
            <w:fldChar w:fldCharType="end"/>
          </w:r>
        </w:sdtContent>
      </w:sdt>
      <w:r w:rsidR="00CE6167">
        <w:t xml:space="preserve"> </w:t>
      </w:r>
      <w:r>
        <w:t>represents our baseline for continuous improvement.</w:t>
      </w:r>
    </w:p>
    <w:p w14:paraId="44CB5DF4" w14:textId="16A19317" w:rsidR="00BD3432" w:rsidRDefault="00BD3432" w:rsidP="00BD3432">
      <w:pPr>
        <w:spacing w:after="200"/>
        <w:jc w:val="left"/>
      </w:pPr>
      <w:r>
        <w:t xml:space="preserve">Our SIEM platform aggregates and correlates security events across endpoints, network devices, cloud workloads, identity systems, and applications. Machine learning-based anomaly detection identifies deviations from established </w:t>
      </w:r>
      <w:proofErr w:type="spellStart"/>
      <w:r>
        <w:t>behavioural</w:t>
      </w:r>
      <w:proofErr w:type="spellEnd"/>
      <w:r>
        <w:t xml:space="preserve"> baselines while threat intelligence integration enables real-time detection of known indicators of compromise. SOAR automates response workflows, reducing analyst workload and ensuring consistent playbook execution. Ransomware-specific response procedures follow CISA </w:t>
      </w:r>
      <w:proofErr w:type="spellStart"/>
      <w:r>
        <w:t>StopRansomware</w:t>
      </w:r>
      <w:proofErr w:type="spellEnd"/>
      <w:r>
        <w:t xml:space="preserve"> guidance </w:t>
      </w:r>
      <w:sdt>
        <w:sdtPr>
          <w:id w:val="-358817783"/>
          <w:citation/>
        </w:sdtPr>
        <w:sdtEndPr/>
        <w:sdtContent>
          <w:r w:rsidR="00CE6167">
            <w:fldChar w:fldCharType="begin"/>
          </w:r>
          <w:r w:rsidR="00CE6167">
            <w:rPr>
              <w:lang w:val="en-GB"/>
            </w:rPr>
            <w:instrText xml:space="preserve"> CITATION 15_CISA_Ransomware \l 2057 </w:instrText>
          </w:r>
          <w:r w:rsidR="00CE6167">
            <w:fldChar w:fldCharType="separate"/>
          </w:r>
          <w:r w:rsidR="00CE6167" w:rsidRPr="00CE6167">
            <w:rPr>
              <w:noProof/>
              <w:lang w:val="en-GB"/>
            </w:rPr>
            <w:t>[15]</w:t>
          </w:r>
          <w:r w:rsidR="00CE6167">
            <w:fldChar w:fldCharType="end"/>
          </w:r>
        </w:sdtContent>
      </w:sdt>
      <w:r>
        <w:t>: immediate network isolation at the switch level, forensic evidence preservation including memory captures, and predetermined communication protocol activation. Law enforcement engagement reduces breach costs by approximately $1 million and helps 63% of victims avoid ransom payment entirely</w:t>
      </w:r>
      <w:r w:rsidR="002025E0">
        <w:t xml:space="preserve"> </w:t>
      </w:r>
      <w:sdt>
        <w:sdtPr>
          <w:id w:val="-1211575016"/>
          <w:citation/>
        </w:sdtPr>
        <w:sdtEndPr/>
        <w:sdtContent>
          <w:r w:rsidR="002025E0">
            <w:fldChar w:fldCharType="begin"/>
          </w:r>
          <w:r w:rsidR="002025E0">
            <w:rPr>
              <w:lang w:val="en-GB"/>
            </w:rPr>
            <w:instrText xml:space="preserve"> CITATION 01_IBM_Security \l 2057 </w:instrText>
          </w:r>
          <w:r w:rsidR="002025E0">
            <w:fldChar w:fldCharType="separate"/>
          </w:r>
          <w:r w:rsidR="002025E0" w:rsidRPr="002025E0">
            <w:rPr>
              <w:noProof/>
              <w:lang w:val="en-GB"/>
            </w:rPr>
            <w:t>[1]</w:t>
          </w:r>
          <w:r w:rsidR="002025E0">
            <w:fldChar w:fldCharType="end"/>
          </w:r>
        </w:sdtContent>
      </w:sdt>
      <w:r>
        <w:t>.</w:t>
      </w:r>
    </w:p>
    <w:p w14:paraId="6AA5F3E0" w14:textId="77777777" w:rsidR="00BD3432" w:rsidRDefault="00BD3432" w:rsidP="00BD3432">
      <w:pPr>
        <w:spacing w:before="200" w:after="150"/>
        <w:jc w:val="center"/>
      </w:pPr>
      <w:r>
        <w:rPr>
          <w:b/>
          <w:bCs/>
          <w:i/>
          <w:iCs/>
        </w:rPr>
        <w:t>Figure 2: Integrated SIEM/SOAR Security Operations Workflow</w:t>
      </w:r>
    </w:p>
    <w:p w14:paraId="7B89CDC9" w14:textId="77777777" w:rsidR="00BD3432" w:rsidRDefault="00BD3432" w:rsidP="00BD3432">
      <w:pPr>
        <w:spacing w:after="100"/>
        <w:jc w:val="center"/>
      </w:pPr>
      <w:r>
        <w:rPr>
          <w:noProof/>
        </w:rPr>
        <w:drawing>
          <wp:inline distT="0" distB="0" distL="0" distR="0" wp14:anchorId="0826B91D" wp14:editId="50983A0B">
            <wp:extent cx="5524500" cy="4000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4000500"/>
                    </a:xfrm>
                    <a:prstGeom prst="rect">
                      <a:avLst/>
                    </a:prstGeom>
                  </pic:spPr>
                </pic:pic>
              </a:graphicData>
            </a:graphic>
          </wp:inline>
        </w:drawing>
      </w:r>
    </w:p>
    <w:p w14:paraId="70A88A0F" w14:textId="249977A3" w:rsidR="00BD3432" w:rsidRDefault="00BD3432" w:rsidP="00BD3432">
      <w:pPr>
        <w:spacing w:after="200"/>
        <w:jc w:val="center"/>
      </w:pPr>
      <w:r>
        <w:rPr>
          <w:i/>
          <w:iCs/>
          <w:color w:val="666666"/>
          <w:sz w:val="20"/>
          <w:szCs w:val="20"/>
        </w:rPr>
        <w:t>Source: Adapted from NIST CSF 2.0</w:t>
      </w:r>
      <w:r w:rsidR="002025E0">
        <w:rPr>
          <w:i/>
          <w:iCs/>
          <w:color w:val="666666"/>
          <w:sz w:val="20"/>
          <w:szCs w:val="20"/>
        </w:rPr>
        <w:t xml:space="preserve"> </w:t>
      </w:r>
      <w:sdt>
        <w:sdtPr>
          <w:rPr>
            <w:i/>
            <w:iCs/>
            <w:color w:val="666666"/>
            <w:sz w:val="20"/>
            <w:szCs w:val="20"/>
          </w:rPr>
          <w:id w:val="-1065483016"/>
          <w:citation/>
        </w:sdtPr>
        <w:sdtEndPr/>
        <w:sdtContent>
          <w:r w:rsidR="002025E0">
            <w:rPr>
              <w:i/>
              <w:iCs/>
              <w:color w:val="666666"/>
              <w:sz w:val="20"/>
              <w:szCs w:val="20"/>
            </w:rPr>
            <w:fldChar w:fldCharType="begin"/>
          </w:r>
          <w:r w:rsidR="002025E0">
            <w:rPr>
              <w:i/>
              <w:iCs/>
              <w:color w:val="666666"/>
              <w:sz w:val="20"/>
              <w:szCs w:val="20"/>
              <w:lang w:val="en-GB"/>
            </w:rPr>
            <w:instrText xml:space="preserve"> CITATION 01_IBM_Security \l 2057 </w:instrText>
          </w:r>
          <w:r w:rsidR="002025E0">
            <w:rPr>
              <w:i/>
              <w:iCs/>
              <w:color w:val="666666"/>
              <w:sz w:val="20"/>
              <w:szCs w:val="20"/>
            </w:rPr>
            <w:fldChar w:fldCharType="separate"/>
          </w:r>
          <w:r w:rsidR="002025E0" w:rsidRPr="002025E0">
            <w:rPr>
              <w:noProof/>
              <w:color w:val="666666"/>
              <w:sz w:val="20"/>
              <w:szCs w:val="20"/>
              <w:lang w:val="en-GB"/>
            </w:rPr>
            <w:t>[1]</w:t>
          </w:r>
          <w:r w:rsidR="002025E0">
            <w:rPr>
              <w:i/>
              <w:iCs/>
              <w:color w:val="666666"/>
              <w:sz w:val="20"/>
              <w:szCs w:val="20"/>
            </w:rPr>
            <w:fldChar w:fldCharType="end"/>
          </w:r>
        </w:sdtContent>
      </w:sdt>
      <w:r>
        <w:rPr>
          <w:i/>
          <w:iCs/>
          <w:color w:val="666666"/>
          <w:sz w:val="20"/>
          <w:szCs w:val="20"/>
        </w:rPr>
        <w:t xml:space="preserve">, CISA SIEM Best Practices </w:t>
      </w:r>
      <w:sdt>
        <w:sdtPr>
          <w:rPr>
            <w:i/>
            <w:iCs/>
            <w:color w:val="666666"/>
            <w:sz w:val="20"/>
            <w:szCs w:val="20"/>
          </w:rPr>
          <w:id w:val="-1949541179"/>
          <w:citation/>
        </w:sdtPr>
        <w:sdtEndPr/>
        <w:sdtContent>
          <w:r w:rsidR="00CE6167">
            <w:rPr>
              <w:i/>
              <w:iCs/>
              <w:color w:val="666666"/>
              <w:sz w:val="20"/>
              <w:szCs w:val="20"/>
            </w:rPr>
            <w:fldChar w:fldCharType="begin"/>
          </w:r>
          <w:r w:rsidR="00CE6167">
            <w:rPr>
              <w:i/>
              <w:iCs/>
              <w:color w:val="666666"/>
              <w:sz w:val="20"/>
              <w:szCs w:val="20"/>
              <w:lang w:val="en-GB"/>
            </w:rPr>
            <w:instrText xml:space="preserve"> CITATION 10_CISA_SIEM \l 2057 </w:instrText>
          </w:r>
          <w:r w:rsidR="00CE6167">
            <w:rPr>
              <w:i/>
              <w:iCs/>
              <w:color w:val="666666"/>
              <w:sz w:val="20"/>
              <w:szCs w:val="20"/>
            </w:rPr>
            <w:fldChar w:fldCharType="separate"/>
          </w:r>
          <w:r w:rsidR="00CE6167" w:rsidRPr="00CE6167">
            <w:rPr>
              <w:noProof/>
              <w:color w:val="666666"/>
              <w:sz w:val="20"/>
              <w:szCs w:val="20"/>
              <w:lang w:val="en-GB"/>
            </w:rPr>
            <w:t>[10]</w:t>
          </w:r>
          <w:r w:rsidR="00CE6167">
            <w:rPr>
              <w:i/>
              <w:iCs/>
              <w:color w:val="666666"/>
              <w:sz w:val="20"/>
              <w:szCs w:val="20"/>
            </w:rPr>
            <w:fldChar w:fldCharType="end"/>
          </w:r>
        </w:sdtContent>
      </w:sdt>
      <w:r>
        <w:rPr>
          <w:i/>
          <w:iCs/>
          <w:color w:val="666666"/>
          <w:sz w:val="20"/>
          <w:szCs w:val="20"/>
        </w:rPr>
        <w:t xml:space="preserve">, and Gartner SOAR Market Guide </w:t>
      </w:r>
      <w:sdt>
        <w:sdtPr>
          <w:rPr>
            <w:i/>
            <w:iCs/>
            <w:color w:val="666666"/>
            <w:sz w:val="20"/>
            <w:szCs w:val="20"/>
          </w:rPr>
          <w:id w:val="924846964"/>
          <w:citation/>
        </w:sdtPr>
        <w:sdtEndPr/>
        <w:sdtContent>
          <w:r w:rsidR="00CE6167">
            <w:rPr>
              <w:i/>
              <w:iCs/>
              <w:color w:val="666666"/>
              <w:sz w:val="20"/>
              <w:szCs w:val="20"/>
            </w:rPr>
            <w:fldChar w:fldCharType="begin"/>
          </w:r>
          <w:r w:rsidR="00CE6167">
            <w:rPr>
              <w:i/>
              <w:iCs/>
              <w:color w:val="666666"/>
              <w:sz w:val="20"/>
              <w:szCs w:val="20"/>
              <w:lang w:val="en-GB"/>
            </w:rPr>
            <w:instrText xml:space="preserve"> CITATION 11_Gartner_SOAR \l 2057 </w:instrText>
          </w:r>
          <w:r w:rsidR="00CE6167">
            <w:rPr>
              <w:i/>
              <w:iCs/>
              <w:color w:val="666666"/>
              <w:sz w:val="20"/>
              <w:szCs w:val="20"/>
            </w:rPr>
            <w:fldChar w:fldCharType="separate"/>
          </w:r>
          <w:r w:rsidR="00CE6167" w:rsidRPr="00CE6167">
            <w:rPr>
              <w:noProof/>
              <w:color w:val="666666"/>
              <w:sz w:val="20"/>
              <w:szCs w:val="20"/>
              <w:lang w:val="en-GB"/>
            </w:rPr>
            <w:t>[11]</w:t>
          </w:r>
          <w:r w:rsidR="00CE6167">
            <w:rPr>
              <w:i/>
              <w:iCs/>
              <w:color w:val="666666"/>
              <w:sz w:val="20"/>
              <w:szCs w:val="20"/>
            </w:rPr>
            <w:fldChar w:fldCharType="end"/>
          </w:r>
        </w:sdtContent>
      </w:sdt>
    </w:p>
    <w:p w14:paraId="0CC54CFA" w14:textId="523BDD44" w:rsidR="00BD3432" w:rsidRDefault="00BD3432" w:rsidP="00BD3432">
      <w:pPr>
        <w:spacing w:after="200"/>
      </w:pPr>
      <w:r>
        <w:t xml:space="preserve">Regulatory notification obligations have expanded significantly across multiple jurisdictions. The SEC's July 2023 final rule requires Form 8-K disclosure of material cybersecurity incidents within four business days of </w:t>
      </w:r>
      <w:r>
        <w:lastRenderedPageBreak/>
        <w:t>materiality determination</w:t>
      </w:r>
      <w:r w:rsidR="00BB798F">
        <w:t xml:space="preserve"> </w:t>
      </w:r>
      <w:r>
        <w:t xml:space="preserve">not incident discovery </w:t>
      </w:r>
      <w:sdt>
        <w:sdtPr>
          <w:id w:val="1465769232"/>
          <w:citation/>
        </w:sdtPr>
        <w:sdtEndPr/>
        <w:sdtContent>
          <w:r w:rsidR="00CE6167">
            <w:fldChar w:fldCharType="begin"/>
          </w:r>
          <w:r w:rsidR="00CE6167">
            <w:rPr>
              <w:lang w:val="en-GB"/>
            </w:rPr>
            <w:instrText xml:space="preserve"> CITATION 04_SEC \l 2057 </w:instrText>
          </w:r>
          <w:r w:rsidR="00CE6167">
            <w:fldChar w:fldCharType="separate"/>
          </w:r>
          <w:r w:rsidR="00CE6167" w:rsidRPr="00CE6167">
            <w:rPr>
              <w:noProof/>
              <w:lang w:val="en-GB"/>
            </w:rPr>
            <w:t>[4]</w:t>
          </w:r>
          <w:r w:rsidR="00CE6167">
            <w:fldChar w:fldCharType="end"/>
          </w:r>
        </w:sdtContent>
      </w:sdt>
      <w:r>
        <w:t xml:space="preserve">. NY DFS 23 NYCRR Part 500's November 2023 amendments mandate 24-hour notification following ransomware extortion payments, with detailed written justification within 30 days </w:t>
      </w:r>
      <w:sdt>
        <w:sdtPr>
          <w:id w:val="1325465265"/>
          <w:citation/>
        </w:sdtPr>
        <w:sdtEndPr/>
        <w:sdtContent>
          <w:r w:rsidR="00CE6167">
            <w:fldChar w:fldCharType="begin"/>
          </w:r>
          <w:r w:rsidR="00CE6167">
            <w:rPr>
              <w:lang w:val="en-GB"/>
            </w:rPr>
            <w:instrText xml:space="preserve"> CITATION 16_NYDFS \l 2057 </w:instrText>
          </w:r>
          <w:r w:rsidR="00CE6167">
            <w:fldChar w:fldCharType="separate"/>
          </w:r>
          <w:r w:rsidR="00CE6167" w:rsidRPr="00CE6167">
            <w:rPr>
              <w:noProof/>
              <w:lang w:val="en-GB"/>
            </w:rPr>
            <w:t>[16]</w:t>
          </w:r>
          <w:r w:rsidR="00CE6167">
            <w:fldChar w:fldCharType="end"/>
          </w:r>
        </w:sdtContent>
      </w:sdt>
      <w:r>
        <w:t xml:space="preserve">. The FTC's amended GLBA Safeguards Rule requires breach notification within 30 days when 500 or more consumers are affected </w:t>
      </w:r>
      <w:sdt>
        <w:sdtPr>
          <w:id w:val="-1859659028"/>
          <w:citation/>
        </w:sdtPr>
        <w:sdtEndPr/>
        <w:sdtContent>
          <w:r w:rsidR="00CE6167">
            <w:fldChar w:fldCharType="begin"/>
          </w:r>
          <w:r w:rsidR="00CE6167">
            <w:rPr>
              <w:lang w:val="en-GB"/>
            </w:rPr>
            <w:instrText xml:space="preserve"> CITATION 17_FTC \l 2057 </w:instrText>
          </w:r>
          <w:r w:rsidR="00CE6167">
            <w:fldChar w:fldCharType="separate"/>
          </w:r>
          <w:r w:rsidR="00CE6167" w:rsidRPr="00CE6167">
            <w:rPr>
              <w:noProof/>
              <w:lang w:val="en-GB"/>
            </w:rPr>
            <w:t>[17]</w:t>
          </w:r>
          <w:r w:rsidR="00CE6167">
            <w:fldChar w:fldCharType="end"/>
          </w:r>
        </w:sdtContent>
      </w:sdt>
      <w:r>
        <w:t>. Our incident response plan incorporates these timelines with pre-drafted disclosure language reviewed by legal counsel.</w:t>
      </w:r>
    </w:p>
    <w:p w14:paraId="4F865FAF" w14:textId="0DABF504" w:rsidR="00641BA0" w:rsidRPr="00641BA0" w:rsidRDefault="00BD3432" w:rsidP="00900A1A">
      <w:pPr>
        <w:pStyle w:val="Heading1"/>
      </w:pPr>
      <w:bookmarkStart w:id="13" w:name="_Toc216921808"/>
      <w:r>
        <w:t>6. Continuous Training and Security Awareness</w:t>
      </w:r>
      <w:bookmarkEnd w:id="13"/>
    </w:p>
    <w:p w14:paraId="72A94DFA" w14:textId="19A38908" w:rsidR="00BD3432" w:rsidRDefault="00BD3432" w:rsidP="00BD3432">
      <w:pPr>
        <w:spacing w:after="200"/>
      </w:pPr>
      <w:r>
        <w:t>Given that 68% of breaches involve non-malicious human elements</w:t>
      </w:r>
      <w:r w:rsidR="00BB798F">
        <w:t xml:space="preserve"> </w:t>
      </w:r>
      <w:r>
        <w:t>social engineering or error</w:t>
      </w:r>
      <w:r w:rsidR="00BB798F">
        <w:t xml:space="preserve"> </w:t>
      </w:r>
      <w:r>
        <w:t xml:space="preserve">according to Verizon </w:t>
      </w:r>
      <w:sdt>
        <w:sdtPr>
          <w:id w:val="-1827652128"/>
          <w:citation/>
        </w:sdtPr>
        <w:sdtEndPr/>
        <w:sdtContent>
          <w:r w:rsidR="00CE6167">
            <w:fldChar w:fldCharType="begin"/>
          </w:r>
          <w:r w:rsidR="00CE6167">
            <w:rPr>
              <w:lang w:val="en-GB"/>
            </w:rPr>
            <w:instrText xml:space="preserve"> CITATION 05_Verizon \l 2057 </w:instrText>
          </w:r>
          <w:r w:rsidR="00CE6167">
            <w:fldChar w:fldCharType="separate"/>
          </w:r>
          <w:r w:rsidR="00CE6167" w:rsidRPr="00CE6167">
            <w:rPr>
              <w:noProof/>
              <w:lang w:val="en-GB"/>
            </w:rPr>
            <w:t>[5]</w:t>
          </w:r>
          <w:r w:rsidR="00CE6167">
            <w:fldChar w:fldCharType="end"/>
          </w:r>
        </w:sdtContent>
      </w:sdt>
      <w:r>
        <w:t xml:space="preserve">, security awareness training represents a critical control rather than mere compliance checkbox. Research demonstrates that continuous training </w:t>
      </w:r>
      <w:proofErr w:type="spellStart"/>
      <w:r>
        <w:t>programmes</w:t>
      </w:r>
      <w:proofErr w:type="spellEnd"/>
      <w:r>
        <w:t xml:space="preserve"> with monthly phishing simulations reduce phishing susceptibility from a 34.3% baseline to 4.6% after twelve months</w:t>
      </w:r>
      <w:r w:rsidR="00BB798F">
        <w:t xml:space="preserve"> </w:t>
      </w:r>
      <w:r>
        <w:t xml:space="preserve">an 86% improvement </w:t>
      </w:r>
      <w:sdt>
        <w:sdtPr>
          <w:id w:val="-152214753"/>
          <w:citation/>
        </w:sdtPr>
        <w:sdtEndPr/>
        <w:sdtContent>
          <w:r w:rsidR="00CE6167">
            <w:fldChar w:fldCharType="begin"/>
          </w:r>
          <w:r w:rsidR="00CE6167">
            <w:rPr>
              <w:lang w:val="en-GB"/>
            </w:rPr>
            <w:instrText xml:space="preserve"> CITATION 18_KnowBe4 \l 2057 </w:instrText>
          </w:r>
          <w:r w:rsidR="00CE6167">
            <w:fldChar w:fldCharType="separate"/>
          </w:r>
          <w:r w:rsidR="00CE6167" w:rsidRPr="00CE6167">
            <w:rPr>
              <w:noProof/>
              <w:lang w:val="en-GB"/>
            </w:rPr>
            <w:t>[18]</w:t>
          </w:r>
          <w:r w:rsidR="00CE6167">
            <w:fldChar w:fldCharType="end"/>
          </w:r>
        </w:sdtContent>
      </w:sdt>
      <w:r>
        <w:t xml:space="preserve">. </w:t>
      </w:r>
      <w:proofErr w:type="spellStart"/>
      <w:r>
        <w:t>Ponemon</w:t>
      </w:r>
      <w:proofErr w:type="spellEnd"/>
      <w:r>
        <w:t xml:space="preserve"> Institute research establishes a 50x first-year ROI for comprehensive anti-phishing </w:t>
      </w:r>
      <w:proofErr w:type="spellStart"/>
      <w:r>
        <w:t>programmes</w:t>
      </w:r>
      <w:proofErr w:type="spellEnd"/>
      <w:r>
        <w:t xml:space="preserve">, with average </w:t>
      </w:r>
      <w:proofErr w:type="spellStart"/>
      <w:r>
        <w:t>organisations</w:t>
      </w:r>
      <w:proofErr w:type="spellEnd"/>
      <w:r>
        <w:t xml:space="preserve"> saving $1.8 million annually through reduced successful attacks </w:t>
      </w:r>
      <w:sdt>
        <w:sdtPr>
          <w:id w:val="179166792"/>
          <w:citation/>
        </w:sdtPr>
        <w:sdtEndPr/>
        <w:sdtContent>
          <w:r w:rsidR="00CE6167">
            <w:fldChar w:fldCharType="begin"/>
          </w:r>
          <w:r w:rsidR="00CE6167">
            <w:rPr>
              <w:lang w:val="en-GB"/>
            </w:rPr>
            <w:instrText xml:space="preserve"> CITATION 19_Ponemon \l 2057 </w:instrText>
          </w:r>
          <w:r w:rsidR="00CE6167">
            <w:fldChar w:fldCharType="separate"/>
          </w:r>
          <w:r w:rsidR="00CE6167" w:rsidRPr="00CE6167">
            <w:rPr>
              <w:noProof/>
              <w:lang w:val="en-GB"/>
            </w:rPr>
            <w:t>[19]</w:t>
          </w:r>
          <w:r w:rsidR="00CE6167">
            <w:fldChar w:fldCharType="end"/>
          </w:r>
        </w:sdtContent>
      </w:sdt>
      <w:r>
        <w:t>.</w:t>
      </w:r>
    </w:p>
    <w:p w14:paraId="64216070" w14:textId="53782FC7" w:rsidR="00BD3432" w:rsidRDefault="00BD3432" w:rsidP="00BD3432">
      <w:pPr>
        <w:spacing w:after="200"/>
      </w:pPr>
      <w:r>
        <w:t xml:space="preserve">Our </w:t>
      </w:r>
      <w:proofErr w:type="spellStart"/>
      <w:r>
        <w:t>programme</w:t>
      </w:r>
      <w:proofErr w:type="spellEnd"/>
      <w:r>
        <w:t xml:space="preserve"> implements role-specific training addressing unique threat profiles. Executives receive board-level governance training on regulatory requirements and fiduciary responsibilities under evolving SEC disclosure obligations </w:t>
      </w:r>
      <w:sdt>
        <w:sdtPr>
          <w:id w:val="280685142"/>
          <w:citation/>
        </w:sdtPr>
        <w:sdtEndPr/>
        <w:sdtContent>
          <w:r w:rsidR="00636DC9">
            <w:fldChar w:fldCharType="begin"/>
          </w:r>
          <w:r w:rsidR="00636DC9">
            <w:rPr>
              <w:lang w:val="en-GB"/>
            </w:rPr>
            <w:instrText xml:space="preserve"> CITATION 20_NACD \l 2057 </w:instrText>
          </w:r>
          <w:r w:rsidR="00636DC9">
            <w:fldChar w:fldCharType="separate"/>
          </w:r>
          <w:r w:rsidR="00636DC9" w:rsidRPr="00636DC9">
            <w:rPr>
              <w:noProof/>
              <w:lang w:val="en-GB"/>
            </w:rPr>
            <w:t>[20]</w:t>
          </w:r>
          <w:r w:rsidR="00636DC9">
            <w:fldChar w:fldCharType="end"/>
          </w:r>
        </w:sdtContent>
      </w:sdt>
      <w:r>
        <w:t xml:space="preserve">. Finance and accounting staff focus on Business Email Compromise recognition and wire fraud prevention given the $2.77 billion in annual BEC losses reported by the FBI IC3 </w:t>
      </w:r>
      <w:sdt>
        <w:sdtPr>
          <w:id w:val="-415161012"/>
          <w:citation/>
        </w:sdtPr>
        <w:sdtEndPr/>
        <w:sdtContent>
          <w:r w:rsidR="00636DC9">
            <w:fldChar w:fldCharType="begin"/>
          </w:r>
          <w:r w:rsidR="00636DC9">
            <w:rPr>
              <w:lang w:val="en-GB"/>
            </w:rPr>
            <w:instrText xml:space="preserve"> CITATION 21_FBI_IC3 \l 2057 </w:instrText>
          </w:r>
          <w:r w:rsidR="00636DC9">
            <w:fldChar w:fldCharType="separate"/>
          </w:r>
          <w:r w:rsidR="00636DC9" w:rsidRPr="00636DC9">
            <w:rPr>
              <w:noProof/>
              <w:lang w:val="en-GB"/>
            </w:rPr>
            <w:t>[21]</w:t>
          </w:r>
          <w:r w:rsidR="00636DC9">
            <w:fldChar w:fldCharType="end"/>
          </w:r>
        </w:sdtContent>
      </w:sdt>
      <w:r>
        <w:t xml:space="preserve">. Monthly phishing simulations test recognition with progressive difficulty; quarterly vishing simulations assess voice-based social engineering resistance using AI-generated scenarios. Employees interacting with simulations receive immediate just-in-time training. Financial services </w:t>
      </w:r>
      <w:proofErr w:type="spellStart"/>
      <w:r>
        <w:t>organisations</w:t>
      </w:r>
      <w:proofErr w:type="spellEnd"/>
      <w:r>
        <w:t xml:space="preserve"> with mature security awareness </w:t>
      </w:r>
      <w:proofErr w:type="spellStart"/>
      <w:r>
        <w:t>programmes</w:t>
      </w:r>
      <w:proofErr w:type="spellEnd"/>
      <w:r>
        <w:t xml:space="preserve"> achieve the highest industry suspicious email reporting rates at 32.35% </w:t>
      </w:r>
      <w:sdt>
        <w:sdtPr>
          <w:id w:val="-1184742401"/>
          <w:citation/>
        </w:sdtPr>
        <w:sdtEndPr/>
        <w:sdtContent>
          <w:r w:rsidR="00636DC9">
            <w:fldChar w:fldCharType="begin"/>
          </w:r>
          <w:r w:rsidR="00636DC9">
            <w:rPr>
              <w:lang w:val="en-GB"/>
            </w:rPr>
            <w:instrText xml:space="preserve"> CITATION 22_Proofpoint \l 2057 </w:instrText>
          </w:r>
          <w:r w:rsidR="00636DC9">
            <w:fldChar w:fldCharType="separate"/>
          </w:r>
          <w:r w:rsidR="00636DC9" w:rsidRPr="00636DC9">
            <w:rPr>
              <w:noProof/>
              <w:lang w:val="en-GB"/>
            </w:rPr>
            <w:t>[22]</w:t>
          </w:r>
          <w:r w:rsidR="00636DC9">
            <w:fldChar w:fldCharType="end"/>
          </w:r>
        </w:sdtContent>
      </w:sdt>
      <w:r>
        <w:t xml:space="preserve">. Gamification elements including leaderboards, achievement badges, and Security Champion recognition </w:t>
      </w:r>
      <w:proofErr w:type="spellStart"/>
      <w:r>
        <w:t>programmes</w:t>
      </w:r>
      <w:proofErr w:type="spellEnd"/>
      <w:r>
        <w:t xml:space="preserve"> reinforce positive security </w:t>
      </w:r>
      <w:proofErr w:type="spellStart"/>
      <w:r>
        <w:t>behaviours</w:t>
      </w:r>
      <w:proofErr w:type="spellEnd"/>
      <w:r>
        <w:t xml:space="preserve"> while maintaining psychological safety </w:t>
      </w:r>
      <w:sdt>
        <w:sdtPr>
          <w:id w:val="-1539890939"/>
          <w:citation/>
        </w:sdtPr>
        <w:sdtEndPr/>
        <w:sdtContent>
          <w:r w:rsidR="00636DC9">
            <w:fldChar w:fldCharType="begin"/>
          </w:r>
          <w:r w:rsidR="00636DC9">
            <w:rPr>
              <w:lang w:val="en-GB"/>
            </w:rPr>
            <w:instrText xml:space="preserve"> CITATION 23_Keepnet \l 2057 </w:instrText>
          </w:r>
          <w:r w:rsidR="00636DC9">
            <w:fldChar w:fldCharType="separate"/>
          </w:r>
          <w:r w:rsidR="00636DC9" w:rsidRPr="00636DC9">
            <w:rPr>
              <w:noProof/>
              <w:lang w:val="en-GB"/>
            </w:rPr>
            <w:t>[23]</w:t>
          </w:r>
          <w:r w:rsidR="00636DC9">
            <w:fldChar w:fldCharType="end"/>
          </w:r>
        </w:sdtContent>
      </w:sdt>
      <w:r>
        <w:t>.</w:t>
      </w:r>
    </w:p>
    <w:p w14:paraId="6F7D82D3" w14:textId="77777777" w:rsidR="00BD3432" w:rsidRDefault="00BD3432" w:rsidP="00DE16DB">
      <w:pPr>
        <w:spacing w:before="200" w:after="150"/>
        <w:jc w:val="center"/>
      </w:pPr>
      <w:r>
        <w:rPr>
          <w:b/>
          <w:bCs/>
          <w:i/>
          <w:iCs/>
        </w:rPr>
        <w:t xml:space="preserve">Table 4: Security Awareness </w:t>
      </w:r>
      <w:proofErr w:type="spellStart"/>
      <w:r>
        <w:rPr>
          <w:b/>
          <w:bCs/>
          <w:i/>
          <w:iCs/>
        </w:rPr>
        <w:t>Programme</w:t>
      </w:r>
      <w:proofErr w:type="spellEnd"/>
      <w:r>
        <w:rPr>
          <w:b/>
          <w:bCs/>
          <w:i/>
          <w:iCs/>
        </w:rPr>
        <w:t xml:space="preserve"> KPIs</w:t>
      </w:r>
    </w:p>
    <w:tbl>
      <w:tblPr>
        <w:tblW w:w="10519" w:type="dxa"/>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42"/>
        <w:gridCol w:w="1745"/>
        <w:gridCol w:w="3232"/>
      </w:tblGrid>
      <w:tr w:rsidR="00BD3432" w14:paraId="58C0612B" w14:textId="77777777" w:rsidTr="00DE16DB">
        <w:trPr>
          <w:trHeight w:val="498"/>
          <w:tblHeader/>
        </w:trPr>
        <w:tc>
          <w:tcPr>
            <w:tcW w:w="0" w:type="auto"/>
            <w:shd w:val="clear" w:color="auto" w:fill="1A365D"/>
          </w:tcPr>
          <w:p w14:paraId="3D10C633" w14:textId="77777777" w:rsidR="00BD3432" w:rsidRDefault="00BD3432" w:rsidP="00CD502A">
            <w:pPr>
              <w:jc w:val="center"/>
            </w:pPr>
            <w:r>
              <w:rPr>
                <w:b/>
                <w:bCs/>
                <w:color w:val="FFFFFF"/>
                <w:sz w:val="20"/>
                <w:szCs w:val="20"/>
              </w:rPr>
              <w:t>Metric</w:t>
            </w:r>
          </w:p>
        </w:tc>
        <w:tc>
          <w:tcPr>
            <w:tcW w:w="0" w:type="auto"/>
            <w:shd w:val="clear" w:color="auto" w:fill="1A365D"/>
          </w:tcPr>
          <w:p w14:paraId="47905B95" w14:textId="77777777" w:rsidR="00BD3432" w:rsidRDefault="00BD3432" w:rsidP="00CD502A">
            <w:pPr>
              <w:jc w:val="center"/>
            </w:pPr>
            <w:r>
              <w:rPr>
                <w:b/>
                <w:bCs/>
                <w:color w:val="FFFFFF"/>
                <w:sz w:val="20"/>
                <w:szCs w:val="20"/>
              </w:rPr>
              <w:t>Baseline</w:t>
            </w:r>
          </w:p>
        </w:tc>
        <w:tc>
          <w:tcPr>
            <w:tcW w:w="0" w:type="auto"/>
            <w:shd w:val="clear" w:color="auto" w:fill="1A365D"/>
          </w:tcPr>
          <w:p w14:paraId="081640CB" w14:textId="77777777" w:rsidR="00BD3432" w:rsidRDefault="00BD3432" w:rsidP="00CD502A">
            <w:pPr>
              <w:jc w:val="center"/>
            </w:pPr>
            <w:r>
              <w:rPr>
                <w:b/>
                <w:bCs/>
                <w:color w:val="FFFFFF"/>
                <w:sz w:val="20"/>
                <w:szCs w:val="20"/>
              </w:rPr>
              <w:t>12-Month Target</w:t>
            </w:r>
          </w:p>
        </w:tc>
      </w:tr>
      <w:tr w:rsidR="00BD3432" w14:paraId="03A7DAD5" w14:textId="77777777" w:rsidTr="00DE16DB">
        <w:trPr>
          <w:trHeight w:val="513"/>
        </w:trPr>
        <w:tc>
          <w:tcPr>
            <w:tcW w:w="0" w:type="auto"/>
          </w:tcPr>
          <w:p w14:paraId="675C9C04" w14:textId="77777777" w:rsidR="00BD3432" w:rsidRDefault="00BD3432" w:rsidP="00CD502A">
            <w:r>
              <w:rPr>
                <w:sz w:val="20"/>
                <w:szCs w:val="20"/>
              </w:rPr>
              <w:t>Phishing Click Rate</w:t>
            </w:r>
          </w:p>
        </w:tc>
        <w:tc>
          <w:tcPr>
            <w:tcW w:w="0" w:type="auto"/>
          </w:tcPr>
          <w:p w14:paraId="66DA26C8" w14:textId="77777777" w:rsidR="00BD3432" w:rsidRDefault="00BD3432" w:rsidP="00CD502A">
            <w:pPr>
              <w:jc w:val="center"/>
            </w:pPr>
            <w:r>
              <w:rPr>
                <w:sz w:val="20"/>
                <w:szCs w:val="20"/>
              </w:rPr>
              <w:t>34.3%</w:t>
            </w:r>
          </w:p>
        </w:tc>
        <w:tc>
          <w:tcPr>
            <w:tcW w:w="0" w:type="auto"/>
          </w:tcPr>
          <w:p w14:paraId="5A0EC4FC" w14:textId="77777777" w:rsidR="00BD3432" w:rsidRDefault="00BD3432" w:rsidP="00CD502A">
            <w:pPr>
              <w:jc w:val="center"/>
            </w:pPr>
            <w:r>
              <w:rPr>
                <w:color w:val="38A169"/>
                <w:sz w:val="20"/>
                <w:szCs w:val="20"/>
              </w:rPr>
              <w:t>&lt;5%</w:t>
            </w:r>
          </w:p>
        </w:tc>
      </w:tr>
      <w:tr w:rsidR="00BD3432" w14:paraId="0A9F1605" w14:textId="77777777" w:rsidTr="00DE16DB">
        <w:trPr>
          <w:trHeight w:val="498"/>
        </w:trPr>
        <w:tc>
          <w:tcPr>
            <w:tcW w:w="0" w:type="auto"/>
            <w:shd w:val="clear" w:color="auto" w:fill="F7FAFC"/>
          </w:tcPr>
          <w:p w14:paraId="5982C457" w14:textId="77777777" w:rsidR="00BD3432" w:rsidRDefault="00BD3432" w:rsidP="00CD502A">
            <w:r>
              <w:rPr>
                <w:sz w:val="20"/>
                <w:szCs w:val="20"/>
              </w:rPr>
              <w:t>Suspicious Email Report Rate</w:t>
            </w:r>
          </w:p>
        </w:tc>
        <w:tc>
          <w:tcPr>
            <w:tcW w:w="0" w:type="auto"/>
            <w:shd w:val="clear" w:color="auto" w:fill="F7FAFC"/>
          </w:tcPr>
          <w:p w14:paraId="08B328D5" w14:textId="77777777" w:rsidR="00BD3432" w:rsidRDefault="00BD3432" w:rsidP="00CD502A">
            <w:pPr>
              <w:jc w:val="center"/>
            </w:pPr>
            <w:r>
              <w:rPr>
                <w:sz w:val="20"/>
                <w:szCs w:val="20"/>
              </w:rPr>
              <w:t>15%</w:t>
            </w:r>
          </w:p>
        </w:tc>
        <w:tc>
          <w:tcPr>
            <w:tcW w:w="0" w:type="auto"/>
            <w:shd w:val="clear" w:color="auto" w:fill="F7FAFC"/>
          </w:tcPr>
          <w:p w14:paraId="5C322415" w14:textId="77777777" w:rsidR="00BD3432" w:rsidRDefault="00BD3432" w:rsidP="00CD502A">
            <w:pPr>
              <w:jc w:val="center"/>
            </w:pPr>
            <w:r>
              <w:rPr>
                <w:color w:val="38A169"/>
                <w:sz w:val="20"/>
                <w:szCs w:val="20"/>
              </w:rPr>
              <w:t>&gt;70%</w:t>
            </w:r>
          </w:p>
        </w:tc>
      </w:tr>
      <w:tr w:rsidR="00BD3432" w14:paraId="19651637" w14:textId="77777777" w:rsidTr="00DE16DB">
        <w:trPr>
          <w:trHeight w:val="498"/>
        </w:trPr>
        <w:tc>
          <w:tcPr>
            <w:tcW w:w="0" w:type="auto"/>
          </w:tcPr>
          <w:p w14:paraId="141C6FDF" w14:textId="77777777" w:rsidR="00BD3432" w:rsidRDefault="00BD3432" w:rsidP="00CD502A">
            <w:r>
              <w:rPr>
                <w:sz w:val="20"/>
                <w:szCs w:val="20"/>
              </w:rPr>
              <w:t>Training Completion Rate</w:t>
            </w:r>
          </w:p>
        </w:tc>
        <w:tc>
          <w:tcPr>
            <w:tcW w:w="0" w:type="auto"/>
          </w:tcPr>
          <w:p w14:paraId="21FC7E61" w14:textId="77777777" w:rsidR="00BD3432" w:rsidRDefault="00BD3432" w:rsidP="00CD502A">
            <w:pPr>
              <w:jc w:val="center"/>
            </w:pPr>
            <w:r>
              <w:rPr>
                <w:sz w:val="20"/>
                <w:szCs w:val="20"/>
              </w:rPr>
              <w:t>78%</w:t>
            </w:r>
          </w:p>
        </w:tc>
        <w:tc>
          <w:tcPr>
            <w:tcW w:w="0" w:type="auto"/>
          </w:tcPr>
          <w:p w14:paraId="6E8903D6" w14:textId="7A35CF15" w:rsidR="00352B2E" w:rsidRPr="00352B2E" w:rsidRDefault="00BD3432" w:rsidP="00352B2E">
            <w:pPr>
              <w:jc w:val="center"/>
              <w:rPr>
                <w:color w:val="38A169"/>
                <w:sz w:val="20"/>
                <w:szCs w:val="20"/>
              </w:rPr>
            </w:pPr>
            <w:r>
              <w:rPr>
                <w:color w:val="38A169"/>
                <w:sz w:val="20"/>
                <w:szCs w:val="20"/>
              </w:rPr>
              <w:t>100%</w:t>
            </w:r>
          </w:p>
        </w:tc>
      </w:tr>
    </w:tbl>
    <w:p w14:paraId="26D6A261" w14:textId="77777777" w:rsidR="00352B2E" w:rsidRDefault="00352B2E" w:rsidP="00352B2E">
      <w:pPr>
        <w:rPr>
          <w:b/>
          <w:bCs/>
        </w:rPr>
      </w:pPr>
    </w:p>
    <w:p w14:paraId="4D932BC4" w14:textId="18E35F64" w:rsidR="00352B2E" w:rsidRDefault="00352B2E" w:rsidP="00352B2E">
      <w:r w:rsidRPr="006A0C16">
        <w:rPr>
          <w:b/>
          <w:bCs/>
        </w:rPr>
        <w:t>More about training program</w:t>
      </w:r>
      <w:r>
        <w:rPr>
          <w:b/>
          <w:bCs/>
        </w:rPr>
        <w:t xml:space="preserve"> (</w:t>
      </w:r>
      <w:r w:rsidRPr="002F579C">
        <w:t>CTRL + CLICK to open</w:t>
      </w:r>
      <w:proofErr w:type="gramStart"/>
      <w:r>
        <w:rPr>
          <w:b/>
          <w:bCs/>
        </w:rPr>
        <w:t>)</w:t>
      </w:r>
      <w:r w:rsidRPr="006A0C16">
        <w:rPr>
          <w:b/>
          <w:bCs/>
        </w:rPr>
        <w:t xml:space="preserve"> :</w:t>
      </w:r>
      <w:proofErr w:type="gramEnd"/>
      <w:r>
        <w:t xml:space="preserve">  </w:t>
      </w:r>
      <w:r>
        <w:object w:dxaOrig="1537" w:dyaOrig="994" w14:anchorId="0C5F44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mso-position-vertical:absolute" o:ole="" o:bordertopcolor="black" o:borderleftcolor="black" o:borderbottomcolor="black" o:borderrightcolor="black" filled="t" fillcolor="#ffc000">
            <v:fill color2="fill darken(118)" recolor="t" rotate="t" method="linear sigma" focus="100%" type="gradient"/>
            <v:imagedata r:id="rId14" o:title=""/>
            <w10:bordertop type="single" width="48"/>
            <w10:borderleft type="single" width="48"/>
            <w10:borderbottom type="single" width="48"/>
            <w10:borderright type="single" width="48"/>
          </v:shape>
          <o:OLEObject Type="Embed" ProgID="Word.Document.12" ShapeID="_x0000_i1025" DrawAspect="Icon" ObjectID="_1827534835" r:id="rId15">
            <o:FieldCodes>\s</o:FieldCodes>
          </o:OLEObject>
        </w:object>
      </w:r>
    </w:p>
    <w:p w14:paraId="2A6ABAD2" w14:textId="1932D146" w:rsidR="00352B2E" w:rsidRPr="00352B2E" w:rsidRDefault="00BD3432" w:rsidP="00352B2E">
      <w:pPr>
        <w:pStyle w:val="Heading1"/>
      </w:pPr>
      <w:bookmarkStart w:id="14" w:name="_Toc216921809"/>
      <w:r>
        <w:lastRenderedPageBreak/>
        <w:t>7. Conclusion and Strategic Imperatives</w:t>
      </w:r>
      <w:bookmarkEnd w:id="14"/>
    </w:p>
    <w:p w14:paraId="0B49D417" w14:textId="5C6C80FD" w:rsidR="00BD3432" w:rsidRDefault="00BD3432" w:rsidP="00BD3432">
      <w:pPr>
        <w:spacing w:after="200"/>
      </w:pPr>
      <w:r>
        <w:t xml:space="preserve">Zero Trust implementation represents a multi-year transformation requiring sustained executive commitment, adequate resourcing, and comprehensive </w:t>
      </w:r>
      <w:proofErr w:type="spellStart"/>
      <w:r>
        <w:t>organisational</w:t>
      </w:r>
      <w:proofErr w:type="spellEnd"/>
      <w:r>
        <w:t xml:space="preserve"> change management. The threat landscape documented throughout this framework</w:t>
      </w:r>
      <w:r w:rsidR="00BB798F">
        <w:t xml:space="preserve"> </w:t>
      </w:r>
      <w:r>
        <w:t xml:space="preserve">AI-enhanced social engineering, supply chain compromise, and increasingly </w:t>
      </w:r>
      <w:proofErr w:type="spellStart"/>
      <w:r>
        <w:t>professionalised</w:t>
      </w:r>
      <w:proofErr w:type="spellEnd"/>
      <w:r>
        <w:t xml:space="preserve"> ransomware operations</w:t>
      </w:r>
      <w:r w:rsidR="00BB798F">
        <w:t xml:space="preserve"> </w:t>
      </w:r>
      <w:r>
        <w:t xml:space="preserve">will only intensify. </w:t>
      </w:r>
      <w:proofErr w:type="spellStart"/>
      <w:r>
        <w:t>Organisations</w:t>
      </w:r>
      <w:proofErr w:type="spellEnd"/>
      <w:r>
        <w:t xml:space="preserve"> achieving advanced Zero Trust maturity demonstrate 20% fewer security incidents and significantly reduced breach costs through faster detection and containment capabilities </w:t>
      </w:r>
      <w:sdt>
        <w:sdtPr>
          <w:id w:val="-1576657481"/>
          <w:citation/>
        </w:sdtPr>
        <w:sdtEndPr/>
        <w:sdtContent>
          <w:r w:rsidR="00636DC9">
            <w:fldChar w:fldCharType="begin"/>
          </w:r>
          <w:r w:rsidR="00636DC9">
            <w:rPr>
              <w:lang w:val="en-GB"/>
            </w:rPr>
            <w:instrText xml:space="preserve"> CITATION 24_Forrester \l 2057 </w:instrText>
          </w:r>
          <w:r w:rsidR="00636DC9">
            <w:fldChar w:fldCharType="separate"/>
          </w:r>
          <w:r w:rsidR="00636DC9" w:rsidRPr="00636DC9">
            <w:rPr>
              <w:noProof/>
              <w:lang w:val="en-GB"/>
            </w:rPr>
            <w:t>[24]</w:t>
          </w:r>
          <w:r w:rsidR="00636DC9">
            <w:fldChar w:fldCharType="end"/>
          </w:r>
        </w:sdtContent>
      </w:sdt>
      <w:r>
        <w:t>.</w:t>
      </w:r>
    </w:p>
    <w:p w14:paraId="5617EB60" w14:textId="2D1560BD" w:rsidR="00BD3432" w:rsidRDefault="00DE16DB" w:rsidP="00BB798F">
      <w:pPr>
        <w:spacing w:after="200"/>
      </w:pPr>
      <w:r>
        <w:t xml:space="preserve">Our strategic imperatives for the next 24 months include completing phishing-resistant MFA deployment across the enterprise, achieving Advanced maturity in the CISA Zero Trust Maturity Model across all five pillars, implementing comprehensive network </w:t>
      </w:r>
      <w:proofErr w:type="spellStart"/>
      <w:r>
        <w:t>microsegmentation</w:t>
      </w:r>
      <w:proofErr w:type="spellEnd"/>
      <w:r>
        <w:t xml:space="preserve"> for critical trading and custody systems, and establishing security awareness metrics that demonstrate measurable culture improvement. These investments protect not only our </w:t>
      </w:r>
      <w:proofErr w:type="spellStart"/>
      <w:r>
        <w:t>organisation</w:t>
      </w:r>
      <w:proofErr w:type="spellEnd"/>
      <w:r>
        <w:t xml:space="preserve"> but the clients who entrust us with their assets and the broader financial system's stability. The board's mandate for comprehensive security </w:t>
      </w:r>
      <w:proofErr w:type="spellStart"/>
      <w:r>
        <w:t>modernisation</w:t>
      </w:r>
      <w:proofErr w:type="spellEnd"/>
      <w:r>
        <w:t xml:space="preserve"> provides the </w:t>
      </w:r>
      <w:proofErr w:type="spellStart"/>
      <w:r>
        <w:t>organisational</w:t>
      </w:r>
      <w:proofErr w:type="spellEnd"/>
      <w:r>
        <w:t xml:space="preserve"> commitment and executive sponsorship necessary to achieve these objectives within our implementation timeline.</w:t>
      </w:r>
    </w:p>
    <w:bookmarkStart w:id="15" w:name="_Toc216921810" w:displacedByCustomXml="next"/>
    <w:sdt>
      <w:sdtPr>
        <w:rPr>
          <w:rFonts w:eastAsiaTheme="minorHAnsi" w:cstheme="minorBidi"/>
          <w:b w:val="0"/>
          <w:color w:val="auto"/>
          <w:sz w:val="22"/>
          <w:szCs w:val="22"/>
        </w:rPr>
        <w:id w:val="511970584"/>
        <w:docPartObj>
          <w:docPartGallery w:val="Bibliographies"/>
          <w:docPartUnique/>
        </w:docPartObj>
      </w:sdtPr>
      <w:sdtEndPr/>
      <w:sdtContent>
        <w:p w14:paraId="32A73EED" w14:textId="68188210" w:rsidR="00BB798F" w:rsidRDefault="00BB798F">
          <w:pPr>
            <w:pStyle w:val="Heading1"/>
          </w:pPr>
          <w:r>
            <w:t>References</w:t>
          </w:r>
          <w:bookmarkEnd w:id="15"/>
        </w:p>
        <w:sdt>
          <w:sdtPr>
            <w:id w:val="-573587230"/>
            <w:bibliography/>
          </w:sdtPr>
          <w:sdtEndPr/>
          <w:sdtContent>
            <w:p w14:paraId="05A070D3" w14:textId="77777777" w:rsidR="00BB798F" w:rsidRDefault="00BB798F">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10024"/>
              </w:tblGrid>
              <w:tr w:rsidR="00BB798F" w14:paraId="4099034D" w14:textId="77777777">
                <w:trPr>
                  <w:divId w:val="1661885741"/>
                  <w:tblCellSpacing w:w="15" w:type="dxa"/>
                </w:trPr>
                <w:tc>
                  <w:tcPr>
                    <w:tcW w:w="50" w:type="pct"/>
                    <w:hideMark/>
                  </w:tcPr>
                  <w:p w14:paraId="2D0BA247" w14:textId="3CBBA472" w:rsidR="00BB798F" w:rsidRDefault="00BB798F">
                    <w:pPr>
                      <w:pStyle w:val="Bibliography"/>
                      <w:rPr>
                        <w:noProof/>
                        <w:sz w:val="24"/>
                        <w:szCs w:val="24"/>
                      </w:rPr>
                    </w:pPr>
                    <w:r>
                      <w:rPr>
                        <w:noProof/>
                      </w:rPr>
                      <w:t xml:space="preserve">[1] </w:t>
                    </w:r>
                  </w:p>
                </w:tc>
                <w:tc>
                  <w:tcPr>
                    <w:tcW w:w="0" w:type="auto"/>
                    <w:hideMark/>
                  </w:tcPr>
                  <w:p w14:paraId="325D4E7E" w14:textId="77777777" w:rsidR="00BB798F" w:rsidRDefault="00BB798F">
                    <w:pPr>
                      <w:pStyle w:val="Bibliography"/>
                      <w:rPr>
                        <w:noProof/>
                      </w:rPr>
                    </w:pPr>
                    <w:r>
                      <w:rPr>
                        <w:noProof/>
                      </w:rPr>
                      <w:t>"Cost of a Data Breach Report 2024," IBM Corporation, Armonk, NY, 2024.</w:t>
                    </w:r>
                  </w:p>
                </w:tc>
              </w:tr>
              <w:tr w:rsidR="00BB798F" w14:paraId="196464F1" w14:textId="77777777">
                <w:trPr>
                  <w:divId w:val="1661885741"/>
                  <w:tblCellSpacing w:w="15" w:type="dxa"/>
                </w:trPr>
                <w:tc>
                  <w:tcPr>
                    <w:tcW w:w="50" w:type="pct"/>
                    <w:hideMark/>
                  </w:tcPr>
                  <w:p w14:paraId="49207E68" w14:textId="77777777" w:rsidR="00BB798F" w:rsidRDefault="00BB798F">
                    <w:pPr>
                      <w:pStyle w:val="Bibliography"/>
                      <w:rPr>
                        <w:noProof/>
                      </w:rPr>
                    </w:pPr>
                    <w:r>
                      <w:rPr>
                        <w:noProof/>
                      </w:rPr>
                      <w:t xml:space="preserve">[2] </w:t>
                    </w:r>
                  </w:p>
                </w:tc>
                <w:tc>
                  <w:tcPr>
                    <w:tcW w:w="0" w:type="auto"/>
                    <w:hideMark/>
                  </w:tcPr>
                  <w:p w14:paraId="7E9E4906" w14:textId="77777777" w:rsidR="00BB798F" w:rsidRDefault="00BB798F">
                    <w:pPr>
                      <w:pStyle w:val="Bibliography"/>
                      <w:rPr>
                        <w:noProof/>
                      </w:rPr>
                    </w:pPr>
                    <w:r>
                      <w:rPr>
                        <w:noProof/>
                      </w:rPr>
                      <w:t>"The State of Ransomware in Financial Services 2024," Sophos Ltd., Oxford, UK, 2024.</w:t>
                    </w:r>
                  </w:p>
                </w:tc>
              </w:tr>
              <w:tr w:rsidR="00BB798F" w14:paraId="35715CF8" w14:textId="77777777">
                <w:trPr>
                  <w:divId w:val="1661885741"/>
                  <w:tblCellSpacing w:w="15" w:type="dxa"/>
                </w:trPr>
                <w:tc>
                  <w:tcPr>
                    <w:tcW w:w="50" w:type="pct"/>
                    <w:hideMark/>
                  </w:tcPr>
                  <w:p w14:paraId="3B812B79" w14:textId="77777777" w:rsidR="00BB798F" w:rsidRDefault="00BB798F">
                    <w:pPr>
                      <w:pStyle w:val="Bibliography"/>
                      <w:rPr>
                        <w:noProof/>
                      </w:rPr>
                    </w:pPr>
                    <w:r>
                      <w:rPr>
                        <w:noProof/>
                      </w:rPr>
                      <w:t xml:space="preserve">[3] </w:t>
                    </w:r>
                  </w:p>
                </w:tc>
                <w:tc>
                  <w:tcPr>
                    <w:tcW w:w="0" w:type="auto"/>
                    <w:hideMark/>
                  </w:tcPr>
                  <w:p w14:paraId="656D8417" w14:textId="77777777" w:rsidR="00BB798F" w:rsidRDefault="00BB798F">
                    <w:pPr>
                      <w:pStyle w:val="Bibliography"/>
                      <w:rPr>
                        <w:noProof/>
                      </w:rPr>
                    </w:pPr>
                    <w:r>
                      <w:rPr>
                        <w:noProof/>
                      </w:rPr>
                      <w:t>S. Rose, O. Borchert, S. Mitchell and S. Connelly, "Zero Trust Architecture," 2020.</w:t>
                    </w:r>
                  </w:p>
                </w:tc>
              </w:tr>
              <w:tr w:rsidR="00BB798F" w14:paraId="0F38DA71" w14:textId="77777777">
                <w:trPr>
                  <w:divId w:val="1661885741"/>
                  <w:tblCellSpacing w:w="15" w:type="dxa"/>
                </w:trPr>
                <w:tc>
                  <w:tcPr>
                    <w:tcW w:w="50" w:type="pct"/>
                    <w:hideMark/>
                  </w:tcPr>
                  <w:p w14:paraId="59085E2C" w14:textId="77777777" w:rsidR="00BB798F" w:rsidRDefault="00BB798F">
                    <w:pPr>
                      <w:pStyle w:val="Bibliography"/>
                      <w:rPr>
                        <w:noProof/>
                      </w:rPr>
                    </w:pPr>
                    <w:r>
                      <w:rPr>
                        <w:noProof/>
                      </w:rPr>
                      <w:t xml:space="preserve">[4] </w:t>
                    </w:r>
                  </w:p>
                </w:tc>
                <w:tc>
                  <w:tcPr>
                    <w:tcW w:w="0" w:type="auto"/>
                    <w:hideMark/>
                  </w:tcPr>
                  <w:p w14:paraId="3111B426" w14:textId="77777777" w:rsidR="00BB798F" w:rsidRDefault="00BB798F">
                    <w:pPr>
                      <w:pStyle w:val="Bibliography"/>
                      <w:rPr>
                        <w:noProof/>
                      </w:rPr>
                    </w:pPr>
                    <w:r>
                      <w:rPr>
                        <w:noProof/>
                      </w:rPr>
                      <w:t>"Cybersecurity Risk Management, Strategy, Governance, and Incident Disclosure," 2023.</w:t>
                    </w:r>
                  </w:p>
                </w:tc>
              </w:tr>
              <w:tr w:rsidR="00BB798F" w14:paraId="39252871" w14:textId="77777777">
                <w:trPr>
                  <w:divId w:val="1661885741"/>
                  <w:tblCellSpacing w:w="15" w:type="dxa"/>
                </w:trPr>
                <w:tc>
                  <w:tcPr>
                    <w:tcW w:w="50" w:type="pct"/>
                    <w:hideMark/>
                  </w:tcPr>
                  <w:p w14:paraId="1320E337" w14:textId="77777777" w:rsidR="00BB798F" w:rsidRDefault="00BB798F">
                    <w:pPr>
                      <w:pStyle w:val="Bibliography"/>
                      <w:rPr>
                        <w:noProof/>
                      </w:rPr>
                    </w:pPr>
                    <w:r>
                      <w:rPr>
                        <w:noProof/>
                      </w:rPr>
                      <w:t xml:space="preserve">[5] </w:t>
                    </w:r>
                  </w:p>
                </w:tc>
                <w:tc>
                  <w:tcPr>
                    <w:tcW w:w="0" w:type="auto"/>
                    <w:hideMark/>
                  </w:tcPr>
                  <w:p w14:paraId="6FB9775D" w14:textId="77777777" w:rsidR="00BB798F" w:rsidRDefault="00BB798F">
                    <w:pPr>
                      <w:pStyle w:val="Bibliography"/>
                      <w:rPr>
                        <w:noProof/>
                      </w:rPr>
                    </w:pPr>
                    <w:r>
                      <w:rPr>
                        <w:noProof/>
                      </w:rPr>
                      <w:t>"2024 Data Breach Investigations Report," Verizon Communications Inc., New York, NY, 2024.</w:t>
                    </w:r>
                  </w:p>
                </w:tc>
              </w:tr>
              <w:tr w:rsidR="00BB798F" w14:paraId="46277D8A" w14:textId="77777777">
                <w:trPr>
                  <w:divId w:val="1661885741"/>
                  <w:tblCellSpacing w:w="15" w:type="dxa"/>
                </w:trPr>
                <w:tc>
                  <w:tcPr>
                    <w:tcW w:w="50" w:type="pct"/>
                    <w:hideMark/>
                  </w:tcPr>
                  <w:p w14:paraId="618D420D" w14:textId="77777777" w:rsidR="00BB798F" w:rsidRDefault="00BB798F">
                    <w:pPr>
                      <w:pStyle w:val="Bibliography"/>
                      <w:rPr>
                        <w:noProof/>
                      </w:rPr>
                    </w:pPr>
                    <w:r>
                      <w:rPr>
                        <w:noProof/>
                      </w:rPr>
                      <w:t xml:space="preserve">[6] </w:t>
                    </w:r>
                  </w:p>
                </w:tc>
                <w:tc>
                  <w:tcPr>
                    <w:tcW w:w="0" w:type="auto"/>
                    <w:hideMark/>
                  </w:tcPr>
                  <w:p w14:paraId="032BE61C" w14:textId="77777777" w:rsidR="00BB798F" w:rsidRDefault="00BB798F">
                    <w:pPr>
                      <w:pStyle w:val="Bibliography"/>
                      <w:rPr>
                        <w:noProof/>
                      </w:rPr>
                    </w:pPr>
                    <w:r>
                      <w:rPr>
                        <w:noProof/>
                      </w:rPr>
                      <w:t xml:space="preserve">"Arup revealed as victim of $25 million deepfake scam," </w:t>
                    </w:r>
                    <w:r>
                      <w:rPr>
                        <w:i/>
                        <w:iCs/>
                        <w:noProof/>
                      </w:rPr>
                      <w:t xml:space="preserve">CNN, </w:t>
                    </w:r>
                    <w:r>
                      <w:rPr>
                        <w:noProof/>
                      </w:rPr>
                      <w:t xml:space="preserve">May 2024. </w:t>
                    </w:r>
                  </w:p>
                </w:tc>
              </w:tr>
              <w:tr w:rsidR="00BB798F" w14:paraId="57EA00E7" w14:textId="77777777">
                <w:trPr>
                  <w:divId w:val="1661885741"/>
                  <w:tblCellSpacing w:w="15" w:type="dxa"/>
                </w:trPr>
                <w:tc>
                  <w:tcPr>
                    <w:tcW w:w="50" w:type="pct"/>
                    <w:hideMark/>
                  </w:tcPr>
                  <w:p w14:paraId="7407E7E8" w14:textId="77777777" w:rsidR="00BB798F" w:rsidRDefault="00BB798F">
                    <w:pPr>
                      <w:pStyle w:val="Bibliography"/>
                      <w:rPr>
                        <w:noProof/>
                      </w:rPr>
                    </w:pPr>
                    <w:r>
                      <w:rPr>
                        <w:noProof/>
                      </w:rPr>
                      <w:t xml:space="preserve">[7] </w:t>
                    </w:r>
                  </w:p>
                </w:tc>
                <w:tc>
                  <w:tcPr>
                    <w:tcW w:w="0" w:type="auto"/>
                    <w:hideMark/>
                  </w:tcPr>
                  <w:p w14:paraId="6E5898C7" w14:textId="77777777" w:rsidR="00BB798F" w:rsidRDefault="00BB798F">
                    <w:pPr>
                      <w:pStyle w:val="Bibliography"/>
                      <w:rPr>
                        <w:noProof/>
                      </w:rPr>
                    </w:pPr>
                    <w:r>
                      <w:rPr>
                        <w:noProof/>
                      </w:rPr>
                      <w:t>"State of the Call 2024 Report," Hiya Inc., Seattle, WA, 2024.</w:t>
                    </w:r>
                  </w:p>
                </w:tc>
              </w:tr>
              <w:tr w:rsidR="00BB798F" w14:paraId="48BDF804" w14:textId="77777777">
                <w:trPr>
                  <w:divId w:val="1661885741"/>
                  <w:tblCellSpacing w:w="15" w:type="dxa"/>
                </w:trPr>
                <w:tc>
                  <w:tcPr>
                    <w:tcW w:w="50" w:type="pct"/>
                    <w:hideMark/>
                  </w:tcPr>
                  <w:p w14:paraId="47318C70" w14:textId="77777777" w:rsidR="00BB798F" w:rsidRDefault="00BB798F">
                    <w:pPr>
                      <w:pStyle w:val="Bibliography"/>
                      <w:rPr>
                        <w:noProof/>
                      </w:rPr>
                    </w:pPr>
                    <w:r>
                      <w:rPr>
                        <w:noProof/>
                      </w:rPr>
                      <w:t xml:space="preserve">[8] </w:t>
                    </w:r>
                  </w:p>
                </w:tc>
                <w:tc>
                  <w:tcPr>
                    <w:tcW w:w="0" w:type="auto"/>
                    <w:hideMark/>
                  </w:tcPr>
                  <w:p w14:paraId="52E57B74" w14:textId="77777777" w:rsidR="00BB798F" w:rsidRDefault="00BB798F">
                    <w:pPr>
                      <w:pStyle w:val="Bibliography"/>
                      <w:rPr>
                        <w:noProof/>
                      </w:rPr>
                    </w:pPr>
                    <w:r>
                      <w:rPr>
                        <w:noProof/>
                      </w:rPr>
                      <w:t>"MOVEit Breach: 2,773 Organizations and 93.3 Million People Affected," 2023.</w:t>
                    </w:r>
                  </w:p>
                </w:tc>
              </w:tr>
              <w:tr w:rsidR="00BB798F" w14:paraId="50366DC8" w14:textId="77777777">
                <w:trPr>
                  <w:divId w:val="1661885741"/>
                  <w:tblCellSpacing w:w="15" w:type="dxa"/>
                </w:trPr>
                <w:tc>
                  <w:tcPr>
                    <w:tcW w:w="50" w:type="pct"/>
                    <w:hideMark/>
                  </w:tcPr>
                  <w:p w14:paraId="3AE09A5A" w14:textId="77777777" w:rsidR="00BB798F" w:rsidRDefault="00BB798F">
                    <w:pPr>
                      <w:pStyle w:val="Bibliography"/>
                      <w:rPr>
                        <w:noProof/>
                      </w:rPr>
                    </w:pPr>
                    <w:r>
                      <w:rPr>
                        <w:noProof/>
                      </w:rPr>
                      <w:t xml:space="preserve">[9] </w:t>
                    </w:r>
                  </w:p>
                </w:tc>
                <w:tc>
                  <w:tcPr>
                    <w:tcW w:w="0" w:type="auto"/>
                    <w:hideMark/>
                  </w:tcPr>
                  <w:p w14:paraId="558E53EC" w14:textId="77777777" w:rsidR="00BB798F" w:rsidRDefault="00BB798F">
                    <w:pPr>
                      <w:pStyle w:val="Bibliography"/>
                      <w:rPr>
                        <w:noProof/>
                      </w:rPr>
                    </w:pPr>
                    <w:r>
                      <w:rPr>
                        <w:noProof/>
                      </w:rPr>
                      <w:t>"Zero Trust Maturity Model Version 2.0," Cybersecurity and Infrastructure Security Agency, 2023.</w:t>
                    </w:r>
                  </w:p>
                </w:tc>
              </w:tr>
              <w:tr w:rsidR="00BB798F" w14:paraId="55CC85A2" w14:textId="77777777">
                <w:trPr>
                  <w:divId w:val="1661885741"/>
                  <w:tblCellSpacing w:w="15" w:type="dxa"/>
                </w:trPr>
                <w:tc>
                  <w:tcPr>
                    <w:tcW w:w="50" w:type="pct"/>
                    <w:hideMark/>
                  </w:tcPr>
                  <w:p w14:paraId="531E84D2" w14:textId="77777777" w:rsidR="00BB798F" w:rsidRDefault="00BB798F">
                    <w:pPr>
                      <w:pStyle w:val="Bibliography"/>
                      <w:rPr>
                        <w:noProof/>
                      </w:rPr>
                    </w:pPr>
                    <w:r>
                      <w:rPr>
                        <w:noProof/>
                      </w:rPr>
                      <w:t xml:space="preserve">[10] </w:t>
                    </w:r>
                  </w:p>
                </w:tc>
                <w:tc>
                  <w:tcPr>
                    <w:tcW w:w="0" w:type="auto"/>
                    <w:hideMark/>
                  </w:tcPr>
                  <w:p w14:paraId="54DA4D18" w14:textId="77777777" w:rsidR="00BB798F" w:rsidRDefault="00BB798F">
                    <w:pPr>
                      <w:pStyle w:val="Bibliography"/>
                      <w:rPr>
                        <w:noProof/>
                      </w:rPr>
                    </w:pPr>
                    <w:r>
                      <w:rPr>
                        <w:noProof/>
                      </w:rPr>
                      <w:t>"Best Practices for SIEM Implementation," Cybersecurity and Infrastructure Security Agency, 2025.</w:t>
                    </w:r>
                  </w:p>
                </w:tc>
              </w:tr>
              <w:tr w:rsidR="00BB798F" w14:paraId="0DCD13F6" w14:textId="77777777">
                <w:trPr>
                  <w:divId w:val="1661885741"/>
                  <w:tblCellSpacing w:w="15" w:type="dxa"/>
                </w:trPr>
                <w:tc>
                  <w:tcPr>
                    <w:tcW w:w="50" w:type="pct"/>
                    <w:hideMark/>
                  </w:tcPr>
                  <w:p w14:paraId="222F719E" w14:textId="77777777" w:rsidR="00BB798F" w:rsidRDefault="00BB798F">
                    <w:pPr>
                      <w:pStyle w:val="Bibliography"/>
                      <w:rPr>
                        <w:noProof/>
                      </w:rPr>
                    </w:pPr>
                    <w:r>
                      <w:rPr>
                        <w:noProof/>
                      </w:rPr>
                      <w:t xml:space="preserve">[11] </w:t>
                    </w:r>
                  </w:p>
                </w:tc>
                <w:tc>
                  <w:tcPr>
                    <w:tcW w:w="0" w:type="auto"/>
                    <w:hideMark/>
                  </w:tcPr>
                  <w:p w14:paraId="1126851B" w14:textId="77777777" w:rsidR="00BB798F" w:rsidRDefault="00BB798F">
                    <w:pPr>
                      <w:pStyle w:val="Bibliography"/>
                      <w:rPr>
                        <w:noProof/>
                      </w:rPr>
                    </w:pPr>
                    <w:r>
                      <w:rPr>
                        <w:noProof/>
                      </w:rPr>
                      <w:t>"Market Guide for Security Orchestration, Automation and Response Solutions," 2024.</w:t>
                    </w:r>
                  </w:p>
                </w:tc>
              </w:tr>
              <w:tr w:rsidR="00BB798F" w14:paraId="49ADEEF6" w14:textId="77777777">
                <w:trPr>
                  <w:divId w:val="1661885741"/>
                  <w:tblCellSpacing w:w="15" w:type="dxa"/>
                </w:trPr>
                <w:tc>
                  <w:tcPr>
                    <w:tcW w:w="50" w:type="pct"/>
                    <w:hideMark/>
                  </w:tcPr>
                  <w:p w14:paraId="0F836BDC" w14:textId="77777777" w:rsidR="00BB798F" w:rsidRDefault="00BB798F">
                    <w:pPr>
                      <w:pStyle w:val="Bibliography"/>
                      <w:rPr>
                        <w:noProof/>
                      </w:rPr>
                    </w:pPr>
                    <w:r>
                      <w:rPr>
                        <w:noProof/>
                      </w:rPr>
                      <w:t xml:space="preserve">[12] </w:t>
                    </w:r>
                  </w:p>
                </w:tc>
                <w:tc>
                  <w:tcPr>
                    <w:tcW w:w="0" w:type="auto"/>
                    <w:hideMark/>
                  </w:tcPr>
                  <w:p w14:paraId="3FCD7FD5" w14:textId="77777777" w:rsidR="00BB798F" w:rsidRDefault="00BB798F">
                    <w:pPr>
                      <w:pStyle w:val="Bibliography"/>
                      <w:rPr>
                        <w:noProof/>
                      </w:rPr>
                    </w:pPr>
                    <w:r>
                      <w:rPr>
                        <w:noProof/>
                      </w:rPr>
                      <w:t>"Market Guide for Endpoint Detection and Response Solutions," 2023.</w:t>
                    </w:r>
                  </w:p>
                </w:tc>
              </w:tr>
              <w:tr w:rsidR="00BB798F" w14:paraId="52FAB6F1" w14:textId="77777777">
                <w:trPr>
                  <w:divId w:val="1661885741"/>
                  <w:tblCellSpacing w:w="15" w:type="dxa"/>
                </w:trPr>
                <w:tc>
                  <w:tcPr>
                    <w:tcW w:w="50" w:type="pct"/>
                    <w:hideMark/>
                  </w:tcPr>
                  <w:p w14:paraId="30B53261" w14:textId="77777777" w:rsidR="00BB798F" w:rsidRDefault="00BB798F">
                    <w:pPr>
                      <w:pStyle w:val="Bibliography"/>
                      <w:rPr>
                        <w:noProof/>
                      </w:rPr>
                    </w:pPr>
                    <w:r>
                      <w:rPr>
                        <w:noProof/>
                      </w:rPr>
                      <w:lastRenderedPageBreak/>
                      <w:t xml:space="preserve">[13] </w:t>
                    </w:r>
                  </w:p>
                </w:tc>
                <w:tc>
                  <w:tcPr>
                    <w:tcW w:w="0" w:type="auto"/>
                    <w:hideMark/>
                  </w:tcPr>
                  <w:p w14:paraId="325A7301" w14:textId="77777777" w:rsidR="00BB798F" w:rsidRDefault="00BB798F">
                    <w:pPr>
                      <w:pStyle w:val="Bibliography"/>
                      <w:rPr>
                        <w:noProof/>
                      </w:rPr>
                    </w:pPr>
                    <w:r>
                      <w:rPr>
                        <w:noProof/>
                      </w:rPr>
                      <w:t>"2024 Data Protection Trends Report," Veeam Software Group GmbH, 2024.</w:t>
                    </w:r>
                  </w:p>
                </w:tc>
              </w:tr>
              <w:tr w:rsidR="00BB798F" w14:paraId="34DFC39E" w14:textId="77777777">
                <w:trPr>
                  <w:divId w:val="1661885741"/>
                  <w:tblCellSpacing w:w="15" w:type="dxa"/>
                </w:trPr>
                <w:tc>
                  <w:tcPr>
                    <w:tcW w:w="50" w:type="pct"/>
                    <w:hideMark/>
                  </w:tcPr>
                  <w:p w14:paraId="774923A0" w14:textId="77777777" w:rsidR="00BB798F" w:rsidRDefault="00BB798F">
                    <w:pPr>
                      <w:pStyle w:val="Bibliography"/>
                      <w:rPr>
                        <w:noProof/>
                      </w:rPr>
                    </w:pPr>
                    <w:r>
                      <w:rPr>
                        <w:noProof/>
                      </w:rPr>
                      <w:t xml:space="preserve">[14] </w:t>
                    </w:r>
                  </w:p>
                </w:tc>
                <w:tc>
                  <w:tcPr>
                    <w:tcW w:w="0" w:type="auto"/>
                    <w:hideMark/>
                  </w:tcPr>
                  <w:p w14:paraId="4BE8966D" w14:textId="77777777" w:rsidR="00BB798F" w:rsidRDefault="00BB798F">
                    <w:pPr>
                      <w:pStyle w:val="Bibliography"/>
                      <w:rPr>
                        <w:noProof/>
                      </w:rPr>
                    </w:pPr>
                    <w:r>
                      <w:rPr>
                        <w:noProof/>
                      </w:rPr>
                      <w:t>"2024 State of Observability for Financial Services and Insurance," New Relic Inc., 2024.</w:t>
                    </w:r>
                  </w:p>
                </w:tc>
              </w:tr>
              <w:tr w:rsidR="00BB798F" w14:paraId="2197DACF" w14:textId="77777777">
                <w:trPr>
                  <w:divId w:val="1661885741"/>
                  <w:tblCellSpacing w:w="15" w:type="dxa"/>
                </w:trPr>
                <w:tc>
                  <w:tcPr>
                    <w:tcW w:w="50" w:type="pct"/>
                    <w:hideMark/>
                  </w:tcPr>
                  <w:p w14:paraId="07604D15" w14:textId="77777777" w:rsidR="00BB798F" w:rsidRDefault="00BB798F">
                    <w:pPr>
                      <w:pStyle w:val="Bibliography"/>
                      <w:rPr>
                        <w:noProof/>
                      </w:rPr>
                    </w:pPr>
                    <w:r>
                      <w:rPr>
                        <w:noProof/>
                      </w:rPr>
                      <w:t xml:space="preserve">[15] </w:t>
                    </w:r>
                  </w:p>
                </w:tc>
                <w:tc>
                  <w:tcPr>
                    <w:tcW w:w="0" w:type="auto"/>
                    <w:hideMark/>
                  </w:tcPr>
                  <w:p w14:paraId="1479D973" w14:textId="77777777" w:rsidR="00BB798F" w:rsidRDefault="00BB798F">
                    <w:pPr>
                      <w:pStyle w:val="Bibliography"/>
                      <w:rPr>
                        <w:noProof/>
                      </w:rPr>
                    </w:pPr>
                    <w:r>
                      <w:rPr>
                        <w:noProof/>
                      </w:rPr>
                      <w:t>"#StopRansomware Guide," Oct 2023. [Online]. Available: https://www.cisa.gov/stopransomware.</w:t>
                    </w:r>
                  </w:p>
                </w:tc>
              </w:tr>
              <w:tr w:rsidR="00BB798F" w14:paraId="3DC425E7" w14:textId="77777777">
                <w:trPr>
                  <w:divId w:val="1661885741"/>
                  <w:tblCellSpacing w:w="15" w:type="dxa"/>
                </w:trPr>
                <w:tc>
                  <w:tcPr>
                    <w:tcW w:w="50" w:type="pct"/>
                    <w:hideMark/>
                  </w:tcPr>
                  <w:p w14:paraId="59B1FC5B" w14:textId="77777777" w:rsidR="00BB798F" w:rsidRDefault="00BB798F">
                    <w:pPr>
                      <w:pStyle w:val="Bibliography"/>
                      <w:rPr>
                        <w:noProof/>
                      </w:rPr>
                    </w:pPr>
                    <w:r>
                      <w:rPr>
                        <w:noProof/>
                      </w:rPr>
                      <w:t xml:space="preserve">[16] </w:t>
                    </w:r>
                  </w:p>
                </w:tc>
                <w:tc>
                  <w:tcPr>
                    <w:tcW w:w="0" w:type="auto"/>
                    <w:hideMark/>
                  </w:tcPr>
                  <w:p w14:paraId="1C2B2200" w14:textId="77777777" w:rsidR="00BB798F" w:rsidRDefault="00BB798F">
                    <w:pPr>
                      <w:pStyle w:val="Bibliography"/>
                      <w:rPr>
                        <w:noProof/>
                      </w:rPr>
                    </w:pPr>
                    <w:r>
                      <w:rPr>
                        <w:noProof/>
                      </w:rPr>
                      <w:t>"23 NYCRR Part 500 - Cybersecurity Requirements for Financial Services Companies," 2023.</w:t>
                    </w:r>
                  </w:p>
                </w:tc>
              </w:tr>
              <w:tr w:rsidR="00BB798F" w14:paraId="3C44F116" w14:textId="77777777">
                <w:trPr>
                  <w:divId w:val="1661885741"/>
                  <w:tblCellSpacing w:w="15" w:type="dxa"/>
                </w:trPr>
                <w:tc>
                  <w:tcPr>
                    <w:tcW w:w="50" w:type="pct"/>
                    <w:hideMark/>
                  </w:tcPr>
                  <w:p w14:paraId="28EEE8D5" w14:textId="77777777" w:rsidR="00BB798F" w:rsidRDefault="00BB798F">
                    <w:pPr>
                      <w:pStyle w:val="Bibliography"/>
                      <w:rPr>
                        <w:noProof/>
                      </w:rPr>
                    </w:pPr>
                    <w:r>
                      <w:rPr>
                        <w:noProof/>
                      </w:rPr>
                      <w:t xml:space="preserve">[17] </w:t>
                    </w:r>
                  </w:p>
                </w:tc>
                <w:tc>
                  <w:tcPr>
                    <w:tcW w:w="0" w:type="auto"/>
                    <w:hideMark/>
                  </w:tcPr>
                  <w:p w14:paraId="70670C04" w14:textId="77777777" w:rsidR="00BB798F" w:rsidRDefault="00BB798F">
                    <w:pPr>
                      <w:pStyle w:val="Bibliography"/>
                      <w:rPr>
                        <w:noProof/>
                      </w:rPr>
                    </w:pPr>
                    <w:r>
                      <w:rPr>
                        <w:noProof/>
                      </w:rPr>
                      <w:t>"Standards for Safeguarding Customer Information (Safeguards Rule)," 2023.</w:t>
                    </w:r>
                  </w:p>
                </w:tc>
              </w:tr>
              <w:tr w:rsidR="00BB798F" w14:paraId="5046FF4B" w14:textId="77777777">
                <w:trPr>
                  <w:divId w:val="1661885741"/>
                  <w:tblCellSpacing w:w="15" w:type="dxa"/>
                </w:trPr>
                <w:tc>
                  <w:tcPr>
                    <w:tcW w:w="50" w:type="pct"/>
                    <w:hideMark/>
                  </w:tcPr>
                  <w:p w14:paraId="3BE1A7BE" w14:textId="77777777" w:rsidR="00BB798F" w:rsidRDefault="00BB798F">
                    <w:pPr>
                      <w:pStyle w:val="Bibliography"/>
                      <w:rPr>
                        <w:noProof/>
                      </w:rPr>
                    </w:pPr>
                    <w:r>
                      <w:rPr>
                        <w:noProof/>
                      </w:rPr>
                      <w:t xml:space="preserve">[18] </w:t>
                    </w:r>
                  </w:p>
                </w:tc>
                <w:tc>
                  <w:tcPr>
                    <w:tcW w:w="0" w:type="auto"/>
                    <w:hideMark/>
                  </w:tcPr>
                  <w:p w14:paraId="5AECFA31" w14:textId="77777777" w:rsidR="00BB798F" w:rsidRDefault="00BB798F">
                    <w:pPr>
                      <w:pStyle w:val="Bibliography"/>
                      <w:rPr>
                        <w:noProof/>
                      </w:rPr>
                    </w:pPr>
                    <w:r>
                      <w:rPr>
                        <w:noProof/>
                      </w:rPr>
                      <w:t>"2024 Phishing by Industry Benchmarking Report," KnowBe4 Inc., Clearwater, FL, 2024.</w:t>
                    </w:r>
                  </w:p>
                </w:tc>
              </w:tr>
              <w:tr w:rsidR="00BB798F" w14:paraId="534A420B" w14:textId="77777777">
                <w:trPr>
                  <w:divId w:val="1661885741"/>
                  <w:tblCellSpacing w:w="15" w:type="dxa"/>
                </w:trPr>
                <w:tc>
                  <w:tcPr>
                    <w:tcW w:w="50" w:type="pct"/>
                    <w:hideMark/>
                  </w:tcPr>
                  <w:p w14:paraId="4EBCC3C0" w14:textId="77777777" w:rsidR="00BB798F" w:rsidRDefault="00BB798F">
                    <w:pPr>
                      <w:pStyle w:val="Bibliography"/>
                      <w:rPr>
                        <w:noProof/>
                      </w:rPr>
                    </w:pPr>
                    <w:r>
                      <w:rPr>
                        <w:noProof/>
                      </w:rPr>
                      <w:t xml:space="preserve">[19] </w:t>
                    </w:r>
                  </w:p>
                </w:tc>
                <w:tc>
                  <w:tcPr>
                    <w:tcW w:w="0" w:type="auto"/>
                    <w:hideMark/>
                  </w:tcPr>
                  <w:p w14:paraId="3AAE7EFB" w14:textId="77777777" w:rsidR="00BB798F" w:rsidRDefault="00BB798F">
                    <w:pPr>
                      <w:pStyle w:val="Bibliography"/>
                      <w:rPr>
                        <w:noProof/>
                      </w:rPr>
                    </w:pPr>
                    <w:r>
                      <w:rPr>
                        <w:noProof/>
                      </w:rPr>
                      <w:t>"The ROI of Security Awareness Training," Ponemon Institute LLC, 2023.</w:t>
                    </w:r>
                  </w:p>
                </w:tc>
              </w:tr>
              <w:tr w:rsidR="00BB798F" w14:paraId="67381A4D" w14:textId="77777777">
                <w:trPr>
                  <w:divId w:val="1661885741"/>
                  <w:tblCellSpacing w:w="15" w:type="dxa"/>
                </w:trPr>
                <w:tc>
                  <w:tcPr>
                    <w:tcW w:w="50" w:type="pct"/>
                    <w:hideMark/>
                  </w:tcPr>
                  <w:p w14:paraId="62D4782F" w14:textId="77777777" w:rsidR="00BB798F" w:rsidRDefault="00BB798F">
                    <w:pPr>
                      <w:pStyle w:val="Bibliography"/>
                      <w:rPr>
                        <w:noProof/>
                      </w:rPr>
                    </w:pPr>
                    <w:r>
                      <w:rPr>
                        <w:noProof/>
                      </w:rPr>
                      <w:t xml:space="preserve">[20] </w:t>
                    </w:r>
                  </w:p>
                </w:tc>
                <w:tc>
                  <w:tcPr>
                    <w:tcW w:w="0" w:type="auto"/>
                    <w:hideMark/>
                  </w:tcPr>
                  <w:p w14:paraId="0C139B43" w14:textId="77777777" w:rsidR="00BB798F" w:rsidRDefault="00BB798F">
                    <w:pPr>
                      <w:pStyle w:val="Bibliography"/>
                      <w:rPr>
                        <w:noProof/>
                      </w:rPr>
                    </w:pPr>
                    <w:r>
                      <w:rPr>
                        <w:noProof/>
                      </w:rPr>
                      <w:t>"Director's Handbook on Cyber-Risk Oversight," National Association of Corporate Directors, 2023.</w:t>
                    </w:r>
                  </w:p>
                </w:tc>
              </w:tr>
              <w:tr w:rsidR="00BB798F" w14:paraId="52342841" w14:textId="77777777">
                <w:trPr>
                  <w:divId w:val="1661885741"/>
                  <w:tblCellSpacing w:w="15" w:type="dxa"/>
                </w:trPr>
                <w:tc>
                  <w:tcPr>
                    <w:tcW w:w="50" w:type="pct"/>
                    <w:hideMark/>
                  </w:tcPr>
                  <w:p w14:paraId="6E55E851" w14:textId="77777777" w:rsidR="00BB798F" w:rsidRDefault="00BB798F">
                    <w:pPr>
                      <w:pStyle w:val="Bibliography"/>
                      <w:rPr>
                        <w:noProof/>
                      </w:rPr>
                    </w:pPr>
                    <w:r>
                      <w:rPr>
                        <w:noProof/>
                      </w:rPr>
                      <w:t xml:space="preserve">[21] </w:t>
                    </w:r>
                  </w:p>
                </w:tc>
                <w:tc>
                  <w:tcPr>
                    <w:tcW w:w="0" w:type="auto"/>
                    <w:hideMark/>
                  </w:tcPr>
                  <w:p w14:paraId="70BE5E4A" w14:textId="77777777" w:rsidR="00BB798F" w:rsidRDefault="00BB798F">
                    <w:pPr>
                      <w:pStyle w:val="Bibliography"/>
                      <w:rPr>
                        <w:noProof/>
                      </w:rPr>
                    </w:pPr>
                    <w:r>
                      <w:rPr>
                        <w:noProof/>
                      </w:rPr>
                      <w:t>"2023 Internet Crime Report," Federal Bureau of Investigation, Washington, DC, 2024.</w:t>
                    </w:r>
                  </w:p>
                </w:tc>
              </w:tr>
              <w:tr w:rsidR="00BB798F" w14:paraId="7B74EE8C" w14:textId="77777777">
                <w:trPr>
                  <w:divId w:val="1661885741"/>
                  <w:tblCellSpacing w:w="15" w:type="dxa"/>
                </w:trPr>
                <w:tc>
                  <w:tcPr>
                    <w:tcW w:w="50" w:type="pct"/>
                    <w:hideMark/>
                  </w:tcPr>
                  <w:p w14:paraId="35F92AB1" w14:textId="77777777" w:rsidR="00BB798F" w:rsidRDefault="00BB798F">
                    <w:pPr>
                      <w:pStyle w:val="Bibliography"/>
                      <w:rPr>
                        <w:noProof/>
                      </w:rPr>
                    </w:pPr>
                    <w:r>
                      <w:rPr>
                        <w:noProof/>
                      </w:rPr>
                      <w:t xml:space="preserve">[22] </w:t>
                    </w:r>
                  </w:p>
                </w:tc>
                <w:tc>
                  <w:tcPr>
                    <w:tcW w:w="0" w:type="auto"/>
                    <w:hideMark/>
                  </w:tcPr>
                  <w:p w14:paraId="32E7A36A" w14:textId="77777777" w:rsidR="00BB798F" w:rsidRDefault="00BB798F">
                    <w:pPr>
                      <w:pStyle w:val="Bibliography"/>
                      <w:rPr>
                        <w:noProof/>
                      </w:rPr>
                    </w:pPr>
                    <w:r>
                      <w:rPr>
                        <w:noProof/>
                      </w:rPr>
                      <w:t>"2024 State of the Phish Report," Proofpoint Inc., Sunnyvale, CA, 2024.</w:t>
                    </w:r>
                  </w:p>
                </w:tc>
              </w:tr>
              <w:tr w:rsidR="00BB798F" w14:paraId="08E0371B" w14:textId="77777777">
                <w:trPr>
                  <w:divId w:val="1661885741"/>
                  <w:tblCellSpacing w:w="15" w:type="dxa"/>
                </w:trPr>
                <w:tc>
                  <w:tcPr>
                    <w:tcW w:w="50" w:type="pct"/>
                    <w:hideMark/>
                  </w:tcPr>
                  <w:p w14:paraId="4FF07748" w14:textId="77777777" w:rsidR="00BB798F" w:rsidRDefault="00BB798F">
                    <w:pPr>
                      <w:pStyle w:val="Bibliography"/>
                      <w:rPr>
                        <w:noProof/>
                      </w:rPr>
                    </w:pPr>
                    <w:r>
                      <w:rPr>
                        <w:noProof/>
                      </w:rPr>
                      <w:t xml:space="preserve">[23] </w:t>
                    </w:r>
                  </w:p>
                </w:tc>
                <w:tc>
                  <w:tcPr>
                    <w:tcW w:w="0" w:type="auto"/>
                    <w:hideMark/>
                  </w:tcPr>
                  <w:p w14:paraId="571CD9E6" w14:textId="77777777" w:rsidR="00BB798F" w:rsidRDefault="00BB798F">
                    <w:pPr>
                      <w:pStyle w:val="Bibliography"/>
                      <w:rPr>
                        <w:noProof/>
                      </w:rPr>
                    </w:pPr>
                    <w:r>
                      <w:rPr>
                        <w:noProof/>
                      </w:rPr>
                      <w:t>"The Power of Gamification in Security Awareness Training," Keepnet Labs, London, UK, 2024.</w:t>
                    </w:r>
                  </w:p>
                </w:tc>
              </w:tr>
              <w:tr w:rsidR="00BB798F" w14:paraId="6145C0CA" w14:textId="77777777">
                <w:trPr>
                  <w:divId w:val="1661885741"/>
                  <w:tblCellSpacing w:w="15" w:type="dxa"/>
                </w:trPr>
                <w:tc>
                  <w:tcPr>
                    <w:tcW w:w="50" w:type="pct"/>
                    <w:hideMark/>
                  </w:tcPr>
                  <w:p w14:paraId="1CAEC587" w14:textId="77777777" w:rsidR="00BB798F" w:rsidRDefault="00BB798F">
                    <w:pPr>
                      <w:pStyle w:val="Bibliography"/>
                      <w:rPr>
                        <w:noProof/>
                      </w:rPr>
                    </w:pPr>
                    <w:r>
                      <w:rPr>
                        <w:noProof/>
                      </w:rPr>
                      <w:t xml:space="preserve">[24] </w:t>
                    </w:r>
                  </w:p>
                </w:tc>
                <w:tc>
                  <w:tcPr>
                    <w:tcW w:w="0" w:type="auto"/>
                    <w:hideMark/>
                  </w:tcPr>
                  <w:p w14:paraId="77DC80CA" w14:textId="77777777" w:rsidR="00BB798F" w:rsidRDefault="00BB798F">
                    <w:pPr>
                      <w:pStyle w:val="Bibliography"/>
                      <w:rPr>
                        <w:noProof/>
                      </w:rPr>
                    </w:pPr>
                    <w:r>
                      <w:rPr>
                        <w:noProof/>
                      </w:rPr>
                      <w:t>"The Total Economic Impact of Zero Trust," Forrester Research Inc., Cambridge, MA, 2024.</w:t>
                    </w:r>
                  </w:p>
                </w:tc>
              </w:tr>
            </w:tbl>
            <w:p w14:paraId="4C01E584" w14:textId="77777777" w:rsidR="00BB798F" w:rsidRDefault="00BB798F">
              <w:pPr>
                <w:divId w:val="1661885741"/>
                <w:rPr>
                  <w:rFonts w:eastAsia="Times New Roman"/>
                  <w:noProof/>
                </w:rPr>
              </w:pPr>
            </w:p>
            <w:p w14:paraId="5525D074" w14:textId="7C97D6CD" w:rsidR="00BB798F" w:rsidRDefault="00BB798F">
              <w:r>
                <w:rPr>
                  <w:b/>
                  <w:bCs/>
                  <w:noProof/>
                </w:rPr>
                <w:fldChar w:fldCharType="end"/>
              </w:r>
            </w:p>
          </w:sdtContent>
        </w:sdt>
      </w:sdtContent>
    </w:sdt>
    <w:p w14:paraId="19378D79" w14:textId="77777777" w:rsidR="00B835EC" w:rsidRDefault="00B835EC">
      <w:pPr>
        <w:spacing w:line="259" w:lineRule="auto"/>
        <w:jc w:val="left"/>
        <w:rPr>
          <w:rFonts w:eastAsiaTheme="majorEastAsia" w:cstheme="majorBidi"/>
          <w:b/>
          <w:color w:val="000000" w:themeColor="text1"/>
          <w:sz w:val="40"/>
          <w:szCs w:val="40"/>
        </w:rPr>
      </w:pPr>
      <w:r>
        <w:br w:type="page"/>
      </w:r>
    </w:p>
    <w:p w14:paraId="282D0981" w14:textId="4CBA1153" w:rsidR="00BB798F" w:rsidRDefault="0069015A" w:rsidP="0069015A">
      <w:pPr>
        <w:pStyle w:val="Heading1"/>
      </w:pPr>
      <w:bookmarkStart w:id="16" w:name="_Toc216921811"/>
      <w:r>
        <w:lastRenderedPageBreak/>
        <w:t>A</w:t>
      </w:r>
      <w:r w:rsidRPr="0069015A">
        <w:t>ppendices</w:t>
      </w:r>
      <w:bookmarkEnd w:id="16"/>
    </w:p>
    <w:p w14:paraId="07EA97CB" w14:textId="1071369E" w:rsidR="00B835EC" w:rsidRDefault="00B835EC" w:rsidP="00B835EC">
      <w:pPr>
        <w:pStyle w:val="Heading2"/>
      </w:pPr>
      <w:bookmarkStart w:id="17" w:name="_Toc216921812"/>
      <w:r w:rsidRPr="00B835EC">
        <w:t>Presentation</w:t>
      </w:r>
      <w:bookmarkEnd w:id="17"/>
      <w:r w:rsidR="003610F5">
        <w:t xml:space="preserve"> and Slides:</w:t>
      </w:r>
    </w:p>
    <w:p w14:paraId="2F2F77D1" w14:textId="2FAFB6D2" w:rsidR="00B835EC" w:rsidRPr="00B835EC" w:rsidRDefault="00B835EC" w:rsidP="00B835EC"/>
    <w:p w14:paraId="0D409782" w14:textId="52DD72E2" w:rsidR="00B835EC" w:rsidRDefault="003610F5" w:rsidP="003610F5">
      <w:pPr>
        <w:jc w:val="center"/>
      </w:pPr>
      <w:r>
        <w:object w:dxaOrig="1537" w:dyaOrig="994" w14:anchorId="5DA5FC91">
          <v:shape id="_x0000_i1026" type="#_x0000_t75" style="width:415.5pt;height:268.5pt" o:ole="" o:bordertopcolor="this" o:borderleftcolor="this" o:borderbottomcolor="this" o:borderrightcolor="this" filled="t" fillcolor="#c00000">
            <v:imagedata r:id="rId16" o:title=""/>
            <w10:bordertop type="single" width="48"/>
            <w10:borderleft type="single" width="48"/>
            <w10:borderbottom type="single" width="48"/>
            <w10:borderright type="single" width="48"/>
          </v:shape>
          <o:OLEObject Type="Embed" ProgID="PowerPoint.Show.12" ShapeID="_x0000_i1026" DrawAspect="Icon" ObjectID="_1827534836" r:id="rId17"/>
        </w:object>
      </w:r>
    </w:p>
    <w:p w14:paraId="0288F537" w14:textId="4540F9AC" w:rsidR="00B835EC" w:rsidRPr="00B835EC" w:rsidRDefault="00B835EC" w:rsidP="00B835EC">
      <w:pPr>
        <w:rPr>
          <w:b/>
          <w:bCs/>
          <w:sz w:val="36"/>
          <w:szCs w:val="36"/>
        </w:rPr>
      </w:pPr>
      <w:r w:rsidRPr="00B835EC">
        <w:rPr>
          <w:b/>
          <w:bCs/>
          <w:noProof/>
          <w:sz w:val="36"/>
          <w:szCs w:val="36"/>
        </w:rPr>
        <w:drawing>
          <wp:anchor distT="0" distB="0" distL="114300" distR="114300" simplePos="0" relativeHeight="251659264" behindDoc="1" locked="0" layoutInCell="1" allowOverlap="1" wp14:anchorId="36740659" wp14:editId="661FC6B5">
            <wp:simplePos x="0" y="0"/>
            <wp:positionH relativeFrom="column">
              <wp:posOffset>2863215</wp:posOffset>
            </wp:positionH>
            <wp:positionV relativeFrom="paragraph">
              <wp:posOffset>10795</wp:posOffset>
            </wp:positionV>
            <wp:extent cx="3735070" cy="2571750"/>
            <wp:effectExtent l="0" t="0" r="0" b="0"/>
            <wp:wrapTight wrapText="bothSides">
              <wp:wrapPolygon edited="0">
                <wp:start x="0" y="0"/>
                <wp:lineTo x="0" y="21440"/>
                <wp:lineTo x="21482" y="21440"/>
                <wp:lineTo x="2148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alphaModFix amt="85000"/>
                      <a:extLst>
                        <a:ext uri="{BEBA8EAE-BF5A-486C-A8C5-ECC9F3942E4B}">
                          <a14:imgProps xmlns:a14="http://schemas.microsoft.com/office/drawing/2010/main">
                            <a14:imgLayer r:embed="rId19">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3735070" cy="2571750"/>
                    </a:xfrm>
                    <a:prstGeom prst="rect">
                      <a:avLst/>
                    </a:prstGeom>
                  </pic:spPr>
                </pic:pic>
              </a:graphicData>
            </a:graphic>
            <wp14:sizeRelH relativeFrom="margin">
              <wp14:pctWidth>0</wp14:pctWidth>
            </wp14:sizeRelH>
            <wp14:sizeRelV relativeFrom="margin">
              <wp14:pctHeight>0</wp14:pctHeight>
            </wp14:sizeRelV>
          </wp:anchor>
        </w:drawing>
      </w:r>
      <w:r w:rsidRPr="00B835EC">
        <w:rPr>
          <w:b/>
          <w:bCs/>
          <w:sz w:val="36"/>
          <w:szCs w:val="36"/>
        </w:rPr>
        <w:t xml:space="preserve">How to Play this </w:t>
      </w:r>
      <w:proofErr w:type="gramStart"/>
      <w:r w:rsidRPr="00B835EC">
        <w:rPr>
          <w:b/>
          <w:bCs/>
          <w:sz w:val="36"/>
          <w:szCs w:val="36"/>
        </w:rPr>
        <w:t>Slides :</w:t>
      </w:r>
      <w:proofErr w:type="gramEnd"/>
      <w:r w:rsidRPr="00B835EC">
        <w:rPr>
          <w:b/>
          <w:bCs/>
          <w:sz w:val="36"/>
          <w:szCs w:val="36"/>
        </w:rPr>
        <w:t xml:space="preserve"> </w:t>
      </w:r>
      <w:r>
        <w:rPr>
          <w:b/>
          <w:bCs/>
          <w:sz w:val="36"/>
          <w:szCs w:val="36"/>
        </w:rPr>
        <w:t xml:space="preserve"> </w:t>
      </w:r>
      <w:proofErr w:type="spellStart"/>
      <w:r w:rsidRPr="00B835EC">
        <w:rPr>
          <w:b/>
          <w:bCs/>
        </w:rPr>
        <w:t>RightClick</w:t>
      </w:r>
      <w:proofErr w:type="spellEnd"/>
      <w:r w:rsidRPr="00B835EC">
        <w:rPr>
          <w:b/>
          <w:bCs/>
        </w:rPr>
        <w:t xml:space="preserve"> &gt; Presentation Object &gt; </w:t>
      </w:r>
      <w:r>
        <w:rPr>
          <w:b/>
          <w:bCs/>
        </w:rPr>
        <w:t>&gt;</w:t>
      </w:r>
      <w:r w:rsidRPr="00B835EC">
        <w:rPr>
          <w:b/>
          <w:bCs/>
        </w:rPr>
        <w:t>Show</w:t>
      </w:r>
    </w:p>
    <w:p w14:paraId="71D65AF3" w14:textId="6E7A4D7A" w:rsidR="00065DBD" w:rsidRDefault="00B835EC" w:rsidP="00B835EC">
      <w:r>
        <w:rPr>
          <w:noProof/>
        </w:rPr>
        <w:lastRenderedPageBreak/>
        <w:drawing>
          <wp:inline distT="0" distB="0" distL="0" distR="0" wp14:anchorId="05606A6B" wp14:editId="3026E0C3">
            <wp:extent cx="6645910" cy="37382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0">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drawing>
          <wp:inline distT="0" distB="0" distL="0" distR="0" wp14:anchorId="6BDB737A" wp14:editId="561BDBC2">
            <wp:extent cx="6645910" cy="37382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lastRenderedPageBreak/>
        <w:drawing>
          <wp:inline distT="0" distB="0" distL="0" distR="0" wp14:anchorId="3EA43293" wp14:editId="456DB2A3">
            <wp:extent cx="6645910" cy="37382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2">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drawing>
          <wp:inline distT="0" distB="0" distL="0" distR="0" wp14:anchorId="48DF1FA3" wp14:editId="507A378E">
            <wp:extent cx="6645910" cy="37382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3">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lastRenderedPageBreak/>
        <w:drawing>
          <wp:inline distT="0" distB="0" distL="0" distR="0" wp14:anchorId="369B604A" wp14:editId="7C5AE35C">
            <wp:extent cx="6645910" cy="37382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4">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drawing>
          <wp:inline distT="0" distB="0" distL="0" distR="0" wp14:anchorId="26EA6033" wp14:editId="06615A9E">
            <wp:extent cx="6645910" cy="37382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5">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lastRenderedPageBreak/>
        <w:drawing>
          <wp:inline distT="0" distB="0" distL="0" distR="0" wp14:anchorId="179B2B5B" wp14:editId="67EB3180">
            <wp:extent cx="6645910" cy="37382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6">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drawing>
          <wp:inline distT="0" distB="0" distL="0" distR="0" wp14:anchorId="245020D6" wp14:editId="0161552B">
            <wp:extent cx="6645910" cy="37382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7">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lastRenderedPageBreak/>
        <w:drawing>
          <wp:inline distT="0" distB="0" distL="0" distR="0" wp14:anchorId="73AE80BF" wp14:editId="25259974">
            <wp:extent cx="6645910" cy="37382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8">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drawing>
          <wp:inline distT="0" distB="0" distL="0" distR="0" wp14:anchorId="448B26A7" wp14:editId="04BEF68E">
            <wp:extent cx="6645910" cy="3738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9">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r>
        <w:rPr>
          <w:noProof/>
        </w:rPr>
        <w:lastRenderedPageBreak/>
        <w:drawing>
          <wp:inline distT="0" distB="0" distL="0" distR="0" wp14:anchorId="5314555C" wp14:editId="4085C470">
            <wp:extent cx="6645910" cy="37382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0">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071C3CA6" w14:textId="4314037B" w:rsidR="002065FB" w:rsidRDefault="00B835EC" w:rsidP="00B835EC">
      <w:r>
        <w:rPr>
          <w:noProof/>
        </w:rPr>
        <w:drawing>
          <wp:inline distT="0" distB="0" distL="0" distR="0" wp14:anchorId="18A34BEE" wp14:editId="02373469">
            <wp:extent cx="6645910" cy="37382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1">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153984F" w14:textId="77777777" w:rsidR="002065FB" w:rsidRDefault="002065FB">
      <w:pPr>
        <w:spacing w:line="259" w:lineRule="auto"/>
        <w:jc w:val="left"/>
      </w:pPr>
      <w:r>
        <w:br w:type="page"/>
      </w:r>
    </w:p>
    <w:p w14:paraId="038606D9" w14:textId="0AB03741" w:rsidR="00B835EC" w:rsidRDefault="002065FB" w:rsidP="002065FB">
      <w:pPr>
        <w:pStyle w:val="Heading2"/>
      </w:pPr>
      <w:bookmarkStart w:id="18" w:name="_Toc216921813"/>
      <w:r w:rsidRPr="002065FB">
        <w:lastRenderedPageBreak/>
        <w:t>Certificate</w:t>
      </w:r>
      <w:r>
        <w:t>s</w:t>
      </w:r>
      <w:bookmarkEnd w:id="18"/>
    </w:p>
    <w:p w14:paraId="25447D06" w14:textId="7DFC4758" w:rsidR="002065FB" w:rsidRPr="002065FB" w:rsidRDefault="002065FB" w:rsidP="002065FB">
      <w:pPr>
        <w:jc w:val="center"/>
      </w:pPr>
      <w:r w:rsidRPr="002065FB">
        <w:rPr>
          <w:noProof/>
        </w:rPr>
        <w:drawing>
          <wp:inline distT="0" distB="0" distL="0" distR="0" wp14:anchorId="524A08A8" wp14:editId="75D0BC23">
            <wp:extent cx="6327287" cy="47148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351660" cy="4733037"/>
                    </a:xfrm>
                    <a:prstGeom prst="rect">
                      <a:avLst/>
                    </a:prstGeom>
                  </pic:spPr>
                </pic:pic>
              </a:graphicData>
            </a:graphic>
          </wp:inline>
        </w:drawing>
      </w:r>
    </w:p>
    <w:p w14:paraId="73EE6177" w14:textId="319AE677" w:rsidR="002065FB" w:rsidRPr="002065FB" w:rsidRDefault="002065FB" w:rsidP="002065FB">
      <w:pPr>
        <w:jc w:val="center"/>
      </w:pPr>
      <w:r w:rsidRPr="002065FB">
        <w:rPr>
          <w:noProof/>
        </w:rPr>
        <w:drawing>
          <wp:inline distT="0" distB="0" distL="0" distR="0" wp14:anchorId="1E882C96" wp14:editId="61B5284E">
            <wp:extent cx="6275594" cy="4229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83853" cy="4234666"/>
                    </a:xfrm>
                    <a:prstGeom prst="rect">
                      <a:avLst/>
                    </a:prstGeom>
                  </pic:spPr>
                </pic:pic>
              </a:graphicData>
            </a:graphic>
          </wp:inline>
        </w:drawing>
      </w:r>
    </w:p>
    <w:p w14:paraId="2634D5EE" w14:textId="2C742CAD" w:rsidR="002065FB" w:rsidRPr="002065FB" w:rsidRDefault="002065FB" w:rsidP="002065FB">
      <w:pPr>
        <w:jc w:val="center"/>
      </w:pPr>
      <w:r w:rsidRPr="002065FB">
        <w:rPr>
          <w:noProof/>
        </w:rPr>
        <w:lastRenderedPageBreak/>
        <w:drawing>
          <wp:inline distT="0" distB="0" distL="0" distR="0" wp14:anchorId="7FE2A2FD" wp14:editId="48377CDB">
            <wp:extent cx="6667500" cy="45167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86097" cy="4529374"/>
                    </a:xfrm>
                    <a:prstGeom prst="rect">
                      <a:avLst/>
                    </a:prstGeom>
                  </pic:spPr>
                </pic:pic>
              </a:graphicData>
            </a:graphic>
          </wp:inline>
        </w:drawing>
      </w:r>
    </w:p>
    <w:p w14:paraId="5E29735D" w14:textId="08EDBB09" w:rsidR="002065FB" w:rsidRPr="002065FB" w:rsidRDefault="002065FB" w:rsidP="002065FB">
      <w:pPr>
        <w:jc w:val="center"/>
      </w:pPr>
      <w:r w:rsidRPr="002065FB">
        <w:rPr>
          <w:noProof/>
        </w:rPr>
        <w:drawing>
          <wp:inline distT="0" distB="0" distL="0" distR="0" wp14:anchorId="232CFFA5" wp14:editId="2AEB7C5B">
            <wp:extent cx="6674993" cy="45180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94712" cy="4531372"/>
                    </a:xfrm>
                    <a:prstGeom prst="rect">
                      <a:avLst/>
                    </a:prstGeom>
                  </pic:spPr>
                </pic:pic>
              </a:graphicData>
            </a:graphic>
          </wp:inline>
        </w:drawing>
      </w:r>
    </w:p>
    <w:p w14:paraId="2BB3F4E3" w14:textId="4F17DD18" w:rsidR="002065FB" w:rsidRPr="002065FB" w:rsidRDefault="002065FB" w:rsidP="002065FB">
      <w:r w:rsidRPr="002065FB">
        <w:rPr>
          <w:noProof/>
        </w:rPr>
        <w:lastRenderedPageBreak/>
        <w:drawing>
          <wp:inline distT="0" distB="0" distL="0" distR="0" wp14:anchorId="6189C406" wp14:editId="3AA1C7E2">
            <wp:extent cx="6645910" cy="45021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4502150"/>
                    </a:xfrm>
                    <a:prstGeom prst="rect">
                      <a:avLst/>
                    </a:prstGeom>
                  </pic:spPr>
                </pic:pic>
              </a:graphicData>
            </a:graphic>
          </wp:inline>
        </w:drawing>
      </w:r>
    </w:p>
    <w:sectPr w:rsidR="002065FB" w:rsidRPr="002065FB" w:rsidSect="004863CC">
      <w:headerReference w:type="even" r:id="rId37"/>
      <w:headerReference w:type="default" r:id="rId38"/>
      <w:footerReference w:type="default" r:id="rId39"/>
      <w:headerReference w:type="first" r:id="rId40"/>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00F0E" w14:textId="77777777" w:rsidR="000C5A31" w:rsidRDefault="000C5A31" w:rsidP="00906A1A">
      <w:pPr>
        <w:spacing w:after="0" w:line="240" w:lineRule="auto"/>
      </w:pPr>
      <w:r>
        <w:separator/>
      </w:r>
    </w:p>
  </w:endnote>
  <w:endnote w:type="continuationSeparator" w:id="0">
    <w:p w14:paraId="6DABB0BA" w14:textId="77777777" w:rsidR="000C5A31" w:rsidRDefault="000C5A31"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44F8B" w14:textId="77777777" w:rsidR="000C5A31" w:rsidRDefault="000C5A31" w:rsidP="00906A1A">
      <w:pPr>
        <w:spacing w:after="0" w:line="240" w:lineRule="auto"/>
      </w:pPr>
      <w:r>
        <w:separator/>
      </w:r>
    </w:p>
  </w:footnote>
  <w:footnote w:type="continuationSeparator" w:id="0">
    <w:p w14:paraId="687409C4" w14:textId="77777777" w:rsidR="000C5A31" w:rsidRDefault="000C5A31"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0C5A31">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0C5A31">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0C5A31">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0C5A31">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0C5A31">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0C5A31">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4C80E0C"/>
    <w:multiLevelType w:val="hybridMultilevel"/>
    <w:tmpl w:val="7D967B9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1B6CDA"/>
    <w:multiLevelType w:val="hybridMultilevel"/>
    <w:tmpl w:val="A768D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8C6579"/>
    <w:multiLevelType w:val="hybridMultilevel"/>
    <w:tmpl w:val="8B0A9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9F6023"/>
    <w:multiLevelType w:val="hybridMultilevel"/>
    <w:tmpl w:val="41548D82"/>
    <w:lvl w:ilvl="0" w:tplc="D38AE35E">
      <w:start w:val="1"/>
      <w:numFmt w:val="bullet"/>
      <w:lvlText w:val="•"/>
      <w:lvlJc w:val="left"/>
      <w:pPr>
        <w:ind w:left="720" w:hanging="360"/>
      </w:pPr>
    </w:lvl>
    <w:lvl w:ilvl="1" w:tplc="516C1280">
      <w:numFmt w:val="decimal"/>
      <w:lvlText w:val=""/>
      <w:lvlJc w:val="left"/>
    </w:lvl>
    <w:lvl w:ilvl="2" w:tplc="3BDA656E">
      <w:numFmt w:val="decimal"/>
      <w:lvlText w:val=""/>
      <w:lvlJc w:val="left"/>
    </w:lvl>
    <w:lvl w:ilvl="3" w:tplc="B90819A4">
      <w:numFmt w:val="decimal"/>
      <w:lvlText w:val=""/>
      <w:lvlJc w:val="left"/>
    </w:lvl>
    <w:lvl w:ilvl="4" w:tplc="F9D8864C">
      <w:numFmt w:val="decimal"/>
      <w:lvlText w:val=""/>
      <w:lvlJc w:val="left"/>
    </w:lvl>
    <w:lvl w:ilvl="5" w:tplc="794AA08A">
      <w:numFmt w:val="decimal"/>
      <w:lvlText w:val=""/>
      <w:lvlJc w:val="left"/>
    </w:lvl>
    <w:lvl w:ilvl="6" w:tplc="56485E8A">
      <w:numFmt w:val="decimal"/>
      <w:lvlText w:val=""/>
      <w:lvlJc w:val="left"/>
    </w:lvl>
    <w:lvl w:ilvl="7" w:tplc="55B46EA8">
      <w:numFmt w:val="decimal"/>
      <w:lvlText w:val=""/>
      <w:lvlJc w:val="left"/>
    </w:lvl>
    <w:lvl w:ilvl="8" w:tplc="89725BA8">
      <w:numFmt w:val="decimal"/>
      <w:lvlText w:val=""/>
      <w:lvlJc w:val="left"/>
    </w:lvl>
  </w:abstractNum>
  <w:abstractNum w:abstractNumId="6" w15:restartNumberingAfterBreak="0">
    <w:nsid w:val="10F37B60"/>
    <w:multiLevelType w:val="hybridMultilevel"/>
    <w:tmpl w:val="5874C6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7BC167F"/>
    <w:multiLevelType w:val="hybridMultilevel"/>
    <w:tmpl w:val="6008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EB5E28"/>
    <w:multiLevelType w:val="hybridMultilevel"/>
    <w:tmpl w:val="F266B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4075F4"/>
    <w:multiLevelType w:val="hybridMultilevel"/>
    <w:tmpl w:val="5546E8E4"/>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A67874"/>
    <w:multiLevelType w:val="hybridMultilevel"/>
    <w:tmpl w:val="DDF210BC"/>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93506"/>
    <w:multiLevelType w:val="hybridMultilevel"/>
    <w:tmpl w:val="A3C0A1E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7732B9"/>
    <w:multiLevelType w:val="hybridMultilevel"/>
    <w:tmpl w:val="2C60B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6C1EB9"/>
    <w:multiLevelType w:val="multilevel"/>
    <w:tmpl w:val="B30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FF26FC"/>
    <w:multiLevelType w:val="multilevel"/>
    <w:tmpl w:val="FC9CA7D0"/>
    <w:lvl w:ilvl="0">
      <w:start w:val="1"/>
      <w:numFmt w:val="decimal"/>
      <w:lvlText w:val="%1."/>
      <w:lvlJc w:val="left"/>
      <w:pPr>
        <w:ind w:left="720" w:hanging="360"/>
      </w:pPr>
      <w:rPr>
        <w:rFonts w:hint="default"/>
      </w:rPr>
    </w:lvl>
    <w:lvl w:ilvl="1">
      <w:start w:val="1"/>
      <w:numFmt w:val="decimal"/>
      <w:isLgl/>
      <w:lvlText w:val="%1.%2"/>
      <w:lvlJc w:val="left"/>
      <w:pPr>
        <w:ind w:left="1140" w:hanging="780"/>
      </w:pPr>
      <w:rPr>
        <w:rFonts w:hint="default"/>
      </w:rPr>
    </w:lvl>
    <w:lvl w:ilvl="2">
      <w:start w:val="1"/>
      <w:numFmt w:val="decimal"/>
      <w:pStyle w:val="Heading3"/>
      <w:isLgl/>
      <w:lvlText w:val="%1.%2.%3"/>
      <w:lvlJc w:val="left"/>
      <w:pPr>
        <w:ind w:left="1140" w:hanging="780"/>
      </w:pPr>
      <w:rPr>
        <w:rFonts w:hint="default"/>
      </w:rPr>
    </w:lvl>
    <w:lvl w:ilvl="3">
      <w:start w:val="1"/>
      <w:numFmt w:val="decimal"/>
      <w:isLgl/>
      <w:lvlText w:val="%1.%2.%3.%4"/>
      <w:lvlJc w:val="left"/>
      <w:pPr>
        <w:ind w:left="1140" w:hanging="7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5A2F0DA6"/>
    <w:multiLevelType w:val="hybridMultilevel"/>
    <w:tmpl w:val="473061D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BC662E"/>
    <w:multiLevelType w:val="hybridMultilevel"/>
    <w:tmpl w:val="E96EC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AF3C0A"/>
    <w:multiLevelType w:val="hybridMultilevel"/>
    <w:tmpl w:val="8EA0291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66E6129"/>
    <w:multiLevelType w:val="hybridMultilevel"/>
    <w:tmpl w:val="9C8086C4"/>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F">
      <w:start w:val="1"/>
      <w:numFmt w:val="decimal"/>
      <w:lvlText w:val="%3."/>
      <w:lvlJc w:val="left"/>
      <w:pPr>
        <w:ind w:left="2880" w:hanging="360"/>
      </w:pPr>
      <w:rPr>
        <w:rFont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B450345"/>
    <w:multiLevelType w:val="hybridMultilevel"/>
    <w:tmpl w:val="9316439A"/>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2D0FDD"/>
    <w:multiLevelType w:val="hybridMultilevel"/>
    <w:tmpl w:val="9BBE6F60"/>
    <w:lvl w:ilvl="0" w:tplc="D38AE35E">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406738"/>
    <w:multiLevelType w:val="hybridMultilevel"/>
    <w:tmpl w:val="2F06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407785"/>
    <w:multiLevelType w:val="multilevel"/>
    <w:tmpl w:val="EBFCB1E6"/>
    <w:lvl w:ilvl="0">
      <w:start w:val="1"/>
      <w:numFmt w:val="decimal"/>
      <w:lvlText w:val="%1."/>
      <w:lvlJc w:val="left"/>
      <w:pPr>
        <w:ind w:left="72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905" w:hanging="180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672" w:hanging="2520"/>
      </w:pPr>
      <w:rPr>
        <w:rFonts w:hint="default"/>
      </w:rPr>
    </w:lvl>
  </w:abstractNum>
  <w:abstractNum w:abstractNumId="23" w15:restartNumberingAfterBreak="0">
    <w:nsid w:val="7EE16264"/>
    <w:multiLevelType w:val="hybridMultilevel"/>
    <w:tmpl w:val="B8AA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4"/>
  </w:num>
  <w:num w:numId="4">
    <w:abstractNumId w:val="22"/>
  </w:num>
  <w:num w:numId="5">
    <w:abstractNumId w:val="12"/>
  </w:num>
  <w:num w:numId="6">
    <w:abstractNumId w:val="11"/>
  </w:num>
  <w:num w:numId="7">
    <w:abstractNumId w:val="15"/>
  </w:num>
  <w:num w:numId="8">
    <w:abstractNumId w:val="17"/>
  </w:num>
  <w:num w:numId="9">
    <w:abstractNumId w:val="2"/>
  </w:num>
  <w:num w:numId="10">
    <w:abstractNumId w:val="18"/>
  </w:num>
  <w:num w:numId="11">
    <w:abstractNumId w:val="6"/>
  </w:num>
  <w:num w:numId="12">
    <w:abstractNumId w:val="9"/>
  </w:num>
  <w:num w:numId="13">
    <w:abstractNumId w:val="5"/>
  </w:num>
  <w:num w:numId="14">
    <w:abstractNumId w:val="13"/>
  </w:num>
  <w:num w:numId="15">
    <w:abstractNumId w:val="23"/>
  </w:num>
  <w:num w:numId="16">
    <w:abstractNumId w:val="7"/>
  </w:num>
  <w:num w:numId="17">
    <w:abstractNumId w:val="3"/>
  </w:num>
  <w:num w:numId="18">
    <w:abstractNumId w:val="4"/>
  </w:num>
  <w:num w:numId="19">
    <w:abstractNumId w:val="21"/>
  </w:num>
  <w:num w:numId="20">
    <w:abstractNumId w:val="10"/>
  </w:num>
  <w:num w:numId="21">
    <w:abstractNumId w:val="19"/>
  </w:num>
  <w:num w:numId="22">
    <w:abstractNumId w:val="20"/>
  </w:num>
  <w:num w:numId="23">
    <w:abstractNumId w:val="8"/>
  </w:num>
  <w:num w:numId="24">
    <w:abstractNumId w:val="16"/>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631F"/>
    <w:rsid w:val="00027EB0"/>
    <w:rsid w:val="00027EE4"/>
    <w:rsid w:val="00031995"/>
    <w:rsid w:val="00031AAF"/>
    <w:rsid w:val="000353D5"/>
    <w:rsid w:val="0003580C"/>
    <w:rsid w:val="00035B4F"/>
    <w:rsid w:val="00037B45"/>
    <w:rsid w:val="000405AE"/>
    <w:rsid w:val="0004536A"/>
    <w:rsid w:val="000471D4"/>
    <w:rsid w:val="00053B0A"/>
    <w:rsid w:val="00054138"/>
    <w:rsid w:val="0005431A"/>
    <w:rsid w:val="000560AA"/>
    <w:rsid w:val="0005733A"/>
    <w:rsid w:val="00065DBD"/>
    <w:rsid w:val="000736A3"/>
    <w:rsid w:val="00073E5A"/>
    <w:rsid w:val="00073EA6"/>
    <w:rsid w:val="00074648"/>
    <w:rsid w:val="00074906"/>
    <w:rsid w:val="00074E19"/>
    <w:rsid w:val="0007762F"/>
    <w:rsid w:val="0008197F"/>
    <w:rsid w:val="00082D69"/>
    <w:rsid w:val="00083550"/>
    <w:rsid w:val="000866D5"/>
    <w:rsid w:val="00090C24"/>
    <w:rsid w:val="00090F37"/>
    <w:rsid w:val="00091849"/>
    <w:rsid w:val="00092911"/>
    <w:rsid w:val="00092DEA"/>
    <w:rsid w:val="00097BD8"/>
    <w:rsid w:val="000A0CEB"/>
    <w:rsid w:val="000B0F84"/>
    <w:rsid w:val="000B2852"/>
    <w:rsid w:val="000B4DD0"/>
    <w:rsid w:val="000B71FA"/>
    <w:rsid w:val="000C19B9"/>
    <w:rsid w:val="000C4A40"/>
    <w:rsid w:val="000C4AEF"/>
    <w:rsid w:val="000C50F1"/>
    <w:rsid w:val="000C5A31"/>
    <w:rsid w:val="000D0C77"/>
    <w:rsid w:val="000D2954"/>
    <w:rsid w:val="000E062E"/>
    <w:rsid w:val="000E21D9"/>
    <w:rsid w:val="000E2EF8"/>
    <w:rsid w:val="000E327C"/>
    <w:rsid w:val="000E4574"/>
    <w:rsid w:val="000F3E82"/>
    <w:rsid w:val="000F62A4"/>
    <w:rsid w:val="00104D5B"/>
    <w:rsid w:val="001071C2"/>
    <w:rsid w:val="00107FB4"/>
    <w:rsid w:val="00110520"/>
    <w:rsid w:val="00111550"/>
    <w:rsid w:val="00111DE9"/>
    <w:rsid w:val="00113E14"/>
    <w:rsid w:val="00113F8C"/>
    <w:rsid w:val="00120098"/>
    <w:rsid w:val="00125FA4"/>
    <w:rsid w:val="0013101B"/>
    <w:rsid w:val="00132E3C"/>
    <w:rsid w:val="0013603B"/>
    <w:rsid w:val="00140441"/>
    <w:rsid w:val="00142DEE"/>
    <w:rsid w:val="00142EED"/>
    <w:rsid w:val="0014346A"/>
    <w:rsid w:val="00146D62"/>
    <w:rsid w:val="0015342F"/>
    <w:rsid w:val="001572F2"/>
    <w:rsid w:val="00157913"/>
    <w:rsid w:val="00157B96"/>
    <w:rsid w:val="001608B4"/>
    <w:rsid w:val="001608D6"/>
    <w:rsid w:val="00161355"/>
    <w:rsid w:val="0016592E"/>
    <w:rsid w:val="00167A40"/>
    <w:rsid w:val="001711F4"/>
    <w:rsid w:val="00171CCF"/>
    <w:rsid w:val="00171F82"/>
    <w:rsid w:val="00172C72"/>
    <w:rsid w:val="00176217"/>
    <w:rsid w:val="0017621D"/>
    <w:rsid w:val="00176323"/>
    <w:rsid w:val="001768EC"/>
    <w:rsid w:val="00177FBF"/>
    <w:rsid w:val="00180F12"/>
    <w:rsid w:val="00182F5C"/>
    <w:rsid w:val="001846FC"/>
    <w:rsid w:val="00185313"/>
    <w:rsid w:val="00185489"/>
    <w:rsid w:val="00186119"/>
    <w:rsid w:val="001877DB"/>
    <w:rsid w:val="00191DF7"/>
    <w:rsid w:val="00197392"/>
    <w:rsid w:val="001A7027"/>
    <w:rsid w:val="001A797E"/>
    <w:rsid w:val="001B2D2B"/>
    <w:rsid w:val="001B48C1"/>
    <w:rsid w:val="001B4F17"/>
    <w:rsid w:val="001B57D6"/>
    <w:rsid w:val="001B7F05"/>
    <w:rsid w:val="001C37C8"/>
    <w:rsid w:val="001C4FC5"/>
    <w:rsid w:val="001C50B5"/>
    <w:rsid w:val="001C54A9"/>
    <w:rsid w:val="001D4D7A"/>
    <w:rsid w:val="001E0475"/>
    <w:rsid w:val="001E395C"/>
    <w:rsid w:val="001E69D4"/>
    <w:rsid w:val="001F0347"/>
    <w:rsid w:val="001F195F"/>
    <w:rsid w:val="001F4322"/>
    <w:rsid w:val="002006C2"/>
    <w:rsid w:val="00201CB7"/>
    <w:rsid w:val="00201EA4"/>
    <w:rsid w:val="00202041"/>
    <w:rsid w:val="002025E0"/>
    <w:rsid w:val="00203941"/>
    <w:rsid w:val="002065FB"/>
    <w:rsid w:val="00206FF6"/>
    <w:rsid w:val="0021064C"/>
    <w:rsid w:val="00210E00"/>
    <w:rsid w:val="00211514"/>
    <w:rsid w:val="00212D2A"/>
    <w:rsid w:val="0021579B"/>
    <w:rsid w:val="002226A2"/>
    <w:rsid w:val="00222E89"/>
    <w:rsid w:val="0022407F"/>
    <w:rsid w:val="0022537C"/>
    <w:rsid w:val="00231E5F"/>
    <w:rsid w:val="00233507"/>
    <w:rsid w:val="00235725"/>
    <w:rsid w:val="002427C4"/>
    <w:rsid w:val="00246223"/>
    <w:rsid w:val="00251699"/>
    <w:rsid w:val="002524E1"/>
    <w:rsid w:val="00256BED"/>
    <w:rsid w:val="002628FA"/>
    <w:rsid w:val="0026323C"/>
    <w:rsid w:val="00266EA6"/>
    <w:rsid w:val="002672A1"/>
    <w:rsid w:val="002706EA"/>
    <w:rsid w:val="00272A79"/>
    <w:rsid w:val="0027766F"/>
    <w:rsid w:val="00277828"/>
    <w:rsid w:val="00277897"/>
    <w:rsid w:val="00277A2D"/>
    <w:rsid w:val="0028046D"/>
    <w:rsid w:val="00283A5C"/>
    <w:rsid w:val="00285EC7"/>
    <w:rsid w:val="00285FB9"/>
    <w:rsid w:val="00286D7B"/>
    <w:rsid w:val="00290AE9"/>
    <w:rsid w:val="002923D1"/>
    <w:rsid w:val="00292A31"/>
    <w:rsid w:val="00293B40"/>
    <w:rsid w:val="002952D9"/>
    <w:rsid w:val="002961EC"/>
    <w:rsid w:val="002A0DF4"/>
    <w:rsid w:val="002A234B"/>
    <w:rsid w:val="002A2903"/>
    <w:rsid w:val="002A31E7"/>
    <w:rsid w:val="002A3DCE"/>
    <w:rsid w:val="002A5221"/>
    <w:rsid w:val="002A7377"/>
    <w:rsid w:val="002A755C"/>
    <w:rsid w:val="002B1E30"/>
    <w:rsid w:val="002B345D"/>
    <w:rsid w:val="002B3FEB"/>
    <w:rsid w:val="002B41EB"/>
    <w:rsid w:val="002B4DA7"/>
    <w:rsid w:val="002B7398"/>
    <w:rsid w:val="002C142F"/>
    <w:rsid w:val="002C156A"/>
    <w:rsid w:val="002C1D26"/>
    <w:rsid w:val="002C2764"/>
    <w:rsid w:val="002C452A"/>
    <w:rsid w:val="002C4C79"/>
    <w:rsid w:val="002C4DF5"/>
    <w:rsid w:val="002C57A4"/>
    <w:rsid w:val="002D1348"/>
    <w:rsid w:val="002D5197"/>
    <w:rsid w:val="002D7011"/>
    <w:rsid w:val="002D7F4F"/>
    <w:rsid w:val="002E45DA"/>
    <w:rsid w:val="002E5BF3"/>
    <w:rsid w:val="002E5CDD"/>
    <w:rsid w:val="002E7B10"/>
    <w:rsid w:val="002F0F4A"/>
    <w:rsid w:val="002F3272"/>
    <w:rsid w:val="002F3EB0"/>
    <w:rsid w:val="002F53D0"/>
    <w:rsid w:val="002F579C"/>
    <w:rsid w:val="002F6D60"/>
    <w:rsid w:val="002F6DE9"/>
    <w:rsid w:val="002F759B"/>
    <w:rsid w:val="002F7CD2"/>
    <w:rsid w:val="0030092B"/>
    <w:rsid w:val="00301456"/>
    <w:rsid w:val="0030186B"/>
    <w:rsid w:val="00301FEF"/>
    <w:rsid w:val="00303573"/>
    <w:rsid w:val="00305A3E"/>
    <w:rsid w:val="00306567"/>
    <w:rsid w:val="0030666D"/>
    <w:rsid w:val="00306806"/>
    <w:rsid w:val="0030743F"/>
    <w:rsid w:val="0031190C"/>
    <w:rsid w:val="00311B6D"/>
    <w:rsid w:val="003132E6"/>
    <w:rsid w:val="003142CC"/>
    <w:rsid w:val="00321B9B"/>
    <w:rsid w:val="00322227"/>
    <w:rsid w:val="00323B57"/>
    <w:rsid w:val="00325BBD"/>
    <w:rsid w:val="003323F8"/>
    <w:rsid w:val="00337591"/>
    <w:rsid w:val="00340B27"/>
    <w:rsid w:val="0034109A"/>
    <w:rsid w:val="00341F58"/>
    <w:rsid w:val="00343E79"/>
    <w:rsid w:val="00344128"/>
    <w:rsid w:val="00344353"/>
    <w:rsid w:val="0034526D"/>
    <w:rsid w:val="0034530C"/>
    <w:rsid w:val="00345714"/>
    <w:rsid w:val="00345AB1"/>
    <w:rsid w:val="00350283"/>
    <w:rsid w:val="0035093B"/>
    <w:rsid w:val="00350E68"/>
    <w:rsid w:val="00352B2E"/>
    <w:rsid w:val="0035550B"/>
    <w:rsid w:val="00360451"/>
    <w:rsid w:val="003610F5"/>
    <w:rsid w:val="00363082"/>
    <w:rsid w:val="00364905"/>
    <w:rsid w:val="003652F5"/>
    <w:rsid w:val="00365531"/>
    <w:rsid w:val="003659CC"/>
    <w:rsid w:val="003667F1"/>
    <w:rsid w:val="00367221"/>
    <w:rsid w:val="0037145D"/>
    <w:rsid w:val="00373E7F"/>
    <w:rsid w:val="00375101"/>
    <w:rsid w:val="003760C7"/>
    <w:rsid w:val="00376798"/>
    <w:rsid w:val="00380056"/>
    <w:rsid w:val="0038041C"/>
    <w:rsid w:val="0038278E"/>
    <w:rsid w:val="003832AA"/>
    <w:rsid w:val="0038406A"/>
    <w:rsid w:val="003845EC"/>
    <w:rsid w:val="0038524C"/>
    <w:rsid w:val="0039029D"/>
    <w:rsid w:val="003916C4"/>
    <w:rsid w:val="00391D2C"/>
    <w:rsid w:val="0039225A"/>
    <w:rsid w:val="0039363E"/>
    <w:rsid w:val="003A0AD5"/>
    <w:rsid w:val="003A613E"/>
    <w:rsid w:val="003A61D1"/>
    <w:rsid w:val="003A78A0"/>
    <w:rsid w:val="003B1D3C"/>
    <w:rsid w:val="003B2C9E"/>
    <w:rsid w:val="003B3352"/>
    <w:rsid w:val="003B4D08"/>
    <w:rsid w:val="003B5F60"/>
    <w:rsid w:val="003C33AA"/>
    <w:rsid w:val="003C3E93"/>
    <w:rsid w:val="003C70B5"/>
    <w:rsid w:val="003D18EC"/>
    <w:rsid w:val="003D2A13"/>
    <w:rsid w:val="003D381E"/>
    <w:rsid w:val="003E341F"/>
    <w:rsid w:val="003E69C5"/>
    <w:rsid w:val="003E763F"/>
    <w:rsid w:val="003F0ADE"/>
    <w:rsid w:val="003F0BBE"/>
    <w:rsid w:val="003F0FFC"/>
    <w:rsid w:val="003F266E"/>
    <w:rsid w:val="003F2FA5"/>
    <w:rsid w:val="003F5AD6"/>
    <w:rsid w:val="003F7166"/>
    <w:rsid w:val="003F79F8"/>
    <w:rsid w:val="00400333"/>
    <w:rsid w:val="00401124"/>
    <w:rsid w:val="00401752"/>
    <w:rsid w:val="00401917"/>
    <w:rsid w:val="004026D2"/>
    <w:rsid w:val="00403416"/>
    <w:rsid w:val="004105C5"/>
    <w:rsid w:val="00411066"/>
    <w:rsid w:val="00411BEA"/>
    <w:rsid w:val="0041473A"/>
    <w:rsid w:val="004162F1"/>
    <w:rsid w:val="0042500F"/>
    <w:rsid w:val="004250CF"/>
    <w:rsid w:val="00425600"/>
    <w:rsid w:val="004275B5"/>
    <w:rsid w:val="00427B60"/>
    <w:rsid w:val="004319B7"/>
    <w:rsid w:val="00436317"/>
    <w:rsid w:val="00436BF2"/>
    <w:rsid w:val="004409AB"/>
    <w:rsid w:val="00446458"/>
    <w:rsid w:val="00446F55"/>
    <w:rsid w:val="00451829"/>
    <w:rsid w:val="0045365F"/>
    <w:rsid w:val="00453FEE"/>
    <w:rsid w:val="00455418"/>
    <w:rsid w:val="00455FC2"/>
    <w:rsid w:val="004573D4"/>
    <w:rsid w:val="00460166"/>
    <w:rsid w:val="00461E66"/>
    <w:rsid w:val="00462321"/>
    <w:rsid w:val="0046267F"/>
    <w:rsid w:val="00463E3E"/>
    <w:rsid w:val="00465197"/>
    <w:rsid w:val="00465857"/>
    <w:rsid w:val="00466E61"/>
    <w:rsid w:val="00473287"/>
    <w:rsid w:val="00474D96"/>
    <w:rsid w:val="0047791C"/>
    <w:rsid w:val="00483DEB"/>
    <w:rsid w:val="0048596C"/>
    <w:rsid w:val="00485C48"/>
    <w:rsid w:val="004863CC"/>
    <w:rsid w:val="00487812"/>
    <w:rsid w:val="00487E4A"/>
    <w:rsid w:val="00494A68"/>
    <w:rsid w:val="00497898"/>
    <w:rsid w:val="004A44A6"/>
    <w:rsid w:val="004A4687"/>
    <w:rsid w:val="004B0361"/>
    <w:rsid w:val="004B0438"/>
    <w:rsid w:val="004B08F8"/>
    <w:rsid w:val="004B0C46"/>
    <w:rsid w:val="004B382B"/>
    <w:rsid w:val="004B3B7D"/>
    <w:rsid w:val="004B59A1"/>
    <w:rsid w:val="004C1C20"/>
    <w:rsid w:val="004C23A6"/>
    <w:rsid w:val="004C5EF1"/>
    <w:rsid w:val="004C6795"/>
    <w:rsid w:val="004D024B"/>
    <w:rsid w:val="004D0DD3"/>
    <w:rsid w:val="004D2185"/>
    <w:rsid w:val="004D3D1D"/>
    <w:rsid w:val="004D67D5"/>
    <w:rsid w:val="004E1405"/>
    <w:rsid w:val="004E22E4"/>
    <w:rsid w:val="004E2674"/>
    <w:rsid w:val="004E27AC"/>
    <w:rsid w:val="004E2AE1"/>
    <w:rsid w:val="004E4909"/>
    <w:rsid w:val="004E5DEE"/>
    <w:rsid w:val="004E7A7B"/>
    <w:rsid w:val="004F5535"/>
    <w:rsid w:val="004F5E0D"/>
    <w:rsid w:val="004F6835"/>
    <w:rsid w:val="004F683A"/>
    <w:rsid w:val="005002B4"/>
    <w:rsid w:val="0050108D"/>
    <w:rsid w:val="0050330B"/>
    <w:rsid w:val="00503511"/>
    <w:rsid w:val="00504542"/>
    <w:rsid w:val="00504DD7"/>
    <w:rsid w:val="0050560D"/>
    <w:rsid w:val="00506406"/>
    <w:rsid w:val="00511ED8"/>
    <w:rsid w:val="005128BF"/>
    <w:rsid w:val="0051389C"/>
    <w:rsid w:val="00514131"/>
    <w:rsid w:val="0052311D"/>
    <w:rsid w:val="0052372C"/>
    <w:rsid w:val="0052729A"/>
    <w:rsid w:val="005316D8"/>
    <w:rsid w:val="00533308"/>
    <w:rsid w:val="00533EDF"/>
    <w:rsid w:val="00535FFF"/>
    <w:rsid w:val="00545607"/>
    <w:rsid w:val="005457F7"/>
    <w:rsid w:val="005462A9"/>
    <w:rsid w:val="00547153"/>
    <w:rsid w:val="0054738F"/>
    <w:rsid w:val="005519DC"/>
    <w:rsid w:val="005524B4"/>
    <w:rsid w:val="00555186"/>
    <w:rsid w:val="00555794"/>
    <w:rsid w:val="00556672"/>
    <w:rsid w:val="00556DAA"/>
    <w:rsid w:val="0056281D"/>
    <w:rsid w:val="00572C32"/>
    <w:rsid w:val="00572E56"/>
    <w:rsid w:val="00576C24"/>
    <w:rsid w:val="005779CD"/>
    <w:rsid w:val="00580138"/>
    <w:rsid w:val="00580AA0"/>
    <w:rsid w:val="00582A7C"/>
    <w:rsid w:val="0058564E"/>
    <w:rsid w:val="00590AC6"/>
    <w:rsid w:val="005914C1"/>
    <w:rsid w:val="00592B02"/>
    <w:rsid w:val="00593BBF"/>
    <w:rsid w:val="005946C1"/>
    <w:rsid w:val="005A1A3D"/>
    <w:rsid w:val="005A6007"/>
    <w:rsid w:val="005B3BFA"/>
    <w:rsid w:val="005B5D2E"/>
    <w:rsid w:val="005C0FB7"/>
    <w:rsid w:val="005C1950"/>
    <w:rsid w:val="005C3356"/>
    <w:rsid w:val="005C4388"/>
    <w:rsid w:val="005D386A"/>
    <w:rsid w:val="005D4F22"/>
    <w:rsid w:val="005E2266"/>
    <w:rsid w:val="005E248E"/>
    <w:rsid w:val="005E396B"/>
    <w:rsid w:val="005E5185"/>
    <w:rsid w:val="005E6130"/>
    <w:rsid w:val="005E7011"/>
    <w:rsid w:val="005F01D0"/>
    <w:rsid w:val="005F18DC"/>
    <w:rsid w:val="005F2CC6"/>
    <w:rsid w:val="005F4529"/>
    <w:rsid w:val="005F5143"/>
    <w:rsid w:val="00601095"/>
    <w:rsid w:val="006011E8"/>
    <w:rsid w:val="006029EC"/>
    <w:rsid w:val="00604646"/>
    <w:rsid w:val="00610179"/>
    <w:rsid w:val="006162E1"/>
    <w:rsid w:val="006212BE"/>
    <w:rsid w:val="00621749"/>
    <w:rsid w:val="0062457C"/>
    <w:rsid w:val="00624B85"/>
    <w:rsid w:val="00624C3A"/>
    <w:rsid w:val="00630A45"/>
    <w:rsid w:val="00631325"/>
    <w:rsid w:val="00632B70"/>
    <w:rsid w:val="00634C04"/>
    <w:rsid w:val="006354AF"/>
    <w:rsid w:val="00636DC9"/>
    <w:rsid w:val="00637065"/>
    <w:rsid w:val="00640194"/>
    <w:rsid w:val="00640EA3"/>
    <w:rsid w:val="00641BA0"/>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49"/>
    <w:rsid w:val="006802F4"/>
    <w:rsid w:val="006815E1"/>
    <w:rsid w:val="0068161D"/>
    <w:rsid w:val="00681BC8"/>
    <w:rsid w:val="00684B31"/>
    <w:rsid w:val="00685A45"/>
    <w:rsid w:val="00690068"/>
    <w:rsid w:val="0069015A"/>
    <w:rsid w:val="00690BFF"/>
    <w:rsid w:val="00691964"/>
    <w:rsid w:val="00692B01"/>
    <w:rsid w:val="006964B8"/>
    <w:rsid w:val="006970F9"/>
    <w:rsid w:val="006976A7"/>
    <w:rsid w:val="006A079A"/>
    <w:rsid w:val="006A0C16"/>
    <w:rsid w:val="006A18BE"/>
    <w:rsid w:val="006A55D1"/>
    <w:rsid w:val="006A6193"/>
    <w:rsid w:val="006A786B"/>
    <w:rsid w:val="006B13A2"/>
    <w:rsid w:val="006B33B6"/>
    <w:rsid w:val="006B34CB"/>
    <w:rsid w:val="006B44E1"/>
    <w:rsid w:val="006B6F08"/>
    <w:rsid w:val="006B79DA"/>
    <w:rsid w:val="006C2981"/>
    <w:rsid w:val="006C4498"/>
    <w:rsid w:val="006C5CFA"/>
    <w:rsid w:val="006C6412"/>
    <w:rsid w:val="006C7A23"/>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4CC1"/>
    <w:rsid w:val="007054C9"/>
    <w:rsid w:val="00712CFC"/>
    <w:rsid w:val="007139F6"/>
    <w:rsid w:val="00714DF3"/>
    <w:rsid w:val="00717A36"/>
    <w:rsid w:val="007246FB"/>
    <w:rsid w:val="007257F0"/>
    <w:rsid w:val="00725D07"/>
    <w:rsid w:val="00725D88"/>
    <w:rsid w:val="00732106"/>
    <w:rsid w:val="007327B7"/>
    <w:rsid w:val="00732D57"/>
    <w:rsid w:val="00733558"/>
    <w:rsid w:val="00736F62"/>
    <w:rsid w:val="00741C05"/>
    <w:rsid w:val="00744C4C"/>
    <w:rsid w:val="007454E4"/>
    <w:rsid w:val="00746C8B"/>
    <w:rsid w:val="00747368"/>
    <w:rsid w:val="00750610"/>
    <w:rsid w:val="00750C12"/>
    <w:rsid w:val="00752209"/>
    <w:rsid w:val="00752B58"/>
    <w:rsid w:val="00752E33"/>
    <w:rsid w:val="007606B4"/>
    <w:rsid w:val="007610E4"/>
    <w:rsid w:val="00761B04"/>
    <w:rsid w:val="007622C4"/>
    <w:rsid w:val="00762B1F"/>
    <w:rsid w:val="00763B39"/>
    <w:rsid w:val="00764152"/>
    <w:rsid w:val="0077095B"/>
    <w:rsid w:val="00774AB4"/>
    <w:rsid w:val="0078046E"/>
    <w:rsid w:val="0078084B"/>
    <w:rsid w:val="00781BA5"/>
    <w:rsid w:val="00786F5B"/>
    <w:rsid w:val="00790714"/>
    <w:rsid w:val="007911D2"/>
    <w:rsid w:val="00791ABD"/>
    <w:rsid w:val="007927DB"/>
    <w:rsid w:val="00795B44"/>
    <w:rsid w:val="007A0245"/>
    <w:rsid w:val="007A1197"/>
    <w:rsid w:val="007A3545"/>
    <w:rsid w:val="007B1439"/>
    <w:rsid w:val="007B26D0"/>
    <w:rsid w:val="007B2E56"/>
    <w:rsid w:val="007B32EC"/>
    <w:rsid w:val="007B4046"/>
    <w:rsid w:val="007B4196"/>
    <w:rsid w:val="007B689D"/>
    <w:rsid w:val="007B73B3"/>
    <w:rsid w:val="007B76D2"/>
    <w:rsid w:val="007C058B"/>
    <w:rsid w:val="007C08B6"/>
    <w:rsid w:val="007C35AC"/>
    <w:rsid w:val="007C506A"/>
    <w:rsid w:val="007C567D"/>
    <w:rsid w:val="007C66CF"/>
    <w:rsid w:val="007C7D07"/>
    <w:rsid w:val="007D0127"/>
    <w:rsid w:val="007D19A0"/>
    <w:rsid w:val="007D1A0F"/>
    <w:rsid w:val="007D2ADE"/>
    <w:rsid w:val="007D586F"/>
    <w:rsid w:val="007D7A84"/>
    <w:rsid w:val="007D7F53"/>
    <w:rsid w:val="007E0AEB"/>
    <w:rsid w:val="007E2099"/>
    <w:rsid w:val="007E55B9"/>
    <w:rsid w:val="007E5B92"/>
    <w:rsid w:val="007E6323"/>
    <w:rsid w:val="007F39A4"/>
    <w:rsid w:val="007F6FAC"/>
    <w:rsid w:val="008028EC"/>
    <w:rsid w:val="00803CAE"/>
    <w:rsid w:val="00807FC3"/>
    <w:rsid w:val="00810B5E"/>
    <w:rsid w:val="0081127F"/>
    <w:rsid w:val="00811754"/>
    <w:rsid w:val="00813837"/>
    <w:rsid w:val="00814FF5"/>
    <w:rsid w:val="00815FFA"/>
    <w:rsid w:val="008207DF"/>
    <w:rsid w:val="0082283E"/>
    <w:rsid w:val="00822D8D"/>
    <w:rsid w:val="008251C8"/>
    <w:rsid w:val="00825D2E"/>
    <w:rsid w:val="008263BC"/>
    <w:rsid w:val="008271F7"/>
    <w:rsid w:val="008363AA"/>
    <w:rsid w:val="008370B9"/>
    <w:rsid w:val="00841E4B"/>
    <w:rsid w:val="00842339"/>
    <w:rsid w:val="008447F8"/>
    <w:rsid w:val="00844BC7"/>
    <w:rsid w:val="00847453"/>
    <w:rsid w:val="00847E80"/>
    <w:rsid w:val="00850173"/>
    <w:rsid w:val="00850303"/>
    <w:rsid w:val="008533E5"/>
    <w:rsid w:val="00853EB9"/>
    <w:rsid w:val="00854A5D"/>
    <w:rsid w:val="00855495"/>
    <w:rsid w:val="00855F7E"/>
    <w:rsid w:val="00857400"/>
    <w:rsid w:val="00857D6C"/>
    <w:rsid w:val="0086208A"/>
    <w:rsid w:val="008644F9"/>
    <w:rsid w:val="008675B0"/>
    <w:rsid w:val="008706AC"/>
    <w:rsid w:val="00875014"/>
    <w:rsid w:val="008756C8"/>
    <w:rsid w:val="0087581D"/>
    <w:rsid w:val="00875F23"/>
    <w:rsid w:val="008767D2"/>
    <w:rsid w:val="0087794F"/>
    <w:rsid w:val="0088159C"/>
    <w:rsid w:val="00894028"/>
    <w:rsid w:val="00894759"/>
    <w:rsid w:val="008949DB"/>
    <w:rsid w:val="00897753"/>
    <w:rsid w:val="008A3AFE"/>
    <w:rsid w:val="008A4378"/>
    <w:rsid w:val="008A4A89"/>
    <w:rsid w:val="008A5C3B"/>
    <w:rsid w:val="008A62E3"/>
    <w:rsid w:val="008B1B6F"/>
    <w:rsid w:val="008B26AE"/>
    <w:rsid w:val="008B3DEC"/>
    <w:rsid w:val="008B5BAC"/>
    <w:rsid w:val="008B5CDC"/>
    <w:rsid w:val="008C1793"/>
    <w:rsid w:val="008C2E90"/>
    <w:rsid w:val="008C72B9"/>
    <w:rsid w:val="008D0ACA"/>
    <w:rsid w:val="008D1A27"/>
    <w:rsid w:val="008D2310"/>
    <w:rsid w:val="008D40E2"/>
    <w:rsid w:val="008D64A1"/>
    <w:rsid w:val="008E059C"/>
    <w:rsid w:val="008E0A9A"/>
    <w:rsid w:val="008E14AA"/>
    <w:rsid w:val="008E2068"/>
    <w:rsid w:val="008E3AAD"/>
    <w:rsid w:val="008E74C2"/>
    <w:rsid w:val="008F0146"/>
    <w:rsid w:val="00900A1A"/>
    <w:rsid w:val="00901BB2"/>
    <w:rsid w:val="00904655"/>
    <w:rsid w:val="00904B95"/>
    <w:rsid w:val="009055B8"/>
    <w:rsid w:val="00905BB5"/>
    <w:rsid w:val="00905D46"/>
    <w:rsid w:val="00906376"/>
    <w:rsid w:val="00906736"/>
    <w:rsid w:val="00906A1A"/>
    <w:rsid w:val="00907E9F"/>
    <w:rsid w:val="00914212"/>
    <w:rsid w:val="0091542F"/>
    <w:rsid w:val="00915E68"/>
    <w:rsid w:val="009169AA"/>
    <w:rsid w:val="0092045F"/>
    <w:rsid w:val="009209D0"/>
    <w:rsid w:val="009211F8"/>
    <w:rsid w:val="00921D8C"/>
    <w:rsid w:val="009247BB"/>
    <w:rsid w:val="00925054"/>
    <w:rsid w:val="00930524"/>
    <w:rsid w:val="00931F43"/>
    <w:rsid w:val="00933D78"/>
    <w:rsid w:val="00934325"/>
    <w:rsid w:val="00934390"/>
    <w:rsid w:val="0093519F"/>
    <w:rsid w:val="00942E73"/>
    <w:rsid w:val="0094401D"/>
    <w:rsid w:val="009466CA"/>
    <w:rsid w:val="00950F35"/>
    <w:rsid w:val="0095111B"/>
    <w:rsid w:val="0095129F"/>
    <w:rsid w:val="00951885"/>
    <w:rsid w:val="00954231"/>
    <w:rsid w:val="00954ABD"/>
    <w:rsid w:val="0095570E"/>
    <w:rsid w:val="00955A7B"/>
    <w:rsid w:val="00960ED0"/>
    <w:rsid w:val="00962BFF"/>
    <w:rsid w:val="009634A2"/>
    <w:rsid w:val="00963A38"/>
    <w:rsid w:val="00965A0A"/>
    <w:rsid w:val="00970EC9"/>
    <w:rsid w:val="0097119D"/>
    <w:rsid w:val="00971E61"/>
    <w:rsid w:val="00973A82"/>
    <w:rsid w:val="009745E8"/>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6E"/>
    <w:rsid w:val="009B00FD"/>
    <w:rsid w:val="009B2EE6"/>
    <w:rsid w:val="009B5315"/>
    <w:rsid w:val="009B585B"/>
    <w:rsid w:val="009B6EE0"/>
    <w:rsid w:val="009B7AEA"/>
    <w:rsid w:val="009B7D15"/>
    <w:rsid w:val="009C0E4A"/>
    <w:rsid w:val="009C2B23"/>
    <w:rsid w:val="009C4555"/>
    <w:rsid w:val="009C4F96"/>
    <w:rsid w:val="009D0D06"/>
    <w:rsid w:val="009D1102"/>
    <w:rsid w:val="009D1333"/>
    <w:rsid w:val="009D1420"/>
    <w:rsid w:val="009D3614"/>
    <w:rsid w:val="009D41C7"/>
    <w:rsid w:val="009D4441"/>
    <w:rsid w:val="009D546D"/>
    <w:rsid w:val="009D620E"/>
    <w:rsid w:val="009D639C"/>
    <w:rsid w:val="009D7154"/>
    <w:rsid w:val="009D74C4"/>
    <w:rsid w:val="009E0E71"/>
    <w:rsid w:val="009E2E0D"/>
    <w:rsid w:val="009E3532"/>
    <w:rsid w:val="009E3CAF"/>
    <w:rsid w:val="009E4A70"/>
    <w:rsid w:val="009E5B2C"/>
    <w:rsid w:val="009F0D8B"/>
    <w:rsid w:val="009F18D3"/>
    <w:rsid w:val="009F19BC"/>
    <w:rsid w:val="009F2CC7"/>
    <w:rsid w:val="009F7FF2"/>
    <w:rsid w:val="00A00CD2"/>
    <w:rsid w:val="00A012A5"/>
    <w:rsid w:val="00A021DB"/>
    <w:rsid w:val="00A03FCD"/>
    <w:rsid w:val="00A07056"/>
    <w:rsid w:val="00A07754"/>
    <w:rsid w:val="00A10ABB"/>
    <w:rsid w:val="00A15F1C"/>
    <w:rsid w:val="00A17F13"/>
    <w:rsid w:val="00A24782"/>
    <w:rsid w:val="00A25F32"/>
    <w:rsid w:val="00A270D4"/>
    <w:rsid w:val="00A2753A"/>
    <w:rsid w:val="00A27E14"/>
    <w:rsid w:val="00A31AB7"/>
    <w:rsid w:val="00A31DE5"/>
    <w:rsid w:val="00A32AB9"/>
    <w:rsid w:val="00A342A9"/>
    <w:rsid w:val="00A402A6"/>
    <w:rsid w:val="00A44A4C"/>
    <w:rsid w:val="00A463EB"/>
    <w:rsid w:val="00A47EA9"/>
    <w:rsid w:val="00A51F28"/>
    <w:rsid w:val="00A5418F"/>
    <w:rsid w:val="00A61ECA"/>
    <w:rsid w:val="00A62346"/>
    <w:rsid w:val="00A63958"/>
    <w:rsid w:val="00A63C8C"/>
    <w:rsid w:val="00A666E3"/>
    <w:rsid w:val="00A6704D"/>
    <w:rsid w:val="00A767F1"/>
    <w:rsid w:val="00A801B9"/>
    <w:rsid w:val="00A81062"/>
    <w:rsid w:val="00A84129"/>
    <w:rsid w:val="00A85A74"/>
    <w:rsid w:val="00A8664B"/>
    <w:rsid w:val="00A91730"/>
    <w:rsid w:val="00A9606C"/>
    <w:rsid w:val="00AA750F"/>
    <w:rsid w:val="00AB0C7B"/>
    <w:rsid w:val="00AB15F0"/>
    <w:rsid w:val="00AB7E4E"/>
    <w:rsid w:val="00AC2BFE"/>
    <w:rsid w:val="00AC5788"/>
    <w:rsid w:val="00AC6331"/>
    <w:rsid w:val="00AD1AB3"/>
    <w:rsid w:val="00AD2B8A"/>
    <w:rsid w:val="00AD35E9"/>
    <w:rsid w:val="00AD5497"/>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132C0"/>
    <w:rsid w:val="00B22161"/>
    <w:rsid w:val="00B239B0"/>
    <w:rsid w:val="00B2601F"/>
    <w:rsid w:val="00B262B8"/>
    <w:rsid w:val="00B27184"/>
    <w:rsid w:val="00B31AB3"/>
    <w:rsid w:val="00B322D3"/>
    <w:rsid w:val="00B33CCF"/>
    <w:rsid w:val="00B35C95"/>
    <w:rsid w:val="00B418DB"/>
    <w:rsid w:val="00B431C8"/>
    <w:rsid w:val="00B4631D"/>
    <w:rsid w:val="00B475AA"/>
    <w:rsid w:val="00B47CB8"/>
    <w:rsid w:val="00B50C88"/>
    <w:rsid w:val="00B520BF"/>
    <w:rsid w:val="00B54F4F"/>
    <w:rsid w:val="00B5514A"/>
    <w:rsid w:val="00B571E3"/>
    <w:rsid w:val="00B576D2"/>
    <w:rsid w:val="00B628A4"/>
    <w:rsid w:val="00B65253"/>
    <w:rsid w:val="00B65EB9"/>
    <w:rsid w:val="00B6672B"/>
    <w:rsid w:val="00B6747F"/>
    <w:rsid w:val="00B72A25"/>
    <w:rsid w:val="00B737DF"/>
    <w:rsid w:val="00B73B5E"/>
    <w:rsid w:val="00B7443B"/>
    <w:rsid w:val="00B77AF7"/>
    <w:rsid w:val="00B835EC"/>
    <w:rsid w:val="00B84FAE"/>
    <w:rsid w:val="00B8728E"/>
    <w:rsid w:val="00B903BC"/>
    <w:rsid w:val="00B92BD0"/>
    <w:rsid w:val="00BA01FB"/>
    <w:rsid w:val="00BA0E48"/>
    <w:rsid w:val="00BA10D2"/>
    <w:rsid w:val="00BA1594"/>
    <w:rsid w:val="00BA1872"/>
    <w:rsid w:val="00BA592E"/>
    <w:rsid w:val="00BB1032"/>
    <w:rsid w:val="00BB33BB"/>
    <w:rsid w:val="00BB3AF2"/>
    <w:rsid w:val="00BB50A7"/>
    <w:rsid w:val="00BB75F2"/>
    <w:rsid w:val="00BB798F"/>
    <w:rsid w:val="00BC4BFF"/>
    <w:rsid w:val="00BC60FF"/>
    <w:rsid w:val="00BC67AA"/>
    <w:rsid w:val="00BC721E"/>
    <w:rsid w:val="00BC7FBF"/>
    <w:rsid w:val="00BD0862"/>
    <w:rsid w:val="00BD3432"/>
    <w:rsid w:val="00BD3A75"/>
    <w:rsid w:val="00BD402D"/>
    <w:rsid w:val="00BD5CAA"/>
    <w:rsid w:val="00BD76A0"/>
    <w:rsid w:val="00BD7E8B"/>
    <w:rsid w:val="00BE10A8"/>
    <w:rsid w:val="00BE1CF3"/>
    <w:rsid w:val="00BE2B3D"/>
    <w:rsid w:val="00BE3E3D"/>
    <w:rsid w:val="00BE413C"/>
    <w:rsid w:val="00BE45E7"/>
    <w:rsid w:val="00BE5531"/>
    <w:rsid w:val="00BE580E"/>
    <w:rsid w:val="00BE7BD9"/>
    <w:rsid w:val="00BF0A01"/>
    <w:rsid w:val="00BF349E"/>
    <w:rsid w:val="00BF440B"/>
    <w:rsid w:val="00BF60A6"/>
    <w:rsid w:val="00BF6BB7"/>
    <w:rsid w:val="00BF71E3"/>
    <w:rsid w:val="00C01287"/>
    <w:rsid w:val="00C06930"/>
    <w:rsid w:val="00C07F67"/>
    <w:rsid w:val="00C123C0"/>
    <w:rsid w:val="00C12B16"/>
    <w:rsid w:val="00C132B9"/>
    <w:rsid w:val="00C14119"/>
    <w:rsid w:val="00C1467A"/>
    <w:rsid w:val="00C23053"/>
    <w:rsid w:val="00C235F3"/>
    <w:rsid w:val="00C26423"/>
    <w:rsid w:val="00C27183"/>
    <w:rsid w:val="00C273E3"/>
    <w:rsid w:val="00C31B09"/>
    <w:rsid w:val="00C327A1"/>
    <w:rsid w:val="00C372E4"/>
    <w:rsid w:val="00C40C12"/>
    <w:rsid w:val="00C431F3"/>
    <w:rsid w:val="00C433ED"/>
    <w:rsid w:val="00C45D55"/>
    <w:rsid w:val="00C4622B"/>
    <w:rsid w:val="00C473D5"/>
    <w:rsid w:val="00C478E6"/>
    <w:rsid w:val="00C53377"/>
    <w:rsid w:val="00C548C2"/>
    <w:rsid w:val="00C570FB"/>
    <w:rsid w:val="00C57D6B"/>
    <w:rsid w:val="00C619EB"/>
    <w:rsid w:val="00C655B7"/>
    <w:rsid w:val="00C65AFB"/>
    <w:rsid w:val="00C66380"/>
    <w:rsid w:val="00C70277"/>
    <w:rsid w:val="00C70BD5"/>
    <w:rsid w:val="00C71D4D"/>
    <w:rsid w:val="00C74110"/>
    <w:rsid w:val="00C74925"/>
    <w:rsid w:val="00C77120"/>
    <w:rsid w:val="00C8086E"/>
    <w:rsid w:val="00C843D2"/>
    <w:rsid w:val="00C845E1"/>
    <w:rsid w:val="00C84B7C"/>
    <w:rsid w:val="00C92E6D"/>
    <w:rsid w:val="00C93BE7"/>
    <w:rsid w:val="00C940B7"/>
    <w:rsid w:val="00C96238"/>
    <w:rsid w:val="00CA1463"/>
    <w:rsid w:val="00CA3B60"/>
    <w:rsid w:val="00CA3F99"/>
    <w:rsid w:val="00CA4930"/>
    <w:rsid w:val="00CA4AA5"/>
    <w:rsid w:val="00CB095F"/>
    <w:rsid w:val="00CB142F"/>
    <w:rsid w:val="00CB46B8"/>
    <w:rsid w:val="00CB7E81"/>
    <w:rsid w:val="00CC0E30"/>
    <w:rsid w:val="00CC0FC0"/>
    <w:rsid w:val="00CC304B"/>
    <w:rsid w:val="00CC3922"/>
    <w:rsid w:val="00CC3B03"/>
    <w:rsid w:val="00CC5ACB"/>
    <w:rsid w:val="00CC5E64"/>
    <w:rsid w:val="00CD1EB9"/>
    <w:rsid w:val="00CE1B21"/>
    <w:rsid w:val="00CE47D0"/>
    <w:rsid w:val="00CE6167"/>
    <w:rsid w:val="00CE639C"/>
    <w:rsid w:val="00CF3FBA"/>
    <w:rsid w:val="00CF4C2C"/>
    <w:rsid w:val="00CF52CA"/>
    <w:rsid w:val="00CF6A41"/>
    <w:rsid w:val="00CF6D4A"/>
    <w:rsid w:val="00CF7C7D"/>
    <w:rsid w:val="00D00397"/>
    <w:rsid w:val="00D0310B"/>
    <w:rsid w:val="00D042B1"/>
    <w:rsid w:val="00D044D9"/>
    <w:rsid w:val="00D10522"/>
    <w:rsid w:val="00D11BAE"/>
    <w:rsid w:val="00D13CDA"/>
    <w:rsid w:val="00D14F54"/>
    <w:rsid w:val="00D155B1"/>
    <w:rsid w:val="00D22F3F"/>
    <w:rsid w:val="00D301B7"/>
    <w:rsid w:val="00D3052C"/>
    <w:rsid w:val="00D316D0"/>
    <w:rsid w:val="00D31709"/>
    <w:rsid w:val="00D3318A"/>
    <w:rsid w:val="00D345F0"/>
    <w:rsid w:val="00D373A4"/>
    <w:rsid w:val="00D40B41"/>
    <w:rsid w:val="00D415F7"/>
    <w:rsid w:val="00D45D94"/>
    <w:rsid w:val="00D52D5C"/>
    <w:rsid w:val="00D5450A"/>
    <w:rsid w:val="00D55B2D"/>
    <w:rsid w:val="00D6070F"/>
    <w:rsid w:val="00D60AD5"/>
    <w:rsid w:val="00D6347B"/>
    <w:rsid w:val="00D64F0F"/>
    <w:rsid w:val="00D65EEB"/>
    <w:rsid w:val="00D66427"/>
    <w:rsid w:val="00D6651A"/>
    <w:rsid w:val="00D67691"/>
    <w:rsid w:val="00D67E67"/>
    <w:rsid w:val="00D742F5"/>
    <w:rsid w:val="00D74976"/>
    <w:rsid w:val="00D75D41"/>
    <w:rsid w:val="00D80790"/>
    <w:rsid w:val="00D82567"/>
    <w:rsid w:val="00D83F89"/>
    <w:rsid w:val="00D85A8C"/>
    <w:rsid w:val="00D85DBD"/>
    <w:rsid w:val="00D87313"/>
    <w:rsid w:val="00D879E2"/>
    <w:rsid w:val="00D9080F"/>
    <w:rsid w:val="00D922B0"/>
    <w:rsid w:val="00D9260A"/>
    <w:rsid w:val="00D9262D"/>
    <w:rsid w:val="00D94E36"/>
    <w:rsid w:val="00D96C05"/>
    <w:rsid w:val="00DA11D7"/>
    <w:rsid w:val="00DA13C8"/>
    <w:rsid w:val="00DA196B"/>
    <w:rsid w:val="00DB12D6"/>
    <w:rsid w:val="00DB271D"/>
    <w:rsid w:val="00DB27B3"/>
    <w:rsid w:val="00DB37EE"/>
    <w:rsid w:val="00DB649F"/>
    <w:rsid w:val="00DB67D0"/>
    <w:rsid w:val="00DB680A"/>
    <w:rsid w:val="00DB7D35"/>
    <w:rsid w:val="00DC00AD"/>
    <w:rsid w:val="00DC0706"/>
    <w:rsid w:val="00DC0797"/>
    <w:rsid w:val="00DC1FD5"/>
    <w:rsid w:val="00DC211C"/>
    <w:rsid w:val="00DC5424"/>
    <w:rsid w:val="00DC5554"/>
    <w:rsid w:val="00DC632E"/>
    <w:rsid w:val="00DD384E"/>
    <w:rsid w:val="00DD3F94"/>
    <w:rsid w:val="00DE16DB"/>
    <w:rsid w:val="00DE2E43"/>
    <w:rsid w:val="00DE3D93"/>
    <w:rsid w:val="00DE4E76"/>
    <w:rsid w:val="00DF0217"/>
    <w:rsid w:val="00DF2536"/>
    <w:rsid w:val="00DF5504"/>
    <w:rsid w:val="00DF6875"/>
    <w:rsid w:val="00E01533"/>
    <w:rsid w:val="00E01536"/>
    <w:rsid w:val="00E01BE0"/>
    <w:rsid w:val="00E02DF5"/>
    <w:rsid w:val="00E03BEC"/>
    <w:rsid w:val="00E06FF4"/>
    <w:rsid w:val="00E10146"/>
    <w:rsid w:val="00E139D5"/>
    <w:rsid w:val="00E147C0"/>
    <w:rsid w:val="00E153CD"/>
    <w:rsid w:val="00E210E6"/>
    <w:rsid w:val="00E231B0"/>
    <w:rsid w:val="00E23A4B"/>
    <w:rsid w:val="00E23F58"/>
    <w:rsid w:val="00E25381"/>
    <w:rsid w:val="00E31B1B"/>
    <w:rsid w:val="00E31EBA"/>
    <w:rsid w:val="00E32FCE"/>
    <w:rsid w:val="00E33991"/>
    <w:rsid w:val="00E37528"/>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7C4"/>
    <w:rsid w:val="00E5795E"/>
    <w:rsid w:val="00E57CF1"/>
    <w:rsid w:val="00E64A88"/>
    <w:rsid w:val="00E64D4B"/>
    <w:rsid w:val="00E66E71"/>
    <w:rsid w:val="00E677D1"/>
    <w:rsid w:val="00E7182C"/>
    <w:rsid w:val="00E728B0"/>
    <w:rsid w:val="00E80DB2"/>
    <w:rsid w:val="00E8325C"/>
    <w:rsid w:val="00E85A25"/>
    <w:rsid w:val="00E918AE"/>
    <w:rsid w:val="00E9484C"/>
    <w:rsid w:val="00E94AB6"/>
    <w:rsid w:val="00E96016"/>
    <w:rsid w:val="00E975F7"/>
    <w:rsid w:val="00EA24BA"/>
    <w:rsid w:val="00EA5AA8"/>
    <w:rsid w:val="00EA60B7"/>
    <w:rsid w:val="00EA6204"/>
    <w:rsid w:val="00EA73DA"/>
    <w:rsid w:val="00EB0E80"/>
    <w:rsid w:val="00EB1B22"/>
    <w:rsid w:val="00EB25EE"/>
    <w:rsid w:val="00EB50E3"/>
    <w:rsid w:val="00EC0C7A"/>
    <w:rsid w:val="00EC3E17"/>
    <w:rsid w:val="00ED0580"/>
    <w:rsid w:val="00ED419A"/>
    <w:rsid w:val="00ED542F"/>
    <w:rsid w:val="00ED5B9C"/>
    <w:rsid w:val="00ED7C90"/>
    <w:rsid w:val="00EE0D55"/>
    <w:rsid w:val="00EE4894"/>
    <w:rsid w:val="00EF0EA4"/>
    <w:rsid w:val="00EF437B"/>
    <w:rsid w:val="00EF7864"/>
    <w:rsid w:val="00EF7FE7"/>
    <w:rsid w:val="00F00B9E"/>
    <w:rsid w:val="00F0357E"/>
    <w:rsid w:val="00F03B12"/>
    <w:rsid w:val="00F0514F"/>
    <w:rsid w:val="00F05330"/>
    <w:rsid w:val="00F07F4E"/>
    <w:rsid w:val="00F10155"/>
    <w:rsid w:val="00F114B8"/>
    <w:rsid w:val="00F15F70"/>
    <w:rsid w:val="00F16F0A"/>
    <w:rsid w:val="00F21B0D"/>
    <w:rsid w:val="00F22676"/>
    <w:rsid w:val="00F2530E"/>
    <w:rsid w:val="00F33DAB"/>
    <w:rsid w:val="00F350BD"/>
    <w:rsid w:val="00F35A84"/>
    <w:rsid w:val="00F37092"/>
    <w:rsid w:val="00F40EFA"/>
    <w:rsid w:val="00F42562"/>
    <w:rsid w:val="00F42654"/>
    <w:rsid w:val="00F42D43"/>
    <w:rsid w:val="00F45467"/>
    <w:rsid w:val="00F45962"/>
    <w:rsid w:val="00F503D2"/>
    <w:rsid w:val="00F506CB"/>
    <w:rsid w:val="00F62F2B"/>
    <w:rsid w:val="00F66797"/>
    <w:rsid w:val="00F66E35"/>
    <w:rsid w:val="00F67E19"/>
    <w:rsid w:val="00F70371"/>
    <w:rsid w:val="00F71A40"/>
    <w:rsid w:val="00F758BC"/>
    <w:rsid w:val="00F767AC"/>
    <w:rsid w:val="00F76AF1"/>
    <w:rsid w:val="00F8747F"/>
    <w:rsid w:val="00F901D9"/>
    <w:rsid w:val="00F90A64"/>
    <w:rsid w:val="00F91441"/>
    <w:rsid w:val="00F91AAB"/>
    <w:rsid w:val="00F94263"/>
    <w:rsid w:val="00FA1599"/>
    <w:rsid w:val="00FA20EC"/>
    <w:rsid w:val="00FA6F1C"/>
    <w:rsid w:val="00FA7EFD"/>
    <w:rsid w:val="00FB0F82"/>
    <w:rsid w:val="00FB670B"/>
    <w:rsid w:val="00FB783B"/>
    <w:rsid w:val="00FC1E33"/>
    <w:rsid w:val="00FC5387"/>
    <w:rsid w:val="00FC7193"/>
    <w:rsid w:val="00FD271B"/>
    <w:rsid w:val="00FD4668"/>
    <w:rsid w:val="00FD64B5"/>
    <w:rsid w:val="00FD6FEE"/>
    <w:rsid w:val="00FD7BA9"/>
    <w:rsid w:val="00FE5671"/>
    <w:rsid w:val="00FE7E69"/>
    <w:rsid w:val="00FF2C55"/>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B9E"/>
    <w:pPr>
      <w:spacing w:line="360" w:lineRule="auto"/>
      <w:jc w:val="both"/>
    </w:pPr>
    <w:rPr>
      <w:rFonts w:ascii="Arial" w:hAnsi="Arial"/>
    </w:rPr>
  </w:style>
  <w:style w:type="paragraph" w:styleId="Heading1">
    <w:name w:val="heading 1"/>
    <w:basedOn w:val="Normal"/>
    <w:next w:val="Normal"/>
    <w:link w:val="Heading1Char"/>
    <w:autoRedefine/>
    <w:uiPriority w:val="9"/>
    <w:qFormat/>
    <w:rsid w:val="002A7377"/>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BD3432"/>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EA73DA"/>
    <w:pPr>
      <w:keepNext/>
      <w:keepLines/>
      <w:numPr>
        <w:ilvl w:val="2"/>
        <w:numId w:val="3"/>
      </w:numPr>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DA196B"/>
    <w:pPr>
      <w:keepNext/>
      <w:keepLines/>
      <w:spacing w:before="80" w:after="40" w:line="240" w:lineRule="auto"/>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377"/>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BD3432"/>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EA73D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DA196B"/>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5324449">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3400569">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9761926">
      <w:bodyDiv w:val="1"/>
      <w:marLeft w:val="0"/>
      <w:marRight w:val="0"/>
      <w:marTop w:val="0"/>
      <w:marBottom w:val="0"/>
      <w:divBdr>
        <w:top w:val="none" w:sz="0" w:space="0" w:color="auto"/>
        <w:left w:val="none" w:sz="0" w:space="0" w:color="auto"/>
        <w:bottom w:val="none" w:sz="0" w:space="0" w:color="auto"/>
        <w:right w:val="none" w:sz="0" w:space="0" w:color="auto"/>
      </w:divBdr>
    </w:div>
    <w:div w:id="127746934">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6143646">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29729684">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64265163">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0668885">
      <w:bodyDiv w:val="1"/>
      <w:marLeft w:val="0"/>
      <w:marRight w:val="0"/>
      <w:marTop w:val="0"/>
      <w:marBottom w:val="0"/>
      <w:divBdr>
        <w:top w:val="none" w:sz="0" w:space="0" w:color="auto"/>
        <w:left w:val="none" w:sz="0" w:space="0" w:color="auto"/>
        <w:bottom w:val="none" w:sz="0" w:space="0" w:color="auto"/>
        <w:right w:val="none" w:sz="0" w:space="0" w:color="auto"/>
      </w:divBdr>
    </w:div>
    <w:div w:id="296760518">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08360707">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4094365">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32559305">
      <w:bodyDiv w:val="1"/>
      <w:marLeft w:val="0"/>
      <w:marRight w:val="0"/>
      <w:marTop w:val="0"/>
      <w:marBottom w:val="0"/>
      <w:divBdr>
        <w:top w:val="none" w:sz="0" w:space="0" w:color="auto"/>
        <w:left w:val="none" w:sz="0" w:space="0" w:color="auto"/>
        <w:bottom w:val="none" w:sz="0" w:space="0" w:color="auto"/>
        <w:right w:val="none" w:sz="0" w:space="0" w:color="auto"/>
      </w:divBdr>
    </w:div>
    <w:div w:id="436565264">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53445052">
      <w:bodyDiv w:val="1"/>
      <w:marLeft w:val="0"/>
      <w:marRight w:val="0"/>
      <w:marTop w:val="0"/>
      <w:marBottom w:val="0"/>
      <w:divBdr>
        <w:top w:val="none" w:sz="0" w:space="0" w:color="auto"/>
        <w:left w:val="none" w:sz="0" w:space="0" w:color="auto"/>
        <w:bottom w:val="none" w:sz="0" w:space="0" w:color="auto"/>
        <w:right w:val="none" w:sz="0" w:space="0" w:color="auto"/>
      </w:divBdr>
    </w:div>
    <w:div w:id="464155475">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9346227">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9337517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9972053">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0772260">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7146811">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1536302">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381710">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10906265">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259082">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2319122">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01935950">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51032560">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0700105">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2373974">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780570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1208905">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2955171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1493444">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6074060">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1092494">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4699979">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44720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2758097">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188574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6368117">
      <w:bodyDiv w:val="1"/>
      <w:marLeft w:val="0"/>
      <w:marRight w:val="0"/>
      <w:marTop w:val="0"/>
      <w:marBottom w:val="0"/>
      <w:divBdr>
        <w:top w:val="none" w:sz="0" w:space="0" w:color="auto"/>
        <w:left w:val="none" w:sz="0" w:space="0" w:color="auto"/>
        <w:bottom w:val="none" w:sz="0" w:space="0" w:color="auto"/>
        <w:right w:val="none" w:sz="0" w:space="0" w:color="auto"/>
      </w:divBdr>
    </w:div>
    <w:div w:id="1751734604">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2726903">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790378">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70276884">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57047659">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20449750">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bin"/><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footer" Target="footer1.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eader" Target="header4.xml"/><Relationship Id="rId40"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package" Target="embeddings/Microsoft_Word_Document.docx"/><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header" Target="header2.xml"/><Relationship Id="rId19" Type="http://schemas.microsoft.com/office/2007/relationships/hdphoto" Target="media/hdphoto1.wdp"/><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emf"/><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bin"/><Relationship Id="rId17" Type="http://schemas.openxmlformats.org/officeDocument/2006/relationships/package" Target="embeddings/Microsoft_PowerPoint_Presentation.pptx"/><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03_Rose_NIST</b:Tag>
    <b:SourceType>Report</b:SourceType>
    <b:Guid>{00000003-0000-0000-0000-000000000003}</b:Guid>
    <b:Author>
      <b:Author>
        <b:NameList>
          <b:Person>
            <b:Last>Rose</b:Last>
            <b:First>S.</b:First>
          </b:Person>
          <b:Person>
            <b:Last>Borchert</b:Last>
            <b:First>O.</b:First>
          </b:Person>
          <b:Person>
            <b:Last>Mitchell</b:Last>
            <b:First>S.</b:First>
          </b:Person>
          <b:Person>
            <b:Last>Connelly</b:Last>
            <b:First>S.</b:First>
          </b:Person>
        </b:NameList>
      </b:Author>
    </b:Author>
    <b:Title>Zero Trust Architecture</b:Title>
    <b:StandardNumber>NIST SP 800-207</b:StandardNumber>
    <b:Year>2020</b:Year>
    <b:Month>Aug</b:Month>
    <b:RefOrder>3</b:RefOrder>
  </b:Source>
  <b:Source>
    <b:Tag>09_CISA_ZTMM</b:Tag>
    <b:SourceType>Report</b:SourceType>
    <b:Guid>{00000009-0000-0000-0000-000000000009}</b:Guid>
    <b:Author>
      <b:Corporate>CISA</b:Corporate>
    </b:Author>
    <b:Title>Zero Trust Maturity Model Version 2.0</b:Title>
    <b:Publisher>Cybersecurity and Infrastructure Security Agency</b:Publisher>
    <b:Year>2023</b:Year>
    <b:Month>Apr</b:Month>
    <b:RefOrder>9</b:RefOrder>
  </b:Source>
  <b:Source>
    <b:Tag>24_Forrester</b:Tag>
    <b:SourceType>Report</b:SourceType>
    <b:Guid>{00000024-0000-0000-0000-000000000024}</b:Guid>
    <b:Author>
      <b:Corporate>Forrester Research</b:Corporate>
    </b:Author>
    <b:Title>The Total Economic Impact of Zero Trust</b:Title>
    <b:Publisher>Forrester Research Inc.</b:Publisher>
    <b:City>Cambridge, MA</b:City>
    <b:Year>2024</b:Year>
    <b:RefOrder>24</b:RefOrder>
  </b:Source>
  <b:Source>
    <b:Tag>02_Sophos</b:Tag>
    <b:SourceType>Report</b:SourceType>
    <b:Guid>{00000002-0000-0000-0000-000000000002}</b:Guid>
    <b:Author>
      <b:Corporate>Sophos</b:Corporate>
    </b:Author>
    <b:Title>The State of Ransomware in Financial Services 2024</b:Title>
    <b:Publisher>Sophos Ltd.</b:Publisher>
    <b:City>Oxford, UK</b:City>
    <b:Year>2024</b:Year>
    <b:Month>Apr</b:Month>
    <b:RefOrder>2</b:RefOrder>
  </b:Source>
  <b:Source>
    <b:Tag>19_Ponemon</b:Tag>
    <b:SourceType>Report</b:SourceType>
    <b:Guid>{00000019-0000-0000-0000-000000000019}</b:Guid>
    <b:Author>
      <b:Corporate>Ponemon Institute</b:Corporate>
    </b:Author>
    <b:Title>The ROI of Security Awareness Training</b:Title>
    <b:Publisher>Ponemon Institute LLC</b:Publisher>
    <b:Year>2023</b:Year>
    <b:RefOrder>19</b:RefOrder>
  </b:Source>
  <b:Source>
    <b:Tag>23_Keepnet</b:Tag>
    <b:SourceType>Report</b:SourceType>
    <b:Guid>{00000023-0000-0000-0000-000000000023}</b:Guid>
    <b:Author>
      <b:Corporate>Keepnet Labs</b:Corporate>
    </b:Author>
    <b:Title>The Power of Gamification in Security Awareness Training</b:Title>
    <b:Publisher>Keepnet Labs</b:Publisher>
    <b:City>London, UK</b:City>
    <b:Year>2024</b:Year>
    <b:RefOrder>23</b:RefOrder>
  </b:Source>
  <b:Source>
    <b:Tag>07_Hiya</b:Tag>
    <b:SourceType>Report</b:SourceType>
    <b:Guid>{00000007-0000-0000-0000-000000000007}</b:Guid>
    <b:Author>
      <b:Corporate>Hiya</b:Corporate>
    </b:Author>
    <b:Title>State of the Call 2024 Report</b:Title>
    <b:Publisher>Hiya Inc.</b:Publisher>
    <b:City>Seattle, WA</b:City>
    <b:Year>2024</b:Year>
    <b:RefOrder>7</b:RefOrder>
  </b:Source>
  <b:Source>
    <b:Tag>17_FTC</b:Tag>
    <b:SourceType>Report</b:SourceType>
    <b:Guid>{00000017-0000-0000-0000-000000000017}</b:Guid>
    <b:Author>
      <b:Corporate>FTC</b:Corporate>
    </b:Author>
    <b:Title>Standards for Safeguarding Customer Information (Safeguards Rule)</b:Title>
    <b:StandardNumber>16 CFR Part 314</b:StandardNumber>
    <b:Comments>Amended</b:Comments>
    <b:Year>2023</b:Year>
    <b:Month>Oct</b:Month>
    <b:RefOrder>17</b:RefOrder>
  </b:Source>
  <b:Source>
    <b:Tag>08_Emsisoft</b:Tag>
    <b:SourceType>Report</b:SourceType>
    <b:Guid>{00000008-0000-0000-0000-000000000008}</b:Guid>
    <b:Author>
      <b:Corporate>Emsisoft</b:Corporate>
    </b:Author>
    <b:Title>MOVEit Breach: 2,773 Organizations and 93.3 Million People Affected</b:Title>
    <b:Year>2023</b:Year>
    <b:Month>Dec</b:Month>
    <b:RefOrder>8</b:RefOrder>
  </b:Source>
  <b:Source>
    <b:Tag>11_Gartner_SOAR</b:Tag>
    <b:SourceType>Report</b:SourceType>
    <b:Guid>{00000011-0000-0000-0000-000000000011}</b:Guid>
    <b:Author>
      <b:Corporate>Gartner</b:Corporate>
    </b:Author>
    <b:Title>Market Guide for Security Orchestration, Automation and Response Solutions</b:Title>
    <b:Year>2024</b:Year>
    <b:RefOrder>11</b:RefOrder>
  </b:Source>
  <b:Source>
    <b:Tag>12_Gartner_EDR</b:Tag>
    <b:SourceType>Report</b:SourceType>
    <b:Guid>{00000012-0000-0000-0000-000000000012}</b:Guid>
    <b:Author>
      <b:Corporate>Gartner</b:Corporate>
    </b:Author>
    <b:Title>Market Guide for Endpoint Detection and Response Solutions</b:Title>
    <b:Year>2023</b:Year>
    <b:Month>Dec</b:Month>
    <b:RefOrder>12</b:RefOrder>
  </b:Source>
  <b:Source>
    <b:Tag>20_NACD</b:Tag>
    <b:SourceType>Report</b:SourceType>
    <b:Guid>{00000020-0000-0000-0000-000000000020}</b:Guid>
    <b:Author>
      <b:Corporate>NACD</b:Corporate>
    </b:Author>
    <b:Title>Director's Handbook on Cyber-Risk Oversight</b:Title>
    <b:Publisher>National Association of Corporate Directors</b:Publisher>
    <b:Year>2023</b:Year>
    <b:RefOrder>20</b:RefOrder>
  </b:Source>
  <b:Source>
    <b:Tag>04_SEC</b:Tag>
    <b:SourceType>Report</b:SourceType>
    <b:Guid>{00000004-0000-0000-0000-000000000004}</b:Guid>
    <b:Author>
      <b:Corporate>U.S. SEC</b:Corporate>
    </b:Author>
    <b:Title>Cybersecurity Risk Management, Strategy, Governance, and Incident Disclosure</b:Title>
    <b:Comments>Final Rule</b:Comments>
    <b:Year>2023</b:Year>
    <b:Month>Jul</b:Month>
    <b:RefOrder>4</b:RefOrder>
  </b:Source>
  <b:Source>
    <b:Tag>01_IBM_Security</b:Tag>
    <b:SourceType>Report</b:SourceType>
    <b:Guid>{00000001-0000-0000-0000-000000000001}</b:Guid>
    <b:Author>
      <b:Corporate>IBM Security</b:Corporate>
    </b:Author>
    <b:Title>Cost of a Data Breach Report 2024</b:Title>
    <b:Publisher>IBM Corporation</b:Publisher>
    <b:City>Armonk, NY</b:City>
    <b:Year>2024</b:Year>
    <b:Month>Jul</b:Month>
    <b:RefOrder>1</b:RefOrder>
  </b:Source>
  <b:Source>
    <b:Tag>10_CISA_SIEM</b:Tag>
    <b:SourceType>Report</b:SourceType>
    <b:Guid>{00000010-0000-0000-0000-000000000010}</b:Guid>
    <b:Author>
      <b:Corporate>CISA</b:Corporate>
    </b:Author>
    <b:Title>Best Practices for SIEM Implementation</b:Title>
    <b:Publisher>Cybersecurity and Infrastructure Security Agency</b:Publisher>
    <b:Year>2025</b:Year>
    <b:RefOrder>10</b:RefOrder>
  </b:Source>
  <b:Source>
    <b:Tag>06_CNN</b:Tag>
    <b:SourceType>ArticleInAPeriodical</b:SourceType>
    <b:Guid>{00000006-0000-0000-0000-000000000006}</b:Guid>
    <b:Author>
      <b:Corporate>CNN Business</b:Corporate>
    </b:Author>
    <b:Title>Arup revealed as victim of $25 million deepfake scam</b:Title>
    <b:PeriodicalTitle>CNN</b:PeriodicalTitle>
    <b:Year>2024</b:Year>
    <b:Month>May</b:Month>
    <b:RefOrder>6</b:RefOrder>
  </b:Source>
  <b:Source>
    <b:Tag>16_NYDFS</b:Tag>
    <b:SourceType>Report</b:SourceType>
    <b:Guid>{00000016-0000-0000-0000-000000000016}</b:Guid>
    <b:Author>
      <b:Corporate>NY DFS</b:Corporate>
    </b:Author>
    <b:Title>23 NYCRR Part 500 - Cybersecurity Requirements for Financial Services Companies</b:Title>
    <b:Comments>Amended</b:Comments>
    <b:Year>2023</b:Year>
    <b:Month>Nov</b:Month>
    <b:RefOrder>16</b:RefOrder>
  </b:Source>
  <b:Source>
    <b:Tag>22_Proofpoint</b:Tag>
    <b:SourceType>Report</b:SourceType>
    <b:Guid>{00000022-0000-0000-0000-000000000022}</b:Guid>
    <b:Author>
      <b:Corporate>Proofpoint</b:Corporate>
    </b:Author>
    <b:Title>2024 State of the Phish Report</b:Title>
    <b:Publisher>Proofpoint Inc.</b:Publisher>
    <b:City>Sunnyvale, CA</b:City>
    <b:Year>2024</b:Year>
    <b:Month>Feb</b:Month>
    <b:RefOrder>22</b:RefOrder>
  </b:Source>
  <b:Source>
    <b:Tag>14_NewRelic</b:Tag>
    <b:SourceType>Report</b:SourceType>
    <b:Guid>{00000014-0000-0000-0000-000000000014}</b:Guid>
    <b:Author>
      <b:Corporate>New Relic</b:Corporate>
    </b:Author>
    <b:Title>2024 State of Observability for Financial Services and Insurance</b:Title>
    <b:Publisher>New Relic Inc.</b:Publisher>
    <b:Year>2024</b:Year>
    <b:RefOrder>14</b:RefOrder>
  </b:Source>
  <b:Source>
    <b:Tag>18_KnowBe4</b:Tag>
    <b:SourceType>Report</b:SourceType>
    <b:Guid>{00000018-0000-0000-0000-000000000018}</b:Guid>
    <b:Author>
      <b:Corporate>KnowBe4</b:Corporate>
    </b:Author>
    <b:Title>2024 Phishing by Industry Benchmarking Report</b:Title>
    <b:Publisher>KnowBe4 Inc.</b:Publisher>
    <b:City>Clearwater, FL</b:City>
    <b:Year>2024</b:Year>
    <b:RefOrder>18</b:RefOrder>
  </b:Source>
  <b:Source>
    <b:Tag>13_Veeam</b:Tag>
    <b:SourceType>Report</b:SourceType>
    <b:Guid>{00000013-0000-0000-0000-000000000013}</b:Guid>
    <b:Author>
      <b:Corporate>Veeam Software</b:Corporate>
    </b:Author>
    <b:Title>2024 Data Protection Trends Report</b:Title>
    <b:Publisher>Veeam Software Group GmbH</b:Publisher>
    <b:Year>2024</b:Year>
    <b:Month>Jan</b:Month>
    <b:RefOrder>13</b:RefOrder>
  </b:Source>
  <b:Source>
    <b:Tag>05_Verizon</b:Tag>
    <b:SourceType>Report</b:SourceType>
    <b:Guid>{00000005-0000-0000-0000-000000000005}</b:Guid>
    <b:Author>
      <b:Corporate>Verizon</b:Corporate>
    </b:Author>
    <b:Title>2024 Data Breach Investigations Report</b:Title>
    <b:Publisher>Verizon Communications Inc.</b:Publisher>
    <b:City>New York, NY</b:City>
    <b:Year>2024</b:Year>
    <b:Month>May</b:Month>
    <b:RefOrder>5</b:RefOrder>
  </b:Source>
  <b:Source>
    <b:Tag>21_FBI_IC3</b:Tag>
    <b:SourceType>Report</b:SourceType>
    <b:Guid>{00000021-0000-0000-0000-000000000021}</b:Guid>
    <b:Author>
      <b:Corporate>FBI IC3</b:Corporate>
    </b:Author>
    <b:Title>2023 Internet Crime Report</b:Title>
    <b:Publisher>Federal Bureau of Investigation</b:Publisher>
    <b:City>Washington, DC</b:City>
    <b:Year>2024</b:Year>
    <b:Month>Mar</b:Month>
    <b:RefOrder>21</b:RefOrder>
  </b:Source>
  <b:Source>
    <b:Tag>15_CISA_Ransomware</b:Tag>
    <b:SourceType>InternetSite</b:SourceType>
    <b:Guid>{00000015-0000-0000-0000-000000000015}</b:Guid>
    <b:Author>
      <b:Corporate>CISA</b:Corporate>
    </b:Author>
    <b:Title>#StopRansomware Guide</b:Title>
    <b:Year>2023</b:Year>
    <b:Month>Oct</b:Month>
    <b:URL>https://www.cisa.gov/stopransomware</b:URL>
    <b:RefOrder>15</b:RefOrder>
  </b:Source>
</b:Sources>
</file>

<file path=customXml/itemProps1.xml><?xml version="1.0" encoding="utf-8"?>
<ds:datastoreItem xmlns:ds="http://schemas.openxmlformats.org/officeDocument/2006/customXml" ds:itemID="{0B2DADAC-5A53-47E8-9E69-50485ABA4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1867</TotalTime>
  <Pages>20</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Administrator</cp:lastModifiedBy>
  <cp:revision>262</cp:revision>
  <cp:lastPrinted>2025-08-21T23:45:00Z</cp:lastPrinted>
  <dcterms:created xsi:type="dcterms:W3CDTF">2025-12-15T01:59:00Z</dcterms:created>
  <dcterms:modified xsi:type="dcterms:W3CDTF">2025-12-18T03:46:00Z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