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spacing w:after="240" w:before="240" w:line="480" w:lineRule="auto"/>
        <w:jc w:val="center"/>
        <w:rPr>
          <w:rFonts w:ascii="Times New Roman" w:cs="Times New Roman" w:eastAsia="Times New Roman" w:hAnsi="Times New Roman"/>
          <w:b w:val="1"/>
          <w:bCs w:val="1"/>
          <w:i w:val="1"/>
          <w:iCs w:val="1"/>
        </w:rPr>
      </w:pPr>
      <w:bookmarkStart w:colFirst="0" w:colLast="0" w:name="_heading=h.q3y5lopko4f3" w:id="0"/>
      <w:bookmarkEnd w:id="0"/>
      <w:r w:rsidDel="00000000" w:rsidR="00000000" w:rsidRPr="00000000">
        <w:rPr>
          <w:rFonts w:ascii="Times New Roman" w:cs="Times New Roman" w:eastAsia="Times New Roman" w:hAnsi="Times New Roman"/>
          <w:b w:val="1"/>
          <w:bCs w:val="1"/>
          <w:i w:val="1"/>
          <w:iCs w:val="1"/>
          <w:sz w:val="34"/>
          <w:szCs w:val="34"/>
          <w:rtl w:val="0"/>
        </w:rPr>
        <w:t xml:space="preserve">A Situational Analysis of Tesco PLC Using the SWOT Framework</w:t>
      </w:r>
      <w:r w:rsidDel="00000000" w:rsidR="00000000" w:rsidRPr="00000000">
        <w:br w:type="page"/>
      </w:r>
      <w:r w:rsidDel="00000000" w:rsidR="00000000" w:rsidRPr="00000000">
        <w:rPr>
          <w:rtl w:val="0"/>
        </w:rPr>
      </w:r>
    </w:p>
    <w:p w:rsidR="00000000" w:rsidDel="00000000" w:rsidP="00000000" w:rsidRDefault="00000000" w:rsidRPr="00000000" w14:paraId="00000002">
      <w:pPr>
        <w:pStyle w:val="Heading2"/>
        <w:keepNext w:val="0"/>
        <w:keepLines w:val="0"/>
        <w:spacing w:after="80" w:line="480" w:lineRule="auto"/>
        <w:jc w:val="both"/>
        <w:rPr>
          <w:rFonts w:ascii="Times New Roman" w:cs="Times New Roman" w:eastAsia="Times New Roman" w:hAnsi="Times New Roman"/>
          <w:b w:val="1"/>
          <w:bCs w:val="1"/>
          <w:sz w:val="24"/>
          <w:szCs w:val="24"/>
        </w:rPr>
      </w:pPr>
      <w:bookmarkStart w:colFirst="0" w:colLast="0" w:name="_heading=h.ck6jbdum6bso" w:id="1"/>
      <w:bookmarkEnd w:id="1"/>
      <w:r w:rsidDel="00000000" w:rsidR="00000000" w:rsidRPr="00000000">
        <w:rPr>
          <w:rFonts w:ascii="Times New Roman" w:cs="Times New Roman" w:eastAsia="Times New Roman" w:hAnsi="Times New Roman"/>
          <w:b w:val="1"/>
          <w:bCs w:val="1"/>
          <w:sz w:val="24"/>
          <w:szCs w:val="24"/>
          <w:rtl w:val="0"/>
        </w:rPr>
        <w:t xml:space="preserve">1. Introduction</w:t>
      </w:r>
    </w:p>
    <w:p w:rsidR="00000000" w:rsidDel="00000000" w:rsidP="00000000" w:rsidRDefault="00000000" w:rsidRPr="00000000" w14:paraId="00000003">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present report is dedicated to Tesco PLC, one of the leading companies, which are represented in the UK retail market. Tesco mostly offers groceries, clothes, and home products and financial services via a physical store and online services. It boasts of a good market share in the UK, and is regarded as one of the biggest of the supermarket chains that include Sainsbury and Asda.</w:t>
      </w:r>
    </w:p>
    <w:p w:rsidR="00000000" w:rsidDel="00000000" w:rsidP="00000000" w:rsidRDefault="00000000" w:rsidRPr="00000000" w14:paraId="00000004">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aims at a situational analysis in order to comprehend the internal and external forces which shape the strategic decisions of Tesco and its performance as a whole. Situational analysis assists organisations in reacting positively to the evolving market conditions and being competitive in fluctuating markets (Balzano and Bortoluzzi, 2024).</w:t>
      </w:r>
    </w:p>
    <w:p w:rsidR="00000000" w:rsidDel="00000000" w:rsidP="00000000" w:rsidRDefault="00000000" w:rsidRPr="00000000" w14:paraId="00000005">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pursuing this, the report employs the SWOT analysis model, which measures the strength, weaknesses, opportunities, and threats that arise in the organisation to facilitate the opportunity of strategic planning.</w:t>
      </w:r>
    </w:p>
    <w:p w:rsidR="00000000" w:rsidDel="00000000" w:rsidP="00000000" w:rsidRDefault="00000000" w:rsidRPr="00000000" w14:paraId="00000006">
      <w:pPr>
        <w:pStyle w:val="Heading2"/>
        <w:keepNext w:val="0"/>
        <w:keepLines w:val="0"/>
        <w:spacing w:after="80" w:line="480" w:lineRule="auto"/>
        <w:jc w:val="both"/>
        <w:rPr>
          <w:rFonts w:ascii="Times New Roman" w:cs="Times New Roman" w:eastAsia="Times New Roman" w:hAnsi="Times New Roman"/>
          <w:b w:val="1"/>
          <w:bCs w:val="1"/>
          <w:sz w:val="24"/>
          <w:szCs w:val="24"/>
        </w:rPr>
      </w:pPr>
      <w:bookmarkStart w:colFirst="0" w:colLast="0" w:name="_heading=h.21pl8vc5z1mx" w:id="2"/>
      <w:bookmarkEnd w:id="2"/>
      <w:r w:rsidDel="00000000" w:rsidR="00000000" w:rsidRPr="00000000">
        <w:rPr>
          <w:rFonts w:ascii="Times New Roman" w:cs="Times New Roman" w:eastAsia="Times New Roman" w:hAnsi="Times New Roman"/>
          <w:b w:val="1"/>
          <w:bCs w:val="1"/>
          <w:sz w:val="24"/>
          <w:szCs w:val="24"/>
          <w:rtl w:val="0"/>
        </w:rPr>
        <w:t xml:space="preserve">2. Situational Analysis (SWOT Analysis)</w:t>
      </w:r>
    </w:p>
    <w:p w:rsidR="00000000" w:rsidDel="00000000" w:rsidP="00000000" w:rsidRDefault="00000000" w:rsidRPr="00000000" w14:paraId="00000007">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tt7eg0mmen3u" w:id="3"/>
      <w:bookmarkEnd w:id="3"/>
      <w:r w:rsidDel="00000000" w:rsidR="00000000" w:rsidRPr="00000000">
        <w:rPr>
          <w:rFonts w:ascii="Times New Roman" w:cs="Times New Roman" w:eastAsia="Times New Roman" w:hAnsi="Times New Roman"/>
          <w:b w:val="1"/>
          <w:bCs w:val="1"/>
          <w:color w:val="000000"/>
          <w:sz w:val="24"/>
          <w:szCs w:val="24"/>
          <w:rtl w:val="0"/>
        </w:rPr>
        <w:t xml:space="preserve">Strengths</w:t>
      </w:r>
    </w:p>
    <w:p w:rsidR="00000000" w:rsidDel="00000000" w:rsidP="00000000" w:rsidRDefault="00000000" w:rsidRPr="00000000" w14:paraId="00000008">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has one of the key strengths of having a good brand recognition and extensive distribution network within the UK. The economy of scale is also favorable to the firm since it is able to give competitive prices and a wide product line. Its high level of using data-driven marketing and loyalty programmes also contribute to the retention of customers and targeted promotions which are the key aspects of successful marketing strategy (Morgan et al., 2019).</w:t>
      </w:r>
    </w:p>
    <w:p w:rsidR="00000000" w:rsidDel="00000000" w:rsidP="00000000" w:rsidRDefault="00000000" w:rsidRPr="00000000" w14:paraId="00000009">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2875xp95vzm7" w:id="4"/>
      <w:bookmarkEnd w:id="4"/>
      <w:r w:rsidDel="00000000" w:rsidR="00000000" w:rsidRPr="00000000">
        <w:rPr>
          <w:rFonts w:ascii="Times New Roman" w:cs="Times New Roman" w:eastAsia="Times New Roman" w:hAnsi="Times New Roman"/>
          <w:b w:val="1"/>
          <w:bCs w:val="1"/>
          <w:color w:val="000000"/>
          <w:sz w:val="24"/>
          <w:szCs w:val="24"/>
          <w:rtl w:val="0"/>
        </w:rPr>
        <w:t xml:space="preserve">Weaknesses</w:t>
      </w:r>
    </w:p>
    <w:p w:rsidR="00000000" w:rsidDel="00000000" w:rsidP="00000000" w:rsidRDefault="00000000" w:rsidRPr="00000000" w14:paraId="0000000A">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the large size of Tesco has its strengths, there are weaknesses like high operational costs that are associated with operation chain management and store maintenance. Also, depending on the UK market will expose the company to the pressures of the domestic economy. Flexibility can be diminished through internal inefficiencies and it may become difficult to respond to the market changes as fast as other smaller and nimble competitors.</w:t>
      </w:r>
    </w:p>
    <w:p w:rsidR="00000000" w:rsidDel="00000000" w:rsidP="00000000" w:rsidRDefault="00000000" w:rsidRPr="00000000" w14:paraId="0000000B">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5nnvf9r79nyr" w:id="5"/>
      <w:bookmarkEnd w:id="5"/>
      <w:r w:rsidDel="00000000" w:rsidR="00000000" w:rsidRPr="00000000">
        <w:rPr>
          <w:rFonts w:ascii="Times New Roman" w:cs="Times New Roman" w:eastAsia="Times New Roman" w:hAnsi="Times New Roman"/>
          <w:b w:val="1"/>
          <w:bCs w:val="1"/>
          <w:color w:val="000000"/>
          <w:sz w:val="24"/>
          <w:szCs w:val="24"/>
          <w:rtl w:val="0"/>
        </w:rPr>
        <w:t xml:space="preserve">Opportunities</w:t>
      </w:r>
    </w:p>
    <w:p w:rsidR="00000000" w:rsidDel="00000000" w:rsidP="00000000" w:rsidRDefault="00000000" w:rsidRPr="00000000" w14:paraId="0000000C">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is very promising in the digital transformation and online store growth. The increased e-commerce, customised marketing, and recent digital settings like immersive virtual shopping experiences may increase customer engagement. A higher level of digitalisation can assist Tesco in getting better insights about consumer behaviour and developing innovative shopping experience (Dwivedi et al., 2023).</w:t>
      </w:r>
    </w:p>
    <w:p w:rsidR="00000000" w:rsidDel="00000000" w:rsidP="00000000" w:rsidRDefault="00000000" w:rsidRPr="00000000" w14:paraId="0000000D">
      <w:pPr>
        <w:pStyle w:val="Heading3"/>
        <w:keepNext w:val="0"/>
        <w:keepLines w:val="0"/>
        <w:spacing w:before="280" w:line="480" w:lineRule="auto"/>
        <w:jc w:val="both"/>
        <w:rPr>
          <w:rFonts w:ascii="Times New Roman" w:cs="Times New Roman" w:eastAsia="Times New Roman" w:hAnsi="Times New Roman"/>
          <w:b w:val="1"/>
          <w:bCs w:val="1"/>
          <w:color w:val="000000"/>
          <w:sz w:val="24"/>
          <w:szCs w:val="24"/>
        </w:rPr>
      </w:pPr>
      <w:bookmarkStart w:colFirst="0" w:colLast="0" w:name="_heading=h.gg1e0irnqovy" w:id="6"/>
      <w:bookmarkEnd w:id="6"/>
      <w:r w:rsidDel="00000000" w:rsidR="00000000" w:rsidRPr="00000000">
        <w:rPr>
          <w:rFonts w:ascii="Times New Roman" w:cs="Times New Roman" w:eastAsia="Times New Roman" w:hAnsi="Times New Roman"/>
          <w:b w:val="1"/>
          <w:bCs w:val="1"/>
          <w:color w:val="000000"/>
          <w:sz w:val="24"/>
          <w:szCs w:val="24"/>
          <w:rtl w:val="0"/>
        </w:rPr>
        <w:t xml:space="preserve">Threats</w:t>
      </w:r>
    </w:p>
    <w:p w:rsidR="00000000" w:rsidDel="00000000" w:rsidP="00000000" w:rsidRDefault="00000000" w:rsidRPr="00000000" w14:paraId="0000000E">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threats to Tesco face change in consumer preferences, economic uncertainty, and the level of competition. Pricing and margin are still under pressure by the discounter retailers and online only. Besides this, the operational complexity and risk of large retailers is compounded by regulatory changes and sustainability expectations.</w:t>
      </w:r>
    </w:p>
    <w:p w:rsidR="00000000" w:rsidDel="00000000" w:rsidP="00000000" w:rsidRDefault="00000000" w:rsidRPr="00000000" w14:paraId="0000000F">
      <w:pPr>
        <w:pStyle w:val="Heading2"/>
        <w:keepNext w:val="0"/>
        <w:keepLines w:val="0"/>
        <w:spacing w:after="80" w:line="480" w:lineRule="auto"/>
        <w:jc w:val="both"/>
        <w:rPr>
          <w:rFonts w:ascii="Times New Roman" w:cs="Times New Roman" w:eastAsia="Times New Roman" w:hAnsi="Times New Roman"/>
          <w:b w:val="1"/>
          <w:bCs w:val="1"/>
          <w:sz w:val="24"/>
          <w:szCs w:val="24"/>
        </w:rPr>
      </w:pPr>
      <w:bookmarkStart w:colFirst="0" w:colLast="0" w:name="_heading=h.i1vr6xs7red8" w:id="7"/>
      <w:bookmarkEnd w:id="7"/>
      <w:r w:rsidDel="00000000" w:rsidR="00000000" w:rsidRPr="00000000">
        <w:rPr>
          <w:rFonts w:ascii="Times New Roman" w:cs="Times New Roman" w:eastAsia="Times New Roman" w:hAnsi="Times New Roman"/>
          <w:b w:val="1"/>
          <w:bCs w:val="1"/>
          <w:sz w:val="24"/>
          <w:szCs w:val="24"/>
          <w:rtl w:val="0"/>
        </w:rPr>
        <w:t xml:space="preserve">3. Critical Analysis &amp; Evaluation</w:t>
      </w:r>
    </w:p>
    <w:p w:rsidR="00000000" w:rsidDel="00000000" w:rsidP="00000000" w:rsidRDefault="00000000" w:rsidRPr="00000000" w14:paraId="00000010">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SWOT analysis identifies the direct effect of internal and external factors on the strategy and decision making of Tesco. The strengths allow Tesco to adopt a cost leadership and differentiation policy whereas its weaknesses need to be addressed with emphasis on efficient operational planning. According to strategic marketing research, it is advised that companies should never rest on their internal capabilities and external market conditions to maintain long-term success (Morgan et al., 2019).</w:t>
      </w:r>
    </w:p>
    <w:p w:rsidR="00000000" w:rsidDel="00000000" w:rsidP="00000000" w:rsidRDefault="00000000" w:rsidRPr="00000000" w14:paraId="00000011">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engagement opportunities enable Tesco to strengthen its relationship with the customers and value creation. Good customer engagement has been demonstrated to positively impact loyalty, satisfaction and brand performance especially in service based industries (Chen et al., 2021). Tesco can enhance its competitive advantage by investing in digital instruments and analytics of data.</w:t>
      </w:r>
    </w:p>
    <w:p w:rsidR="00000000" w:rsidDel="00000000" w:rsidP="00000000" w:rsidRDefault="00000000" w:rsidRPr="00000000" w14:paraId="00000012">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Nevertheless, external factors like rivalry and financial fluctuation necessitate dynamic tactics. Strategic models underline that organisations should also look ahead of the competitive forces and react proactively to stay in the market lead (Sumba-Bustamante et al., 2024). Lack of dealing with these issues may undermine the market position of Tesco despite its internal strengths.</w:t>
      </w:r>
    </w:p>
    <w:p w:rsidR="00000000" w:rsidDel="00000000" w:rsidP="00000000" w:rsidRDefault="00000000" w:rsidRPr="00000000" w14:paraId="00000013">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SWOT results indicates that the success of Tesco over the long term is determined by the fact that the company can be strategic and responsive in a very competitive and dynamic retail market. Strategic agility enables organisations to react fast to external forces including technological change, economic uncertainty, and shifting customer expectations (Balzano and Bortoluzzi, 2024). The size of Tesco brings about stability, but it can also lead to lack of flexibility in the situation where decision making is overly centralised.</w:t>
      </w:r>
    </w:p>
    <w:p w:rsidR="00000000" w:rsidDel="00000000" w:rsidP="00000000" w:rsidRDefault="00000000" w:rsidRPr="00000000" w14:paraId="00000014">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Secondly, customer behaviour is still changing towards convenience, personalisation and online interaction, which puts a strain on Tesco to keep on driving innovation in its marketing and service delivery. Market analysis helps firms to better predict which customer groups will be targeted and customise their offer to different kinds of consumer needs, which may enhance competitive advantage (Leisch, Dolnicar and Grün, 2018). The basis of this strategy is supported using the loyalty data by Tesco, however, it is necessary to continue investing to stay relevant.</w:t>
      </w:r>
    </w:p>
    <w:p w:rsidR="00000000" w:rsidDel="00000000" w:rsidP="00000000" w:rsidRDefault="00000000" w:rsidRPr="00000000" w14:paraId="00000015">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Strategically, Tesco has to trade-off growth, sustainability, and control over regulatory compliance as well. Consumer trust and brand image are more and more affected by external pressures associated with environmental responsibility and ethical conduct of business. Strategic analysis tools can help managers identify such external constraints and set business strategy in line with them. Unless situational analysis is conducted regularly, organisations may make decisions based on old assumptions, and this aspect may adversely impact performance and competitiveness (Dalirazar and Sabzi, 2023).</w:t>
      </w:r>
    </w:p>
    <w:p w:rsidR="00000000" w:rsidDel="00000000" w:rsidP="00000000" w:rsidRDefault="00000000" w:rsidRPr="00000000" w14:paraId="00000016">
      <w:pPr>
        <w:pStyle w:val="Heading2"/>
        <w:keepNext w:val="0"/>
        <w:keepLines w:val="0"/>
        <w:spacing w:after="80" w:line="480" w:lineRule="auto"/>
        <w:jc w:val="both"/>
        <w:rPr>
          <w:rFonts w:ascii="Times New Roman" w:cs="Times New Roman" w:eastAsia="Times New Roman" w:hAnsi="Times New Roman"/>
          <w:b w:val="1"/>
          <w:bCs w:val="1"/>
          <w:sz w:val="24"/>
          <w:szCs w:val="24"/>
        </w:rPr>
      </w:pPr>
      <w:bookmarkStart w:colFirst="0" w:colLast="0" w:name="_heading=h.n7oz23cg1jxv" w:id="8"/>
      <w:bookmarkEnd w:id="8"/>
      <w:r w:rsidDel="00000000" w:rsidR="00000000" w:rsidRPr="00000000">
        <w:rPr>
          <w:rFonts w:ascii="Times New Roman" w:cs="Times New Roman" w:eastAsia="Times New Roman" w:hAnsi="Times New Roman"/>
          <w:b w:val="1"/>
          <w:bCs w:val="1"/>
          <w:sz w:val="24"/>
          <w:szCs w:val="24"/>
          <w:rtl w:val="0"/>
        </w:rPr>
        <w:t xml:space="preserve">4. Conclusion</w:t>
      </w:r>
    </w:p>
    <w:p w:rsidR="00000000" w:rsidDel="00000000" w:rsidP="00000000" w:rsidRDefault="00000000" w:rsidRPr="00000000" w14:paraId="00000017">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sum up, the situational analysis indicates that Tesco has a good brand equity and a huge market coverage and experiences difficulties associated with costs and competitive pressure. The SWOT analysis reveals evident digital growth opportunities and the threats of competition in the market and external pressure.</w:t>
      </w:r>
    </w:p>
    <w:p w:rsidR="00000000" w:rsidDel="00000000" w:rsidP="00000000" w:rsidRDefault="00000000" w:rsidRPr="00000000" w14:paraId="00000018">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results, Tesco should:</w:t>
      </w:r>
    </w:p>
    <w:p w:rsidR="00000000" w:rsidDel="00000000" w:rsidP="00000000" w:rsidRDefault="00000000" w:rsidRPr="00000000" w14:paraId="00000019">
      <w:pPr>
        <w:numPr>
          <w:ilvl w:val="0"/>
          <w:numId w:val="1"/>
        </w:numPr>
        <w:spacing w:after="0" w:before="24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Keep investing in digital and customer-related innovations.</w:t>
      </w:r>
      <w:r w:rsidDel="00000000" w:rsidR="00000000" w:rsidRPr="00000000">
        <w:rPr>
          <w:rtl w:val="0"/>
        </w:rPr>
      </w:r>
    </w:p>
    <w:p w:rsidR="00000000" w:rsidDel="00000000" w:rsidP="00000000" w:rsidRDefault="00000000" w:rsidRPr="00000000" w14:paraId="0000001A">
      <w:pPr>
        <w:numPr>
          <w:ilvl w:val="0"/>
          <w:numId w:val="1"/>
        </w:numPr>
        <w:spacing w:after="0" w:before="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Enhance efficiency into operations in order to deal with internal weaknesses.</w:t>
      </w:r>
      <w:r w:rsidDel="00000000" w:rsidR="00000000" w:rsidRPr="00000000">
        <w:rPr>
          <w:rtl w:val="0"/>
        </w:rPr>
      </w:r>
    </w:p>
    <w:p w:rsidR="00000000" w:rsidDel="00000000" w:rsidP="00000000" w:rsidRDefault="00000000" w:rsidRPr="00000000" w14:paraId="0000001B">
      <w:pPr>
        <w:numPr>
          <w:ilvl w:val="0"/>
          <w:numId w:val="1"/>
        </w:numPr>
        <w:spacing w:after="240" w:before="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Keep a close watch on the changes in the competition and the environment to stay agile.</w:t>
      </w:r>
      <w:r w:rsidDel="00000000" w:rsidR="00000000" w:rsidRPr="00000000">
        <w:rPr>
          <w:rtl w:val="0"/>
        </w:rPr>
      </w:r>
    </w:p>
    <w:p w:rsidR="00000000" w:rsidDel="00000000" w:rsidP="00000000" w:rsidRDefault="00000000" w:rsidRPr="00000000" w14:paraId="0000001C">
      <w:pPr>
        <w:spacing w:after="240"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general, situational analysis plays a crucial role in the strategic planning of organisations since it helps them comprehend the surrounding, foresee risks, and make sound decisions that contribute to their success in the long run in the dynamic markets (Dalirazar and Sabzi, 2023).</w:t>
      </w:r>
    </w:p>
    <w:p w:rsidR="00000000" w:rsidDel="00000000" w:rsidP="00000000" w:rsidRDefault="00000000" w:rsidRPr="00000000" w14:paraId="0000001D">
      <w:pPr>
        <w:spacing w:line="48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E">
      <w:pPr>
        <w:spacing w:line="48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References</w:t>
      </w:r>
    </w:p>
    <w:p w:rsidR="00000000" w:rsidDel="00000000" w:rsidP="00000000" w:rsidRDefault="00000000" w:rsidRPr="00000000" w14:paraId="0000001F">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Balzano, M. and Bortoluzzi, G., 2024. Strategic agility in dynamic business environments.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International Series in Advanced Management Studies, doi</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 pp.978-3.</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https://www.balzanomarco.com/publications/pdf/Balzano-Bortoluzzi_SpringerCham-2024_Cover.pdf</w:t>
        </w:r>
      </w:hyperlink>
      <w:r w:rsidDel="00000000" w:rsidR="00000000" w:rsidRPr="00000000">
        <w:rPr>
          <w:rtl w:val="0"/>
        </w:rPr>
      </w:r>
    </w:p>
    <w:p w:rsidR="00000000" w:rsidDel="00000000" w:rsidP="00000000" w:rsidRDefault="00000000" w:rsidRPr="00000000" w14:paraId="00000020">
      <w:pPr>
        <w:spacing w:line="480" w:lineRule="auto"/>
        <w:jc w:val="both"/>
        <w:rPr/>
      </w:pPr>
      <w:r w:rsidDel="00000000" w:rsidR="00000000" w:rsidRPr="00000000">
        <w:rPr>
          <w:rFonts w:ascii="Times New Roman" w:cs="Times New Roman" w:eastAsia="Times New Roman" w:hAnsi="Times New Roman"/>
          <w:color w:val="222222"/>
          <w:sz w:val="24"/>
          <w:szCs w:val="24"/>
          <w:highlight w:val="white"/>
          <w:rtl w:val="0"/>
        </w:rPr>
        <w:t xml:space="preserve">Chen, S., Han, X., Bilgihan, A. and Okumus, F., 2021. Customer engagement research in hospitality and tourism: a systematic review.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Hospitality Marketing &amp;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30</w:t>
      </w:r>
      <w:r w:rsidDel="00000000" w:rsidR="00000000" w:rsidRPr="00000000">
        <w:rPr>
          <w:rFonts w:ascii="Times New Roman" w:cs="Times New Roman" w:eastAsia="Times New Roman" w:hAnsi="Times New Roman"/>
          <w:color w:val="222222"/>
          <w:sz w:val="24"/>
          <w:szCs w:val="24"/>
          <w:highlight w:val="white"/>
          <w:rtl w:val="0"/>
        </w:rPr>
        <w:t xml:space="preserve">(7), pp.871-904.</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https://www.researchgate.net/profile/Anil-Bilgihan/publication/350899829_Customer_engagement_research_in_hospitality_and_tourism_a_systematic_review/links/60f817450c2bfa282aef7d3f/Customer-engagement-research-in-hospitality-and-tourism-a-systematic-review.pdf</w:t>
        </w:r>
      </w:hyperlink>
      <w:r w:rsidDel="00000000" w:rsidR="00000000" w:rsidRPr="00000000">
        <w:rPr>
          <w:rtl w:val="0"/>
        </w:rPr>
      </w:r>
    </w:p>
    <w:p w:rsidR="00000000" w:rsidDel="00000000" w:rsidP="00000000" w:rsidRDefault="00000000" w:rsidRPr="00000000" w14:paraId="00000021">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Dalirazar, S. and Sabzi, Z., 2023. Strategic analysis of barriers and solutions to development of sustainable buildings using PESTLE technique.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International Journal of Construction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23</w:t>
      </w:r>
      <w:r w:rsidDel="00000000" w:rsidR="00000000" w:rsidRPr="00000000">
        <w:rPr>
          <w:rFonts w:ascii="Times New Roman" w:cs="Times New Roman" w:eastAsia="Times New Roman" w:hAnsi="Times New Roman"/>
          <w:color w:val="222222"/>
          <w:sz w:val="24"/>
          <w:szCs w:val="24"/>
          <w:highlight w:val="white"/>
          <w:rtl w:val="0"/>
        </w:rPr>
        <w:t xml:space="preserve">(1), pp.167-181.</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https://www.academia.edu/download/102976620/15623599.2020.185493120230603-1-cqyvib.pdf</w:t>
        </w:r>
      </w:hyperlink>
      <w:r w:rsidDel="00000000" w:rsidR="00000000" w:rsidRPr="00000000">
        <w:rPr>
          <w:rtl w:val="0"/>
        </w:rPr>
      </w:r>
    </w:p>
    <w:p w:rsidR="00000000" w:rsidDel="00000000" w:rsidP="00000000" w:rsidRDefault="00000000" w:rsidRPr="00000000" w14:paraId="00000022">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Dwivedi, Y.K., Hughes, L., Wang, Y., Alalwan, A.A., Ahn, S.J., Balakrishnan, J., Barta, S., Belk, R., Buhalis, D., Dutot, V. and Felix, R., 2023. Metaverse marketing: How the metaverse will shape the future of consumer research and practice. </w:t>
      </w:r>
      <w:r w:rsidDel="00000000" w:rsidR="00000000" w:rsidRPr="00000000">
        <w:rPr>
          <w:rFonts w:ascii="Times New Roman" w:cs="Times New Roman" w:eastAsia="Times New Roman" w:hAnsi="Times New Roman"/>
          <w:i w:val="1"/>
          <w:iCs w:val="1"/>
          <w:color w:val="222222"/>
          <w:sz w:val="24"/>
          <w:szCs w:val="24"/>
          <w:highlight w:val="white"/>
          <w:rtl w:val="0"/>
        </w:rPr>
        <w:t xml:space="preserve">Psychology &amp; Marketing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40</w:t>
      </w:r>
      <w:r w:rsidDel="00000000" w:rsidR="00000000" w:rsidRPr="00000000">
        <w:rPr>
          <w:rFonts w:ascii="Times New Roman" w:cs="Times New Roman" w:eastAsia="Times New Roman" w:hAnsi="Times New Roman"/>
          <w:color w:val="222222"/>
          <w:sz w:val="24"/>
          <w:szCs w:val="24"/>
          <w:highlight w:val="white"/>
          <w:rtl w:val="0"/>
        </w:rPr>
        <w:t xml:space="preserve">(4), pp.750-776.</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https://onlinelibrary.wiley.com/doi/pdf/10.1002%2Fmar.21767</w:t>
        </w:r>
      </w:hyperlink>
      <w:r w:rsidDel="00000000" w:rsidR="00000000" w:rsidRPr="00000000">
        <w:rPr>
          <w:rtl w:val="0"/>
        </w:rPr>
      </w:r>
    </w:p>
    <w:p w:rsidR="00000000" w:rsidDel="00000000" w:rsidP="00000000" w:rsidRDefault="00000000" w:rsidRPr="00000000" w14:paraId="00000023">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Leisch, F., Dolnicar, S. and Grün, B., 2018. </w:t>
      </w:r>
      <w:r w:rsidDel="00000000" w:rsidR="00000000" w:rsidRPr="00000000">
        <w:rPr>
          <w:rFonts w:ascii="Times New Roman" w:cs="Times New Roman" w:eastAsia="Times New Roman" w:hAnsi="Times New Roman"/>
          <w:i w:val="1"/>
          <w:iCs w:val="1"/>
          <w:color w:val="222222"/>
          <w:sz w:val="24"/>
          <w:szCs w:val="24"/>
          <w:highlight w:val="white"/>
          <w:rtl w:val="0"/>
        </w:rPr>
        <w:t xml:space="preserve">Market segmentation analysis: Understanding it, doing it, and making it useful</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https://library.oapen.org/bitstream/handle/20.500.12657/51281/1/PUB_580_Leisch_Market_Segmentation_Analyses.pdf</w:t>
        </w:r>
      </w:hyperlink>
      <w:r w:rsidDel="00000000" w:rsidR="00000000" w:rsidRPr="00000000">
        <w:rPr>
          <w:rtl w:val="0"/>
        </w:rPr>
      </w:r>
    </w:p>
    <w:p w:rsidR="00000000" w:rsidDel="00000000" w:rsidP="00000000" w:rsidRDefault="00000000" w:rsidRPr="00000000" w14:paraId="00000024">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Morgan, N.A., Whitler, K.A., Feng, H. and Chari, S., 2019. Research in marketing strategy.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the Academy of Marketing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47</w:t>
      </w:r>
      <w:r w:rsidDel="00000000" w:rsidR="00000000" w:rsidRPr="00000000">
        <w:rPr>
          <w:rFonts w:ascii="Times New Roman" w:cs="Times New Roman" w:eastAsia="Times New Roman" w:hAnsi="Times New Roman"/>
          <w:color w:val="222222"/>
          <w:sz w:val="24"/>
          <w:szCs w:val="24"/>
          <w:highlight w:val="white"/>
          <w:rtl w:val="0"/>
        </w:rPr>
        <w:t xml:space="preserve">(1), pp.4-29.</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https://eprints.whiterose.ac.uk/136066/1/JAMS%2520Final</w:t>
        </w:r>
      </w:hyperlink>
      <w:r w:rsidDel="00000000" w:rsidR="00000000" w:rsidRPr="00000000">
        <w:rPr>
          <w:rtl w:val="0"/>
        </w:rPr>
      </w:r>
    </w:p>
    <w:p w:rsidR="00000000" w:rsidDel="00000000" w:rsidP="00000000" w:rsidRDefault="00000000" w:rsidRPr="00000000" w14:paraId="00000025">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Sumba-Bustamante, R.Y., Cantos-Figueroa, M.D.L., Santistevan-Villacreses, K.L., Soledispa-Rodríguez, X.E., Nieves-Lizárraga, D.O., Cervantes-Martínez, L., Ultreras-Rodríguez, A., Olguín-Martínez, C.M., Triana-Garcia, R.W., Delgado, D.R. and Valencia-Ortiz, D., 2024. Strategic model for strengthening smes: An empirical study based on porter’s five forces.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Infrastructure, Policy And Development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(10), pp.1-22.</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https://repository.ucc.edu.co/bitstreams/d34ade93-b61e-4abf-8d35-8a98b1dfc007/download</w:t>
        </w:r>
      </w:hyperlink>
      <w:r w:rsidDel="00000000" w:rsidR="00000000" w:rsidRPr="00000000">
        <w:rPr>
          <w:rtl w:val="0"/>
        </w:rPr>
      </w:r>
    </w:p>
    <w:p w:rsidR="00000000" w:rsidDel="00000000" w:rsidP="00000000" w:rsidRDefault="00000000" w:rsidRPr="00000000" w14:paraId="00000026">
      <w:pPr>
        <w:widowControl w:val="0"/>
        <w:spacing w:line="276" w:lineRule="auto"/>
        <w:rPr/>
      </w:pPr>
      <w:r w:rsidDel="00000000" w:rsidR="00000000" w:rsidRPr="00000000">
        <w:rPr>
          <w:rtl w:val="0"/>
        </w:rPr>
      </w:r>
    </w:p>
    <w:p w:rsidR="00000000" w:rsidDel="00000000" w:rsidP="00000000" w:rsidRDefault="00000000" w:rsidRPr="00000000" w14:paraId="00000027">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8">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9">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library.oapen.org/bitstream/handle/20.500.12657/51281/1/PUB_580_Leisch_Market_Segmentation_Analyses.pdf" TargetMode="External"/><Relationship Id="rId10" Type="http://schemas.openxmlformats.org/officeDocument/2006/relationships/hyperlink" Target="https://onlinelibrary.wiley.com/doi/pdf/10.1002%2Fmar.21767" TargetMode="External"/><Relationship Id="rId13" Type="http://schemas.openxmlformats.org/officeDocument/2006/relationships/hyperlink" Target="https://repository.ucc.edu.co/bitstreams/d34ade93-b61e-4abf-8d35-8a98b1dfc007/download" TargetMode="External"/><Relationship Id="rId12" Type="http://schemas.openxmlformats.org/officeDocument/2006/relationships/hyperlink" Target="https://eprints.whiterose.ac.uk/136066/1/JAMS%2520Fina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demia.edu/download/102976620/15623599.2020.185493120230603-1-cqyvib.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alzanomarco.com/publications/pdf/Balzano-Bortoluzzi_SpringerCham-2024_Cover.pdf" TargetMode="External"/><Relationship Id="rId8" Type="http://schemas.openxmlformats.org/officeDocument/2006/relationships/hyperlink" Target="https://www.researchgate.net/profile/Anil-Bilgihan/publication/350899829_Customer_engagement_research_in_hospitality_and_tourism_a_systematic_review/links/60f817450c2bfa282aef7d3f/Customer-engagement-research-in-hospitality-and-tourism-a-systematic-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p7iqUw2BlhtK9WR7bUJhQ8wxw==">CgMxLjAyDmgucTN5NWxvcGtvNGYzMg5oLmNrNmpiZHVtNmJzbzIOaC4yMXBsOHZjNXoxbXgyDmgudHQ3ZWcwbW1lbjN1Mg5oLjI4NzV4cDk1dnptNzIOaC41bm52ZjlyNzlueXIyDmguZ2cxZTBpcm5xb3Z5Mg5oLmkxdnI2eHM3cmVkODIOaC5uN296MjNjZzFqeHY4AHIhMXBNeTU2VmJRWlcyeFVwR0hFMWhDbl8zdDJSX2tIUTVt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