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421F9" w14:textId="0CC1A592" w:rsidR="00794260" w:rsidRDefault="00EF7CAC">
      <w:r>
        <w:rPr>
          <w:noProof/>
        </w:rPr>
        <w:drawing>
          <wp:inline distT="0" distB="0" distL="0" distR="0" wp14:anchorId="7BF990AD" wp14:editId="58262F55">
            <wp:extent cx="5731510" cy="167640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76400"/>
                    </a:xfrm>
                    <a:prstGeom prst="rect">
                      <a:avLst/>
                    </a:prstGeom>
                    <a:noFill/>
                  </pic:spPr>
                </pic:pic>
              </a:graphicData>
            </a:graphic>
          </wp:inline>
        </w:drawing>
      </w:r>
    </w:p>
    <w:p w14:paraId="4A98B3C4" w14:textId="0E5A1FDD" w:rsidR="00EF7CAC" w:rsidRPr="00EF7CAC" w:rsidRDefault="00EF7CAC" w:rsidP="00EF7CAC">
      <w:pPr>
        <w:spacing w:after="0" w:line="240" w:lineRule="auto"/>
        <w:jc w:val="center"/>
        <w:rPr>
          <w:rFonts w:asciiTheme="majorHAnsi" w:hAnsiTheme="majorHAnsi" w:cstheme="majorHAnsi"/>
          <w:kern w:val="0"/>
          <w:sz w:val="40"/>
          <w:szCs w:val="40"/>
          <w14:ligatures w14:val="none"/>
        </w:rPr>
      </w:pPr>
      <w:r w:rsidRPr="00EF7CAC">
        <w:rPr>
          <w:rFonts w:asciiTheme="majorHAnsi" w:hAnsiTheme="majorHAnsi" w:cstheme="majorHAnsi"/>
          <w:kern w:val="0"/>
          <w:sz w:val="40"/>
          <w:szCs w:val="40"/>
          <w14:ligatures w14:val="none"/>
        </w:rPr>
        <w:t xml:space="preserve">MODULE NAME: </w:t>
      </w:r>
      <w:r>
        <w:rPr>
          <w:rFonts w:asciiTheme="majorHAnsi" w:hAnsiTheme="majorHAnsi" w:cstheme="majorHAnsi"/>
          <w:kern w:val="0"/>
          <w:sz w:val="40"/>
          <w:szCs w:val="40"/>
          <w14:ligatures w14:val="none"/>
        </w:rPr>
        <w:t>INTERNATIONAL FINANCIAL MANAGMENT</w:t>
      </w:r>
      <w:r w:rsidRPr="00EF7CAC">
        <w:rPr>
          <w:rFonts w:asciiTheme="majorHAnsi" w:hAnsiTheme="majorHAnsi" w:cstheme="majorHAnsi"/>
          <w:kern w:val="0"/>
          <w:sz w:val="40"/>
          <w:szCs w:val="40"/>
          <w14:ligatures w14:val="none"/>
        </w:rPr>
        <w:t xml:space="preserve"> </w:t>
      </w:r>
    </w:p>
    <w:p w14:paraId="5F354702" w14:textId="6B19E50B" w:rsidR="00EF7CAC" w:rsidRDefault="00EF7CAC" w:rsidP="00EF7CAC">
      <w:pPr>
        <w:spacing w:after="0" w:line="240" w:lineRule="auto"/>
        <w:jc w:val="center"/>
        <w:rPr>
          <w:rFonts w:asciiTheme="majorHAnsi" w:eastAsiaTheme="majorEastAsia" w:hAnsiTheme="majorHAnsi" w:cstheme="majorHAnsi"/>
          <w:spacing w:val="-10"/>
          <w:kern w:val="28"/>
          <w:sz w:val="40"/>
          <w:szCs w:val="40"/>
          <w:lang w:eastAsia="en-GB"/>
          <w14:ligatures w14:val="none"/>
        </w:rPr>
      </w:pPr>
      <w:r w:rsidRPr="00EF7CAC">
        <w:rPr>
          <w:rFonts w:asciiTheme="majorHAnsi" w:eastAsiaTheme="majorEastAsia" w:hAnsiTheme="majorHAnsi" w:cstheme="majorHAnsi"/>
          <w:spacing w:val="-10"/>
          <w:kern w:val="28"/>
          <w:sz w:val="40"/>
          <w:szCs w:val="40"/>
          <w:lang w:eastAsia="en-GB"/>
          <w14:ligatures w14:val="none"/>
        </w:rPr>
        <w:t>MODULE CODE: LCBB</w:t>
      </w:r>
      <w:r>
        <w:rPr>
          <w:rFonts w:asciiTheme="majorHAnsi" w:eastAsiaTheme="majorEastAsia" w:hAnsiTheme="majorHAnsi" w:cstheme="majorHAnsi"/>
          <w:spacing w:val="-10"/>
          <w:kern w:val="28"/>
          <w:sz w:val="40"/>
          <w:szCs w:val="40"/>
          <w:lang w:eastAsia="en-GB"/>
          <w14:ligatures w14:val="none"/>
        </w:rPr>
        <w:t>6002</w:t>
      </w:r>
    </w:p>
    <w:p w14:paraId="1BE25FD5" w14:textId="77777777" w:rsidR="00EF7CAC" w:rsidRPr="00EF7CAC" w:rsidRDefault="00EF7CAC" w:rsidP="00EF7CAC">
      <w:pPr>
        <w:spacing w:after="0" w:line="240" w:lineRule="auto"/>
        <w:jc w:val="center"/>
        <w:rPr>
          <w:rFonts w:asciiTheme="majorHAnsi" w:hAnsiTheme="majorHAnsi" w:cstheme="majorHAnsi"/>
          <w:kern w:val="0"/>
          <w:sz w:val="40"/>
          <w:szCs w:val="40"/>
          <w14:ligatures w14:val="none"/>
        </w:rPr>
      </w:pPr>
    </w:p>
    <w:p w14:paraId="19F20BA5" w14:textId="77777777" w:rsidR="00EF7CAC" w:rsidRPr="00EF7CAC" w:rsidRDefault="00EF7CAC" w:rsidP="00EF7CAC">
      <w:pPr>
        <w:spacing w:after="0" w:line="240" w:lineRule="auto"/>
        <w:jc w:val="center"/>
        <w:rPr>
          <w:rFonts w:asciiTheme="majorHAnsi" w:eastAsiaTheme="majorEastAsia" w:hAnsiTheme="majorHAnsi" w:cstheme="majorHAnsi"/>
          <w:spacing w:val="-10"/>
          <w:kern w:val="28"/>
          <w:sz w:val="40"/>
          <w:szCs w:val="40"/>
          <w:lang w:eastAsia="en-GB"/>
          <w14:ligatures w14:val="none"/>
        </w:rPr>
      </w:pPr>
    </w:p>
    <w:p w14:paraId="75B56C57" w14:textId="77777777" w:rsidR="00EF7CAC" w:rsidRPr="00EF7CAC" w:rsidRDefault="00EF7CAC" w:rsidP="00EF7CAC">
      <w:pPr>
        <w:spacing w:after="0" w:line="240" w:lineRule="auto"/>
        <w:jc w:val="center"/>
        <w:rPr>
          <w:rFonts w:asciiTheme="majorHAnsi" w:eastAsiaTheme="majorEastAsia" w:hAnsiTheme="majorHAnsi" w:cstheme="majorHAnsi"/>
          <w:spacing w:val="-10"/>
          <w:kern w:val="28"/>
          <w:sz w:val="40"/>
          <w:szCs w:val="40"/>
          <w:lang w:eastAsia="en-GB"/>
          <w14:ligatures w14:val="none"/>
        </w:rPr>
      </w:pPr>
    </w:p>
    <w:p w14:paraId="4C0A36AC" w14:textId="787717C1" w:rsidR="00EF7CAC" w:rsidRPr="00EF7CAC" w:rsidRDefault="00EF7CAC" w:rsidP="006B0D22">
      <w:pPr>
        <w:spacing w:before="240" w:after="0" w:line="240" w:lineRule="auto"/>
        <w:jc w:val="center"/>
        <w:rPr>
          <w:rFonts w:eastAsiaTheme="majorEastAsia" w:cstheme="minorHAnsi"/>
          <w:b/>
          <w:bCs/>
          <w:spacing w:val="-10"/>
          <w:kern w:val="28"/>
          <w:sz w:val="40"/>
          <w:szCs w:val="40"/>
          <w:u w:val="single"/>
          <w:lang w:eastAsia="en-GB"/>
          <w14:ligatures w14:val="none"/>
        </w:rPr>
      </w:pPr>
      <w:r w:rsidRPr="00EF7CAC">
        <w:rPr>
          <w:rFonts w:eastAsiaTheme="majorEastAsia" w:cstheme="minorHAnsi"/>
          <w:b/>
          <w:bCs/>
          <w:spacing w:val="-10"/>
          <w:kern w:val="28"/>
          <w:sz w:val="40"/>
          <w:szCs w:val="40"/>
          <w:u w:val="single"/>
          <w:lang w:eastAsia="en-GB"/>
          <w14:ligatures w14:val="none"/>
        </w:rPr>
        <w:t xml:space="preserve">TOPIC: </w:t>
      </w:r>
      <w:r>
        <w:rPr>
          <w:rFonts w:eastAsiaTheme="majorEastAsia" w:cstheme="minorHAnsi"/>
          <w:b/>
          <w:bCs/>
          <w:spacing w:val="-10"/>
          <w:kern w:val="28"/>
          <w:sz w:val="40"/>
          <w:szCs w:val="40"/>
          <w:u w:val="single"/>
          <w:lang w:eastAsia="en-GB"/>
          <w14:ligatures w14:val="none"/>
        </w:rPr>
        <w:t>IMPORTANCE OF INTERNATIONAL FINANCIAL MANAGEMENT (IFM) TO THE CORPORATION</w:t>
      </w:r>
      <w:r w:rsidR="006B0D22">
        <w:rPr>
          <w:rFonts w:eastAsiaTheme="majorEastAsia" w:cstheme="minorHAnsi"/>
          <w:b/>
          <w:bCs/>
          <w:spacing w:val="-10"/>
          <w:kern w:val="28"/>
          <w:sz w:val="40"/>
          <w:szCs w:val="40"/>
          <w:u w:val="single"/>
          <w:lang w:eastAsia="en-GB"/>
          <w14:ligatures w14:val="none"/>
        </w:rPr>
        <w:t xml:space="preserve"> (1500 words)</w:t>
      </w:r>
    </w:p>
    <w:p w14:paraId="3EE04212" w14:textId="77777777" w:rsidR="00EF7CAC" w:rsidRDefault="00EF7CAC" w:rsidP="00EF7CAC">
      <w:pPr>
        <w:spacing w:after="0" w:line="240" w:lineRule="auto"/>
        <w:jc w:val="center"/>
        <w:rPr>
          <w:rFonts w:eastAsiaTheme="majorEastAsia" w:cstheme="minorHAnsi"/>
          <w:spacing w:val="-10"/>
          <w:kern w:val="28"/>
          <w:sz w:val="40"/>
          <w:szCs w:val="40"/>
          <w:u w:val="single"/>
          <w:lang w:eastAsia="en-GB"/>
          <w14:ligatures w14:val="none"/>
        </w:rPr>
      </w:pPr>
    </w:p>
    <w:p w14:paraId="01155075" w14:textId="77777777" w:rsidR="00EF7CAC" w:rsidRPr="00EF7CAC" w:rsidRDefault="00EF7CAC" w:rsidP="00EF7CAC">
      <w:pPr>
        <w:spacing w:after="0" w:line="240" w:lineRule="auto"/>
        <w:jc w:val="center"/>
        <w:rPr>
          <w:rFonts w:eastAsiaTheme="majorEastAsia" w:cstheme="minorHAnsi"/>
          <w:spacing w:val="-10"/>
          <w:kern w:val="28"/>
          <w:sz w:val="40"/>
          <w:szCs w:val="40"/>
          <w:u w:val="single"/>
          <w:lang w:eastAsia="en-GB"/>
          <w14:ligatures w14:val="none"/>
        </w:rPr>
      </w:pPr>
    </w:p>
    <w:p w14:paraId="3C53815C" w14:textId="77777777" w:rsidR="00EF7CAC" w:rsidRPr="00EF7CAC" w:rsidRDefault="00EF7CAC" w:rsidP="00EF7CAC">
      <w:pPr>
        <w:spacing w:after="0" w:line="240" w:lineRule="auto"/>
        <w:jc w:val="center"/>
        <w:rPr>
          <w:rFonts w:asciiTheme="majorHAnsi" w:eastAsiaTheme="majorEastAsia" w:hAnsiTheme="majorHAnsi" w:cstheme="majorHAnsi"/>
          <w:spacing w:val="-10"/>
          <w:kern w:val="28"/>
          <w:sz w:val="40"/>
          <w:szCs w:val="40"/>
          <w:u w:val="single"/>
          <w:lang w:eastAsia="en-GB"/>
          <w14:ligatures w14:val="none"/>
        </w:rPr>
      </w:pPr>
    </w:p>
    <w:p w14:paraId="6A967193" w14:textId="0C07C7A2" w:rsidR="00EF7CAC" w:rsidRPr="00EF7CAC" w:rsidRDefault="00EF7CAC" w:rsidP="00EF7CAC">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EF7CAC">
        <w:rPr>
          <w:rFonts w:asciiTheme="majorHAnsi" w:eastAsiaTheme="majorEastAsia" w:hAnsiTheme="majorHAnsi" w:cstheme="majorBidi"/>
          <w:spacing w:val="-10"/>
          <w:kern w:val="28"/>
          <w:sz w:val="44"/>
          <w:szCs w:val="44"/>
          <w:lang w:eastAsia="en-GB"/>
          <w14:ligatures w14:val="none"/>
        </w:rPr>
        <w:t>STUDENT</w:t>
      </w:r>
      <w:r>
        <w:rPr>
          <w:rFonts w:asciiTheme="majorHAnsi" w:eastAsiaTheme="majorEastAsia" w:hAnsiTheme="majorHAnsi" w:cstheme="majorBidi"/>
          <w:spacing w:val="-10"/>
          <w:kern w:val="28"/>
          <w:sz w:val="44"/>
          <w:szCs w:val="44"/>
          <w:lang w:eastAsia="en-GB"/>
          <w14:ligatures w14:val="none"/>
        </w:rPr>
        <w:t xml:space="preserve"> NAME</w:t>
      </w:r>
      <w:r w:rsidRPr="00EF7CAC">
        <w:rPr>
          <w:rFonts w:asciiTheme="majorHAnsi" w:eastAsiaTheme="majorEastAsia" w:hAnsiTheme="majorHAnsi" w:cstheme="majorBidi"/>
          <w:spacing w:val="-10"/>
          <w:kern w:val="28"/>
          <w:sz w:val="44"/>
          <w:szCs w:val="44"/>
          <w:lang w:eastAsia="en-GB"/>
          <w14:ligatures w14:val="none"/>
        </w:rPr>
        <w:t>: MARTINA CHORLOVA</w:t>
      </w:r>
    </w:p>
    <w:p w14:paraId="288FF55C" w14:textId="77777777" w:rsidR="00EF7CAC" w:rsidRPr="00EF7CAC" w:rsidRDefault="00EF7CAC" w:rsidP="00EF7CAC">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EF7CAC">
        <w:rPr>
          <w:rFonts w:asciiTheme="majorHAnsi" w:eastAsiaTheme="majorEastAsia" w:hAnsiTheme="majorHAnsi" w:cstheme="majorBidi"/>
          <w:spacing w:val="-10"/>
          <w:kern w:val="28"/>
          <w:sz w:val="44"/>
          <w:szCs w:val="44"/>
          <w:lang w:eastAsia="en-GB"/>
          <w14:ligatures w14:val="none"/>
        </w:rPr>
        <w:t>STUDENT NUMBER: 2028046</w:t>
      </w:r>
    </w:p>
    <w:p w14:paraId="35C4A5E9" w14:textId="77777777" w:rsidR="00EF7CAC" w:rsidRPr="00EF7CAC" w:rsidRDefault="00EF7CAC" w:rsidP="00EF7CAC">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541DAD2A" w14:textId="77777777" w:rsidR="00EF7CAC" w:rsidRPr="00EF7CAC" w:rsidRDefault="00EF7CAC" w:rsidP="00EF7CAC">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11891614" w14:textId="77777777" w:rsidR="00EF7CAC" w:rsidRPr="00EF7CAC" w:rsidRDefault="00EF7CAC" w:rsidP="00EF7CAC">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5320AD5E" w14:textId="6D1487E9" w:rsidR="00EF7CAC" w:rsidRPr="00EF7CAC" w:rsidRDefault="00EF7CAC" w:rsidP="00EF7CAC">
      <w:pPr>
        <w:jc w:val="center"/>
        <w:rPr>
          <w:rFonts w:eastAsiaTheme="minorEastAsia"/>
          <w:b/>
          <w:bCs/>
          <w:kern w:val="0"/>
          <w:sz w:val="40"/>
          <w:szCs w:val="40"/>
          <w:u w:val="single"/>
          <w:lang w:eastAsia="en-GB"/>
          <w14:ligatures w14:val="none"/>
        </w:rPr>
      </w:pPr>
      <w:r w:rsidRPr="00EF7CAC">
        <w:rPr>
          <w:rFonts w:eastAsiaTheme="minorEastAsia"/>
          <w:b/>
          <w:bCs/>
          <w:kern w:val="0"/>
          <w:sz w:val="40"/>
          <w:szCs w:val="40"/>
          <w:u w:val="single"/>
          <w:lang w:eastAsia="en-GB"/>
          <w14:ligatures w14:val="none"/>
        </w:rPr>
        <w:t xml:space="preserve">LECTURER NAME: </w:t>
      </w:r>
      <w:r>
        <w:rPr>
          <w:rFonts w:eastAsiaTheme="minorEastAsia"/>
          <w:b/>
          <w:bCs/>
          <w:kern w:val="0"/>
          <w:sz w:val="40"/>
          <w:szCs w:val="40"/>
          <w:u w:val="single"/>
          <w:lang w:eastAsia="en-GB"/>
          <w14:ligatures w14:val="none"/>
        </w:rPr>
        <w:t>DR. TAYE OSADIYA</w:t>
      </w:r>
    </w:p>
    <w:p w14:paraId="27A7E084" w14:textId="77777777" w:rsidR="00EF7CAC" w:rsidRPr="00EF7CAC" w:rsidRDefault="00EF7CAC" w:rsidP="00EF7CAC">
      <w:pPr>
        <w:jc w:val="center"/>
        <w:rPr>
          <w:rFonts w:eastAsiaTheme="minorEastAsia"/>
          <w:b/>
          <w:bCs/>
          <w:kern w:val="0"/>
          <w:sz w:val="44"/>
          <w:szCs w:val="44"/>
          <w:u w:val="single"/>
          <w:lang w:eastAsia="en-GB"/>
          <w14:ligatures w14:val="none"/>
        </w:rPr>
      </w:pPr>
    </w:p>
    <w:p w14:paraId="6E5CFAF9" w14:textId="5781B643" w:rsidR="00EF7CAC" w:rsidRPr="00EF7CAC" w:rsidRDefault="00EF7CAC" w:rsidP="00EF7CAC">
      <w:pPr>
        <w:jc w:val="center"/>
        <w:rPr>
          <w:rFonts w:eastAsiaTheme="minorEastAsia"/>
          <w:b/>
          <w:bCs/>
          <w:kern w:val="0"/>
          <w:sz w:val="36"/>
          <w:szCs w:val="36"/>
          <w:u w:val="single"/>
          <w:lang w:eastAsia="en-GB"/>
          <w14:ligatures w14:val="none"/>
        </w:rPr>
      </w:pPr>
      <w:r w:rsidRPr="00EF7CAC">
        <w:rPr>
          <w:rFonts w:eastAsiaTheme="minorEastAsia"/>
          <w:b/>
          <w:bCs/>
          <w:kern w:val="0"/>
          <w:sz w:val="36"/>
          <w:szCs w:val="36"/>
          <w:u w:val="single"/>
          <w:lang w:eastAsia="en-GB"/>
          <w14:ligatures w14:val="none"/>
        </w:rPr>
        <w:t>DATE: 2</w:t>
      </w:r>
      <w:r>
        <w:rPr>
          <w:rFonts w:eastAsiaTheme="minorEastAsia"/>
          <w:b/>
          <w:bCs/>
          <w:kern w:val="0"/>
          <w:sz w:val="36"/>
          <w:szCs w:val="36"/>
          <w:u w:val="single"/>
          <w:lang w:eastAsia="en-GB"/>
          <w14:ligatures w14:val="none"/>
        </w:rPr>
        <w:t>5/08/2023</w:t>
      </w:r>
      <w:r w:rsidRPr="00EF7CAC">
        <w:rPr>
          <w:rFonts w:eastAsiaTheme="minorEastAsia"/>
          <w:b/>
          <w:bCs/>
          <w:kern w:val="0"/>
          <w:sz w:val="36"/>
          <w:szCs w:val="36"/>
          <w:u w:val="single"/>
          <w:lang w:eastAsia="en-GB"/>
          <w14:ligatures w14:val="none"/>
        </w:rPr>
        <w:t xml:space="preserve"> </w:t>
      </w:r>
    </w:p>
    <w:p w14:paraId="3AF50085" w14:textId="77777777" w:rsidR="00EF7CAC" w:rsidRDefault="00EF7CAC" w:rsidP="00EF7CAC">
      <w:pPr>
        <w:jc w:val="center"/>
      </w:pPr>
    </w:p>
    <w:p w14:paraId="1C93A5BC" w14:textId="77777777" w:rsidR="00EF7CAC" w:rsidRDefault="00EF7CAC" w:rsidP="00EF7CAC">
      <w:pPr>
        <w:jc w:val="center"/>
      </w:pPr>
    </w:p>
    <w:p w14:paraId="1833D293" w14:textId="2B8CB7BA" w:rsidR="00EF7CAC" w:rsidRPr="00EF7CAC" w:rsidRDefault="00EF7CAC" w:rsidP="00EF7CAC">
      <w:pPr>
        <w:jc w:val="center"/>
        <w:rPr>
          <w:b/>
          <w:bCs/>
          <w:sz w:val="72"/>
          <w:szCs w:val="72"/>
          <w:u w:val="single"/>
        </w:rPr>
      </w:pPr>
      <w:r w:rsidRPr="00EF7CAC">
        <w:rPr>
          <w:b/>
          <w:bCs/>
          <w:sz w:val="72"/>
          <w:szCs w:val="72"/>
          <w:u w:val="single"/>
        </w:rPr>
        <w:t xml:space="preserve">TABLE OF CONTENTS </w:t>
      </w:r>
    </w:p>
    <w:p w14:paraId="3C77E16C" w14:textId="77777777" w:rsidR="00EF7CAC" w:rsidRDefault="00EF7CAC" w:rsidP="00EF7CAC">
      <w:pPr>
        <w:jc w:val="center"/>
        <w:rPr>
          <w:b/>
          <w:bCs/>
          <w:sz w:val="48"/>
          <w:szCs w:val="48"/>
          <w:u w:val="single"/>
        </w:rPr>
      </w:pPr>
    </w:p>
    <w:p w14:paraId="1C73EC7E" w14:textId="77777777" w:rsidR="00EF7CAC" w:rsidRDefault="00EF7CAC" w:rsidP="00EF7CAC">
      <w:pPr>
        <w:jc w:val="center"/>
        <w:rPr>
          <w:b/>
          <w:bCs/>
          <w:sz w:val="48"/>
          <w:szCs w:val="48"/>
          <w:u w:val="single"/>
        </w:rPr>
      </w:pPr>
    </w:p>
    <w:p w14:paraId="4461C990" w14:textId="7A5B950F" w:rsidR="00EF7CAC" w:rsidRPr="00EC0C08" w:rsidRDefault="00EF7CAC" w:rsidP="00EC0C08">
      <w:pPr>
        <w:pStyle w:val="ListParagraph"/>
        <w:numPr>
          <w:ilvl w:val="0"/>
          <w:numId w:val="1"/>
        </w:numPr>
        <w:rPr>
          <w:b/>
          <w:bCs/>
          <w:sz w:val="28"/>
          <w:szCs w:val="28"/>
        </w:rPr>
      </w:pPr>
      <w:r w:rsidRPr="00EC0C08">
        <w:rPr>
          <w:b/>
          <w:bCs/>
          <w:sz w:val="28"/>
          <w:szCs w:val="28"/>
        </w:rPr>
        <w:t>INTRODUCTION…………………………………</w:t>
      </w:r>
      <w:r w:rsidR="00EC0C08" w:rsidRPr="00EC0C08">
        <w:rPr>
          <w:b/>
          <w:bCs/>
          <w:sz w:val="28"/>
          <w:szCs w:val="28"/>
        </w:rPr>
        <w:t>………………</w:t>
      </w:r>
      <w:r w:rsidR="00EC0C08">
        <w:rPr>
          <w:b/>
          <w:bCs/>
          <w:sz w:val="28"/>
          <w:szCs w:val="28"/>
        </w:rPr>
        <w:t>………………….</w:t>
      </w:r>
      <w:r w:rsidR="00EC0C08" w:rsidRPr="00EC0C08">
        <w:rPr>
          <w:b/>
          <w:bCs/>
          <w:sz w:val="28"/>
          <w:szCs w:val="28"/>
        </w:rPr>
        <w:t>..</w:t>
      </w:r>
      <w:r w:rsidRPr="00EC0C08">
        <w:rPr>
          <w:b/>
          <w:bCs/>
          <w:sz w:val="28"/>
          <w:szCs w:val="28"/>
        </w:rPr>
        <w:t xml:space="preserve">3 </w:t>
      </w:r>
    </w:p>
    <w:p w14:paraId="0AB2FBEF" w14:textId="77777777" w:rsidR="00D05AEE" w:rsidRDefault="00D05AEE" w:rsidP="00EC0C08">
      <w:pPr>
        <w:pStyle w:val="ListParagraph"/>
        <w:ind w:left="1080"/>
        <w:rPr>
          <w:b/>
          <w:bCs/>
          <w:sz w:val="48"/>
          <w:szCs w:val="48"/>
        </w:rPr>
      </w:pPr>
    </w:p>
    <w:p w14:paraId="77D78F8D" w14:textId="77777777" w:rsidR="00EF7CAC" w:rsidRDefault="00EF7CAC" w:rsidP="00EC0C08">
      <w:pPr>
        <w:pStyle w:val="ListParagraph"/>
        <w:ind w:left="1080"/>
        <w:rPr>
          <w:b/>
          <w:bCs/>
          <w:sz w:val="48"/>
          <w:szCs w:val="48"/>
        </w:rPr>
      </w:pPr>
    </w:p>
    <w:p w14:paraId="758BE7B8" w14:textId="3E22CB0A" w:rsidR="00EF7CAC" w:rsidRPr="00EC0C08" w:rsidRDefault="00EF7CAC" w:rsidP="00EC0C08">
      <w:pPr>
        <w:pStyle w:val="ListParagraph"/>
        <w:numPr>
          <w:ilvl w:val="0"/>
          <w:numId w:val="1"/>
        </w:numPr>
        <w:rPr>
          <w:b/>
          <w:bCs/>
          <w:sz w:val="28"/>
          <w:szCs w:val="28"/>
        </w:rPr>
      </w:pPr>
      <w:r w:rsidRPr="00EC0C08">
        <w:rPr>
          <w:b/>
          <w:bCs/>
          <w:sz w:val="28"/>
          <w:szCs w:val="28"/>
        </w:rPr>
        <w:t>ANALYSIS</w:t>
      </w:r>
      <w:r w:rsidR="00EC0C08" w:rsidRPr="00EC0C08">
        <w:rPr>
          <w:b/>
          <w:bCs/>
          <w:sz w:val="28"/>
          <w:szCs w:val="28"/>
        </w:rPr>
        <w:t xml:space="preserve"> OF DIVIDEND DISTRIBUTION POLICY </w:t>
      </w:r>
      <w:r w:rsidRPr="00EC0C08">
        <w:rPr>
          <w:b/>
          <w:bCs/>
          <w:sz w:val="28"/>
          <w:szCs w:val="28"/>
        </w:rPr>
        <w:t>…………</w:t>
      </w:r>
      <w:r w:rsidR="00EC0C08">
        <w:rPr>
          <w:b/>
          <w:bCs/>
          <w:sz w:val="28"/>
          <w:szCs w:val="28"/>
        </w:rPr>
        <w:t>……………</w:t>
      </w:r>
      <w:r w:rsidRPr="00EC0C08">
        <w:rPr>
          <w:b/>
          <w:bCs/>
          <w:sz w:val="28"/>
          <w:szCs w:val="28"/>
        </w:rPr>
        <w:t>.3</w:t>
      </w:r>
    </w:p>
    <w:p w14:paraId="13458445" w14:textId="77777777" w:rsidR="00EF7CAC" w:rsidRPr="00EF7CAC" w:rsidRDefault="00EF7CAC" w:rsidP="00EC0C08">
      <w:pPr>
        <w:pStyle w:val="ListParagraph"/>
        <w:rPr>
          <w:b/>
          <w:bCs/>
          <w:sz w:val="48"/>
          <w:szCs w:val="48"/>
        </w:rPr>
      </w:pPr>
    </w:p>
    <w:p w14:paraId="1D51519C" w14:textId="23AB1686" w:rsidR="00EF7CAC" w:rsidRDefault="00EF7CAC" w:rsidP="00EC0C08">
      <w:pPr>
        <w:pStyle w:val="ListParagraph"/>
        <w:ind w:left="1080"/>
        <w:rPr>
          <w:b/>
          <w:bCs/>
          <w:sz w:val="48"/>
          <w:szCs w:val="48"/>
        </w:rPr>
      </w:pPr>
      <w:r>
        <w:rPr>
          <w:b/>
          <w:bCs/>
          <w:sz w:val="48"/>
          <w:szCs w:val="48"/>
        </w:rPr>
        <w:t xml:space="preserve"> </w:t>
      </w:r>
    </w:p>
    <w:p w14:paraId="3F382664" w14:textId="6D0518FF" w:rsidR="00EF7CAC" w:rsidRDefault="00EC0C08" w:rsidP="00EC0C08">
      <w:pPr>
        <w:pStyle w:val="ListParagraph"/>
        <w:numPr>
          <w:ilvl w:val="0"/>
          <w:numId w:val="1"/>
        </w:numPr>
        <w:rPr>
          <w:b/>
          <w:bCs/>
          <w:sz w:val="32"/>
          <w:szCs w:val="32"/>
        </w:rPr>
      </w:pPr>
      <w:r w:rsidRPr="00EC0C08">
        <w:rPr>
          <w:b/>
          <w:bCs/>
          <w:sz w:val="28"/>
          <w:szCs w:val="28"/>
        </w:rPr>
        <w:t>ANALYSIS OF EFFICIENT MARKET HYPOTHESIS THEORY</w:t>
      </w:r>
      <w:r w:rsidRPr="00EC0C08">
        <w:rPr>
          <w:b/>
          <w:bCs/>
          <w:sz w:val="32"/>
          <w:szCs w:val="32"/>
        </w:rPr>
        <w:t xml:space="preserve"> </w:t>
      </w:r>
      <w:r>
        <w:rPr>
          <w:b/>
          <w:bCs/>
          <w:sz w:val="32"/>
          <w:szCs w:val="32"/>
        </w:rPr>
        <w:t>…………</w:t>
      </w:r>
      <w:r w:rsidR="00F0578E">
        <w:rPr>
          <w:b/>
          <w:bCs/>
          <w:sz w:val="32"/>
          <w:szCs w:val="32"/>
        </w:rPr>
        <w:t>4</w:t>
      </w:r>
    </w:p>
    <w:p w14:paraId="25222D36" w14:textId="77777777" w:rsidR="00EC0C08" w:rsidRDefault="00EC0C08" w:rsidP="00EC0C08">
      <w:pPr>
        <w:pStyle w:val="ListParagraph"/>
        <w:ind w:left="1080"/>
        <w:rPr>
          <w:b/>
          <w:bCs/>
          <w:sz w:val="32"/>
          <w:szCs w:val="32"/>
        </w:rPr>
      </w:pPr>
    </w:p>
    <w:p w14:paraId="0B7A2949" w14:textId="77777777" w:rsidR="00EC0C08" w:rsidRDefault="00EC0C08" w:rsidP="00EC0C08">
      <w:pPr>
        <w:pStyle w:val="ListParagraph"/>
        <w:ind w:left="1080"/>
        <w:rPr>
          <w:b/>
          <w:bCs/>
          <w:sz w:val="32"/>
          <w:szCs w:val="32"/>
        </w:rPr>
      </w:pPr>
    </w:p>
    <w:p w14:paraId="3F838C4D" w14:textId="77777777" w:rsidR="00EC0C08" w:rsidRDefault="00EC0C08" w:rsidP="00EC0C08">
      <w:pPr>
        <w:pStyle w:val="ListParagraph"/>
        <w:ind w:left="1080"/>
        <w:rPr>
          <w:b/>
          <w:bCs/>
          <w:sz w:val="32"/>
          <w:szCs w:val="32"/>
        </w:rPr>
      </w:pPr>
    </w:p>
    <w:p w14:paraId="3A5260B0" w14:textId="76E10248" w:rsidR="00EC0C08" w:rsidRPr="00EC0C08" w:rsidRDefault="00EC0C08" w:rsidP="00EC0C08">
      <w:pPr>
        <w:pStyle w:val="ListParagraph"/>
        <w:numPr>
          <w:ilvl w:val="0"/>
          <w:numId w:val="1"/>
        </w:numPr>
        <w:rPr>
          <w:b/>
          <w:bCs/>
          <w:sz w:val="28"/>
          <w:szCs w:val="28"/>
        </w:rPr>
      </w:pPr>
      <w:r w:rsidRPr="00EC0C08">
        <w:rPr>
          <w:b/>
          <w:bCs/>
          <w:sz w:val="28"/>
          <w:szCs w:val="28"/>
        </w:rPr>
        <w:t>ANALYSIS OF APPRAISING PROJECTS…………………………</w:t>
      </w:r>
      <w:r>
        <w:rPr>
          <w:b/>
          <w:bCs/>
          <w:sz w:val="28"/>
          <w:szCs w:val="28"/>
        </w:rPr>
        <w:t>…………….</w:t>
      </w:r>
      <w:r w:rsidR="00F0578E">
        <w:rPr>
          <w:b/>
          <w:bCs/>
          <w:sz w:val="28"/>
          <w:szCs w:val="28"/>
        </w:rPr>
        <w:t>5</w:t>
      </w:r>
    </w:p>
    <w:p w14:paraId="0EAC4DA8" w14:textId="77777777" w:rsidR="00EC0C08" w:rsidRDefault="00EC0C08" w:rsidP="00EC0C08">
      <w:pPr>
        <w:pStyle w:val="ListParagraph"/>
        <w:rPr>
          <w:b/>
          <w:bCs/>
          <w:sz w:val="32"/>
          <w:szCs w:val="32"/>
        </w:rPr>
      </w:pPr>
    </w:p>
    <w:p w14:paraId="06FD0508" w14:textId="77777777" w:rsidR="00EC0C08" w:rsidRDefault="00EC0C08" w:rsidP="00EC0C08">
      <w:pPr>
        <w:pStyle w:val="ListParagraph"/>
        <w:rPr>
          <w:b/>
          <w:bCs/>
          <w:sz w:val="32"/>
          <w:szCs w:val="32"/>
        </w:rPr>
      </w:pPr>
    </w:p>
    <w:p w14:paraId="04D3CEB3" w14:textId="77777777" w:rsidR="00EC0C08" w:rsidRPr="00EC0C08" w:rsidRDefault="00EC0C08" w:rsidP="00EC0C08">
      <w:pPr>
        <w:pStyle w:val="ListParagraph"/>
        <w:rPr>
          <w:b/>
          <w:bCs/>
          <w:sz w:val="32"/>
          <w:szCs w:val="32"/>
        </w:rPr>
      </w:pPr>
    </w:p>
    <w:p w14:paraId="7E6E3F68" w14:textId="7E0E3592" w:rsidR="00D05AEE" w:rsidRDefault="00EC0C08" w:rsidP="00EC0C08">
      <w:pPr>
        <w:pStyle w:val="ListParagraph"/>
        <w:numPr>
          <w:ilvl w:val="0"/>
          <w:numId w:val="1"/>
        </w:numPr>
        <w:rPr>
          <w:b/>
          <w:bCs/>
          <w:sz w:val="28"/>
          <w:szCs w:val="28"/>
        </w:rPr>
      </w:pPr>
      <w:r w:rsidRPr="00EC0C08">
        <w:rPr>
          <w:b/>
          <w:bCs/>
          <w:sz w:val="28"/>
          <w:szCs w:val="28"/>
        </w:rPr>
        <w:t>CONCLUSION</w:t>
      </w:r>
      <w:r>
        <w:rPr>
          <w:b/>
          <w:bCs/>
          <w:sz w:val="28"/>
          <w:szCs w:val="28"/>
        </w:rPr>
        <w:t>…………………………………………………………………………..6</w:t>
      </w:r>
    </w:p>
    <w:p w14:paraId="7DA6AB7F" w14:textId="77777777" w:rsidR="00EC0C08" w:rsidRPr="00EC0C08" w:rsidRDefault="00EC0C08" w:rsidP="00EC0C08">
      <w:pPr>
        <w:pStyle w:val="ListParagraph"/>
        <w:ind w:left="1145"/>
        <w:rPr>
          <w:b/>
          <w:bCs/>
          <w:sz w:val="28"/>
          <w:szCs w:val="28"/>
        </w:rPr>
      </w:pPr>
    </w:p>
    <w:p w14:paraId="2C09780E" w14:textId="77777777" w:rsidR="00EF7CAC" w:rsidRDefault="00EF7CAC" w:rsidP="00EC0C08">
      <w:pPr>
        <w:pStyle w:val="ListParagraph"/>
        <w:ind w:left="1080"/>
        <w:rPr>
          <w:b/>
          <w:bCs/>
          <w:sz w:val="48"/>
          <w:szCs w:val="48"/>
        </w:rPr>
      </w:pPr>
    </w:p>
    <w:p w14:paraId="75AF147C" w14:textId="71F573B8" w:rsidR="00EF7CAC" w:rsidRPr="00EC0C08" w:rsidRDefault="00EF7CAC" w:rsidP="00EC0C08">
      <w:pPr>
        <w:pStyle w:val="ListParagraph"/>
        <w:numPr>
          <w:ilvl w:val="0"/>
          <w:numId w:val="1"/>
        </w:numPr>
        <w:rPr>
          <w:b/>
          <w:bCs/>
          <w:sz w:val="28"/>
          <w:szCs w:val="28"/>
        </w:rPr>
      </w:pPr>
      <w:r w:rsidRPr="00EC0C08">
        <w:rPr>
          <w:b/>
          <w:bCs/>
          <w:sz w:val="28"/>
          <w:szCs w:val="28"/>
        </w:rPr>
        <w:t>REFERENCES</w:t>
      </w:r>
      <w:r w:rsidR="00EC0C08">
        <w:rPr>
          <w:b/>
          <w:bCs/>
          <w:sz w:val="28"/>
          <w:szCs w:val="28"/>
        </w:rPr>
        <w:t>………………………………….</w:t>
      </w:r>
      <w:r w:rsidRPr="00EC0C08">
        <w:rPr>
          <w:b/>
          <w:bCs/>
          <w:sz w:val="28"/>
          <w:szCs w:val="28"/>
        </w:rPr>
        <w:t>……………………………………</w:t>
      </w:r>
      <w:r w:rsidR="00EC0C08">
        <w:rPr>
          <w:b/>
          <w:bCs/>
          <w:sz w:val="28"/>
          <w:szCs w:val="28"/>
        </w:rPr>
        <w:t>…</w:t>
      </w:r>
      <w:r w:rsidRPr="00EC0C08">
        <w:rPr>
          <w:b/>
          <w:bCs/>
          <w:sz w:val="28"/>
          <w:szCs w:val="28"/>
        </w:rPr>
        <w:t>.</w:t>
      </w:r>
      <w:r w:rsidR="00EC0C08">
        <w:rPr>
          <w:b/>
          <w:bCs/>
          <w:sz w:val="28"/>
          <w:szCs w:val="28"/>
        </w:rPr>
        <w:t>.</w:t>
      </w:r>
      <w:r w:rsidR="00F0578E">
        <w:rPr>
          <w:b/>
          <w:bCs/>
          <w:sz w:val="28"/>
          <w:szCs w:val="28"/>
        </w:rPr>
        <w:t>7</w:t>
      </w:r>
    </w:p>
    <w:p w14:paraId="2039C5BC" w14:textId="77777777" w:rsidR="00EF7CAC" w:rsidRDefault="00EF7CAC" w:rsidP="00EF7CAC">
      <w:pPr>
        <w:jc w:val="center"/>
      </w:pPr>
    </w:p>
    <w:p w14:paraId="1B328319" w14:textId="77777777" w:rsidR="00EF7CAC" w:rsidRDefault="00EF7CAC" w:rsidP="00EF7CAC">
      <w:pPr>
        <w:jc w:val="center"/>
      </w:pPr>
    </w:p>
    <w:p w14:paraId="4342264D" w14:textId="77777777" w:rsidR="00EF7CAC" w:rsidRDefault="00EF7CAC" w:rsidP="00EF7CAC">
      <w:pPr>
        <w:jc w:val="center"/>
      </w:pPr>
    </w:p>
    <w:p w14:paraId="12F0F0A2" w14:textId="77777777" w:rsidR="00EF7CAC" w:rsidRDefault="00EF7CAC" w:rsidP="00EF7CAC">
      <w:pPr>
        <w:jc w:val="center"/>
      </w:pPr>
    </w:p>
    <w:p w14:paraId="4362BCCF" w14:textId="77777777" w:rsidR="00EF7CAC" w:rsidRDefault="00EF7CAC" w:rsidP="00EF7CAC">
      <w:pPr>
        <w:jc w:val="center"/>
      </w:pPr>
    </w:p>
    <w:p w14:paraId="43261D2B" w14:textId="77777777" w:rsidR="00EF7CAC" w:rsidRDefault="00EF7CAC" w:rsidP="00EC0C08"/>
    <w:p w14:paraId="4D98848A" w14:textId="77777777" w:rsidR="00EF7CAC" w:rsidRDefault="00EF7CAC" w:rsidP="00EF7CAC">
      <w:pPr>
        <w:jc w:val="center"/>
      </w:pPr>
    </w:p>
    <w:p w14:paraId="728C91E7" w14:textId="003AC19E" w:rsidR="00EF7CAC" w:rsidRPr="00863799" w:rsidRDefault="00EF7CAC" w:rsidP="00EF7CAC">
      <w:pPr>
        <w:pStyle w:val="ListParagraph"/>
        <w:numPr>
          <w:ilvl w:val="0"/>
          <w:numId w:val="2"/>
        </w:numPr>
        <w:rPr>
          <w:b/>
          <w:bCs/>
          <w:sz w:val="24"/>
          <w:szCs w:val="24"/>
        </w:rPr>
      </w:pPr>
      <w:r w:rsidRPr="00863799">
        <w:rPr>
          <w:b/>
          <w:bCs/>
          <w:sz w:val="24"/>
          <w:szCs w:val="24"/>
        </w:rPr>
        <w:t xml:space="preserve">INTRODUCTION </w:t>
      </w:r>
    </w:p>
    <w:p w14:paraId="6B1E6DBA" w14:textId="52643ADA" w:rsidR="00EF7CAC" w:rsidRDefault="00100F83" w:rsidP="00863799">
      <w:pPr>
        <w:pStyle w:val="ListParagraph"/>
        <w:jc w:val="both"/>
        <w:rPr>
          <w:sz w:val="24"/>
          <w:szCs w:val="24"/>
        </w:rPr>
      </w:pPr>
      <w:r>
        <w:rPr>
          <w:sz w:val="24"/>
          <w:szCs w:val="24"/>
        </w:rPr>
        <w:t xml:space="preserve">  </w:t>
      </w:r>
      <w:r w:rsidR="00863799" w:rsidRPr="00863799">
        <w:rPr>
          <w:sz w:val="24"/>
          <w:szCs w:val="24"/>
        </w:rPr>
        <w:t>Today’s world has made widespread use of the term International Financial Management, which more commonly goes by the name International Finance. It refers to the management of financial resources within an international context of business. The study of the changes in exchange rates, foreign investments, and the ways in which these factors influence international trade is the focus of the field of economics known as international finance.</w:t>
      </w:r>
      <w:r w:rsidR="00863799">
        <w:rPr>
          <w:sz w:val="24"/>
          <w:szCs w:val="24"/>
        </w:rPr>
        <w:t xml:space="preserve"> </w:t>
      </w:r>
      <w:r w:rsidR="00863799" w:rsidRPr="00863799">
        <w:rPr>
          <w:sz w:val="24"/>
          <w:szCs w:val="24"/>
        </w:rPr>
        <w:t>Not only is it essential for large multinational corporations (MNCs) with a large number of overseas subsidiaries to have an understanding of international financial management, but it is also essential for small businesses that are engaged in exporting or importing.</w:t>
      </w:r>
    </w:p>
    <w:p w14:paraId="3451697E" w14:textId="15209F86" w:rsidR="00100F83" w:rsidRDefault="00BA47F9" w:rsidP="00863799">
      <w:pPr>
        <w:pStyle w:val="ListParagraph"/>
        <w:jc w:val="both"/>
        <w:rPr>
          <w:sz w:val="24"/>
          <w:szCs w:val="24"/>
        </w:rPr>
      </w:pPr>
      <w:r>
        <w:rPr>
          <w:sz w:val="24"/>
          <w:szCs w:val="24"/>
        </w:rPr>
        <w:t xml:space="preserve">  </w:t>
      </w:r>
      <w:r w:rsidR="00100F83" w:rsidRPr="00100F83">
        <w:rPr>
          <w:sz w:val="24"/>
          <w:szCs w:val="24"/>
        </w:rPr>
        <w:t>The retail industry on a worldwide scale is one of the most important industries in the world since it supplies a wide variety of product categories to end users.</w:t>
      </w:r>
      <w:r w:rsidRPr="00BA47F9">
        <w:t xml:space="preserve"> </w:t>
      </w:r>
      <w:r w:rsidRPr="00BA47F9">
        <w:rPr>
          <w:sz w:val="24"/>
          <w:szCs w:val="24"/>
        </w:rPr>
        <w:t>Tesco is a worldwide corporation that has its operations based in the United Kingdom and manages a wide variety of grocery and general goods products.</w:t>
      </w:r>
      <w:r w:rsidR="00100F83" w:rsidRPr="00100F83">
        <w:t xml:space="preserve"> </w:t>
      </w:r>
      <w:r w:rsidR="00100F83" w:rsidRPr="00100F83">
        <w:rPr>
          <w:sz w:val="24"/>
          <w:szCs w:val="24"/>
        </w:rPr>
        <w:t>This company was founded in 1919, and its shares have been traded on the London Stock Exchange</w:t>
      </w:r>
      <w:r>
        <w:rPr>
          <w:sz w:val="24"/>
          <w:szCs w:val="24"/>
        </w:rPr>
        <w:t xml:space="preserve"> (Rosnizam et al., 2020). </w:t>
      </w:r>
      <w:r w:rsidRPr="00BA47F9">
        <w:rPr>
          <w:sz w:val="24"/>
          <w:szCs w:val="24"/>
        </w:rPr>
        <w:t>The company operates in several nations throughout continental regions, encompassing multiple business units. Notably, it offers financial services primarily through its subsidiary, Tesco Financial Services. This subsidiary effectively administers the accounts of 4.6 million clients, which are categorised into segments such as vehicle insurance,</w:t>
      </w:r>
      <w:r>
        <w:rPr>
          <w:sz w:val="24"/>
          <w:szCs w:val="24"/>
        </w:rPr>
        <w:t xml:space="preserve"> credit cards, and policies. In this report will be analysed the dividend distribution policy</w:t>
      </w:r>
      <w:r w:rsidR="00B05CCC">
        <w:rPr>
          <w:sz w:val="24"/>
          <w:szCs w:val="24"/>
        </w:rPr>
        <w:t xml:space="preserve">, efficient market hypothesis and methods of appraising projects of the company. </w:t>
      </w:r>
    </w:p>
    <w:p w14:paraId="24D89F19" w14:textId="77777777" w:rsidR="00B05CCC" w:rsidRDefault="00B05CCC" w:rsidP="00863799">
      <w:pPr>
        <w:pStyle w:val="ListParagraph"/>
        <w:jc w:val="both"/>
        <w:rPr>
          <w:sz w:val="24"/>
          <w:szCs w:val="24"/>
        </w:rPr>
      </w:pPr>
    </w:p>
    <w:p w14:paraId="5DA7BECF" w14:textId="615D3F28" w:rsidR="00B05CCC" w:rsidRPr="00EE7E99" w:rsidRDefault="00B05CCC" w:rsidP="00B05CCC">
      <w:pPr>
        <w:pStyle w:val="ListParagraph"/>
        <w:numPr>
          <w:ilvl w:val="0"/>
          <w:numId w:val="2"/>
        </w:numPr>
        <w:jc w:val="both"/>
        <w:rPr>
          <w:b/>
          <w:bCs/>
          <w:sz w:val="24"/>
          <w:szCs w:val="24"/>
        </w:rPr>
      </w:pPr>
      <w:r w:rsidRPr="00EE7E99">
        <w:rPr>
          <w:b/>
          <w:bCs/>
          <w:sz w:val="24"/>
          <w:szCs w:val="24"/>
        </w:rPr>
        <w:t xml:space="preserve">ANALYSIS OF DIVIDEND DISTRIBUTION POLICY </w:t>
      </w:r>
    </w:p>
    <w:p w14:paraId="079A7EBD" w14:textId="781177E3" w:rsidR="00B05CCC" w:rsidRDefault="00B05CCC" w:rsidP="00B05CCC">
      <w:pPr>
        <w:pStyle w:val="ListParagraph"/>
        <w:jc w:val="both"/>
        <w:rPr>
          <w:sz w:val="24"/>
          <w:szCs w:val="24"/>
        </w:rPr>
      </w:pPr>
      <w:r>
        <w:rPr>
          <w:sz w:val="24"/>
          <w:szCs w:val="24"/>
        </w:rPr>
        <w:t xml:space="preserve">  </w:t>
      </w:r>
      <w:r w:rsidR="001B1485" w:rsidRPr="001B1485">
        <w:rPr>
          <w:sz w:val="24"/>
          <w:szCs w:val="24"/>
        </w:rPr>
        <w:t>The definition of 'dividend policy' states that it is "the practise that management follows in making dividend payout decisions or, in other words, the size and pattern of cash distributions over time to shareholders"</w:t>
      </w:r>
      <w:r w:rsidR="001B1485">
        <w:rPr>
          <w:sz w:val="24"/>
          <w:szCs w:val="24"/>
        </w:rPr>
        <w:t xml:space="preserve"> (Lease et al., 2000, p. 29). </w:t>
      </w:r>
      <w:r w:rsidR="001B1485" w:rsidRPr="001B1485">
        <w:rPr>
          <w:sz w:val="24"/>
          <w:szCs w:val="24"/>
        </w:rPr>
        <w:t>Since the beginning of the modern commercial corporation, managers have been struggling with the question of how they should approach dividend policy. It should come as no surprise, then, that dividend policy continues to be one of the subjects of greatest discussion in finance.</w:t>
      </w:r>
      <w:r w:rsidR="00EE7E99">
        <w:rPr>
          <w:sz w:val="24"/>
          <w:szCs w:val="24"/>
        </w:rPr>
        <w:t xml:space="preserve"> </w:t>
      </w:r>
      <w:r w:rsidR="00EE7E99" w:rsidRPr="00EE7E99">
        <w:rPr>
          <w:sz w:val="24"/>
          <w:szCs w:val="24"/>
        </w:rPr>
        <w:t>There are three primary theories of dividends, all of which are in direct opposition to one another. There are those who maintain that a rise in dividend payments results in an increase in the value of a company. According to a different point of view, high dividend payouts have the opposite effect on the value of a company</w:t>
      </w:r>
      <w:r w:rsidR="00EE7E99">
        <w:rPr>
          <w:sz w:val="24"/>
          <w:szCs w:val="24"/>
        </w:rPr>
        <w:t>,</w:t>
      </w:r>
      <w:r w:rsidR="00EE7E99" w:rsidRPr="00EE7E99">
        <w:rPr>
          <w:sz w:val="24"/>
          <w:szCs w:val="24"/>
        </w:rPr>
        <w:t xml:space="preserve"> more specifically, they have a negative impact on the value of the company.</w:t>
      </w:r>
      <w:r w:rsidR="00EE7E99" w:rsidRPr="00EE7E99">
        <w:t xml:space="preserve"> </w:t>
      </w:r>
      <w:r w:rsidR="00EE7E99" w:rsidRPr="00EE7E99">
        <w:rPr>
          <w:sz w:val="24"/>
          <w:szCs w:val="24"/>
        </w:rPr>
        <w:t>The third theoretical approach contends that dividends should not be considered important, and that any work that is put into determining whether or not to pay dividends is wasted.</w:t>
      </w:r>
      <w:r w:rsidR="00EE7E99">
        <w:rPr>
          <w:sz w:val="24"/>
          <w:szCs w:val="24"/>
        </w:rPr>
        <w:t xml:space="preserve"> </w:t>
      </w:r>
      <w:r w:rsidR="00EE7E99" w:rsidRPr="00EE7E99">
        <w:rPr>
          <w:sz w:val="24"/>
          <w:szCs w:val="24"/>
        </w:rPr>
        <w:t xml:space="preserve">These points of view are reflected in the following three hypotheses and theories about dividend policy: the high dividends raise share value theory (also known as the 'bird-in-the-hand' argument), the low dividends increase </w:t>
      </w:r>
      <w:r w:rsidR="00EE7E99" w:rsidRPr="00EE7E99">
        <w:rPr>
          <w:sz w:val="24"/>
          <w:szCs w:val="24"/>
        </w:rPr>
        <w:lastRenderedPageBreak/>
        <w:t>share value theory (also known as the tax-preference argument), and the dividend irrelevance hypothesis</w:t>
      </w:r>
      <w:r w:rsidR="00402B92">
        <w:rPr>
          <w:sz w:val="24"/>
          <w:szCs w:val="24"/>
        </w:rPr>
        <w:t xml:space="preserve"> (also known as Modigliani and Miller (M&amp;M) theory). </w:t>
      </w:r>
      <w:r w:rsidR="00EE7E99">
        <w:rPr>
          <w:sz w:val="24"/>
          <w:szCs w:val="24"/>
        </w:rPr>
        <w:t xml:space="preserve"> </w:t>
      </w:r>
    </w:p>
    <w:p w14:paraId="589A1395" w14:textId="58C54658" w:rsidR="00EE7E99" w:rsidRDefault="00EE7E99" w:rsidP="00B05CCC">
      <w:pPr>
        <w:pStyle w:val="ListParagraph"/>
        <w:jc w:val="both"/>
        <w:rPr>
          <w:sz w:val="24"/>
          <w:szCs w:val="24"/>
        </w:rPr>
      </w:pPr>
      <w:r>
        <w:rPr>
          <w:sz w:val="24"/>
          <w:szCs w:val="24"/>
        </w:rPr>
        <w:t xml:space="preserve">  </w:t>
      </w:r>
      <w:r w:rsidR="00402B92" w:rsidRPr="00402B92">
        <w:rPr>
          <w:sz w:val="24"/>
          <w:szCs w:val="24"/>
        </w:rPr>
        <w:t>As per the most recent information available as of the month of August 2023, Tesco had distributed dividends amounting to 0.14 USD per share over the course of the preceding 12 months. This equates to a dividend yield of 4.32% based on the current price of the stock, which is 3.21 USD a share.</w:t>
      </w:r>
      <w:r w:rsidR="00402B92">
        <w:rPr>
          <w:sz w:val="24"/>
          <w:szCs w:val="24"/>
        </w:rPr>
        <w:t xml:space="preserve"> </w:t>
      </w:r>
      <w:r w:rsidR="00402B92" w:rsidRPr="00402B92">
        <w:rPr>
          <w:sz w:val="24"/>
          <w:szCs w:val="24"/>
        </w:rPr>
        <w:t>Dividends are distributed by Tesco twice yearly. The months of June and November are reserved for payments.</w:t>
      </w:r>
      <w:r w:rsidR="00A8488D">
        <w:rPr>
          <w:sz w:val="24"/>
          <w:szCs w:val="24"/>
        </w:rPr>
        <w:t xml:space="preserve"> </w:t>
      </w:r>
      <w:r w:rsidR="00A8488D" w:rsidRPr="00A8488D">
        <w:rPr>
          <w:sz w:val="24"/>
          <w:szCs w:val="24"/>
        </w:rPr>
        <w:t>The figure below displays Tesco</w:t>
      </w:r>
      <w:r w:rsidR="00A8488D">
        <w:rPr>
          <w:sz w:val="24"/>
          <w:szCs w:val="24"/>
        </w:rPr>
        <w:t>’</w:t>
      </w:r>
      <w:r w:rsidR="00A8488D" w:rsidRPr="00A8488D">
        <w:rPr>
          <w:sz w:val="24"/>
          <w:szCs w:val="24"/>
        </w:rPr>
        <w:t>s cumulative dividend for each fiscal year.</w:t>
      </w:r>
    </w:p>
    <w:p w14:paraId="6C481DBA" w14:textId="77777777" w:rsidR="00402B92" w:rsidRDefault="00402B92" w:rsidP="00B05CCC">
      <w:pPr>
        <w:pStyle w:val="ListParagraph"/>
        <w:jc w:val="both"/>
        <w:rPr>
          <w:sz w:val="24"/>
          <w:szCs w:val="24"/>
        </w:rPr>
      </w:pPr>
    </w:p>
    <w:p w14:paraId="6D98AE73" w14:textId="469CC358" w:rsidR="00402B92" w:rsidRDefault="00402B92" w:rsidP="00B05CCC">
      <w:pPr>
        <w:pStyle w:val="ListParagraph"/>
        <w:jc w:val="both"/>
        <w:rPr>
          <w:sz w:val="24"/>
          <w:szCs w:val="24"/>
        </w:rPr>
      </w:pPr>
      <w:r w:rsidRPr="00402B92">
        <w:rPr>
          <w:noProof/>
          <w:sz w:val="24"/>
          <w:szCs w:val="24"/>
        </w:rPr>
        <w:drawing>
          <wp:inline distT="0" distB="0" distL="0" distR="0" wp14:anchorId="06FEE11D" wp14:editId="4C846A5C">
            <wp:extent cx="5219700" cy="2437130"/>
            <wp:effectExtent l="0" t="0" r="0" b="1270"/>
            <wp:docPr id="604477966" name="Picture 1" descr="A graph with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77966" name="Picture 1" descr="A graph with blue and white bars&#10;&#10;Description automatically generated"/>
                    <pic:cNvPicPr/>
                  </pic:nvPicPr>
                  <pic:blipFill>
                    <a:blip r:embed="rId9"/>
                    <a:stretch>
                      <a:fillRect/>
                    </a:stretch>
                  </pic:blipFill>
                  <pic:spPr>
                    <a:xfrm>
                      <a:off x="0" y="0"/>
                      <a:ext cx="5219700" cy="2437130"/>
                    </a:xfrm>
                    <a:prstGeom prst="rect">
                      <a:avLst/>
                    </a:prstGeom>
                  </pic:spPr>
                </pic:pic>
              </a:graphicData>
            </a:graphic>
          </wp:inline>
        </w:drawing>
      </w:r>
    </w:p>
    <w:p w14:paraId="57908615" w14:textId="0D9EE880" w:rsidR="00402B92" w:rsidRDefault="00A8488D" w:rsidP="00A8488D">
      <w:pPr>
        <w:pStyle w:val="ListParagraph"/>
        <w:jc w:val="center"/>
        <w:rPr>
          <w:sz w:val="20"/>
          <w:szCs w:val="20"/>
        </w:rPr>
      </w:pPr>
      <w:r w:rsidRPr="00A8488D">
        <w:rPr>
          <w:sz w:val="20"/>
          <w:szCs w:val="20"/>
        </w:rPr>
        <w:t xml:space="preserve">Source: dividendstocks.cash (2023) </w:t>
      </w:r>
    </w:p>
    <w:p w14:paraId="04E40728" w14:textId="77777777" w:rsidR="00A8488D" w:rsidRDefault="00A8488D" w:rsidP="00A8488D">
      <w:pPr>
        <w:pStyle w:val="ListParagraph"/>
        <w:jc w:val="center"/>
        <w:rPr>
          <w:sz w:val="20"/>
          <w:szCs w:val="20"/>
        </w:rPr>
      </w:pPr>
    </w:p>
    <w:p w14:paraId="21AEB96F" w14:textId="65C2F2D5" w:rsidR="00A8488D" w:rsidRDefault="004773AA" w:rsidP="00A8488D">
      <w:pPr>
        <w:pStyle w:val="ListParagraph"/>
        <w:jc w:val="both"/>
        <w:rPr>
          <w:sz w:val="24"/>
          <w:szCs w:val="24"/>
        </w:rPr>
      </w:pPr>
      <w:r w:rsidRPr="004773AA">
        <w:rPr>
          <w:sz w:val="24"/>
          <w:szCs w:val="24"/>
        </w:rPr>
        <w:t>The previous year did not see an increase in the dividend paid by Tesco. In the past decade, Tesco has managed to bring this number down by an average of -3.24% every year. The dividend went risen by 25.71% during the course of a period of 5 years.</w:t>
      </w:r>
      <w:r>
        <w:rPr>
          <w:sz w:val="24"/>
          <w:szCs w:val="24"/>
        </w:rPr>
        <w:t xml:space="preserve"> </w:t>
      </w:r>
      <w:r w:rsidRPr="004773AA">
        <w:rPr>
          <w:sz w:val="24"/>
          <w:szCs w:val="24"/>
        </w:rPr>
        <w:t>In the event that the standard of the company's shares does not change, the presence of an unusually high dividend yield is indicative of an undervaluation. When viewed from the opposite perspective, a stock that has a historically low dividend yield despite constant increases in the dividend payout looks to be overvalued. What exactly is going on with Tesco?</w:t>
      </w:r>
      <w:r w:rsidR="006D517A">
        <w:rPr>
          <w:sz w:val="24"/>
          <w:szCs w:val="24"/>
        </w:rPr>
        <w:t xml:space="preserve"> </w:t>
      </w:r>
      <w:r w:rsidR="006D517A" w:rsidRPr="006D517A">
        <w:rPr>
          <w:sz w:val="24"/>
          <w:szCs w:val="24"/>
        </w:rPr>
        <w:t>Tesco has had a dividend yield of 4.66 percent on average over the course of the last 12 months. It currently stands at 4.32%, which is 0.34 percentage points lower than its previous value.</w:t>
      </w:r>
      <w:r w:rsidR="006D517A">
        <w:rPr>
          <w:sz w:val="24"/>
          <w:szCs w:val="24"/>
        </w:rPr>
        <w:t xml:space="preserve"> </w:t>
      </w:r>
      <w:r w:rsidR="007421B4" w:rsidRPr="007421B4">
        <w:rPr>
          <w:sz w:val="24"/>
          <w:szCs w:val="24"/>
        </w:rPr>
        <w:t>A favourable purchasing opportunity for Tesco shares has not presented itself as a result of the decline in the dividend yield. However, the amount of the dividend is not sufficient evidence to determine whether the stock is priced reasonably or generously on its own.</w:t>
      </w:r>
      <w:r w:rsidR="007421B4">
        <w:rPr>
          <w:sz w:val="24"/>
          <w:szCs w:val="24"/>
        </w:rPr>
        <w:t xml:space="preserve"> </w:t>
      </w:r>
      <w:r w:rsidR="007421B4" w:rsidRPr="007421B4">
        <w:rPr>
          <w:sz w:val="24"/>
          <w:szCs w:val="24"/>
        </w:rPr>
        <w:t>As a consequence of this, one may argue that dividends do in fact have the potential to influence the wealth of shareholders, both positively and negatively.</w:t>
      </w:r>
      <w:r w:rsidR="007421B4">
        <w:rPr>
          <w:sz w:val="24"/>
          <w:szCs w:val="24"/>
        </w:rPr>
        <w:t xml:space="preserve"> Because of this, Modigliani and Miller (M&amp;M) theory is not applicable to Tesco. </w:t>
      </w:r>
    </w:p>
    <w:p w14:paraId="0275D052" w14:textId="77777777" w:rsidR="007421B4" w:rsidRDefault="007421B4" w:rsidP="00A8488D">
      <w:pPr>
        <w:pStyle w:val="ListParagraph"/>
        <w:jc w:val="both"/>
        <w:rPr>
          <w:sz w:val="24"/>
          <w:szCs w:val="24"/>
        </w:rPr>
      </w:pPr>
    </w:p>
    <w:p w14:paraId="3EBE556C" w14:textId="65FE3022" w:rsidR="007421B4" w:rsidRDefault="007421B4" w:rsidP="007421B4">
      <w:pPr>
        <w:pStyle w:val="ListParagraph"/>
        <w:numPr>
          <w:ilvl w:val="0"/>
          <w:numId w:val="2"/>
        </w:numPr>
        <w:jc w:val="both"/>
        <w:rPr>
          <w:b/>
          <w:bCs/>
          <w:sz w:val="24"/>
          <w:szCs w:val="24"/>
        </w:rPr>
      </w:pPr>
      <w:r w:rsidRPr="00422834">
        <w:rPr>
          <w:b/>
          <w:bCs/>
          <w:sz w:val="24"/>
          <w:szCs w:val="24"/>
        </w:rPr>
        <w:t>ANALYSIS OF EFFICIENT MARKET HYPOTHESIS THEORY</w:t>
      </w:r>
    </w:p>
    <w:p w14:paraId="01F941A4" w14:textId="0F4A0DB4" w:rsidR="00422834" w:rsidRDefault="00422834" w:rsidP="00422834">
      <w:pPr>
        <w:pStyle w:val="ListParagraph"/>
        <w:jc w:val="both"/>
        <w:rPr>
          <w:sz w:val="24"/>
          <w:szCs w:val="24"/>
        </w:rPr>
      </w:pPr>
      <w:r>
        <w:rPr>
          <w:sz w:val="24"/>
          <w:szCs w:val="24"/>
        </w:rPr>
        <w:t xml:space="preserve">  </w:t>
      </w:r>
      <w:r w:rsidR="00E33155" w:rsidRPr="00E33155">
        <w:rPr>
          <w:sz w:val="24"/>
          <w:szCs w:val="24"/>
        </w:rPr>
        <w:t xml:space="preserve">This hypothesis relates to the fact that the share price reflects all of the information about the company. It makes the assumption that stock prices are listed on stock exchanges in a manner that is both transparent and accurate. It is an indication that </w:t>
      </w:r>
      <w:r w:rsidR="00E33155" w:rsidRPr="00E33155">
        <w:rPr>
          <w:sz w:val="24"/>
          <w:szCs w:val="24"/>
        </w:rPr>
        <w:lastRenderedPageBreak/>
        <w:t>the value of monetary securities reflects all of the market data in its entirety. Using this method, investors can realise greater profits by accepting appropriate levels of risk. In relation to Tesco, there are three distinct types of efficient market theory, namely:</w:t>
      </w:r>
    </w:p>
    <w:p w14:paraId="3D07B9DF" w14:textId="39CB7A2C" w:rsidR="00E33155" w:rsidRDefault="00E33155" w:rsidP="00422834">
      <w:pPr>
        <w:pStyle w:val="ListParagraph"/>
        <w:jc w:val="both"/>
        <w:rPr>
          <w:sz w:val="24"/>
          <w:szCs w:val="24"/>
        </w:rPr>
      </w:pPr>
      <w:r w:rsidRPr="00E33155">
        <w:rPr>
          <w:b/>
          <w:bCs/>
          <w:sz w:val="24"/>
          <w:szCs w:val="24"/>
        </w:rPr>
        <w:t>Weak form</w:t>
      </w:r>
      <w:r w:rsidRPr="00E33155">
        <w:rPr>
          <w:sz w:val="24"/>
          <w:szCs w:val="24"/>
        </w:rPr>
        <w:t xml:space="preserve">: It requires that all share price data is available to market participants. Only the information that the corporation wishes to share with the public is disclosed. The difficulty with weak efficiency theory is that historical price information is unrelated to the approaching future cost of the assets. This corporation does not use technical analysis to forecast stock values in the future (Muraina </w:t>
      </w:r>
      <w:r w:rsidR="00AE1ABC">
        <w:rPr>
          <w:sz w:val="24"/>
          <w:szCs w:val="24"/>
        </w:rPr>
        <w:t>&amp;</w:t>
      </w:r>
      <w:r w:rsidRPr="00E33155">
        <w:rPr>
          <w:sz w:val="24"/>
          <w:szCs w:val="24"/>
        </w:rPr>
        <w:t xml:space="preserve"> Dandago,2020).</w:t>
      </w:r>
    </w:p>
    <w:p w14:paraId="16E63199" w14:textId="1F9B13FF" w:rsidR="00E33155" w:rsidRDefault="00E33155" w:rsidP="00422834">
      <w:pPr>
        <w:pStyle w:val="ListParagraph"/>
        <w:jc w:val="both"/>
        <w:rPr>
          <w:sz w:val="24"/>
          <w:szCs w:val="24"/>
        </w:rPr>
      </w:pPr>
      <w:r w:rsidRPr="00E33155">
        <w:rPr>
          <w:b/>
          <w:bCs/>
          <w:sz w:val="24"/>
          <w:szCs w:val="24"/>
        </w:rPr>
        <w:t>Semi-strong form</w:t>
      </w:r>
      <w:r w:rsidRPr="00E33155">
        <w:rPr>
          <w:sz w:val="24"/>
          <w:szCs w:val="24"/>
        </w:rPr>
        <w:t>:</w:t>
      </w:r>
      <w:r>
        <w:rPr>
          <w:sz w:val="24"/>
          <w:szCs w:val="24"/>
        </w:rPr>
        <w:t xml:space="preserve"> </w:t>
      </w:r>
      <w:r w:rsidRPr="00E33155">
        <w:rPr>
          <w:sz w:val="24"/>
          <w:szCs w:val="24"/>
        </w:rPr>
        <w:t>This idea holds that any positive or negative information about the company will have an immediately impact on the share price. The company is unaware of any price modifications. For measuring the current value of a company share, the organisation must look to the future. The corporation does not employ technical or basic assessment for any illegal purpose in modest study of efficiency theory.</w:t>
      </w:r>
    </w:p>
    <w:p w14:paraId="06D5AE8C" w14:textId="700FA1E2" w:rsidR="00E33155" w:rsidRPr="00422834" w:rsidRDefault="00E33155" w:rsidP="00422834">
      <w:pPr>
        <w:pStyle w:val="ListParagraph"/>
        <w:jc w:val="both"/>
        <w:rPr>
          <w:sz w:val="24"/>
          <w:szCs w:val="24"/>
        </w:rPr>
      </w:pPr>
      <w:r w:rsidRPr="00E33155">
        <w:rPr>
          <w:b/>
          <w:bCs/>
          <w:sz w:val="24"/>
          <w:szCs w:val="24"/>
        </w:rPr>
        <w:t>Strong Form</w:t>
      </w:r>
      <w:r w:rsidRPr="00E33155">
        <w:rPr>
          <w:sz w:val="24"/>
          <w:szCs w:val="24"/>
        </w:rPr>
        <w:t>: This indicates that the only individuals who are aware of the current stock price are the board of directors and the chief executive officer of the company. It incorporates the information gathered from firm management as well as information gathered from outside sources. In this particular business, the share price of the company is determined using both historical and current data. According to Rugman (2019), it is difficult to earn riches in the market over longer time periods.</w:t>
      </w:r>
    </w:p>
    <w:p w14:paraId="3DD35CC0" w14:textId="61EC23D1" w:rsidR="007421B4" w:rsidRDefault="007421B4" w:rsidP="007421B4">
      <w:pPr>
        <w:pStyle w:val="ListParagraph"/>
        <w:jc w:val="both"/>
        <w:rPr>
          <w:sz w:val="24"/>
          <w:szCs w:val="24"/>
        </w:rPr>
      </w:pPr>
      <w:r>
        <w:rPr>
          <w:sz w:val="24"/>
          <w:szCs w:val="24"/>
        </w:rPr>
        <w:t xml:space="preserve">  </w:t>
      </w:r>
    </w:p>
    <w:p w14:paraId="54B32162" w14:textId="05B3A7B0" w:rsidR="00F02E08" w:rsidRPr="00214424" w:rsidRDefault="00F02E08" w:rsidP="00F02E08">
      <w:pPr>
        <w:pStyle w:val="ListParagraph"/>
        <w:numPr>
          <w:ilvl w:val="0"/>
          <w:numId w:val="2"/>
        </w:numPr>
        <w:jc w:val="both"/>
        <w:rPr>
          <w:b/>
          <w:bCs/>
          <w:sz w:val="24"/>
          <w:szCs w:val="24"/>
        </w:rPr>
      </w:pPr>
      <w:r w:rsidRPr="00214424">
        <w:rPr>
          <w:b/>
          <w:bCs/>
          <w:sz w:val="24"/>
          <w:szCs w:val="24"/>
        </w:rPr>
        <w:t>ANALYS</w:t>
      </w:r>
      <w:r w:rsidR="00214424" w:rsidRPr="00214424">
        <w:rPr>
          <w:b/>
          <w:bCs/>
          <w:sz w:val="24"/>
          <w:szCs w:val="24"/>
        </w:rPr>
        <w:t xml:space="preserve">IS OF APPRAISING PROJECTS </w:t>
      </w:r>
    </w:p>
    <w:p w14:paraId="4EF9CA63" w14:textId="7A0DFE0D" w:rsidR="00154F33" w:rsidRDefault="00214424" w:rsidP="00154F33">
      <w:pPr>
        <w:pStyle w:val="ListParagraph"/>
        <w:jc w:val="both"/>
        <w:rPr>
          <w:sz w:val="24"/>
          <w:szCs w:val="24"/>
        </w:rPr>
      </w:pPr>
      <w:r>
        <w:rPr>
          <w:sz w:val="24"/>
          <w:szCs w:val="24"/>
        </w:rPr>
        <w:t xml:space="preserve">  </w:t>
      </w:r>
      <w:r w:rsidRPr="00214424">
        <w:rPr>
          <w:sz w:val="24"/>
          <w:szCs w:val="24"/>
        </w:rPr>
        <w:t>Business organisations often use one of four distinct approaches to investment assessment in order to analyse any proposal for capital investments and determine which fixed assets to buy. Accounting Rate of Return, also known as ARR, Payback, Net Present Value, or NPV, and Internal Rate of Return, also known as IRR, are four methodologies that are frequently employed.</w:t>
      </w:r>
      <w:r w:rsidR="009609EC">
        <w:rPr>
          <w:sz w:val="24"/>
          <w:szCs w:val="24"/>
        </w:rPr>
        <w:t xml:space="preserve"> </w:t>
      </w:r>
      <w:r w:rsidR="009609EC" w:rsidRPr="009609EC">
        <w:rPr>
          <w:sz w:val="24"/>
          <w:szCs w:val="24"/>
        </w:rPr>
        <w:t xml:space="preserve">After perusing the most recent annual report and financial statement published by </w:t>
      </w:r>
      <w:r w:rsidR="009609EC">
        <w:rPr>
          <w:sz w:val="24"/>
          <w:szCs w:val="24"/>
        </w:rPr>
        <w:t>Tesco</w:t>
      </w:r>
      <w:r w:rsidR="009609EC" w:rsidRPr="009609EC">
        <w:rPr>
          <w:sz w:val="24"/>
          <w:szCs w:val="24"/>
        </w:rPr>
        <w:t>, it is clear from reading this report that the corporation employs practically all of the strategies</w:t>
      </w:r>
      <w:r w:rsidR="009609EC">
        <w:rPr>
          <w:sz w:val="24"/>
          <w:szCs w:val="24"/>
        </w:rPr>
        <w:t xml:space="preserve">. Let me briefly examine one of the methodologies used by Tesco and that is NPV. The company’s plan to open new </w:t>
      </w:r>
      <w:r w:rsidR="00FC3888">
        <w:rPr>
          <w:sz w:val="24"/>
          <w:szCs w:val="24"/>
        </w:rPr>
        <w:t>65 Tesco Express</w:t>
      </w:r>
      <w:r w:rsidR="009609EC">
        <w:rPr>
          <w:sz w:val="24"/>
          <w:szCs w:val="24"/>
        </w:rPr>
        <w:t xml:space="preserve"> stores across the country</w:t>
      </w:r>
      <w:r w:rsidR="00FC3888">
        <w:rPr>
          <w:sz w:val="24"/>
          <w:szCs w:val="24"/>
        </w:rPr>
        <w:t xml:space="preserve">. </w:t>
      </w:r>
      <w:r w:rsidR="00FC3888" w:rsidRPr="00FC3888">
        <w:rPr>
          <w:sz w:val="24"/>
          <w:szCs w:val="24"/>
        </w:rPr>
        <w:t>Before coming to this conclusion, the management team should have given some thought to how well this industry has performed over the course of the years and assessed how the company is currently trending in this regard. This would have allowed them to estimate the amount of money they would bring in thanks to this investment.</w:t>
      </w:r>
      <w:r w:rsidR="00FC3888" w:rsidRPr="00FC3888">
        <w:t xml:space="preserve"> </w:t>
      </w:r>
      <w:r w:rsidR="00FC3888" w:rsidRPr="00FC3888">
        <w:rPr>
          <w:sz w:val="24"/>
          <w:szCs w:val="24"/>
        </w:rPr>
        <w:t>Once the amount of money that is going out is deducted from the total amount of cash flows that are coming in after they have been discounted, the net present value of the investment needs to be positive in order for it to be deemed a valuable investment.</w:t>
      </w:r>
      <w:r w:rsidR="00FC3888">
        <w:rPr>
          <w:sz w:val="24"/>
          <w:szCs w:val="24"/>
        </w:rPr>
        <w:t xml:space="preserve"> </w:t>
      </w:r>
      <w:r w:rsidR="00FC3888" w:rsidRPr="00FC3888">
        <w:rPr>
          <w:sz w:val="24"/>
          <w:szCs w:val="24"/>
        </w:rPr>
        <w:t>Before making any decision on the investment of capital, an appropriate appraisal is required. Before beginning work on any new project, it is important to first do a thorough analysis of the project using the process that is more commonly known as strategic planning. The procedure is of such critical importance that it can go a long way towards determining whether a particular capital investment will be successful or unsuccessful.</w:t>
      </w:r>
    </w:p>
    <w:p w14:paraId="51E49B17" w14:textId="77777777" w:rsidR="00154F33" w:rsidRDefault="00154F33" w:rsidP="00154F33">
      <w:pPr>
        <w:pStyle w:val="ListParagraph"/>
        <w:jc w:val="both"/>
        <w:rPr>
          <w:sz w:val="24"/>
          <w:szCs w:val="24"/>
        </w:rPr>
      </w:pPr>
    </w:p>
    <w:p w14:paraId="13823B59" w14:textId="77777777" w:rsidR="00154F33" w:rsidRPr="00154F33" w:rsidRDefault="00154F33" w:rsidP="00154F33">
      <w:pPr>
        <w:pStyle w:val="ListParagraph"/>
        <w:jc w:val="both"/>
        <w:rPr>
          <w:sz w:val="24"/>
          <w:szCs w:val="24"/>
        </w:rPr>
      </w:pPr>
    </w:p>
    <w:p w14:paraId="751639CD" w14:textId="77777777" w:rsidR="00FC3888" w:rsidRDefault="00FC3888" w:rsidP="00214424">
      <w:pPr>
        <w:pStyle w:val="ListParagraph"/>
        <w:jc w:val="both"/>
        <w:rPr>
          <w:sz w:val="24"/>
          <w:szCs w:val="24"/>
        </w:rPr>
      </w:pPr>
    </w:p>
    <w:p w14:paraId="563C27DF" w14:textId="6AAEFDA8" w:rsidR="00FC3888" w:rsidRPr="00EC0C08" w:rsidRDefault="00FC3888" w:rsidP="00FC3888">
      <w:pPr>
        <w:pStyle w:val="ListParagraph"/>
        <w:numPr>
          <w:ilvl w:val="0"/>
          <w:numId w:val="2"/>
        </w:numPr>
        <w:jc w:val="both"/>
        <w:rPr>
          <w:b/>
          <w:bCs/>
          <w:sz w:val="24"/>
          <w:szCs w:val="24"/>
        </w:rPr>
      </w:pPr>
      <w:r w:rsidRPr="00EC0C08">
        <w:rPr>
          <w:b/>
          <w:bCs/>
          <w:sz w:val="24"/>
          <w:szCs w:val="24"/>
        </w:rPr>
        <w:t xml:space="preserve">CONCLUSION </w:t>
      </w:r>
    </w:p>
    <w:p w14:paraId="5A066B03" w14:textId="68452AFF" w:rsidR="00FC3888" w:rsidRPr="00A8488D" w:rsidRDefault="00154F33" w:rsidP="00FC3888">
      <w:pPr>
        <w:pStyle w:val="ListParagraph"/>
        <w:jc w:val="both"/>
        <w:rPr>
          <w:sz w:val="24"/>
          <w:szCs w:val="24"/>
        </w:rPr>
      </w:pPr>
      <w:r>
        <w:rPr>
          <w:sz w:val="24"/>
          <w:szCs w:val="24"/>
        </w:rPr>
        <w:t>In conclusion, can be observed that Tesco’s dividend distribution policy indicates undervaluation.</w:t>
      </w:r>
      <w:r w:rsidR="006C5012">
        <w:rPr>
          <w:sz w:val="24"/>
          <w:szCs w:val="24"/>
        </w:rPr>
        <w:t xml:space="preserve"> </w:t>
      </w:r>
      <w:r w:rsidR="006C5012" w:rsidRPr="006C5012">
        <w:rPr>
          <w:sz w:val="24"/>
          <w:szCs w:val="24"/>
        </w:rPr>
        <w:t>The statistics as a whole demonstrates that Tesco's operational efficiency and profitability have increased and are currently at a higher level than they were in the years prior. The projections indicate that this pattern will continue as it has been. This is a result of Tesco's strong strategic alignment and its membership card policy, both of which allow the company to make more effective use of its resources. Tesco has been able to maintain its leadership position and increase its market share as a result of this. On the other hand, Tesco had a few problems, such as a low liquidity ratio. Despite this, Tesco remains a potential investment option for individuals looking for reliable returns on their capital because the corporation can give such returns.</w:t>
      </w:r>
    </w:p>
    <w:p w14:paraId="4E3316BB" w14:textId="77777777" w:rsidR="00A8488D" w:rsidRDefault="00A8488D" w:rsidP="00A8488D">
      <w:pPr>
        <w:pStyle w:val="ListParagraph"/>
        <w:jc w:val="center"/>
        <w:rPr>
          <w:sz w:val="24"/>
          <w:szCs w:val="24"/>
        </w:rPr>
      </w:pPr>
    </w:p>
    <w:p w14:paraId="11F0812C" w14:textId="77777777" w:rsidR="00A8488D" w:rsidRDefault="00A8488D" w:rsidP="00A8488D">
      <w:pPr>
        <w:pStyle w:val="ListParagraph"/>
        <w:jc w:val="both"/>
        <w:rPr>
          <w:sz w:val="24"/>
          <w:szCs w:val="24"/>
        </w:rPr>
      </w:pPr>
    </w:p>
    <w:p w14:paraId="4D47C90D" w14:textId="77777777" w:rsidR="00154F33" w:rsidRDefault="00154F33" w:rsidP="00A8488D">
      <w:pPr>
        <w:pStyle w:val="ListParagraph"/>
        <w:jc w:val="both"/>
        <w:rPr>
          <w:sz w:val="24"/>
          <w:szCs w:val="24"/>
        </w:rPr>
      </w:pPr>
    </w:p>
    <w:p w14:paraId="466F68C4" w14:textId="77777777" w:rsidR="00154F33" w:rsidRDefault="00154F33" w:rsidP="00A8488D">
      <w:pPr>
        <w:pStyle w:val="ListParagraph"/>
        <w:jc w:val="both"/>
        <w:rPr>
          <w:sz w:val="24"/>
          <w:szCs w:val="24"/>
        </w:rPr>
      </w:pPr>
    </w:p>
    <w:p w14:paraId="65FE936E" w14:textId="77777777" w:rsidR="00154F33" w:rsidRDefault="00154F33" w:rsidP="00A8488D">
      <w:pPr>
        <w:pStyle w:val="ListParagraph"/>
        <w:jc w:val="both"/>
        <w:rPr>
          <w:sz w:val="24"/>
          <w:szCs w:val="24"/>
        </w:rPr>
      </w:pPr>
    </w:p>
    <w:p w14:paraId="060A5CEE" w14:textId="77777777" w:rsidR="00154F33" w:rsidRDefault="00154F33" w:rsidP="00A8488D">
      <w:pPr>
        <w:pStyle w:val="ListParagraph"/>
        <w:jc w:val="both"/>
        <w:rPr>
          <w:sz w:val="24"/>
          <w:szCs w:val="24"/>
        </w:rPr>
      </w:pPr>
    </w:p>
    <w:p w14:paraId="31DE0B04" w14:textId="77777777" w:rsidR="00154F33" w:rsidRDefault="00154F33" w:rsidP="00A8488D">
      <w:pPr>
        <w:pStyle w:val="ListParagraph"/>
        <w:jc w:val="both"/>
        <w:rPr>
          <w:sz w:val="24"/>
          <w:szCs w:val="24"/>
        </w:rPr>
      </w:pPr>
    </w:p>
    <w:p w14:paraId="365A91C0" w14:textId="77777777" w:rsidR="00154F33" w:rsidRDefault="00154F33" w:rsidP="00A8488D">
      <w:pPr>
        <w:pStyle w:val="ListParagraph"/>
        <w:jc w:val="both"/>
        <w:rPr>
          <w:sz w:val="24"/>
          <w:szCs w:val="24"/>
        </w:rPr>
      </w:pPr>
    </w:p>
    <w:p w14:paraId="5DCBE822" w14:textId="77777777" w:rsidR="00154F33" w:rsidRDefault="00154F33" w:rsidP="00A8488D">
      <w:pPr>
        <w:pStyle w:val="ListParagraph"/>
        <w:jc w:val="both"/>
        <w:rPr>
          <w:sz w:val="24"/>
          <w:szCs w:val="24"/>
        </w:rPr>
      </w:pPr>
    </w:p>
    <w:p w14:paraId="6361AA66" w14:textId="77777777" w:rsidR="00154F33" w:rsidRDefault="00154F33" w:rsidP="00A8488D">
      <w:pPr>
        <w:pStyle w:val="ListParagraph"/>
        <w:jc w:val="both"/>
        <w:rPr>
          <w:sz w:val="24"/>
          <w:szCs w:val="24"/>
        </w:rPr>
      </w:pPr>
    </w:p>
    <w:p w14:paraId="1E4FC111" w14:textId="77777777" w:rsidR="00154F33" w:rsidRDefault="00154F33" w:rsidP="00A8488D">
      <w:pPr>
        <w:pStyle w:val="ListParagraph"/>
        <w:jc w:val="both"/>
        <w:rPr>
          <w:sz w:val="24"/>
          <w:szCs w:val="24"/>
        </w:rPr>
      </w:pPr>
    </w:p>
    <w:p w14:paraId="61DFF06C" w14:textId="77777777" w:rsidR="00154F33" w:rsidRDefault="00154F33" w:rsidP="00A8488D">
      <w:pPr>
        <w:pStyle w:val="ListParagraph"/>
        <w:jc w:val="both"/>
        <w:rPr>
          <w:sz w:val="24"/>
          <w:szCs w:val="24"/>
        </w:rPr>
      </w:pPr>
    </w:p>
    <w:p w14:paraId="0384C218" w14:textId="77777777" w:rsidR="00154F33" w:rsidRDefault="00154F33" w:rsidP="00A8488D">
      <w:pPr>
        <w:pStyle w:val="ListParagraph"/>
        <w:jc w:val="both"/>
        <w:rPr>
          <w:sz w:val="24"/>
          <w:szCs w:val="24"/>
        </w:rPr>
      </w:pPr>
    </w:p>
    <w:p w14:paraId="5CD89F33" w14:textId="77777777" w:rsidR="00154F33" w:rsidRDefault="00154F33" w:rsidP="00A8488D">
      <w:pPr>
        <w:pStyle w:val="ListParagraph"/>
        <w:jc w:val="both"/>
        <w:rPr>
          <w:sz w:val="24"/>
          <w:szCs w:val="24"/>
        </w:rPr>
      </w:pPr>
    </w:p>
    <w:p w14:paraId="74C35643" w14:textId="77777777" w:rsidR="00154F33" w:rsidRDefault="00154F33" w:rsidP="00A8488D">
      <w:pPr>
        <w:pStyle w:val="ListParagraph"/>
        <w:jc w:val="both"/>
        <w:rPr>
          <w:sz w:val="24"/>
          <w:szCs w:val="24"/>
        </w:rPr>
      </w:pPr>
    </w:p>
    <w:p w14:paraId="67F07B3F" w14:textId="77777777" w:rsidR="00154F33" w:rsidRDefault="00154F33" w:rsidP="00A8488D">
      <w:pPr>
        <w:pStyle w:val="ListParagraph"/>
        <w:jc w:val="both"/>
        <w:rPr>
          <w:sz w:val="24"/>
          <w:szCs w:val="24"/>
        </w:rPr>
      </w:pPr>
    </w:p>
    <w:p w14:paraId="300AA1A5" w14:textId="77777777" w:rsidR="00154F33" w:rsidRDefault="00154F33" w:rsidP="00A8488D">
      <w:pPr>
        <w:pStyle w:val="ListParagraph"/>
        <w:jc w:val="both"/>
        <w:rPr>
          <w:sz w:val="24"/>
          <w:szCs w:val="24"/>
        </w:rPr>
      </w:pPr>
    </w:p>
    <w:p w14:paraId="397A159E" w14:textId="77777777" w:rsidR="00154F33" w:rsidRDefault="00154F33" w:rsidP="00A8488D">
      <w:pPr>
        <w:pStyle w:val="ListParagraph"/>
        <w:jc w:val="both"/>
        <w:rPr>
          <w:sz w:val="24"/>
          <w:szCs w:val="24"/>
        </w:rPr>
      </w:pPr>
    </w:p>
    <w:p w14:paraId="4EC3B4B9" w14:textId="77777777" w:rsidR="00154F33" w:rsidRDefault="00154F33" w:rsidP="00A8488D">
      <w:pPr>
        <w:pStyle w:val="ListParagraph"/>
        <w:jc w:val="both"/>
        <w:rPr>
          <w:sz w:val="24"/>
          <w:szCs w:val="24"/>
        </w:rPr>
      </w:pPr>
    </w:p>
    <w:p w14:paraId="1E2D38E7" w14:textId="77777777" w:rsidR="00154F33" w:rsidRDefault="00154F33" w:rsidP="00A8488D">
      <w:pPr>
        <w:pStyle w:val="ListParagraph"/>
        <w:jc w:val="both"/>
        <w:rPr>
          <w:sz w:val="24"/>
          <w:szCs w:val="24"/>
        </w:rPr>
      </w:pPr>
    </w:p>
    <w:p w14:paraId="623BBF09" w14:textId="77777777" w:rsidR="00154F33" w:rsidRDefault="00154F33" w:rsidP="00A8488D">
      <w:pPr>
        <w:pStyle w:val="ListParagraph"/>
        <w:jc w:val="both"/>
        <w:rPr>
          <w:sz w:val="24"/>
          <w:szCs w:val="24"/>
        </w:rPr>
      </w:pPr>
    </w:p>
    <w:p w14:paraId="4BD3BE05" w14:textId="77777777" w:rsidR="00154F33" w:rsidRDefault="00154F33" w:rsidP="00A8488D">
      <w:pPr>
        <w:pStyle w:val="ListParagraph"/>
        <w:jc w:val="both"/>
        <w:rPr>
          <w:sz w:val="24"/>
          <w:szCs w:val="24"/>
        </w:rPr>
      </w:pPr>
    </w:p>
    <w:p w14:paraId="13A8D251" w14:textId="77777777" w:rsidR="00154F33" w:rsidRDefault="00154F33" w:rsidP="00A8488D">
      <w:pPr>
        <w:pStyle w:val="ListParagraph"/>
        <w:jc w:val="both"/>
        <w:rPr>
          <w:sz w:val="24"/>
          <w:szCs w:val="24"/>
        </w:rPr>
      </w:pPr>
    </w:p>
    <w:p w14:paraId="64BDE202" w14:textId="77777777" w:rsidR="00154F33" w:rsidRDefault="00154F33" w:rsidP="00A8488D">
      <w:pPr>
        <w:pStyle w:val="ListParagraph"/>
        <w:jc w:val="both"/>
        <w:rPr>
          <w:sz w:val="24"/>
          <w:szCs w:val="24"/>
        </w:rPr>
      </w:pPr>
    </w:p>
    <w:p w14:paraId="4D913D67" w14:textId="77777777" w:rsidR="00154F33" w:rsidRDefault="00154F33" w:rsidP="00A8488D">
      <w:pPr>
        <w:pStyle w:val="ListParagraph"/>
        <w:jc w:val="both"/>
        <w:rPr>
          <w:sz w:val="24"/>
          <w:szCs w:val="24"/>
        </w:rPr>
      </w:pPr>
    </w:p>
    <w:p w14:paraId="4B3C8009" w14:textId="77777777" w:rsidR="00154F33" w:rsidRDefault="00154F33" w:rsidP="00A8488D">
      <w:pPr>
        <w:pStyle w:val="ListParagraph"/>
        <w:jc w:val="both"/>
        <w:rPr>
          <w:sz w:val="24"/>
          <w:szCs w:val="24"/>
        </w:rPr>
      </w:pPr>
    </w:p>
    <w:p w14:paraId="49951648" w14:textId="77777777" w:rsidR="00154F33" w:rsidRDefault="00154F33" w:rsidP="00A8488D">
      <w:pPr>
        <w:pStyle w:val="ListParagraph"/>
        <w:jc w:val="both"/>
        <w:rPr>
          <w:sz w:val="24"/>
          <w:szCs w:val="24"/>
        </w:rPr>
      </w:pPr>
    </w:p>
    <w:p w14:paraId="35C34B42" w14:textId="77777777" w:rsidR="00154F33" w:rsidRDefault="00154F33" w:rsidP="00A8488D">
      <w:pPr>
        <w:pStyle w:val="ListParagraph"/>
        <w:jc w:val="both"/>
        <w:rPr>
          <w:sz w:val="24"/>
          <w:szCs w:val="24"/>
        </w:rPr>
      </w:pPr>
    </w:p>
    <w:p w14:paraId="2BCA3441" w14:textId="77777777" w:rsidR="00154F33" w:rsidRDefault="00154F33" w:rsidP="00A8488D">
      <w:pPr>
        <w:pStyle w:val="ListParagraph"/>
        <w:jc w:val="both"/>
        <w:rPr>
          <w:sz w:val="24"/>
          <w:szCs w:val="24"/>
        </w:rPr>
      </w:pPr>
    </w:p>
    <w:p w14:paraId="420F2C62" w14:textId="77777777" w:rsidR="00154F33" w:rsidRDefault="00154F33" w:rsidP="00A8488D">
      <w:pPr>
        <w:pStyle w:val="ListParagraph"/>
        <w:jc w:val="both"/>
        <w:rPr>
          <w:sz w:val="24"/>
          <w:szCs w:val="24"/>
        </w:rPr>
      </w:pPr>
    </w:p>
    <w:p w14:paraId="6F7E15DC" w14:textId="77777777" w:rsidR="00154F33" w:rsidRDefault="00154F33" w:rsidP="00A8488D">
      <w:pPr>
        <w:pStyle w:val="ListParagraph"/>
        <w:jc w:val="both"/>
        <w:rPr>
          <w:sz w:val="24"/>
          <w:szCs w:val="24"/>
        </w:rPr>
      </w:pPr>
    </w:p>
    <w:p w14:paraId="50A5FBA3" w14:textId="77777777" w:rsidR="00154F33" w:rsidRPr="006C5012" w:rsidRDefault="00154F33" w:rsidP="006C5012">
      <w:pPr>
        <w:jc w:val="both"/>
        <w:rPr>
          <w:sz w:val="24"/>
          <w:szCs w:val="24"/>
        </w:rPr>
      </w:pPr>
    </w:p>
    <w:p w14:paraId="30B9D1A4" w14:textId="77777777" w:rsidR="00154F33" w:rsidRDefault="00154F33" w:rsidP="00A8488D">
      <w:pPr>
        <w:pStyle w:val="ListParagraph"/>
        <w:jc w:val="both"/>
        <w:rPr>
          <w:sz w:val="24"/>
          <w:szCs w:val="24"/>
        </w:rPr>
      </w:pPr>
    </w:p>
    <w:p w14:paraId="61621E3B" w14:textId="77777777" w:rsidR="00154F33" w:rsidRPr="00154F33" w:rsidRDefault="00154F33" w:rsidP="00154F33">
      <w:pPr>
        <w:pStyle w:val="ListParagraph"/>
        <w:numPr>
          <w:ilvl w:val="0"/>
          <w:numId w:val="2"/>
        </w:numPr>
        <w:jc w:val="both"/>
        <w:rPr>
          <w:b/>
          <w:bCs/>
          <w:sz w:val="24"/>
          <w:szCs w:val="24"/>
        </w:rPr>
      </w:pPr>
      <w:r w:rsidRPr="00154F33">
        <w:rPr>
          <w:b/>
          <w:bCs/>
          <w:sz w:val="24"/>
          <w:szCs w:val="24"/>
        </w:rPr>
        <w:t xml:space="preserve">REFERENCES </w:t>
      </w:r>
    </w:p>
    <w:p w14:paraId="654975B9" w14:textId="45B96BE0" w:rsidR="00154F33" w:rsidRDefault="00154F33" w:rsidP="00154F33">
      <w:pPr>
        <w:pStyle w:val="ListParagraph"/>
        <w:jc w:val="both"/>
        <w:rPr>
          <w:sz w:val="24"/>
          <w:szCs w:val="24"/>
        </w:rPr>
      </w:pPr>
    </w:p>
    <w:p w14:paraId="3A616701" w14:textId="77777777" w:rsidR="00674DC9" w:rsidRDefault="00674DC9" w:rsidP="00154F33">
      <w:pPr>
        <w:pStyle w:val="ListParagraph"/>
        <w:jc w:val="both"/>
        <w:rPr>
          <w:sz w:val="24"/>
          <w:szCs w:val="24"/>
        </w:rPr>
      </w:pPr>
    </w:p>
    <w:p w14:paraId="6EEE65D4" w14:textId="1C8D4A0C" w:rsidR="00674DC9" w:rsidRDefault="00674DC9" w:rsidP="00154F33">
      <w:pPr>
        <w:pStyle w:val="ListParagraph"/>
        <w:jc w:val="both"/>
      </w:pPr>
      <w:r>
        <w:t>Bernhard S., et al. (2014) “</w:t>
      </w:r>
      <w:r w:rsidRPr="00674DC9">
        <w:rPr>
          <w:i/>
          <w:iCs/>
        </w:rPr>
        <w:t>Preferences and Performance of International Strategies in Retail Sectors: An Empirical Study</w:t>
      </w:r>
      <w:r>
        <w:t>”, Long Range Planning 47, pp. 319-336</w:t>
      </w:r>
    </w:p>
    <w:p w14:paraId="5EC6F98D" w14:textId="77777777" w:rsidR="00421E56" w:rsidRDefault="00421E56" w:rsidP="00154F33">
      <w:pPr>
        <w:pStyle w:val="ListParagraph"/>
        <w:jc w:val="both"/>
      </w:pPr>
    </w:p>
    <w:p w14:paraId="5A93A776" w14:textId="77777777" w:rsidR="00AE1ABC" w:rsidRDefault="00AE1ABC" w:rsidP="00154F33">
      <w:pPr>
        <w:pStyle w:val="ListParagraph"/>
        <w:jc w:val="both"/>
      </w:pPr>
    </w:p>
    <w:p w14:paraId="36D0B69E" w14:textId="15A20937" w:rsidR="00AE1ABC" w:rsidRDefault="00AE1ABC" w:rsidP="00154F33">
      <w:pPr>
        <w:pStyle w:val="ListParagraph"/>
        <w:jc w:val="both"/>
      </w:pPr>
      <w:r>
        <w:t>Dayananda, D., et al. (2002) “</w:t>
      </w:r>
      <w:r w:rsidRPr="00AE1ABC">
        <w:rPr>
          <w:i/>
          <w:iCs/>
        </w:rPr>
        <w:t>Capital Budgeting Financial Appraisal of Investment Projects</w:t>
      </w:r>
      <w:r>
        <w:t>”, Cambridge, Cambridge University Press</w:t>
      </w:r>
    </w:p>
    <w:p w14:paraId="133A8638" w14:textId="77777777" w:rsidR="00AE1ABC" w:rsidRDefault="00AE1ABC" w:rsidP="00154F33">
      <w:pPr>
        <w:pStyle w:val="ListParagraph"/>
        <w:jc w:val="both"/>
      </w:pPr>
    </w:p>
    <w:p w14:paraId="538C478F" w14:textId="77777777" w:rsidR="00AE1ABC" w:rsidRDefault="00AE1ABC" w:rsidP="00154F33">
      <w:pPr>
        <w:pStyle w:val="ListParagraph"/>
        <w:jc w:val="both"/>
      </w:pPr>
    </w:p>
    <w:p w14:paraId="331E99DF" w14:textId="5495B9AD" w:rsidR="00AE1ABC" w:rsidRPr="00AE1ABC" w:rsidRDefault="00AE1ABC" w:rsidP="00AE1ABC">
      <w:pPr>
        <w:pStyle w:val="ListParagraph"/>
        <w:jc w:val="both"/>
      </w:pPr>
      <w:r>
        <w:t>Frankfurter, M. &amp; Wood, G. (2002) “Dividend policy theories and their empirical tests”, International Review of Financial Analysis, Vol. 11, Is. 2, pp. 111 – 138</w:t>
      </w:r>
    </w:p>
    <w:p w14:paraId="12584B0F" w14:textId="77777777" w:rsidR="00674DC9" w:rsidRDefault="00674DC9" w:rsidP="00154F33">
      <w:pPr>
        <w:pStyle w:val="ListParagraph"/>
        <w:jc w:val="both"/>
        <w:rPr>
          <w:sz w:val="24"/>
          <w:szCs w:val="24"/>
        </w:rPr>
      </w:pPr>
    </w:p>
    <w:p w14:paraId="3555AA96" w14:textId="77777777" w:rsidR="00674DC9" w:rsidRDefault="00674DC9" w:rsidP="00154F33">
      <w:pPr>
        <w:pStyle w:val="ListParagraph"/>
        <w:jc w:val="both"/>
        <w:rPr>
          <w:sz w:val="24"/>
          <w:szCs w:val="24"/>
        </w:rPr>
      </w:pPr>
    </w:p>
    <w:p w14:paraId="58D4D5B7" w14:textId="71634EB4" w:rsidR="00674DC9" w:rsidRDefault="00674DC9" w:rsidP="00154F33">
      <w:pPr>
        <w:pStyle w:val="ListParagraph"/>
        <w:jc w:val="both"/>
        <w:rPr>
          <w:sz w:val="24"/>
          <w:szCs w:val="24"/>
        </w:rPr>
      </w:pPr>
      <w:r w:rsidRPr="00674DC9">
        <w:rPr>
          <w:sz w:val="24"/>
          <w:szCs w:val="24"/>
        </w:rPr>
        <w:t>Lease, C., et al. (2000)</w:t>
      </w:r>
      <w:r w:rsidRPr="00674DC9">
        <w:rPr>
          <w:i/>
          <w:iCs/>
          <w:sz w:val="24"/>
          <w:szCs w:val="24"/>
        </w:rPr>
        <w:t xml:space="preserve"> “Dividend Policy: Its Impact on Firm Value</w:t>
      </w:r>
      <w:r w:rsidRPr="00674DC9">
        <w:rPr>
          <w:sz w:val="24"/>
          <w:szCs w:val="24"/>
        </w:rPr>
        <w:t>”, Boston: Harvard Business School Press</w:t>
      </w:r>
      <w:r>
        <w:rPr>
          <w:sz w:val="24"/>
          <w:szCs w:val="24"/>
        </w:rPr>
        <w:t xml:space="preserve">, pp. 29 </w:t>
      </w:r>
    </w:p>
    <w:p w14:paraId="34BE755C" w14:textId="77777777" w:rsidR="00AE1ABC" w:rsidRDefault="00AE1ABC" w:rsidP="00154F33">
      <w:pPr>
        <w:pStyle w:val="ListParagraph"/>
        <w:jc w:val="both"/>
        <w:rPr>
          <w:sz w:val="24"/>
          <w:szCs w:val="24"/>
        </w:rPr>
      </w:pPr>
    </w:p>
    <w:p w14:paraId="62E206B7" w14:textId="5D0FF6AF" w:rsidR="00AE1ABC" w:rsidRDefault="00AE1ABC" w:rsidP="00154F33">
      <w:pPr>
        <w:pStyle w:val="ListParagraph"/>
        <w:jc w:val="both"/>
        <w:rPr>
          <w:sz w:val="24"/>
          <w:szCs w:val="24"/>
        </w:rPr>
      </w:pPr>
    </w:p>
    <w:p w14:paraId="71CEFF42" w14:textId="389DA7EC" w:rsidR="00AE1ABC" w:rsidRDefault="00AE1ABC" w:rsidP="00154F33">
      <w:pPr>
        <w:pStyle w:val="ListParagraph"/>
        <w:jc w:val="both"/>
      </w:pPr>
      <w:r>
        <w:t>Miller, M.H. &amp; Modigliani, F. (1961) “Dividend Policy, Growth, and the Valuation of Shares”, Journal of Business, Vol. 34, Is. 4, pp. 411 – 433</w:t>
      </w:r>
    </w:p>
    <w:p w14:paraId="73CEA7B6" w14:textId="77777777" w:rsidR="00AE1ABC" w:rsidRDefault="00AE1ABC" w:rsidP="00154F33">
      <w:pPr>
        <w:pStyle w:val="ListParagraph"/>
        <w:jc w:val="both"/>
      </w:pPr>
    </w:p>
    <w:p w14:paraId="1B446A21" w14:textId="77777777" w:rsidR="00421E56" w:rsidRDefault="00421E56" w:rsidP="00154F33">
      <w:pPr>
        <w:pStyle w:val="ListParagraph"/>
        <w:jc w:val="both"/>
      </w:pPr>
    </w:p>
    <w:p w14:paraId="206DC98E" w14:textId="3BF54D0B" w:rsidR="00421E56" w:rsidRPr="00421E56" w:rsidRDefault="00421E56" w:rsidP="00421E56">
      <w:pPr>
        <w:pStyle w:val="ListParagraph"/>
        <w:jc w:val="both"/>
        <w:rPr>
          <w:sz w:val="24"/>
          <w:szCs w:val="24"/>
        </w:rPr>
      </w:pPr>
      <w:r w:rsidRPr="00421E56">
        <w:rPr>
          <w:sz w:val="24"/>
          <w:szCs w:val="24"/>
        </w:rPr>
        <w:t xml:space="preserve">Muraina, A. </w:t>
      </w:r>
      <w:r>
        <w:rPr>
          <w:sz w:val="24"/>
          <w:szCs w:val="24"/>
        </w:rPr>
        <w:t xml:space="preserve">&amp; </w:t>
      </w:r>
      <w:r w:rsidRPr="00421E56">
        <w:rPr>
          <w:sz w:val="24"/>
          <w:szCs w:val="24"/>
        </w:rPr>
        <w:t xml:space="preserve">Dandago, I., </w:t>
      </w:r>
      <w:r>
        <w:rPr>
          <w:sz w:val="24"/>
          <w:szCs w:val="24"/>
        </w:rPr>
        <w:t>(</w:t>
      </w:r>
      <w:r w:rsidRPr="00421E56">
        <w:rPr>
          <w:sz w:val="24"/>
          <w:szCs w:val="24"/>
        </w:rPr>
        <w:t>2020</w:t>
      </w:r>
      <w:r>
        <w:rPr>
          <w:sz w:val="24"/>
          <w:szCs w:val="24"/>
        </w:rPr>
        <w:t>)</w:t>
      </w:r>
      <w:r w:rsidRPr="00421E56">
        <w:rPr>
          <w:sz w:val="24"/>
          <w:szCs w:val="24"/>
        </w:rPr>
        <w:t xml:space="preserve"> </w:t>
      </w:r>
      <w:r>
        <w:rPr>
          <w:sz w:val="24"/>
          <w:szCs w:val="24"/>
        </w:rPr>
        <w:t>“</w:t>
      </w:r>
      <w:r w:rsidRPr="00421E56">
        <w:rPr>
          <w:sz w:val="24"/>
          <w:szCs w:val="24"/>
        </w:rPr>
        <w:t>Effects of implementation of International Public Sector</w:t>
      </w:r>
      <w:r>
        <w:rPr>
          <w:sz w:val="24"/>
          <w:szCs w:val="24"/>
        </w:rPr>
        <w:t xml:space="preserve">. </w:t>
      </w:r>
      <w:r w:rsidRPr="00421E56">
        <w:rPr>
          <w:sz w:val="24"/>
          <w:szCs w:val="24"/>
        </w:rPr>
        <w:t>Accounting Standards on Nigeria's financial reporting quality</w:t>
      </w:r>
      <w:r>
        <w:rPr>
          <w:sz w:val="24"/>
          <w:szCs w:val="24"/>
        </w:rPr>
        <w:t>”,</w:t>
      </w:r>
      <w:r w:rsidRPr="00421E56">
        <w:rPr>
          <w:sz w:val="24"/>
          <w:szCs w:val="24"/>
        </w:rPr>
        <w:t xml:space="preserve"> International Journal of</w:t>
      </w:r>
      <w:r>
        <w:rPr>
          <w:sz w:val="24"/>
          <w:szCs w:val="24"/>
        </w:rPr>
        <w:t xml:space="preserve"> </w:t>
      </w:r>
      <w:r w:rsidRPr="00421E56">
        <w:rPr>
          <w:sz w:val="24"/>
          <w:szCs w:val="24"/>
        </w:rPr>
        <w:t>Public Sector Management</w:t>
      </w:r>
    </w:p>
    <w:p w14:paraId="06B3F644" w14:textId="77777777" w:rsidR="00AE1ABC" w:rsidRPr="00674DC9" w:rsidRDefault="00AE1ABC" w:rsidP="00154F33">
      <w:pPr>
        <w:pStyle w:val="ListParagraph"/>
        <w:jc w:val="both"/>
        <w:rPr>
          <w:sz w:val="24"/>
          <w:szCs w:val="24"/>
        </w:rPr>
      </w:pPr>
    </w:p>
    <w:p w14:paraId="43041237" w14:textId="77777777" w:rsidR="00674DC9" w:rsidRDefault="00674DC9" w:rsidP="00154F33">
      <w:pPr>
        <w:pStyle w:val="ListParagraph"/>
        <w:jc w:val="both"/>
        <w:rPr>
          <w:sz w:val="24"/>
          <w:szCs w:val="24"/>
        </w:rPr>
      </w:pPr>
    </w:p>
    <w:p w14:paraId="36D2E7AE" w14:textId="77777777" w:rsidR="00AE1ABC" w:rsidRDefault="00AE1ABC" w:rsidP="00154F33">
      <w:pPr>
        <w:pStyle w:val="ListParagraph"/>
        <w:jc w:val="both"/>
        <w:rPr>
          <w:sz w:val="24"/>
          <w:szCs w:val="24"/>
        </w:rPr>
      </w:pPr>
    </w:p>
    <w:p w14:paraId="0865EEB3" w14:textId="648F48D5" w:rsidR="00674DC9" w:rsidRDefault="00674DC9" w:rsidP="00154F33">
      <w:pPr>
        <w:pStyle w:val="ListParagraph"/>
        <w:jc w:val="both"/>
        <w:rPr>
          <w:sz w:val="24"/>
          <w:szCs w:val="24"/>
        </w:rPr>
      </w:pPr>
      <w:r>
        <w:rPr>
          <w:sz w:val="24"/>
          <w:szCs w:val="24"/>
        </w:rPr>
        <w:t>Parker, M. (2005) “</w:t>
      </w:r>
      <w:r w:rsidRPr="00AE1ABC">
        <w:rPr>
          <w:i/>
          <w:iCs/>
          <w:sz w:val="24"/>
          <w:szCs w:val="24"/>
        </w:rPr>
        <w:t>Retail Multinational learning: a case study of Tesco</w:t>
      </w:r>
      <w:r>
        <w:rPr>
          <w:sz w:val="24"/>
          <w:szCs w:val="24"/>
        </w:rPr>
        <w:t>”, International Journal of Retail &amp; Distribution Management, Vol. 33, Is</w:t>
      </w:r>
      <w:r w:rsidR="00AE1ABC">
        <w:rPr>
          <w:sz w:val="24"/>
          <w:szCs w:val="24"/>
        </w:rPr>
        <w:t xml:space="preserve">. </w:t>
      </w:r>
      <w:r>
        <w:rPr>
          <w:sz w:val="24"/>
          <w:szCs w:val="24"/>
        </w:rPr>
        <w:t>1, pp. 23-48</w:t>
      </w:r>
    </w:p>
    <w:p w14:paraId="567AF3CD" w14:textId="12901C20" w:rsidR="00AE1ABC" w:rsidRDefault="00AE1ABC" w:rsidP="00154F33">
      <w:pPr>
        <w:pStyle w:val="ListParagraph"/>
        <w:jc w:val="both"/>
        <w:rPr>
          <w:sz w:val="24"/>
          <w:szCs w:val="24"/>
        </w:rPr>
      </w:pPr>
    </w:p>
    <w:p w14:paraId="2C6E7CD7" w14:textId="5E5C3C26" w:rsidR="00C86941" w:rsidRDefault="00C86941" w:rsidP="00154F33">
      <w:pPr>
        <w:pStyle w:val="ListParagraph"/>
        <w:jc w:val="both"/>
        <w:rPr>
          <w:sz w:val="24"/>
          <w:szCs w:val="24"/>
        </w:rPr>
      </w:pPr>
      <w:r>
        <w:rPr>
          <w:sz w:val="24"/>
          <w:szCs w:val="24"/>
        </w:rPr>
        <w:t>Rafferty, M. et al. (</w:t>
      </w:r>
      <w:r w:rsidR="00F452BD">
        <w:rPr>
          <w:sz w:val="24"/>
          <w:szCs w:val="24"/>
        </w:rPr>
        <w:t>2010) “Dividend Policy: A Review of Theories and Empirical Evidence</w:t>
      </w:r>
      <w:r w:rsidR="00270825">
        <w:rPr>
          <w:sz w:val="24"/>
          <w:szCs w:val="24"/>
        </w:rPr>
        <w:t>”, International</w:t>
      </w:r>
      <w:r w:rsidR="00345DCD">
        <w:rPr>
          <w:sz w:val="24"/>
          <w:szCs w:val="24"/>
        </w:rPr>
        <w:t xml:space="preserve"> Bulletin </w:t>
      </w:r>
      <w:r w:rsidR="00270825">
        <w:rPr>
          <w:sz w:val="24"/>
          <w:szCs w:val="24"/>
        </w:rPr>
        <w:t>of Business</w:t>
      </w:r>
      <w:r w:rsidR="00345DCD">
        <w:rPr>
          <w:sz w:val="24"/>
          <w:szCs w:val="24"/>
        </w:rPr>
        <w:t xml:space="preserve"> Administration, Issue 9, pp. </w:t>
      </w:r>
      <w:r w:rsidR="008667B1">
        <w:rPr>
          <w:sz w:val="24"/>
          <w:szCs w:val="24"/>
        </w:rPr>
        <w:t xml:space="preserve">171 </w:t>
      </w:r>
      <w:r w:rsidR="00270825">
        <w:rPr>
          <w:sz w:val="24"/>
          <w:szCs w:val="24"/>
        </w:rPr>
        <w:t>–</w:t>
      </w:r>
      <w:r w:rsidR="008667B1">
        <w:rPr>
          <w:sz w:val="24"/>
          <w:szCs w:val="24"/>
        </w:rPr>
        <w:t xml:space="preserve"> 187</w:t>
      </w:r>
    </w:p>
    <w:p w14:paraId="5BB5A245" w14:textId="77777777" w:rsidR="00270825" w:rsidRDefault="00270825" w:rsidP="00154F33">
      <w:pPr>
        <w:pStyle w:val="ListParagraph"/>
        <w:jc w:val="both"/>
        <w:rPr>
          <w:sz w:val="24"/>
          <w:szCs w:val="24"/>
        </w:rPr>
      </w:pPr>
    </w:p>
    <w:p w14:paraId="19D5CE9D" w14:textId="77777777" w:rsidR="00AE1ABC" w:rsidRDefault="00AE1ABC" w:rsidP="00154F33">
      <w:pPr>
        <w:pStyle w:val="ListParagraph"/>
        <w:jc w:val="both"/>
        <w:rPr>
          <w:sz w:val="24"/>
          <w:szCs w:val="24"/>
        </w:rPr>
      </w:pPr>
    </w:p>
    <w:p w14:paraId="1E65E1DD" w14:textId="4AF30625" w:rsidR="00674DC9" w:rsidRDefault="00674DC9" w:rsidP="00154F33">
      <w:pPr>
        <w:pStyle w:val="ListParagraph"/>
        <w:jc w:val="both"/>
        <w:rPr>
          <w:rFonts w:cstheme="minorHAnsi"/>
          <w:sz w:val="24"/>
          <w:szCs w:val="24"/>
        </w:rPr>
      </w:pPr>
      <w:r w:rsidRPr="00674DC9">
        <w:rPr>
          <w:rFonts w:cstheme="minorHAnsi"/>
          <w:sz w:val="24"/>
          <w:szCs w:val="24"/>
        </w:rPr>
        <w:t>Rosnizam B., et al. (2020) “</w:t>
      </w:r>
      <w:r w:rsidRPr="00674DC9">
        <w:rPr>
          <w:rFonts w:cstheme="minorHAnsi"/>
          <w:i/>
          <w:iCs/>
          <w:sz w:val="24"/>
          <w:szCs w:val="24"/>
        </w:rPr>
        <w:t>Market opportunities and challenges: A case study of Tesco”</w:t>
      </w:r>
      <w:r w:rsidRPr="00674DC9">
        <w:rPr>
          <w:rFonts w:cstheme="minorHAnsi"/>
          <w:sz w:val="24"/>
          <w:szCs w:val="24"/>
        </w:rPr>
        <w:t xml:space="preserve"> Journal of the Community Development in Asia (JCDA),</w:t>
      </w:r>
      <w:r>
        <w:rPr>
          <w:rFonts w:cstheme="minorHAnsi"/>
          <w:sz w:val="24"/>
          <w:szCs w:val="24"/>
        </w:rPr>
        <w:t xml:space="preserve"> Vol. 3, No 2, pp. </w:t>
      </w:r>
      <w:r w:rsidRPr="00674DC9">
        <w:rPr>
          <w:rFonts w:cstheme="minorHAnsi"/>
          <w:sz w:val="24"/>
          <w:szCs w:val="24"/>
        </w:rPr>
        <w:t>18-27</w:t>
      </w:r>
    </w:p>
    <w:p w14:paraId="6D03E727" w14:textId="77777777" w:rsidR="00AE1ABC" w:rsidRDefault="00AE1ABC" w:rsidP="00154F33">
      <w:pPr>
        <w:pStyle w:val="ListParagraph"/>
        <w:jc w:val="both"/>
        <w:rPr>
          <w:rFonts w:cstheme="minorHAnsi"/>
          <w:sz w:val="24"/>
          <w:szCs w:val="24"/>
        </w:rPr>
      </w:pPr>
    </w:p>
    <w:p w14:paraId="239D0DBA" w14:textId="77777777" w:rsidR="00270825" w:rsidRDefault="00270825" w:rsidP="00154F33">
      <w:pPr>
        <w:pStyle w:val="ListParagraph"/>
        <w:jc w:val="both"/>
        <w:rPr>
          <w:rFonts w:cstheme="minorHAnsi"/>
          <w:sz w:val="24"/>
          <w:szCs w:val="24"/>
        </w:rPr>
      </w:pPr>
    </w:p>
    <w:p w14:paraId="393D51A1" w14:textId="0F09832B" w:rsidR="00421E56" w:rsidRPr="00F452BD" w:rsidRDefault="00421E56" w:rsidP="00421E56">
      <w:pPr>
        <w:pStyle w:val="ListParagraph"/>
        <w:jc w:val="both"/>
        <w:rPr>
          <w:rFonts w:cstheme="minorHAnsi"/>
          <w:i/>
          <w:iCs/>
          <w:sz w:val="24"/>
          <w:szCs w:val="24"/>
        </w:rPr>
      </w:pPr>
      <w:r w:rsidRPr="00421E56">
        <w:rPr>
          <w:rFonts w:cstheme="minorHAnsi"/>
          <w:sz w:val="24"/>
          <w:szCs w:val="24"/>
        </w:rPr>
        <w:t xml:space="preserve">Rugman, M., </w:t>
      </w:r>
      <w:r>
        <w:rPr>
          <w:rFonts w:cstheme="minorHAnsi"/>
          <w:sz w:val="24"/>
          <w:szCs w:val="24"/>
        </w:rPr>
        <w:t>(</w:t>
      </w:r>
      <w:r w:rsidRPr="00421E56">
        <w:rPr>
          <w:rFonts w:cstheme="minorHAnsi"/>
          <w:sz w:val="24"/>
          <w:szCs w:val="24"/>
        </w:rPr>
        <w:t>2019</w:t>
      </w:r>
      <w:r>
        <w:rPr>
          <w:rFonts w:cstheme="minorHAnsi"/>
          <w:sz w:val="24"/>
          <w:szCs w:val="24"/>
        </w:rPr>
        <w:t>)</w:t>
      </w:r>
      <w:r w:rsidRPr="00421E56">
        <w:rPr>
          <w:rFonts w:cstheme="minorHAnsi"/>
          <w:sz w:val="24"/>
          <w:szCs w:val="24"/>
        </w:rPr>
        <w:t xml:space="preserve"> </w:t>
      </w:r>
      <w:r>
        <w:rPr>
          <w:rFonts w:cstheme="minorHAnsi"/>
          <w:sz w:val="24"/>
          <w:szCs w:val="24"/>
        </w:rPr>
        <w:t>“</w:t>
      </w:r>
      <w:r w:rsidRPr="00F452BD">
        <w:rPr>
          <w:rFonts w:cstheme="minorHAnsi"/>
          <w:i/>
          <w:iCs/>
          <w:sz w:val="24"/>
          <w:szCs w:val="24"/>
        </w:rPr>
        <w:t>From globalisation to regionalism: The foreign direct investment</w:t>
      </w:r>
    </w:p>
    <w:p w14:paraId="007172F2" w14:textId="1400C4F6" w:rsidR="00421E56" w:rsidRPr="00421E56" w:rsidRDefault="00421E56" w:rsidP="00421E56">
      <w:pPr>
        <w:pStyle w:val="ListParagraph"/>
        <w:jc w:val="both"/>
        <w:rPr>
          <w:rFonts w:cstheme="minorHAnsi"/>
          <w:sz w:val="24"/>
          <w:szCs w:val="24"/>
        </w:rPr>
      </w:pPr>
      <w:r w:rsidRPr="00F452BD">
        <w:rPr>
          <w:rFonts w:cstheme="minorHAnsi"/>
          <w:i/>
          <w:iCs/>
          <w:sz w:val="24"/>
          <w:szCs w:val="24"/>
        </w:rPr>
        <w:t>dimension of international finance. In Shaping a new international financial system</w:t>
      </w:r>
      <w:r>
        <w:rPr>
          <w:rFonts w:cstheme="minorHAnsi"/>
          <w:sz w:val="24"/>
          <w:szCs w:val="24"/>
        </w:rPr>
        <w:t>”,</w:t>
      </w:r>
      <w:r w:rsidRPr="00421E56">
        <w:rPr>
          <w:rFonts w:cstheme="minorHAnsi"/>
          <w:sz w:val="24"/>
          <w:szCs w:val="24"/>
        </w:rPr>
        <w:t xml:space="preserve"> </w:t>
      </w:r>
    </w:p>
    <w:p w14:paraId="1B535F25" w14:textId="7CB9FF43" w:rsidR="00421E56" w:rsidRPr="00421E56" w:rsidRDefault="00421E56" w:rsidP="00421E56">
      <w:pPr>
        <w:pStyle w:val="ListParagraph"/>
        <w:jc w:val="both"/>
        <w:rPr>
          <w:rFonts w:cstheme="minorHAnsi"/>
          <w:sz w:val="24"/>
          <w:szCs w:val="24"/>
        </w:rPr>
      </w:pPr>
      <w:r w:rsidRPr="00421E56">
        <w:rPr>
          <w:rFonts w:cstheme="minorHAnsi"/>
          <w:sz w:val="24"/>
          <w:szCs w:val="24"/>
        </w:rPr>
        <w:lastRenderedPageBreak/>
        <w:t>Routledge</w:t>
      </w:r>
      <w:r>
        <w:rPr>
          <w:rFonts w:cstheme="minorHAnsi"/>
          <w:sz w:val="24"/>
          <w:szCs w:val="24"/>
        </w:rPr>
        <w:t xml:space="preserve">, </w:t>
      </w:r>
      <w:r w:rsidRPr="00421E56">
        <w:rPr>
          <w:rFonts w:cstheme="minorHAnsi"/>
          <w:sz w:val="24"/>
          <w:szCs w:val="24"/>
        </w:rPr>
        <w:t>pp.</w:t>
      </w:r>
      <w:r>
        <w:rPr>
          <w:rFonts w:cstheme="minorHAnsi"/>
          <w:sz w:val="24"/>
          <w:szCs w:val="24"/>
        </w:rPr>
        <w:t xml:space="preserve"> </w:t>
      </w:r>
      <w:r w:rsidRPr="00421E56">
        <w:rPr>
          <w:rFonts w:cstheme="minorHAnsi"/>
          <w:sz w:val="24"/>
          <w:szCs w:val="24"/>
        </w:rPr>
        <w:t>203-219</w:t>
      </w:r>
    </w:p>
    <w:p w14:paraId="300ED3B8" w14:textId="77777777" w:rsidR="00421E56" w:rsidRDefault="00421E56" w:rsidP="00154F33">
      <w:pPr>
        <w:pStyle w:val="ListParagraph"/>
        <w:jc w:val="both"/>
        <w:rPr>
          <w:rFonts w:cstheme="minorHAnsi"/>
          <w:sz w:val="24"/>
          <w:szCs w:val="24"/>
        </w:rPr>
      </w:pPr>
    </w:p>
    <w:p w14:paraId="51CA3BF4" w14:textId="77777777" w:rsidR="00AE1ABC" w:rsidRPr="00674DC9" w:rsidRDefault="00AE1ABC" w:rsidP="00154F33">
      <w:pPr>
        <w:pStyle w:val="ListParagraph"/>
        <w:jc w:val="both"/>
        <w:rPr>
          <w:rFonts w:cstheme="minorHAnsi"/>
          <w:sz w:val="24"/>
          <w:szCs w:val="24"/>
        </w:rPr>
      </w:pPr>
    </w:p>
    <w:p w14:paraId="3DD84A87" w14:textId="259C5F75" w:rsidR="00674DC9" w:rsidRDefault="00AE1ABC" w:rsidP="00154F33">
      <w:pPr>
        <w:pStyle w:val="ListParagraph"/>
        <w:jc w:val="both"/>
        <w:rPr>
          <w:sz w:val="24"/>
          <w:szCs w:val="24"/>
        </w:rPr>
      </w:pPr>
      <w:r>
        <w:rPr>
          <w:sz w:val="24"/>
          <w:szCs w:val="24"/>
        </w:rPr>
        <w:t xml:space="preserve">Tesco Annual Report (2022) online source, available at: </w:t>
      </w:r>
      <w:hyperlink r:id="rId10" w:history="1">
        <w:r w:rsidRPr="00561910">
          <w:rPr>
            <w:rStyle w:val="Hyperlink"/>
            <w:sz w:val="24"/>
            <w:szCs w:val="24"/>
          </w:rPr>
          <w:t>https://www.tescoplc.com/media/759057/tesco-annual-report-2022.pdf</w:t>
        </w:r>
      </w:hyperlink>
      <w:r>
        <w:rPr>
          <w:sz w:val="24"/>
          <w:szCs w:val="24"/>
        </w:rPr>
        <w:t xml:space="preserve"> (accessed on 14/08/2023) </w:t>
      </w:r>
    </w:p>
    <w:p w14:paraId="7A40E567" w14:textId="77777777" w:rsidR="00674DC9" w:rsidRPr="00AE1ABC" w:rsidRDefault="00674DC9" w:rsidP="00AE1ABC">
      <w:pPr>
        <w:jc w:val="both"/>
        <w:rPr>
          <w:sz w:val="24"/>
          <w:szCs w:val="24"/>
        </w:rPr>
      </w:pPr>
    </w:p>
    <w:p w14:paraId="6F7AF418" w14:textId="675BABE2" w:rsidR="00154F33" w:rsidRPr="00863799" w:rsidRDefault="00154F33" w:rsidP="00154F33">
      <w:pPr>
        <w:pStyle w:val="ListParagraph"/>
        <w:jc w:val="both"/>
        <w:rPr>
          <w:sz w:val="24"/>
          <w:szCs w:val="24"/>
        </w:rPr>
      </w:pPr>
      <w:r>
        <w:rPr>
          <w:sz w:val="24"/>
          <w:szCs w:val="24"/>
        </w:rPr>
        <w:t xml:space="preserve">Tesco Dividend (2023) online source, available at: </w:t>
      </w:r>
      <w:hyperlink r:id="rId11" w:anchor=":~:text=Tesco%20pays%20a%20dividend%202,income%20for%20the%20whole%20year" w:history="1">
        <w:r w:rsidRPr="00561910">
          <w:rPr>
            <w:rStyle w:val="Hyperlink"/>
            <w:sz w:val="24"/>
            <w:szCs w:val="24"/>
          </w:rPr>
          <w:t>https://dividendstocks.cash/dividend-profile/Tesco-Dividend#:~:text=Tesco%20pays%20a%20dividend%202,income%20for%20the%20whole%20year</w:t>
        </w:r>
      </w:hyperlink>
      <w:r w:rsidRPr="00154F33">
        <w:rPr>
          <w:sz w:val="24"/>
          <w:szCs w:val="24"/>
        </w:rPr>
        <w:t>.</w:t>
      </w:r>
      <w:r>
        <w:rPr>
          <w:sz w:val="24"/>
          <w:szCs w:val="24"/>
        </w:rPr>
        <w:t xml:space="preserve"> (accessed on 15/08/2023) </w:t>
      </w:r>
    </w:p>
    <w:sectPr w:rsidR="00154F33" w:rsidRPr="0086379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47DB3" w14:textId="77777777" w:rsidR="00121C4D" w:rsidRDefault="00121C4D" w:rsidP="00F0578E">
      <w:pPr>
        <w:spacing w:after="0" w:line="240" w:lineRule="auto"/>
      </w:pPr>
      <w:r>
        <w:separator/>
      </w:r>
    </w:p>
  </w:endnote>
  <w:endnote w:type="continuationSeparator" w:id="0">
    <w:p w14:paraId="52B3EA21" w14:textId="77777777" w:rsidR="00121C4D" w:rsidRDefault="00121C4D" w:rsidP="00F0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40259" w14:textId="77777777" w:rsidR="00F0578E" w:rsidRDefault="00F057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703845"/>
      <w:docPartObj>
        <w:docPartGallery w:val="Page Numbers (Bottom of Page)"/>
        <w:docPartUnique/>
      </w:docPartObj>
    </w:sdtPr>
    <w:sdtEndPr>
      <w:rPr>
        <w:noProof/>
      </w:rPr>
    </w:sdtEndPr>
    <w:sdtContent>
      <w:p w14:paraId="200B8DD5" w14:textId="598F5587" w:rsidR="00F0578E" w:rsidRDefault="00F057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A805A" w14:textId="77777777" w:rsidR="00F0578E" w:rsidRDefault="00F057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D3EB5" w14:textId="77777777" w:rsidR="00F0578E" w:rsidRDefault="00F05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5B02" w14:textId="77777777" w:rsidR="00121C4D" w:rsidRDefault="00121C4D" w:rsidP="00F0578E">
      <w:pPr>
        <w:spacing w:after="0" w:line="240" w:lineRule="auto"/>
      </w:pPr>
      <w:r>
        <w:separator/>
      </w:r>
    </w:p>
  </w:footnote>
  <w:footnote w:type="continuationSeparator" w:id="0">
    <w:p w14:paraId="55AA5B6D" w14:textId="77777777" w:rsidR="00121C4D" w:rsidRDefault="00121C4D" w:rsidP="00F05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7923C" w14:textId="77777777" w:rsidR="00F0578E" w:rsidRDefault="00F057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24EE1" w14:textId="77777777" w:rsidR="00F0578E" w:rsidRDefault="00F057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0E04" w14:textId="77777777" w:rsidR="00F0578E" w:rsidRDefault="00F05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A75DE4"/>
    <w:multiLevelType w:val="hybridMultilevel"/>
    <w:tmpl w:val="6FCA0B86"/>
    <w:lvl w:ilvl="0" w:tplc="9CD4D8D8">
      <w:start w:val="1"/>
      <w:numFmt w:val="decimal"/>
      <w:lvlText w:val="%1."/>
      <w:lvlJc w:val="left"/>
      <w:pPr>
        <w:ind w:left="1145"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5B4702"/>
    <w:multiLevelType w:val="hybridMultilevel"/>
    <w:tmpl w:val="1D104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3710064">
    <w:abstractNumId w:val="0"/>
  </w:num>
  <w:num w:numId="2" w16cid:durableId="856194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CAC"/>
    <w:rsid w:val="00100F83"/>
    <w:rsid w:val="00121C4D"/>
    <w:rsid w:val="00154F33"/>
    <w:rsid w:val="001B1485"/>
    <w:rsid w:val="00214424"/>
    <w:rsid w:val="00270825"/>
    <w:rsid w:val="00345DCD"/>
    <w:rsid w:val="00402B92"/>
    <w:rsid w:val="00421E56"/>
    <w:rsid w:val="00422834"/>
    <w:rsid w:val="004773AA"/>
    <w:rsid w:val="00674DC9"/>
    <w:rsid w:val="006B0D22"/>
    <w:rsid w:val="006C5012"/>
    <w:rsid w:val="006D517A"/>
    <w:rsid w:val="007421B4"/>
    <w:rsid w:val="00794260"/>
    <w:rsid w:val="00863799"/>
    <w:rsid w:val="008667B1"/>
    <w:rsid w:val="009609EC"/>
    <w:rsid w:val="00A8488D"/>
    <w:rsid w:val="00AE1ABC"/>
    <w:rsid w:val="00B05CCC"/>
    <w:rsid w:val="00B810B5"/>
    <w:rsid w:val="00BA47F9"/>
    <w:rsid w:val="00C3009A"/>
    <w:rsid w:val="00C86941"/>
    <w:rsid w:val="00D05AEE"/>
    <w:rsid w:val="00E33155"/>
    <w:rsid w:val="00EC0C08"/>
    <w:rsid w:val="00EE7E99"/>
    <w:rsid w:val="00EF7CAC"/>
    <w:rsid w:val="00F02E08"/>
    <w:rsid w:val="00F0578E"/>
    <w:rsid w:val="00F452BD"/>
    <w:rsid w:val="00FC3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DEA1B"/>
  <w15:chartTrackingRefBased/>
  <w15:docId w15:val="{81CE43F5-4B78-4544-89D1-36009AC8C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CAC"/>
    <w:pPr>
      <w:ind w:left="720"/>
      <w:contextualSpacing/>
    </w:pPr>
  </w:style>
  <w:style w:type="character" w:styleId="Hyperlink">
    <w:name w:val="Hyperlink"/>
    <w:basedOn w:val="DefaultParagraphFont"/>
    <w:uiPriority w:val="99"/>
    <w:unhideWhenUsed/>
    <w:rsid w:val="00154F33"/>
    <w:rPr>
      <w:color w:val="0563C1" w:themeColor="hyperlink"/>
      <w:u w:val="single"/>
    </w:rPr>
  </w:style>
  <w:style w:type="character" w:styleId="UnresolvedMention">
    <w:name w:val="Unresolved Mention"/>
    <w:basedOn w:val="DefaultParagraphFont"/>
    <w:uiPriority w:val="99"/>
    <w:semiHidden/>
    <w:unhideWhenUsed/>
    <w:rsid w:val="00154F33"/>
    <w:rPr>
      <w:color w:val="605E5C"/>
      <w:shd w:val="clear" w:color="auto" w:fill="E1DFDD"/>
    </w:rPr>
  </w:style>
  <w:style w:type="paragraph" w:styleId="NoSpacing">
    <w:name w:val="No Spacing"/>
    <w:uiPriority w:val="1"/>
    <w:qFormat/>
    <w:rsid w:val="00AE1ABC"/>
    <w:pPr>
      <w:spacing w:after="0" w:line="240" w:lineRule="auto"/>
    </w:pPr>
  </w:style>
  <w:style w:type="character" w:customStyle="1" w:styleId="Heading1Char">
    <w:name w:val="Heading 1 Char"/>
    <w:basedOn w:val="DefaultParagraphFont"/>
    <w:link w:val="Heading1"/>
    <w:uiPriority w:val="9"/>
    <w:rsid w:val="00AE1ABC"/>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421E5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21E56"/>
    <w:rPr>
      <w:rFonts w:eastAsiaTheme="minorEastAsia"/>
      <w:color w:val="5A5A5A" w:themeColor="text1" w:themeTint="A5"/>
      <w:spacing w:val="15"/>
    </w:rPr>
  </w:style>
  <w:style w:type="paragraph" w:styleId="Header">
    <w:name w:val="header"/>
    <w:basedOn w:val="Normal"/>
    <w:link w:val="HeaderChar"/>
    <w:uiPriority w:val="99"/>
    <w:unhideWhenUsed/>
    <w:rsid w:val="00F05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78E"/>
  </w:style>
  <w:style w:type="paragraph" w:styleId="Footer">
    <w:name w:val="footer"/>
    <w:basedOn w:val="Normal"/>
    <w:link w:val="FooterChar"/>
    <w:uiPriority w:val="99"/>
    <w:unhideWhenUsed/>
    <w:rsid w:val="00F05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734668">
      <w:bodyDiv w:val="1"/>
      <w:marLeft w:val="0"/>
      <w:marRight w:val="0"/>
      <w:marTop w:val="0"/>
      <w:marBottom w:val="0"/>
      <w:divBdr>
        <w:top w:val="none" w:sz="0" w:space="0" w:color="auto"/>
        <w:left w:val="none" w:sz="0" w:space="0" w:color="auto"/>
        <w:bottom w:val="none" w:sz="0" w:space="0" w:color="auto"/>
        <w:right w:val="none" w:sz="0" w:space="0" w:color="auto"/>
      </w:divBdr>
      <w:divsChild>
        <w:div w:id="25453859">
          <w:marLeft w:val="0"/>
          <w:marRight w:val="0"/>
          <w:marTop w:val="0"/>
          <w:marBottom w:val="0"/>
          <w:divBdr>
            <w:top w:val="single" w:sz="2" w:space="0" w:color="auto"/>
            <w:left w:val="single" w:sz="2" w:space="0" w:color="auto"/>
            <w:bottom w:val="single" w:sz="2" w:space="0" w:color="auto"/>
            <w:right w:val="single" w:sz="2" w:space="0" w:color="auto"/>
          </w:divBdr>
        </w:div>
        <w:div w:id="187302749">
          <w:marLeft w:val="0"/>
          <w:marRight w:val="0"/>
          <w:marTop w:val="0"/>
          <w:marBottom w:val="0"/>
          <w:divBdr>
            <w:top w:val="single" w:sz="2" w:space="0" w:color="auto"/>
            <w:left w:val="single" w:sz="2" w:space="0" w:color="auto"/>
            <w:bottom w:val="single" w:sz="2" w:space="0" w:color="auto"/>
            <w:right w:val="single" w:sz="2" w:space="0" w:color="auto"/>
          </w:divBdr>
        </w:div>
        <w:div w:id="167990929">
          <w:marLeft w:val="0"/>
          <w:marRight w:val="0"/>
          <w:marTop w:val="0"/>
          <w:marBottom w:val="0"/>
          <w:divBdr>
            <w:top w:val="single" w:sz="2" w:space="0" w:color="auto"/>
            <w:left w:val="single" w:sz="2" w:space="0" w:color="auto"/>
            <w:bottom w:val="single" w:sz="2" w:space="0" w:color="auto"/>
            <w:right w:val="single" w:sz="2" w:space="0" w:color="auto"/>
          </w:divBdr>
        </w:div>
      </w:divsChild>
    </w:div>
    <w:div w:id="630205477">
      <w:bodyDiv w:val="1"/>
      <w:marLeft w:val="0"/>
      <w:marRight w:val="0"/>
      <w:marTop w:val="0"/>
      <w:marBottom w:val="0"/>
      <w:divBdr>
        <w:top w:val="none" w:sz="0" w:space="0" w:color="auto"/>
        <w:left w:val="none" w:sz="0" w:space="0" w:color="auto"/>
        <w:bottom w:val="none" w:sz="0" w:space="0" w:color="auto"/>
        <w:right w:val="none" w:sz="0" w:space="0" w:color="auto"/>
      </w:divBdr>
      <w:divsChild>
        <w:div w:id="1290864656">
          <w:marLeft w:val="0"/>
          <w:marRight w:val="0"/>
          <w:marTop w:val="0"/>
          <w:marBottom w:val="0"/>
          <w:divBdr>
            <w:top w:val="single" w:sz="2" w:space="0" w:color="auto"/>
            <w:left w:val="single" w:sz="2" w:space="0" w:color="auto"/>
            <w:bottom w:val="single" w:sz="2" w:space="0" w:color="auto"/>
            <w:right w:val="single" w:sz="2" w:space="0" w:color="auto"/>
          </w:divBdr>
        </w:div>
        <w:div w:id="1756902282">
          <w:marLeft w:val="0"/>
          <w:marRight w:val="0"/>
          <w:marTop w:val="0"/>
          <w:marBottom w:val="0"/>
          <w:divBdr>
            <w:top w:val="single" w:sz="2" w:space="0" w:color="auto"/>
            <w:left w:val="single" w:sz="2" w:space="0" w:color="auto"/>
            <w:bottom w:val="single" w:sz="2" w:space="0" w:color="auto"/>
            <w:right w:val="single" w:sz="2" w:space="0" w:color="auto"/>
          </w:divBdr>
        </w:div>
        <w:div w:id="1072511057">
          <w:marLeft w:val="0"/>
          <w:marRight w:val="0"/>
          <w:marTop w:val="0"/>
          <w:marBottom w:val="0"/>
          <w:divBdr>
            <w:top w:val="single" w:sz="2" w:space="0" w:color="auto"/>
            <w:left w:val="single" w:sz="2" w:space="0" w:color="auto"/>
            <w:bottom w:val="single" w:sz="2" w:space="0" w:color="auto"/>
            <w:right w:val="single" w:sz="2" w:space="0" w:color="auto"/>
          </w:divBdr>
        </w:div>
      </w:divsChild>
    </w:div>
    <w:div w:id="1579291151">
      <w:bodyDiv w:val="1"/>
      <w:marLeft w:val="0"/>
      <w:marRight w:val="0"/>
      <w:marTop w:val="0"/>
      <w:marBottom w:val="0"/>
      <w:divBdr>
        <w:top w:val="none" w:sz="0" w:space="0" w:color="auto"/>
        <w:left w:val="none" w:sz="0" w:space="0" w:color="auto"/>
        <w:bottom w:val="none" w:sz="0" w:space="0" w:color="auto"/>
        <w:right w:val="none" w:sz="0" w:space="0" w:color="auto"/>
      </w:divBdr>
      <w:divsChild>
        <w:div w:id="939725066">
          <w:marLeft w:val="0"/>
          <w:marRight w:val="0"/>
          <w:marTop w:val="0"/>
          <w:marBottom w:val="0"/>
          <w:divBdr>
            <w:top w:val="single" w:sz="2" w:space="0" w:color="auto"/>
            <w:left w:val="single" w:sz="2" w:space="0" w:color="auto"/>
            <w:bottom w:val="single" w:sz="2" w:space="0" w:color="auto"/>
            <w:right w:val="single" w:sz="2" w:space="0" w:color="auto"/>
          </w:divBdr>
        </w:div>
        <w:div w:id="728190978">
          <w:marLeft w:val="0"/>
          <w:marRight w:val="0"/>
          <w:marTop w:val="0"/>
          <w:marBottom w:val="0"/>
          <w:divBdr>
            <w:top w:val="single" w:sz="2" w:space="0" w:color="auto"/>
            <w:left w:val="single" w:sz="2" w:space="0" w:color="auto"/>
            <w:bottom w:val="single" w:sz="2" w:space="0" w:color="auto"/>
            <w:right w:val="single" w:sz="2" w:space="0" w:color="auto"/>
          </w:divBdr>
        </w:div>
        <w:div w:id="1822886785">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videndstocks.cash/dividend-profile/Tesco-Dividen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tescoplc.com/media/759057/tesco-annual-report-2022.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BBBF7-4454-456B-B191-1433B8B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8</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8</cp:revision>
  <dcterms:created xsi:type="dcterms:W3CDTF">2023-08-24T10:37:00Z</dcterms:created>
  <dcterms:modified xsi:type="dcterms:W3CDTF">2023-08-25T10:44:00Z</dcterms:modified>
</cp:coreProperties>
</file>