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DB7DDF"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1A78AA2F" w14:textId="77777777" w:rsidR="00601CB7" w:rsidRDefault="00601CB7" w:rsidP="00601CB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22257C35" w14:textId="77777777" w:rsidR="00601CB7" w:rsidRDefault="00601CB7" w:rsidP="00601CB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131ABA66" w14:textId="77777777" w:rsidR="00601CB7" w:rsidRDefault="00601CB7" w:rsidP="00601CB7">
      <w:pPr>
        <w:spacing w:line="360" w:lineRule="auto"/>
        <w:rPr>
          <w:rFonts w:ascii="Times New Roman" w:eastAsia="Times New Roman" w:hAnsi="Times New Roman" w:cs="Times New Roman"/>
          <w:b/>
          <w:sz w:val="32"/>
          <w:szCs w:val="32"/>
        </w:rPr>
      </w:pPr>
    </w:p>
    <w:p w14:paraId="036D96ED" w14:textId="77777777" w:rsidR="00601CB7" w:rsidRDefault="00601CB7" w:rsidP="00601CB7">
      <w:pPr>
        <w:spacing w:line="360" w:lineRule="auto"/>
        <w:jc w:val="center"/>
        <w:rPr>
          <w:rFonts w:ascii="Times New Roman" w:eastAsia="Times New Roman" w:hAnsi="Times New Roman" w:cs="Times New Roman"/>
          <w:b/>
          <w:sz w:val="32"/>
          <w:szCs w:val="32"/>
        </w:rPr>
      </w:pPr>
    </w:p>
    <w:p w14:paraId="1E43BA99" w14:textId="77777777" w:rsidR="00601CB7" w:rsidRDefault="00601CB7" w:rsidP="00601CB7">
      <w:pPr>
        <w:spacing w:line="360" w:lineRule="auto"/>
        <w:rPr>
          <w:rFonts w:ascii="Times New Roman" w:eastAsia="Times New Roman" w:hAnsi="Times New Roman" w:cs="Times New Roman"/>
          <w:b/>
          <w:sz w:val="32"/>
          <w:szCs w:val="32"/>
        </w:rPr>
      </w:pPr>
    </w:p>
    <w:p w14:paraId="275A3169" w14:textId="77777777" w:rsidR="00601CB7" w:rsidRDefault="00601CB7" w:rsidP="00601CB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BUSINESS MANAGEMENT</w:t>
      </w:r>
    </w:p>
    <w:p w14:paraId="4A265AF7" w14:textId="77777777" w:rsidR="00601CB7" w:rsidRDefault="00601CB7" w:rsidP="00601CB7">
      <w:pPr>
        <w:spacing w:line="360" w:lineRule="auto"/>
        <w:jc w:val="center"/>
        <w:rPr>
          <w:rFonts w:ascii="Times New Roman" w:eastAsia="Times New Roman" w:hAnsi="Times New Roman" w:cs="Times New Roman"/>
          <w:b/>
          <w:sz w:val="32"/>
          <w:szCs w:val="32"/>
        </w:rPr>
      </w:pPr>
    </w:p>
    <w:p w14:paraId="3C7C9D0F" w14:textId="77777777" w:rsidR="00601CB7" w:rsidRDefault="00601CB7" w:rsidP="00601CB7">
      <w:pPr>
        <w:spacing w:line="360" w:lineRule="auto"/>
        <w:jc w:val="center"/>
        <w:rPr>
          <w:rFonts w:ascii="Times New Roman" w:eastAsia="Times New Roman" w:hAnsi="Times New Roman" w:cs="Times New Roman"/>
          <w:b/>
          <w:sz w:val="32"/>
          <w:szCs w:val="32"/>
        </w:rPr>
      </w:pPr>
    </w:p>
    <w:p w14:paraId="13A20E6F" w14:textId="77777777" w:rsidR="00601CB7" w:rsidRDefault="00601CB7" w:rsidP="00601CB7">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George Eduard Vodislav</w:t>
      </w:r>
    </w:p>
    <w:p w14:paraId="4B1084D3" w14:textId="77777777" w:rsidR="00601CB7" w:rsidRDefault="00601CB7" w:rsidP="00601CB7">
      <w:pPr>
        <w:spacing w:line="360" w:lineRule="auto"/>
        <w:rPr>
          <w:rFonts w:ascii="Times New Roman" w:eastAsia="Times New Roman" w:hAnsi="Times New Roman" w:cs="Times New Roman"/>
          <w:b/>
          <w:sz w:val="28"/>
          <w:szCs w:val="28"/>
        </w:rPr>
      </w:pPr>
    </w:p>
    <w:p w14:paraId="53C47DF3" w14:textId="77777777" w:rsidR="00601CB7" w:rsidRDefault="00601CB7" w:rsidP="00601CB7">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proofErr w:type="gramStart"/>
      <w:r>
        <w:rPr>
          <w:rFonts w:ascii="Times New Roman" w:eastAsia="Times New Roman" w:hAnsi="Times New Roman" w:cs="Times New Roman"/>
          <w:b/>
          <w:sz w:val="28"/>
          <w:szCs w:val="28"/>
        </w:rPr>
        <w:t>ID :</w:t>
      </w:r>
      <w:proofErr w:type="gramEnd"/>
      <w:r>
        <w:rPr>
          <w:rFonts w:ascii="Times New Roman" w:eastAsia="Times New Roman" w:hAnsi="Times New Roman" w:cs="Times New Roman"/>
          <w:b/>
          <w:sz w:val="28"/>
          <w:szCs w:val="28"/>
        </w:rPr>
        <w:t xml:space="preserve"> 1917506</w:t>
      </w:r>
    </w:p>
    <w:p w14:paraId="3420B150" w14:textId="77777777" w:rsidR="00601CB7" w:rsidRDefault="00601CB7" w:rsidP="00601CB7">
      <w:pPr>
        <w:spacing w:line="360" w:lineRule="auto"/>
        <w:rPr>
          <w:rFonts w:ascii="Times New Roman" w:eastAsia="Times New Roman" w:hAnsi="Times New Roman" w:cs="Times New Roman"/>
          <w:b/>
          <w:sz w:val="28"/>
          <w:szCs w:val="28"/>
        </w:rPr>
      </w:pPr>
    </w:p>
    <w:p w14:paraId="653F2253" w14:textId="77777777" w:rsidR="00601CB7" w:rsidRDefault="00601CB7" w:rsidP="00601CB7">
      <w:pPr>
        <w:rPr>
          <w:rFonts w:ascii="Times New Roman" w:eastAsia="Times New Roman" w:hAnsi="Times New Roman" w:cs="Times New Roman"/>
          <w:b/>
          <w:color w:val="000000" w:themeColor="text1"/>
          <w:sz w:val="28"/>
          <w:szCs w:val="28"/>
          <w:highlight w:val="white"/>
        </w:rPr>
      </w:pPr>
      <w:r>
        <w:rPr>
          <w:rFonts w:ascii="Times New Roman" w:eastAsia="Times New Roman" w:hAnsi="Times New Roman" w:cs="Times New Roman"/>
          <w:b/>
          <w:sz w:val="28"/>
          <w:szCs w:val="28"/>
        </w:rPr>
        <w:t xml:space="preserve">Module Title: </w:t>
      </w:r>
      <w:r>
        <w:rPr>
          <w:rFonts w:ascii="Times New Roman" w:eastAsia="Times New Roman" w:hAnsi="Times New Roman" w:cs="Times New Roman"/>
          <w:b/>
          <w:color w:val="000000" w:themeColor="text1"/>
          <w:sz w:val="28"/>
          <w:szCs w:val="28"/>
          <w:highlight w:val="white"/>
        </w:rPr>
        <w:t>ACCOUNTING FUNDAMENTALS</w:t>
      </w:r>
    </w:p>
    <w:p w14:paraId="4214C94E" w14:textId="77777777" w:rsidR="00601CB7" w:rsidRDefault="00601CB7" w:rsidP="00601CB7">
      <w:pPr>
        <w:spacing w:line="360" w:lineRule="auto"/>
        <w:rPr>
          <w:rFonts w:ascii="Times New Roman" w:eastAsia="Times New Roman" w:hAnsi="Times New Roman" w:cs="Times New Roman"/>
          <w:b/>
          <w:sz w:val="28"/>
          <w:szCs w:val="28"/>
        </w:rPr>
      </w:pPr>
    </w:p>
    <w:p w14:paraId="327B988B" w14:textId="77777777" w:rsidR="00601CB7" w:rsidRDefault="00601CB7" w:rsidP="00601CB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Assignment Title: </w:t>
      </w:r>
      <w:r>
        <w:rPr>
          <w:rFonts w:ascii="Times New Roman" w:eastAsia="Times New Roman" w:hAnsi="Times New Roman" w:cs="Times New Roman"/>
          <w:b/>
          <w:color w:val="000000" w:themeColor="text1"/>
          <w:sz w:val="28"/>
          <w:szCs w:val="28"/>
          <w:highlight w:val="white"/>
        </w:rPr>
        <w:t>ACCOUNTING FUNDAMENTALS</w:t>
      </w:r>
      <w:r>
        <w:rPr>
          <w:rFonts w:ascii="Times New Roman" w:eastAsia="Times New Roman" w:hAnsi="Times New Roman" w:cs="Times New Roman"/>
          <w:b/>
          <w:sz w:val="28"/>
          <w:szCs w:val="28"/>
        </w:rPr>
        <w:t>- ASSESSMENT 2</w:t>
      </w:r>
    </w:p>
    <w:p w14:paraId="4A97D2DA" w14:textId="77777777" w:rsidR="00601CB7" w:rsidRDefault="00601CB7" w:rsidP="00601CB7">
      <w:pPr>
        <w:rPr>
          <w:rFonts w:ascii="Times New Roman" w:eastAsia="Times New Roman" w:hAnsi="Times New Roman" w:cs="Times New Roman"/>
          <w:b/>
          <w:sz w:val="28"/>
          <w:szCs w:val="28"/>
        </w:rPr>
      </w:pPr>
    </w:p>
    <w:p w14:paraId="3D80E48A" w14:textId="77777777" w:rsidR="00601CB7" w:rsidRDefault="00601CB7" w:rsidP="00601CB7">
      <w:pPr>
        <w:rPr>
          <w:rFonts w:ascii="Times New Roman" w:eastAsia="Times New Roman" w:hAnsi="Times New Roman" w:cs="Times New Roman"/>
          <w:b/>
          <w:sz w:val="28"/>
          <w:szCs w:val="28"/>
        </w:rPr>
      </w:pPr>
    </w:p>
    <w:p w14:paraId="14CC58D4" w14:textId="77777777" w:rsidR="00601CB7" w:rsidRDefault="00601CB7" w:rsidP="00601CB7">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Lecturer’s Name: </w:t>
      </w:r>
      <w:proofErr w:type="spellStart"/>
      <w:r>
        <w:rPr>
          <w:rFonts w:ascii="Times New Roman" w:eastAsia="Times New Roman" w:hAnsi="Times New Roman" w:cs="Times New Roman"/>
          <w:b/>
          <w:sz w:val="28"/>
          <w:szCs w:val="28"/>
        </w:rPr>
        <w:t>Nting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Rexon</w:t>
      </w:r>
      <w:proofErr w:type="spellEnd"/>
    </w:p>
    <w:p w14:paraId="7E78768F" w14:textId="77777777" w:rsidR="00601CB7" w:rsidRDefault="00601CB7" w:rsidP="00601CB7">
      <w:pPr>
        <w:spacing w:line="360" w:lineRule="auto"/>
        <w:rPr>
          <w:rFonts w:ascii="Times New Roman" w:eastAsia="Times New Roman" w:hAnsi="Times New Roman" w:cs="Times New Roman"/>
          <w:b/>
          <w:sz w:val="28"/>
          <w:szCs w:val="28"/>
        </w:rPr>
      </w:pPr>
    </w:p>
    <w:p w14:paraId="6E6938F8" w14:textId="77777777" w:rsidR="00601CB7" w:rsidRDefault="00601CB7" w:rsidP="00601CB7">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color w:val="000000" w:themeColor="text1"/>
          <w:sz w:val="32"/>
          <w:szCs w:val="32"/>
          <w:highlight w:val="white"/>
        </w:rPr>
        <w:br w:type="page"/>
      </w:r>
    </w:p>
    <w:p w14:paraId="55BB6705"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116C1E6F"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7BD84636"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330A872B"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35F058B5" w14:textId="77777777" w:rsidR="00601CB7" w:rsidRDefault="00601CB7" w:rsidP="00601CB7">
      <w:pPr>
        <w:jc w:val="center"/>
        <w:rPr>
          <w:rFonts w:ascii="Times New Roman" w:eastAsia="Times New Roman" w:hAnsi="Times New Roman" w:cs="Times New Roman"/>
          <w:b/>
          <w:color w:val="000000" w:themeColor="text1"/>
          <w:sz w:val="32"/>
          <w:szCs w:val="32"/>
          <w:highlight w:val="white"/>
        </w:rPr>
      </w:pPr>
    </w:p>
    <w:p w14:paraId="6087FAA8" w14:textId="77777777" w:rsidR="00601CB7" w:rsidRDefault="00601CB7" w:rsidP="00601CB7">
      <w:pPr>
        <w:spacing w:after="160" w:line="256" w:lineRule="auto"/>
        <w:rPr>
          <w:highlight w:val="white"/>
        </w:rPr>
      </w:pPr>
    </w:p>
    <w:sdt>
      <w:sdtPr>
        <w:rPr>
          <w:rFonts w:ascii="Times New Roman" w:eastAsia="Arial" w:hAnsi="Times New Roman" w:cs="Times New Roman"/>
          <w:color w:val="auto"/>
          <w:sz w:val="24"/>
          <w:szCs w:val="24"/>
          <w:lang w:val="en-IN" w:eastAsia="en-IN"/>
        </w:rPr>
        <w:id w:val="1495998662"/>
        <w:docPartObj>
          <w:docPartGallery w:val="Table of Contents"/>
          <w:docPartUnique/>
        </w:docPartObj>
      </w:sdtPr>
      <w:sdtEndPr/>
      <w:sdtContent>
        <w:p w14:paraId="5BA7F63E" w14:textId="77777777" w:rsidR="00601CB7" w:rsidRDefault="00601CB7" w:rsidP="00601CB7">
          <w:pPr>
            <w:pStyle w:val="TOCHeading"/>
            <w:spacing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Table of Contents</w:t>
          </w:r>
        </w:p>
        <w:p w14:paraId="559E81FD" w14:textId="77777777" w:rsidR="00601CB7" w:rsidRDefault="00601CB7" w:rsidP="00601CB7">
          <w:pPr>
            <w:pStyle w:val="TOC1"/>
            <w:tabs>
              <w:tab w:val="right" w:leader="dot" w:pos="9019"/>
            </w:tabs>
            <w:spacing w:line="360" w:lineRule="auto"/>
            <w:jc w:val="both"/>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40084969" w:history="1">
            <w:r>
              <w:rPr>
                <w:rStyle w:val="Hyperlink"/>
                <w:rFonts w:cs="Times New Roman"/>
                <w:noProof/>
                <w:sz w:val="24"/>
                <w:szCs w:val="24"/>
                <w:highlight w:val="white"/>
              </w:rPr>
              <w:t>Assessment 2</w:t>
            </w:r>
            <w:r>
              <w:rPr>
                <w:rStyle w:val="Hyperlink"/>
                <w:rFonts w:cs="Times New Roman"/>
                <w:noProof/>
                <w:webHidden/>
                <w:color w:val="auto"/>
                <w:sz w:val="24"/>
                <w:szCs w:val="24"/>
              </w:rPr>
              <w:tab/>
            </w:r>
            <w:r>
              <w:rPr>
                <w:rStyle w:val="Hyperlink"/>
                <w:rFonts w:cs="Times New Roman"/>
                <w:noProof/>
                <w:webHidden/>
                <w:color w:val="auto"/>
                <w:sz w:val="24"/>
                <w:szCs w:val="24"/>
              </w:rPr>
              <w:fldChar w:fldCharType="begin"/>
            </w:r>
            <w:r>
              <w:rPr>
                <w:rStyle w:val="Hyperlink"/>
                <w:rFonts w:cs="Times New Roman"/>
                <w:noProof/>
                <w:webHidden/>
                <w:color w:val="auto"/>
                <w:sz w:val="24"/>
                <w:szCs w:val="24"/>
              </w:rPr>
              <w:instrText xml:space="preserve"> PAGEREF _Toc40084969 \h </w:instrText>
            </w:r>
            <w:r>
              <w:rPr>
                <w:rStyle w:val="Hyperlink"/>
                <w:rFonts w:cs="Times New Roman"/>
                <w:noProof/>
                <w:webHidden/>
                <w:color w:val="auto"/>
                <w:sz w:val="24"/>
                <w:szCs w:val="24"/>
              </w:rPr>
            </w:r>
            <w:r>
              <w:rPr>
                <w:rStyle w:val="Hyperlink"/>
                <w:rFonts w:cs="Times New Roman"/>
                <w:noProof/>
                <w:webHidden/>
                <w:color w:val="auto"/>
                <w:sz w:val="24"/>
                <w:szCs w:val="24"/>
              </w:rPr>
              <w:fldChar w:fldCharType="separate"/>
            </w:r>
            <w:r>
              <w:rPr>
                <w:rStyle w:val="Hyperlink"/>
                <w:rFonts w:cs="Times New Roman"/>
                <w:noProof/>
                <w:webHidden/>
                <w:color w:val="auto"/>
                <w:sz w:val="24"/>
                <w:szCs w:val="24"/>
              </w:rPr>
              <w:t>3</w:t>
            </w:r>
            <w:r>
              <w:rPr>
                <w:rStyle w:val="Hyperlink"/>
                <w:rFonts w:cs="Times New Roman"/>
                <w:noProof/>
                <w:webHidden/>
                <w:color w:val="auto"/>
                <w:sz w:val="24"/>
                <w:szCs w:val="24"/>
              </w:rPr>
              <w:fldChar w:fldCharType="end"/>
            </w:r>
          </w:hyperlink>
        </w:p>
        <w:p w14:paraId="3CED9C1B" w14:textId="77777777" w:rsidR="00601CB7" w:rsidRDefault="00726688" w:rsidP="00601CB7">
          <w:pPr>
            <w:pStyle w:val="TOC2"/>
            <w:tabs>
              <w:tab w:val="right" w:leader="dot" w:pos="9019"/>
            </w:tabs>
            <w:spacing w:line="360" w:lineRule="auto"/>
            <w:jc w:val="both"/>
            <w:rPr>
              <w:rFonts w:ascii="Times New Roman" w:hAnsi="Times New Roman" w:cs="Times New Roman"/>
              <w:noProof/>
              <w:sz w:val="24"/>
              <w:szCs w:val="24"/>
            </w:rPr>
          </w:pPr>
          <w:hyperlink r:id="rId6" w:anchor="_Toc40084970" w:history="1">
            <w:r w:rsidR="00601CB7">
              <w:rPr>
                <w:rStyle w:val="Hyperlink"/>
                <w:rFonts w:cs="Times New Roman"/>
                <w:noProof/>
                <w:sz w:val="24"/>
                <w:szCs w:val="24"/>
                <w:highlight w:val="white"/>
              </w:rPr>
              <w:t>Task 1</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_Toc40084970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3</w:t>
            </w:r>
            <w:r w:rsidR="00601CB7">
              <w:rPr>
                <w:rStyle w:val="Hyperlink"/>
                <w:rFonts w:cs="Times New Roman"/>
                <w:noProof/>
                <w:webHidden/>
                <w:color w:val="auto"/>
                <w:sz w:val="24"/>
                <w:szCs w:val="24"/>
              </w:rPr>
              <w:fldChar w:fldCharType="end"/>
            </w:r>
          </w:hyperlink>
        </w:p>
        <w:p w14:paraId="028A7F72" w14:textId="77777777" w:rsidR="00601CB7" w:rsidRDefault="00726688" w:rsidP="00601CB7">
          <w:pPr>
            <w:pStyle w:val="TOC2"/>
            <w:tabs>
              <w:tab w:val="right" w:leader="dot" w:pos="9019"/>
            </w:tabs>
            <w:spacing w:line="360" w:lineRule="auto"/>
            <w:jc w:val="both"/>
            <w:rPr>
              <w:rFonts w:ascii="Times New Roman" w:hAnsi="Times New Roman" w:cs="Times New Roman"/>
              <w:noProof/>
              <w:sz w:val="24"/>
              <w:szCs w:val="24"/>
            </w:rPr>
          </w:pPr>
          <w:hyperlink r:id="rId7" w:anchor="_Toc40084971" w:history="1">
            <w:r w:rsidR="00601CB7">
              <w:rPr>
                <w:rStyle w:val="Hyperlink"/>
                <w:rFonts w:cs="Times New Roman"/>
                <w:noProof/>
                <w:sz w:val="24"/>
                <w:szCs w:val="24"/>
                <w:highlight w:val="white"/>
              </w:rPr>
              <w:t>Task 2</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_Toc40084971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4</w:t>
            </w:r>
            <w:r w:rsidR="00601CB7">
              <w:rPr>
                <w:rStyle w:val="Hyperlink"/>
                <w:rFonts w:cs="Times New Roman"/>
                <w:noProof/>
                <w:webHidden/>
                <w:color w:val="auto"/>
                <w:sz w:val="24"/>
                <w:szCs w:val="24"/>
              </w:rPr>
              <w:fldChar w:fldCharType="end"/>
            </w:r>
          </w:hyperlink>
        </w:p>
        <w:p w14:paraId="1647DE68" w14:textId="77777777" w:rsidR="00601CB7" w:rsidRDefault="00726688" w:rsidP="00601CB7">
          <w:pPr>
            <w:pStyle w:val="TOC2"/>
            <w:tabs>
              <w:tab w:val="right" w:leader="dot" w:pos="9019"/>
            </w:tabs>
            <w:spacing w:line="360" w:lineRule="auto"/>
            <w:jc w:val="both"/>
            <w:rPr>
              <w:rFonts w:ascii="Times New Roman" w:hAnsi="Times New Roman" w:cs="Times New Roman"/>
              <w:noProof/>
              <w:sz w:val="24"/>
              <w:szCs w:val="24"/>
            </w:rPr>
          </w:pPr>
          <w:hyperlink r:id="rId8" w:anchor="_Toc40084972" w:history="1">
            <w:r w:rsidR="00601CB7">
              <w:rPr>
                <w:rStyle w:val="Hyperlink"/>
                <w:rFonts w:cs="Times New Roman"/>
                <w:noProof/>
                <w:sz w:val="24"/>
                <w:szCs w:val="24"/>
                <w:highlight w:val="white"/>
              </w:rPr>
              <w:t>Task 3</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_Toc40084972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5</w:t>
            </w:r>
            <w:r w:rsidR="00601CB7">
              <w:rPr>
                <w:rStyle w:val="Hyperlink"/>
                <w:rFonts w:cs="Times New Roman"/>
                <w:noProof/>
                <w:webHidden/>
                <w:color w:val="auto"/>
                <w:sz w:val="24"/>
                <w:szCs w:val="24"/>
              </w:rPr>
              <w:fldChar w:fldCharType="end"/>
            </w:r>
          </w:hyperlink>
        </w:p>
        <w:p w14:paraId="5E2BF2C8" w14:textId="77777777" w:rsidR="00601CB7" w:rsidRDefault="00726688" w:rsidP="00601CB7">
          <w:pPr>
            <w:pStyle w:val="TOC2"/>
            <w:tabs>
              <w:tab w:val="right" w:leader="dot" w:pos="9019"/>
            </w:tabs>
            <w:spacing w:line="360" w:lineRule="auto"/>
            <w:jc w:val="both"/>
            <w:rPr>
              <w:rFonts w:ascii="Times New Roman" w:hAnsi="Times New Roman" w:cs="Times New Roman"/>
              <w:noProof/>
              <w:sz w:val="24"/>
              <w:szCs w:val="24"/>
            </w:rPr>
          </w:pPr>
          <w:hyperlink r:id="rId9" w:anchor="_Toc40084973" w:history="1">
            <w:r w:rsidR="00601CB7">
              <w:rPr>
                <w:rStyle w:val="Hyperlink"/>
                <w:rFonts w:cs="Times New Roman"/>
                <w:noProof/>
                <w:sz w:val="24"/>
                <w:szCs w:val="24"/>
                <w:highlight w:val="white"/>
              </w:rPr>
              <w:t>Task 4</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_Toc40084973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6</w:t>
            </w:r>
            <w:r w:rsidR="00601CB7">
              <w:rPr>
                <w:rStyle w:val="Hyperlink"/>
                <w:rFonts w:cs="Times New Roman"/>
                <w:noProof/>
                <w:webHidden/>
                <w:color w:val="auto"/>
                <w:sz w:val="24"/>
                <w:szCs w:val="24"/>
              </w:rPr>
              <w:fldChar w:fldCharType="end"/>
            </w:r>
          </w:hyperlink>
        </w:p>
        <w:p w14:paraId="570DB992" w14:textId="77777777" w:rsidR="00601CB7" w:rsidRDefault="00726688" w:rsidP="00601CB7">
          <w:pPr>
            <w:pStyle w:val="TOC1"/>
            <w:tabs>
              <w:tab w:val="right" w:leader="dot" w:pos="9019"/>
            </w:tabs>
            <w:spacing w:line="360" w:lineRule="auto"/>
            <w:jc w:val="both"/>
            <w:rPr>
              <w:rFonts w:ascii="Times New Roman" w:hAnsi="Times New Roman" w:cs="Times New Roman"/>
              <w:noProof/>
              <w:sz w:val="24"/>
              <w:szCs w:val="24"/>
            </w:rPr>
          </w:pPr>
          <w:hyperlink r:id="rId10" w:anchor="_Toc40084974" w:history="1">
            <w:r w:rsidR="00601CB7">
              <w:rPr>
                <w:rStyle w:val="Hyperlink"/>
                <w:rFonts w:cs="Times New Roman"/>
                <w:noProof/>
                <w:sz w:val="24"/>
                <w:szCs w:val="24"/>
              </w:rPr>
              <w:t>Reference list</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_Toc40084974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7</w:t>
            </w:r>
            <w:r w:rsidR="00601CB7">
              <w:rPr>
                <w:rStyle w:val="Hyperlink"/>
                <w:rFonts w:cs="Times New Roman"/>
                <w:noProof/>
                <w:webHidden/>
                <w:color w:val="auto"/>
                <w:sz w:val="24"/>
                <w:szCs w:val="24"/>
              </w:rPr>
              <w:fldChar w:fldCharType="end"/>
            </w:r>
          </w:hyperlink>
        </w:p>
        <w:p w14:paraId="44950ADA" w14:textId="77777777" w:rsidR="00601CB7" w:rsidRDefault="00726688" w:rsidP="00601CB7">
          <w:pPr>
            <w:pStyle w:val="TOC1"/>
            <w:tabs>
              <w:tab w:val="right" w:leader="dot" w:pos="9019"/>
            </w:tabs>
            <w:spacing w:line="360" w:lineRule="auto"/>
            <w:jc w:val="both"/>
            <w:rPr>
              <w:rFonts w:ascii="Times New Roman" w:hAnsi="Times New Roman" w:cs="Times New Roman"/>
              <w:noProof/>
              <w:sz w:val="24"/>
              <w:szCs w:val="24"/>
            </w:rPr>
          </w:pPr>
          <w:hyperlink r:id="rId11" w:anchor="_Toc40084975" w:history="1">
            <w:r w:rsidR="00601CB7">
              <w:rPr>
                <w:rStyle w:val="Hyperlink"/>
                <w:rFonts w:cs="Times New Roman"/>
                <w:noProof/>
                <w:sz w:val="24"/>
                <w:szCs w:val="24"/>
              </w:rPr>
              <w:t>Appendices</w:t>
            </w:r>
            <w:r w:rsidR="00601CB7">
              <w:rPr>
                <w:rStyle w:val="Hyperlink"/>
                <w:rFonts w:cs="Times New Roman"/>
                <w:noProof/>
                <w:webHidden/>
                <w:color w:val="auto"/>
                <w:sz w:val="24"/>
                <w:szCs w:val="24"/>
              </w:rPr>
              <w:tab/>
            </w:r>
            <w:r w:rsidR="00601CB7">
              <w:rPr>
                <w:rStyle w:val="Hyperlink"/>
                <w:rFonts w:cs="Times New Roman"/>
                <w:noProof/>
                <w:webHidden/>
                <w:color w:val="auto"/>
                <w:sz w:val="24"/>
                <w:szCs w:val="24"/>
              </w:rPr>
              <w:fldChar w:fldCharType="begin"/>
            </w:r>
            <w:r w:rsidR="00601CB7">
              <w:rPr>
                <w:rStyle w:val="Hyperlink"/>
                <w:rFonts w:cs="Times New Roman"/>
                <w:noProof/>
                <w:webHidden/>
                <w:color w:val="auto"/>
                <w:sz w:val="24"/>
                <w:szCs w:val="24"/>
              </w:rPr>
              <w:instrText xml:space="preserve"> PAGEREF _Toc40084975 \h </w:instrText>
            </w:r>
            <w:r w:rsidR="00601CB7">
              <w:rPr>
                <w:rStyle w:val="Hyperlink"/>
                <w:rFonts w:cs="Times New Roman"/>
                <w:noProof/>
                <w:webHidden/>
                <w:color w:val="auto"/>
                <w:sz w:val="24"/>
                <w:szCs w:val="24"/>
              </w:rPr>
            </w:r>
            <w:r w:rsidR="00601CB7">
              <w:rPr>
                <w:rStyle w:val="Hyperlink"/>
                <w:rFonts w:cs="Times New Roman"/>
                <w:noProof/>
                <w:webHidden/>
                <w:color w:val="auto"/>
                <w:sz w:val="24"/>
                <w:szCs w:val="24"/>
              </w:rPr>
              <w:fldChar w:fldCharType="separate"/>
            </w:r>
            <w:r w:rsidR="00601CB7">
              <w:rPr>
                <w:rStyle w:val="Hyperlink"/>
                <w:rFonts w:cs="Times New Roman"/>
                <w:noProof/>
                <w:webHidden/>
                <w:color w:val="auto"/>
                <w:sz w:val="24"/>
                <w:szCs w:val="24"/>
              </w:rPr>
              <w:t>9</w:t>
            </w:r>
            <w:r w:rsidR="00601CB7">
              <w:rPr>
                <w:rStyle w:val="Hyperlink"/>
                <w:rFonts w:cs="Times New Roman"/>
                <w:noProof/>
                <w:webHidden/>
                <w:color w:val="auto"/>
                <w:sz w:val="24"/>
                <w:szCs w:val="24"/>
              </w:rPr>
              <w:fldChar w:fldCharType="end"/>
            </w:r>
          </w:hyperlink>
        </w:p>
        <w:p w14:paraId="24CE2DDB" w14:textId="77777777" w:rsidR="00601CB7" w:rsidRDefault="00601CB7" w:rsidP="00601CB7">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p>
      </w:sdtContent>
    </w:sdt>
    <w:p w14:paraId="14C1EA2D" w14:textId="77777777" w:rsidR="00601CB7" w:rsidRDefault="00601CB7" w:rsidP="00601CB7">
      <w:pPr>
        <w:spacing w:after="160"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br w:type="page"/>
      </w:r>
    </w:p>
    <w:p w14:paraId="6E417BFD" w14:textId="77777777" w:rsidR="00601CB7" w:rsidRDefault="00601CB7" w:rsidP="00601CB7">
      <w:pPr>
        <w:pStyle w:val="Heading1"/>
        <w:rPr>
          <w:highlight w:val="white"/>
        </w:rPr>
      </w:pPr>
      <w:bookmarkStart w:id="0" w:name="_Toc40084969"/>
      <w:r>
        <w:rPr>
          <w:highlight w:val="white"/>
        </w:rPr>
        <w:lastRenderedPageBreak/>
        <w:t>Assessment 2</w:t>
      </w:r>
      <w:bookmarkEnd w:id="0"/>
    </w:p>
    <w:p w14:paraId="613E893A" w14:textId="77777777" w:rsidR="00601CB7" w:rsidRDefault="00601CB7" w:rsidP="00601CB7">
      <w:pPr>
        <w:pStyle w:val="Heading2"/>
        <w:rPr>
          <w:highlight w:val="white"/>
        </w:rPr>
      </w:pPr>
      <w:bookmarkStart w:id="1" w:name="_Toc40084970"/>
      <w:bookmarkStart w:id="2" w:name="_Toc39144655"/>
      <w:r>
        <w:rPr>
          <w:highlight w:val="white"/>
        </w:rPr>
        <w:t>Task 1</w:t>
      </w:r>
      <w:bookmarkEnd w:id="1"/>
      <w:bookmarkEnd w:id="2"/>
    </w:p>
    <w:p w14:paraId="37235AB3" w14:textId="77777777" w:rsidR="00601CB7" w:rsidRDefault="00601CB7" w:rsidP="00601CB7">
      <w:p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Difference between “revenue expenditure and capital expenditure”</w:t>
      </w:r>
    </w:p>
    <w:p w14:paraId="625B5CB1"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Some expenditures contain several high-value items that can hold different items for a longer period. The specific expenses are also made for the different types of assets, and they are not always consumed in a complete on the given period (</w:t>
      </w:r>
      <w:proofErr w:type="spellStart"/>
      <w:r>
        <w:rPr>
          <w:rFonts w:ascii="Times New Roman" w:hAnsi="Times New Roman" w:cs="Times New Roman"/>
          <w:color w:val="000000" w:themeColor="text1"/>
          <w:sz w:val="24"/>
          <w:szCs w:val="24"/>
          <w:shd w:val="clear" w:color="auto" w:fill="FFFFFF"/>
        </w:rPr>
        <w:t>Aizenman</w:t>
      </w:r>
      <w:proofErr w:type="spell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et al</w:t>
      </w:r>
      <w:r>
        <w:rPr>
          <w:rFonts w:ascii="Times New Roman" w:eastAsia="Times New Roman" w:hAnsi="Times New Roman" w:cs="Times New Roman"/>
          <w:color w:val="000000" w:themeColor="text1"/>
          <w:sz w:val="24"/>
          <w:szCs w:val="24"/>
          <w:highlight w:val="white"/>
        </w:rPr>
        <w:t>. 2016). The future costs also have been exhausted through the definite accounting year. The benefits of the users are exposed to different trades and positions acquired. [</w:t>
      </w:r>
      <w:r>
        <w:rPr>
          <w:rFonts w:ascii="Times New Roman" w:eastAsia="Times New Roman" w:hAnsi="Times New Roman" w:cs="Times New Roman"/>
          <w:b/>
          <w:i/>
          <w:color w:val="000000" w:themeColor="text1"/>
          <w:sz w:val="24"/>
          <w:szCs w:val="24"/>
          <w:highlight w:val="white"/>
        </w:rPr>
        <w:t>Referred to Appendix 1]</w:t>
      </w:r>
      <w:r>
        <w:rPr>
          <w:rFonts w:ascii="Times New Roman" w:eastAsia="Times New Roman" w:hAnsi="Times New Roman" w:cs="Times New Roman"/>
          <w:color w:val="000000" w:themeColor="text1"/>
          <w:sz w:val="24"/>
          <w:szCs w:val="24"/>
          <w:highlight w:val="white"/>
        </w:rPr>
        <w:t xml:space="preserve"> </w:t>
      </w:r>
    </w:p>
    <w:p w14:paraId="65FFE012"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The "capital expenditure" is not considered to be any "high-value items" which are based on the expenditures </w:t>
      </w:r>
      <w:proofErr w:type="gramStart"/>
      <w:r>
        <w:rPr>
          <w:rFonts w:ascii="Times New Roman" w:eastAsia="Times New Roman" w:hAnsi="Times New Roman" w:cs="Times New Roman"/>
          <w:color w:val="000000" w:themeColor="text1"/>
          <w:sz w:val="24"/>
          <w:szCs w:val="24"/>
          <w:highlight w:val="white"/>
        </w:rPr>
        <w:t>and also</w:t>
      </w:r>
      <w:proofErr w:type="gramEnd"/>
      <w:r>
        <w:rPr>
          <w:rFonts w:ascii="Times New Roman" w:eastAsia="Times New Roman" w:hAnsi="Times New Roman" w:cs="Times New Roman"/>
          <w:color w:val="000000" w:themeColor="text1"/>
          <w:sz w:val="24"/>
          <w:szCs w:val="24"/>
          <w:highlight w:val="white"/>
        </w:rPr>
        <w:t xml:space="preserve"> have to maintain the fixed amount of assets. The "capital expenditure earnings" also do not have the capability of any kinds of future benefits </w:t>
      </w:r>
      <w:r>
        <w:rPr>
          <w:rFonts w:ascii="Times New Roman" w:hAnsi="Times New Roman" w:cs="Times New Roman"/>
          <w:color w:val="000000" w:themeColor="text1"/>
          <w:sz w:val="24"/>
          <w:szCs w:val="24"/>
          <w:shd w:val="clear" w:color="auto" w:fill="FFFFFF"/>
        </w:rPr>
        <w:t>Caswell, 2019)</w:t>
      </w:r>
      <w:r>
        <w:rPr>
          <w:rFonts w:ascii="Times New Roman" w:eastAsia="Times New Roman" w:hAnsi="Times New Roman" w:cs="Times New Roman"/>
          <w:color w:val="000000" w:themeColor="text1"/>
          <w:sz w:val="24"/>
          <w:szCs w:val="24"/>
          <w:highlight w:val="white"/>
        </w:rPr>
        <w:t xml:space="preserve">. There is also the involvement of the Direct expenses that include various types of cost of manufacturing of the raw materials have turned into the finished products. It mainly includes the "wages, legal expenses and rent". The factor of Indirect Expenses is also involved in it. These expenses are well connected through the various variables. The “revenue expenditures and capital expenditures” are completely two different factors of the accounting system.   </w:t>
      </w:r>
    </w:p>
    <w:p w14:paraId="2443F05A" w14:textId="77777777" w:rsidR="00601CB7" w:rsidRDefault="00601CB7" w:rsidP="00601CB7">
      <w:pPr>
        <w:rPr>
          <w:rFonts w:ascii="Times New Roman" w:eastAsia="Times New Roman" w:hAnsi="Times New Roman" w:cs="Times New Roman"/>
          <w:color w:val="000000" w:themeColor="text1"/>
          <w:sz w:val="24"/>
          <w:szCs w:val="24"/>
          <w:highlight w:val="white"/>
        </w:rPr>
      </w:pPr>
    </w:p>
    <w:tbl>
      <w:tblPr>
        <w:tblStyle w:val="a"/>
        <w:tblW w:w="8865" w:type="dxa"/>
        <w:tblInd w:w="-110" w:type="dxa"/>
        <w:tblBorders>
          <w:insideH w:val="nil"/>
          <w:insideV w:val="nil"/>
        </w:tblBorders>
        <w:tblLayout w:type="fixed"/>
        <w:tblLook w:val="0600" w:firstRow="0" w:lastRow="0" w:firstColumn="0" w:lastColumn="0" w:noHBand="1" w:noVBand="1"/>
      </w:tblPr>
      <w:tblGrid>
        <w:gridCol w:w="4425"/>
        <w:gridCol w:w="4440"/>
      </w:tblGrid>
      <w:tr w:rsidR="00601CB7" w14:paraId="2AEC3C3E" w14:textId="77777777" w:rsidTr="00601CB7">
        <w:trPr>
          <w:trHeight w:val="575"/>
        </w:trPr>
        <w:tc>
          <w:tcPr>
            <w:tcW w:w="4425" w:type="dxa"/>
            <w:tcBorders>
              <w:top w:val="single" w:sz="8" w:space="0" w:color="000000"/>
              <w:left w:val="single" w:sz="8" w:space="0" w:color="000000"/>
              <w:bottom w:val="single" w:sz="8" w:space="0" w:color="000000"/>
              <w:right w:val="single" w:sz="8" w:space="0" w:color="000000"/>
            </w:tcBorders>
            <w:hideMark/>
          </w:tcPr>
          <w:p w14:paraId="5D68700E" w14:textId="77777777" w:rsidR="00601CB7" w:rsidRDefault="00601CB7">
            <w:pPr>
              <w:spacing w:before="240" w:after="240"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Capital Expenditure</w:t>
            </w:r>
          </w:p>
        </w:tc>
        <w:tc>
          <w:tcPr>
            <w:tcW w:w="4440" w:type="dxa"/>
            <w:tcBorders>
              <w:top w:val="single" w:sz="8" w:space="0" w:color="000000"/>
              <w:left w:val="nil"/>
              <w:bottom w:val="single" w:sz="8" w:space="0" w:color="000000"/>
              <w:right w:val="single" w:sz="8" w:space="0" w:color="000000"/>
            </w:tcBorders>
            <w:hideMark/>
          </w:tcPr>
          <w:p w14:paraId="0A9FAE3E" w14:textId="77777777" w:rsidR="00601CB7" w:rsidRDefault="00601CB7">
            <w:pPr>
              <w:spacing w:before="240" w:after="240"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Revenue Expenditure</w:t>
            </w:r>
          </w:p>
        </w:tc>
      </w:tr>
      <w:tr w:rsidR="00601CB7" w14:paraId="7C34B5E7" w14:textId="77777777" w:rsidTr="00601CB7">
        <w:trPr>
          <w:trHeight w:val="1295"/>
        </w:trPr>
        <w:tc>
          <w:tcPr>
            <w:tcW w:w="4425" w:type="dxa"/>
            <w:tcBorders>
              <w:top w:val="nil"/>
              <w:left w:val="single" w:sz="8" w:space="0" w:color="000000"/>
              <w:bottom w:val="single" w:sz="8" w:space="0" w:color="000000"/>
              <w:right w:val="single" w:sz="8" w:space="0" w:color="000000"/>
            </w:tcBorders>
            <w:hideMark/>
          </w:tcPr>
          <w:p w14:paraId="43CFE772"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It helps to improve the performance of permanent assets (</w:t>
            </w:r>
            <w:r>
              <w:rPr>
                <w:rFonts w:ascii="Times New Roman" w:hAnsi="Times New Roman" w:cs="Times New Roman"/>
                <w:color w:val="000000" w:themeColor="text1"/>
                <w:sz w:val="24"/>
                <w:szCs w:val="24"/>
                <w:shd w:val="clear" w:color="auto" w:fill="FFFFFF"/>
              </w:rPr>
              <w:t>Deegan, 2019)</w:t>
            </w:r>
            <w:r>
              <w:rPr>
                <w:rFonts w:ascii="Times New Roman" w:eastAsia="Times New Roman" w:hAnsi="Times New Roman" w:cs="Times New Roman"/>
                <w:color w:val="000000" w:themeColor="text1"/>
                <w:sz w:val="24"/>
                <w:szCs w:val="24"/>
                <w:highlight w:val="white"/>
              </w:rPr>
              <w:t>. It also adds some value to the existing assets presented in the Company.</w:t>
            </w:r>
          </w:p>
        </w:tc>
        <w:tc>
          <w:tcPr>
            <w:tcW w:w="4440" w:type="dxa"/>
            <w:tcBorders>
              <w:top w:val="nil"/>
              <w:left w:val="nil"/>
              <w:bottom w:val="single" w:sz="8" w:space="0" w:color="000000"/>
              <w:right w:val="single" w:sz="8" w:space="0" w:color="000000"/>
            </w:tcBorders>
            <w:hideMark/>
          </w:tcPr>
          <w:p w14:paraId="19EEE0D9"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This type of expenditure mainly incurred from the normal course of business which includes “cost of sales” (</w:t>
            </w:r>
            <w:proofErr w:type="spellStart"/>
            <w:r>
              <w:rPr>
                <w:rFonts w:ascii="Times New Roman" w:eastAsia="Times New Roman" w:hAnsi="Times New Roman" w:cs="Times New Roman"/>
                <w:color w:val="000000" w:themeColor="text1"/>
                <w:sz w:val="24"/>
                <w:szCs w:val="24"/>
                <w:highlight w:val="white"/>
              </w:rPr>
              <w:t>Spohr</w:t>
            </w:r>
            <w:proofErr w:type="spellEnd"/>
            <w:r>
              <w:rPr>
                <w:rFonts w:ascii="Times New Roman" w:eastAsia="Times New Roman" w:hAnsi="Times New Roman" w:cs="Times New Roman"/>
                <w:color w:val="000000" w:themeColor="text1"/>
                <w:sz w:val="24"/>
                <w:szCs w:val="24"/>
                <w:highlight w:val="white"/>
              </w:rPr>
              <w:t>, J., 2017).</w:t>
            </w:r>
          </w:p>
        </w:tc>
      </w:tr>
      <w:tr w:rsidR="00601CB7" w14:paraId="2E118D1C" w14:textId="77777777" w:rsidTr="00601CB7">
        <w:trPr>
          <w:trHeight w:val="935"/>
        </w:trPr>
        <w:tc>
          <w:tcPr>
            <w:tcW w:w="4425" w:type="dxa"/>
            <w:tcBorders>
              <w:top w:val="nil"/>
              <w:left w:val="single" w:sz="8" w:space="0" w:color="000000"/>
              <w:bottom w:val="single" w:sz="8" w:space="0" w:color="000000"/>
              <w:right w:val="single" w:sz="8" w:space="0" w:color="000000"/>
            </w:tcBorders>
            <w:hideMark/>
          </w:tcPr>
          <w:p w14:paraId="0D334D4A"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It helps to increase the basic earning capacity</w:t>
            </w:r>
          </w:p>
        </w:tc>
        <w:tc>
          <w:tcPr>
            <w:tcW w:w="4440" w:type="dxa"/>
            <w:tcBorders>
              <w:top w:val="nil"/>
              <w:left w:val="nil"/>
              <w:bottom w:val="single" w:sz="8" w:space="0" w:color="000000"/>
              <w:right w:val="single" w:sz="8" w:space="0" w:color="000000"/>
            </w:tcBorders>
            <w:hideMark/>
          </w:tcPr>
          <w:p w14:paraId="0428D8CB"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It helps to maintain the specific earning capacity</w:t>
            </w:r>
          </w:p>
        </w:tc>
      </w:tr>
      <w:tr w:rsidR="00601CB7" w14:paraId="0D666C7E" w14:textId="77777777" w:rsidTr="00601CB7">
        <w:trPr>
          <w:trHeight w:val="1295"/>
        </w:trPr>
        <w:tc>
          <w:tcPr>
            <w:tcW w:w="4425" w:type="dxa"/>
            <w:tcBorders>
              <w:top w:val="single" w:sz="8" w:space="0" w:color="000000"/>
              <w:left w:val="single" w:sz="8" w:space="0" w:color="000000"/>
              <w:bottom w:val="single" w:sz="4" w:space="0" w:color="auto"/>
              <w:right w:val="single" w:sz="8" w:space="0" w:color="000000"/>
            </w:tcBorders>
            <w:hideMark/>
          </w:tcPr>
          <w:p w14:paraId="725F28D6"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lastRenderedPageBreak/>
              <w:t>The benefit is provided to the Company over a longer period.</w:t>
            </w:r>
          </w:p>
        </w:tc>
        <w:tc>
          <w:tcPr>
            <w:tcW w:w="4440" w:type="dxa"/>
            <w:tcBorders>
              <w:top w:val="single" w:sz="8" w:space="0" w:color="000000"/>
              <w:left w:val="nil"/>
              <w:bottom w:val="single" w:sz="4" w:space="0" w:color="auto"/>
              <w:right w:val="single" w:sz="8" w:space="0" w:color="000000"/>
            </w:tcBorders>
            <w:hideMark/>
          </w:tcPr>
          <w:p w14:paraId="47AE8663"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The benefit is provided to a fixed particular year within the accounting period (</w:t>
            </w:r>
            <w:proofErr w:type="gramStart"/>
            <w:r>
              <w:rPr>
                <w:rFonts w:ascii="Times New Roman" w:hAnsi="Times New Roman" w:cs="Times New Roman"/>
                <w:color w:val="000000" w:themeColor="text1"/>
                <w:sz w:val="24"/>
                <w:szCs w:val="24"/>
                <w:shd w:val="clear" w:color="auto" w:fill="FFFFFF"/>
              </w:rPr>
              <w:t>Gomez,  2019</w:t>
            </w:r>
            <w:proofErr w:type="gramEnd"/>
            <w:r>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color w:val="000000" w:themeColor="text1"/>
                <w:sz w:val="24"/>
                <w:szCs w:val="24"/>
                <w:highlight w:val="white"/>
              </w:rPr>
              <w:t>.</w:t>
            </w:r>
          </w:p>
        </w:tc>
      </w:tr>
      <w:tr w:rsidR="00601CB7" w14:paraId="11AD685E" w14:textId="77777777" w:rsidTr="00601CB7">
        <w:trPr>
          <w:trHeight w:val="935"/>
        </w:trPr>
        <w:tc>
          <w:tcPr>
            <w:tcW w:w="4425" w:type="dxa"/>
            <w:tcBorders>
              <w:top w:val="single" w:sz="4" w:space="0" w:color="auto"/>
              <w:left w:val="single" w:sz="8" w:space="0" w:color="000000"/>
              <w:bottom w:val="single" w:sz="8" w:space="0" w:color="000000"/>
              <w:right w:val="single" w:sz="8" w:space="0" w:color="000000"/>
            </w:tcBorders>
            <w:hideMark/>
          </w:tcPr>
          <w:p w14:paraId="2D5CE029"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This main item belongs to the balance sheet</w:t>
            </w:r>
          </w:p>
        </w:tc>
        <w:tc>
          <w:tcPr>
            <w:tcW w:w="4440" w:type="dxa"/>
            <w:tcBorders>
              <w:top w:val="single" w:sz="4" w:space="0" w:color="auto"/>
              <w:left w:val="nil"/>
              <w:bottom w:val="single" w:sz="8" w:space="0" w:color="000000"/>
              <w:right w:val="single" w:sz="8" w:space="0" w:color="000000"/>
            </w:tcBorders>
            <w:hideMark/>
          </w:tcPr>
          <w:p w14:paraId="5F105C2F" w14:textId="77777777" w:rsidR="00601CB7" w:rsidRDefault="00601CB7">
            <w:pPr>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This item can be seen in the “Trading and P/L account”.</w:t>
            </w:r>
          </w:p>
        </w:tc>
      </w:tr>
    </w:tbl>
    <w:p w14:paraId="4489AA33" w14:textId="77777777" w:rsidR="00601CB7" w:rsidRDefault="00601CB7" w:rsidP="00601CB7">
      <w:pPr>
        <w:rPr>
          <w:rFonts w:ascii="Times New Roman" w:eastAsia="Times New Roman" w:hAnsi="Times New Roman" w:cs="Times New Roman"/>
          <w:color w:val="000000" w:themeColor="text1"/>
          <w:sz w:val="24"/>
          <w:szCs w:val="24"/>
          <w:highlight w:val="white"/>
        </w:rPr>
      </w:pPr>
    </w:p>
    <w:p w14:paraId="70534E60" w14:textId="77777777" w:rsidR="00601CB7" w:rsidRDefault="00601CB7" w:rsidP="00601CB7">
      <w:pPr>
        <w:pStyle w:val="Heading2"/>
        <w:rPr>
          <w:highlight w:val="white"/>
        </w:rPr>
      </w:pPr>
      <w:bookmarkStart w:id="3" w:name="_Toc40084971"/>
      <w:bookmarkStart w:id="4" w:name="_Toc39144656"/>
      <w:r>
        <w:rPr>
          <w:highlight w:val="white"/>
        </w:rPr>
        <w:t>Task 2</w:t>
      </w:r>
      <w:bookmarkEnd w:id="3"/>
      <w:bookmarkEnd w:id="4"/>
    </w:p>
    <w:p w14:paraId="46F2AFA3" w14:textId="77777777" w:rsidR="00601CB7" w:rsidRDefault="00601CB7" w:rsidP="00601CB7">
      <w:pPr>
        <w:pStyle w:val="ListParagraph"/>
        <w:numPr>
          <w:ilvl w:val="0"/>
          <w:numId w:val="1"/>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Nature and purpose of cost and management accounting</w:t>
      </w:r>
    </w:p>
    <w:p w14:paraId="6748D64E"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The management accounting mainly able to select some of the special information which is mainly provided through “financial accounting system”. The main reason behind the “financial accounting system” is based on necessary management system. </w:t>
      </w:r>
    </w:p>
    <w:p w14:paraId="70526339" w14:textId="77777777" w:rsidR="00601CB7" w:rsidRDefault="00601CB7" w:rsidP="00601CB7">
      <w:p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Nature of Management Accounting</w:t>
      </w:r>
    </w:p>
    <w:p w14:paraId="23B56956" w14:textId="77777777" w:rsidR="00601CB7" w:rsidRDefault="00601CB7" w:rsidP="00601CB7">
      <w:pPr>
        <w:pStyle w:val="ListParagraph"/>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More Emphasis on Future:</w:t>
      </w:r>
      <w:r>
        <w:rPr>
          <w:rFonts w:ascii="Times New Roman" w:eastAsia="Times New Roman" w:hAnsi="Times New Roman" w:cs="Times New Roman"/>
          <w:color w:val="000000" w:themeColor="text1"/>
          <w:sz w:val="24"/>
          <w:szCs w:val="24"/>
          <w:highlight w:val="white"/>
        </w:rPr>
        <w:t xml:space="preserve"> The basic collection of the historical data is not done. The “management accounting” generally helps to create some “standard costing and cost variances”</w:t>
      </w:r>
    </w:p>
    <w:p w14:paraId="0196C3D0" w14:textId="77777777" w:rsidR="00601CB7" w:rsidRDefault="00601CB7" w:rsidP="00601CB7">
      <w:pPr>
        <w:pStyle w:val="ListParagraph"/>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Provides information: The “financial accounting system” is mainly base on different aspects which made proper planning system with total quality decisions made by the management</w:t>
      </w:r>
    </w:p>
    <w:p w14:paraId="0FE2C58D" w14:textId="77777777" w:rsidR="00601CB7" w:rsidRDefault="00601CB7" w:rsidP="00601CB7">
      <w:pPr>
        <w:spacing w:line="360" w:lineRule="auto"/>
        <w:ind w:left="360"/>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Cost Accounting</w:t>
      </w:r>
    </w:p>
    <w:p w14:paraId="09C1748A" w14:textId="29D9E3CF" w:rsidR="00601CB7" w:rsidRDefault="00601CB7" w:rsidP="00601CB7">
      <w:pPr>
        <w:pStyle w:val="ListParagraph"/>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Cost Reduction:</w:t>
      </w:r>
      <w:r>
        <w:rPr>
          <w:rFonts w:ascii="Times New Roman" w:eastAsia="Times New Roman" w:hAnsi="Times New Roman" w:cs="Times New Roman"/>
          <w:color w:val="000000" w:themeColor="text1"/>
          <w:sz w:val="24"/>
          <w:szCs w:val="24"/>
          <w:highlight w:val="white"/>
        </w:rPr>
        <w:t xml:space="preserve"> It is mainly </w:t>
      </w:r>
      <w:r w:rsidR="00726688">
        <w:rPr>
          <w:rFonts w:ascii="Times New Roman" w:eastAsia="Times New Roman" w:hAnsi="Times New Roman" w:cs="Times New Roman"/>
          <w:color w:val="000000" w:themeColor="text1"/>
          <w:sz w:val="24"/>
          <w:szCs w:val="24"/>
          <w:highlight w:val="white"/>
        </w:rPr>
        <w:t>referring</w:t>
      </w:r>
      <w:r>
        <w:rPr>
          <w:rFonts w:ascii="Times New Roman" w:eastAsia="Times New Roman" w:hAnsi="Times New Roman" w:cs="Times New Roman"/>
          <w:color w:val="000000" w:themeColor="text1"/>
          <w:sz w:val="24"/>
          <w:szCs w:val="24"/>
          <w:highlight w:val="white"/>
        </w:rPr>
        <w:t xml:space="preserve"> to the various ways of reduction in specific units of goods manufactured without any affect. There are several technicians helps are required to maintain the standard costing. </w:t>
      </w:r>
    </w:p>
    <w:p w14:paraId="5DA08798" w14:textId="6D8CE1E1" w:rsidR="00601CB7" w:rsidRDefault="00601CB7" w:rsidP="00601CB7">
      <w:pPr>
        <w:pStyle w:val="ListParagraph"/>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Fixation of selling price</w:t>
      </w:r>
      <w:r>
        <w:rPr>
          <w:rFonts w:ascii="Times New Roman" w:eastAsia="Times New Roman" w:hAnsi="Times New Roman" w:cs="Times New Roman"/>
          <w:color w:val="000000" w:themeColor="text1"/>
          <w:sz w:val="24"/>
          <w:szCs w:val="24"/>
          <w:highlight w:val="white"/>
        </w:rPr>
        <w:t xml:space="preserve">: Total cost is included in every price of a product with a requirement of specific margin. Several types of cost data </w:t>
      </w:r>
      <w:r w:rsidR="00726688">
        <w:rPr>
          <w:rFonts w:ascii="Times New Roman" w:eastAsia="Times New Roman" w:hAnsi="Times New Roman" w:cs="Times New Roman"/>
          <w:color w:val="000000" w:themeColor="text1"/>
          <w:sz w:val="24"/>
          <w:szCs w:val="24"/>
          <w:highlight w:val="white"/>
        </w:rPr>
        <w:t>are</w:t>
      </w:r>
      <w:r>
        <w:rPr>
          <w:rFonts w:ascii="Times New Roman" w:eastAsia="Times New Roman" w:hAnsi="Times New Roman" w:cs="Times New Roman"/>
          <w:color w:val="000000" w:themeColor="text1"/>
          <w:sz w:val="24"/>
          <w:szCs w:val="24"/>
          <w:highlight w:val="white"/>
        </w:rPr>
        <w:t xml:space="preserve"> also considered to be very important for determining various types of selling price. It also </w:t>
      </w:r>
      <w:r w:rsidR="00726688">
        <w:rPr>
          <w:rFonts w:ascii="Times New Roman" w:eastAsia="Times New Roman" w:hAnsi="Times New Roman" w:cs="Times New Roman"/>
          <w:color w:val="000000" w:themeColor="text1"/>
          <w:sz w:val="24"/>
          <w:szCs w:val="24"/>
          <w:highlight w:val="white"/>
        </w:rPr>
        <w:t>provides</w:t>
      </w:r>
      <w:r>
        <w:rPr>
          <w:rFonts w:ascii="Times New Roman" w:eastAsia="Times New Roman" w:hAnsi="Times New Roman" w:cs="Times New Roman"/>
          <w:color w:val="000000" w:themeColor="text1"/>
          <w:sz w:val="24"/>
          <w:szCs w:val="24"/>
          <w:highlight w:val="white"/>
        </w:rPr>
        <w:t xml:space="preserve"> several types of information based on the components of the cost factors. </w:t>
      </w:r>
      <w:r w:rsidR="00726688">
        <w:rPr>
          <w:rFonts w:ascii="Times New Roman" w:eastAsia="Times New Roman" w:hAnsi="Times New Roman" w:cs="Times New Roman"/>
          <w:color w:val="000000" w:themeColor="text1"/>
          <w:sz w:val="24"/>
          <w:szCs w:val="24"/>
          <w:highlight w:val="white"/>
        </w:rPr>
        <w:t>Therefore,</w:t>
      </w:r>
      <w:r>
        <w:rPr>
          <w:rFonts w:ascii="Times New Roman" w:eastAsia="Times New Roman" w:hAnsi="Times New Roman" w:cs="Times New Roman"/>
          <w:color w:val="000000" w:themeColor="text1"/>
          <w:sz w:val="24"/>
          <w:szCs w:val="24"/>
          <w:highlight w:val="white"/>
        </w:rPr>
        <w:t xml:space="preserve"> the price reduction can also be included in it. </w:t>
      </w:r>
    </w:p>
    <w:p w14:paraId="727EAFEA" w14:textId="77777777" w:rsidR="00601CB7" w:rsidRDefault="00601CB7" w:rsidP="00601CB7">
      <w:pPr>
        <w:pStyle w:val="ListParagraph"/>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Managerial accounting is mainly based on several types of provided information targeted to the managers and the employees working in the organization. “Managerial accounting” </w:t>
      </w:r>
      <w:r>
        <w:rPr>
          <w:rFonts w:ascii="Times New Roman" w:eastAsia="Times New Roman" w:hAnsi="Times New Roman" w:cs="Times New Roman"/>
          <w:color w:val="000000" w:themeColor="text1"/>
          <w:sz w:val="24"/>
          <w:szCs w:val="24"/>
          <w:highlight w:val="white"/>
        </w:rPr>
        <w:lastRenderedPageBreak/>
        <w:t xml:space="preserve">also gives several types of important data for the organizations are based on different actual run. Specific effective management system is also inherent with some of the value of the organization that determines accurate information. It also includes all types of “staff function” that affects the whole system. Every types of organization able to set a specific goal system which is relied on different managerial accounting information for the </w:t>
      </w:r>
      <w:proofErr w:type="gramStart"/>
      <w:r>
        <w:rPr>
          <w:rFonts w:ascii="Times New Roman" w:eastAsia="Times New Roman" w:hAnsi="Times New Roman" w:cs="Times New Roman"/>
          <w:color w:val="000000" w:themeColor="text1"/>
          <w:sz w:val="24"/>
          <w:szCs w:val="24"/>
          <w:highlight w:val="white"/>
        </w:rPr>
        <w:t>decision making</w:t>
      </w:r>
      <w:proofErr w:type="gramEnd"/>
      <w:r>
        <w:rPr>
          <w:rFonts w:ascii="Times New Roman" w:eastAsia="Times New Roman" w:hAnsi="Times New Roman" w:cs="Times New Roman"/>
          <w:color w:val="000000" w:themeColor="text1"/>
          <w:sz w:val="24"/>
          <w:szCs w:val="24"/>
          <w:highlight w:val="white"/>
        </w:rPr>
        <w:t xml:space="preserve"> system. </w:t>
      </w:r>
    </w:p>
    <w:p w14:paraId="012F9681" w14:textId="3396EAA4"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Managers of the organization must </w:t>
      </w:r>
      <w:r w:rsidR="00726688">
        <w:rPr>
          <w:rFonts w:ascii="Times New Roman" w:eastAsia="Times New Roman" w:hAnsi="Times New Roman" w:cs="Times New Roman"/>
          <w:color w:val="000000" w:themeColor="text1"/>
          <w:sz w:val="24"/>
          <w:szCs w:val="24"/>
          <w:highlight w:val="white"/>
        </w:rPr>
        <w:t>also be</w:t>
      </w:r>
      <w:r>
        <w:rPr>
          <w:rFonts w:ascii="Times New Roman" w:eastAsia="Times New Roman" w:hAnsi="Times New Roman" w:cs="Times New Roman"/>
          <w:color w:val="000000" w:themeColor="text1"/>
          <w:sz w:val="24"/>
          <w:szCs w:val="24"/>
          <w:highlight w:val="white"/>
        </w:rPr>
        <w:t xml:space="preserve"> able to understand the business environment which is based on the cost system. Several types of accounting system </w:t>
      </w:r>
      <w:r w:rsidR="00726688">
        <w:rPr>
          <w:rFonts w:ascii="Times New Roman" w:eastAsia="Times New Roman" w:hAnsi="Times New Roman" w:cs="Times New Roman"/>
          <w:color w:val="000000" w:themeColor="text1"/>
          <w:sz w:val="24"/>
          <w:szCs w:val="24"/>
          <w:highlight w:val="white"/>
        </w:rPr>
        <w:t>are</w:t>
      </w:r>
      <w:r>
        <w:rPr>
          <w:rFonts w:ascii="Times New Roman" w:eastAsia="Times New Roman" w:hAnsi="Times New Roman" w:cs="Times New Roman"/>
          <w:color w:val="000000" w:themeColor="text1"/>
          <w:sz w:val="24"/>
          <w:szCs w:val="24"/>
          <w:highlight w:val="white"/>
        </w:rPr>
        <w:t xml:space="preserve"> also generated through different terms and concepts which represents a lot of information. From the specific accounting </w:t>
      </w:r>
      <w:r w:rsidR="00726688">
        <w:rPr>
          <w:rFonts w:ascii="Times New Roman" w:eastAsia="Times New Roman" w:hAnsi="Times New Roman" w:cs="Times New Roman"/>
          <w:color w:val="000000" w:themeColor="text1"/>
          <w:sz w:val="24"/>
          <w:szCs w:val="24"/>
          <w:highlight w:val="white"/>
        </w:rPr>
        <w:t>sense,</w:t>
      </w:r>
      <w:r>
        <w:rPr>
          <w:rFonts w:ascii="Times New Roman" w:eastAsia="Times New Roman" w:hAnsi="Times New Roman" w:cs="Times New Roman"/>
          <w:color w:val="000000" w:themeColor="text1"/>
          <w:sz w:val="24"/>
          <w:szCs w:val="24"/>
          <w:highlight w:val="white"/>
        </w:rPr>
        <w:t xml:space="preserve"> it is also generated through some specific distinction of communication that has been established between the managers. The decision making and specific control process is also based on different relation with the cost object. There </w:t>
      </w:r>
      <w:r w:rsidR="00726688">
        <w:rPr>
          <w:rFonts w:ascii="Times New Roman" w:eastAsia="Times New Roman" w:hAnsi="Times New Roman" w:cs="Times New Roman"/>
          <w:color w:val="000000" w:themeColor="text1"/>
          <w:sz w:val="24"/>
          <w:szCs w:val="24"/>
          <w:highlight w:val="white"/>
        </w:rPr>
        <w:t>is</w:t>
      </w:r>
      <w:r>
        <w:rPr>
          <w:rFonts w:ascii="Times New Roman" w:eastAsia="Times New Roman" w:hAnsi="Times New Roman" w:cs="Times New Roman"/>
          <w:color w:val="000000" w:themeColor="text1"/>
          <w:sz w:val="24"/>
          <w:szCs w:val="24"/>
          <w:highlight w:val="white"/>
        </w:rPr>
        <w:t xml:space="preserve"> some specific activity that has been determined through the separation of cost system. The cost management helps in long term strategies of the organization. </w:t>
      </w:r>
    </w:p>
    <w:p w14:paraId="19AD74F5" w14:textId="77777777" w:rsidR="00601CB7" w:rsidRDefault="00601CB7" w:rsidP="00601CB7">
      <w:pPr>
        <w:pStyle w:val="Heading2"/>
        <w:rPr>
          <w:highlight w:val="white"/>
        </w:rPr>
      </w:pPr>
      <w:bookmarkStart w:id="5" w:name="_Toc40084972"/>
      <w:bookmarkStart w:id="6" w:name="_Toc39144657"/>
      <w:r>
        <w:rPr>
          <w:highlight w:val="white"/>
        </w:rPr>
        <w:t>Task 3</w:t>
      </w:r>
      <w:bookmarkEnd w:id="5"/>
      <w:bookmarkEnd w:id="6"/>
    </w:p>
    <w:p w14:paraId="2E6CA749"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Cost centre:</w:t>
      </w:r>
      <w:r>
        <w:rPr>
          <w:rFonts w:ascii="Times New Roman" w:eastAsia="Times New Roman" w:hAnsi="Times New Roman" w:cs="Times New Roman"/>
          <w:color w:val="000000" w:themeColor="text1"/>
          <w:sz w:val="24"/>
          <w:szCs w:val="24"/>
          <w:highlight w:val="white"/>
        </w:rPr>
        <w:t xml:space="preserve"> A cost centre is also based on the segment of different organization where managers </w:t>
      </w:r>
      <w:proofErr w:type="gramStart"/>
      <w:r>
        <w:rPr>
          <w:rFonts w:ascii="Times New Roman" w:eastAsia="Times New Roman" w:hAnsi="Times New Roman" w:cs="Times New Roman"/>
          <w:color w:val="000000" w:themeColor="text1"/>
          <w:sz w:val="24"/>
          <w:szCs w:val="24"/>
          <w:highlight w:val="white"/>
        </w:rPr>
        <w:t>are considered to be</w:t>
      </w:r>
      <w:proofErr w:type="gramEnd"/>
      <w:r>
        <w:rPr>
          <w:rFonts w:ascii="Times New Roman" w:eastAsia="Times New Roman" w:hAnsi="Times New Roman" w:cs="Times New Roman"/>
          <w:color w:val="000000" w:themeColor="text1"/>
          <w:sz w:val="24"/>
          <w:szCs w:val="24"/>
          <w:highlight w:val="white"/>
        </w:rPr>
        <w:t xml:space="preserve"> held responsible for the specific cost incurred. The responsibility is based on the cost centre which </w:t>
      </w:r>
      <w:proofErr w:type="gramStart"/>
      <w:r>
        <w:rPr>
          <w:rFonts w:ascii="Times New Roman" w:eastAsia="Times New Roman" w:hAnsi="Times New Roman" w:cs="Times New Roman"/>
          <w:color w:val="000000" w:themeColor="text1"/>
          <w:sz w:val="24"/>
          <w:szCs w:val="24"/>
          <w:highlight w:val="white"/>
        </w:rPr>
        <w:t>is considered to be</w:t>
      </w:r>
      <w:proofErr w:type="gramEnd"/>
      <w:r>
        <w:rPr>
          <w:rFonts w:ascii="Times New Roman" w:eastAsia="Times New Roman" w:hAnsi="Times New Roman" w:cs="Times New Roman"/>
          <w:color w:val="000000" w:themeColor="text1"/>
          <w:sz w:val="24"/>
          <w:szCs w:val="24"/>
          <w:highlight w:val="white"/>
        </w:rPr>
        <w:t xml:space="preserve"> restricted to the cost. There are different planning purposes that are determined through the sections of various types of performance evaluated.</w:t>
      </w:r>
    </w:p>
    <w:p w14:paraId="195A570E"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Revenue centre</w:t>
      </w:r>
      <w:r>
        <w:rPr>
          <w:rFonts w:ascii="Times New Roman" w:eastAsia="Times New Roman" w:hAnsi="Times New Roman" w:cs="Times New Roman"/>
          <w:color w:val="000000" w:themeColor="text1"/>
          <w:sz w:val="24"/>
          <w:szCs w:val="24"/>
          <w:highlight w:val="white"/>
        </w:rPr>
        <w:t xml:space="preserve">: The revenue centre </w:t>
      </w:r>
      <w:proofErr w:type="gramStart"/>
      <w:r>
        <w:rPr>
          <w:rFonts w:ascii="Times New Roman" w:eastAsia="Times New Roman" w:hAnsi="Times New Roman" w:cs="Times New Roman"/>
          <w:color w:val="000000" w:themeColor="text1"/>
          <w:sz w:val="24"/>
          <w:szCs w:val="24"/>
          <w:highlight w:val="white"/>
        </w:rPr>
        <w:t>is considered to be</w:t>
      </w:r>
      <w:proofErr w:type="gramEnd"/>
      <w:r>
        <w:rPr>
          <w:rFonts w:ascii="Times New Roman" w:eastAsia="Times New Roman" w:hAnsi="Times New Roman" w:cs="Times New Roman"/>
          <w:color w:val="000000" w:themeColor="text1"/>
          <w:sz w:val="24"/>
          <w:szCs w:val="24"/>
          <w:highlight w:val="white"/>
        </w:rPr>
        <w:t xml:space="preserve"> particular segment of an organization which is mainly responsible for generating various sales revenues. The performance of revenue centre can be easily evaluated through the process of comparing the expense based on the marketing department. The performance of the revenue centre is also established by comparing the budgeted marketing expenses. </w:t>
      </w:r>
    </w:p>
    <w:p w14:paraId="39CA6068"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Profit Centre</w:t>
      </w:r>
      <w:r>
        <w:rPr>
          <w:rFonts w:ascii="Times New Roman" w:eastAsia="Times New Roman" w:hAnsi="Times New Roman" w:cs="Times New Roman"/>
          <w:color w:val="000000" w:themeColor="text1"/>
          <w:sz w:val="24"/>
          <w:szCs w:val="24"/>
          <w:highlight w:val="white"/>
        </w:rPr>
        <w:t xml:space="preserve">: The profit Centre is also considered to be a specific segment that is based on the organization and is responsible for various revenues and costs factors. The manager of profit centre also has the responsibility and some specific authority to make some decisions that will affect the department. </w:t>
      </w:r>
    </w:p>
    <w:p w14:paraId="23E14D56" w14:textId="77777777" w:rsidR="00601CB7" w:rsidRDefault="00601CB7" w:rsidP="00601CB7">
      <w:p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Responsibilities of Management Accountants</w:t>
      </w:r>
    </w:p>
    <w:p w14:paraId="1560AC6B"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The main role of the management accountant is to perform some of the series of tasks that are based on different company’s financial security system. It also determines the overall </w:t>
      </w:r>
      <w:r>
        <w:rPr>
          <w:rFonts w:ascii="Times New Roman" w:eastAsia="Times New Roman" w:hAnsi="Times New Roman" w:cs="Times New Roman"/>
          <w:color w:val="000000" w:themeColor="text1"/>
          <w:sz w:val="24"/>
          <w:szCs w:val="24"/>
          <w:highlight w:val="white"/>
        </w:rPr>
        <w:lastRenderedPageBreak/>
        <w:t xml:space="preserve">performance of the company and the success of the company. There are many types of job responsibilities that are included in the tasks of budgeting and handling tasks. </w:t>
      </w:r>
    </w:p>
    <w:p w14:paraId="38C345FC" w14:textId="77777777" w:rsidR="00601CB7" w:rsidRDefault="00601CB7" w:rsidP="00601CB7">
      <w:pPr>
        <w:pStyle w:val="Heading2"/>
        <w:rPr>
          <w:highlight w:val="white"/>
        </w:rPr>
      </w:pPr>
      <w:bookmarkStart w:id="7" w:name="_Toc40084973"/>
      <w:bookmarkStart w:id="8" w:name="_Toc39144658"/>
      <w:r>
        <w:rPr>
          <w:highlight w:val="white"/>
        </w:rPr>
        <w:t>Task 4</w:t>
      </w:r>
      <w:bookmarkEnd w:id="7"/>
      <w:bookmarkEnd w:id="8"/>
    </w:p>
    <w:p w14:paraId="3660A878"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Management Accounting</w:t>
      </w:r>
      <w:r>
        <w:rPr>
          <w:rFonts w:ascii="Times New Roman" w:eastAsia="Times New Roman" w:hAnsi="Times New Roman" w:cs="Times New Roman"/>
          <w:color w:val="000000" w:themeColor="text1"/>
          <w:sz w:val="24"/>
          <w:szCs w:val="24"/>
          <w:highlight w:val="white"/>
        </w:rPr>
        <w:t xml:space="preserve">: “Management accounting” can only be used by the internal team members of the organization. There are different types of financial statements that depicts the management team of the company which generally uses the statistical data. The main target of this process is to acquire correct results from analysing the statistical data. </w:t>
      </w:r>
    </w:p>
    <w:p w14:paraId="352BC7DB" w14:textId="48F45E35"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Financial accounting</w:t>
      </w:r>
      <w:r>
        <w:rPr>
          <w:rFonts w:ascii="Times New Roman" w:eastAsia="Times New Roman" w:hAnsi="Times New Roman" w:cs="Times New Roman"/>
          <w:color w:val="000000" w:themeColor="text1"/>
          <w:sz w:val="24"/>
          <w:szCs w:val="24"/>
          <w:highlight w:val="white"/>
        </w:rPr>
        <w:t xml:space="preserve">: It is a process of </w:t>
      </w:r>
      <w:proofErr w:type="spellStart"/>
      <w:r>
        <w:rPr>
          <w:rFonts w:ascii="Times New Roman" w:eastAsia="Times New Roman" w:hAnsi="Times New Roman" w:cs="Times New Roman"/>
          <w:color w:val="000000" w:themeColor="text1"/>
          <w:sz w:val="24"/>
          <w:szCs w:val="24"/>
          <w:highlight w:val="white"/>
        </w:rPr>
        <w:t>preparaing</w:t>
      </w:r>
      <w:proofErr w:type="spellEnd"/>
      <w:r>
        <w:rPr>
          <w:rFonts w:ascii="Times New Roman" w:eastAsia="Times New Roman" w:hAnsi="Times New Roman" w:cs="Times New Roman"/>
          <w:color w:val="000000" w:themeColor="text1"/>
          <w:sz w:val="24"/>
          <w:szCs w:val="24"/>
          <w:highlight w:val="white"/>
        </w:rPr>
        <w:t xml:space="preserve"> a specific financial statement for a </w:t>
      </w:r>
      <w:proofErr w:type="gramStart"/>
      <w:r>
        <w:rPr>
          <w:rFonts w:ascii="Times New Roman" w:eastAsia="Times New Roman" w:hAnsi="Times New Roman" w:cs="Times New Roman"/>
          <w:color w:val="000000" w:themeColor="text1"/>
          <w:sz w:val="24"/>
          <w:szCs w:val="24"/>
          <w:highlight w:val="white"/>
        </w:rPr>
        <w:t>particular company</w:t>
      </w:r>
      <w:proofErr w:type="gramEnd"/>
      <w:r>
        <w:rPr>
          <w:rFonts w:ascii="Times New Roman" w:eastAsia="Times New Roman" w:hAnsi="Times New Roman" w:cs="Times New Roman"/>
          <w:color w:val="000000" w:themeColor="text1"/>
          <w:sz w:val="24"/>
          <w:szCs w:val="24"/>
          <w:highlight w:val="white"/>
        </w:rPr>
        <w:t xml:space="preserve"> which mainly uses the financial performance. It also </w:t>
      </w:r>
      <w:r w:rsidR="00726688">
        <w:rPr>
          <w:rFonts w:ascii="Times New Roman" w:eastAsia="Times New Roman" w:hAnsi="Times New Roman" w:cs="Times New Roman"/>
          <w:color w:val="000000" w:themeColor="text1"/>
          <w:sz w:val="24"/>
          <w:szCs w:val="24"/>
          <w:highlight w:val="white"/>
        </w:rPr>
        <w:t>intends</w:t>
      </w:r>
      <w:r>
        <w:rPr>
          <w:rFonts w:ascii="Times New Roman" w:eastAsia="Times New Roman" w:hAnsi="Times New Roman" w:cs="Times New Roman"/>
          <w:color w:val="000000" w:themeColor="text1"/>
          <w:sz w:val="24"/>
          <w:szCs w:val="24"/>
          <w:highlight w:val="white"/>
        </w:rPr>
        <w:t xml:space="preserve"> to show the position to different people outside the company also. The financial accounting is also involved with different financial information of the company gained through income statement and balance sheet. </w:t>
      </w:r>
    </w:p>
    <w:p w14:paraId="6B9EE23D" w14:textId="77777777" w:rsidR="00601CB7" w:rsidRDefault="00601CB7" w:rsidP="00601CB7">
      <w:pPr>
        <w:spacing w:after="160" w:line="256" w:lineRule="auto"/>
        <w:rPr>
          <w:rFonts w:ascii="Times New Roman" w:hAnsi="Times New Roman"/>
          <w:b/>
          <w:color w:val="000000" w:themeColor="text1"/>
          <w:sz w:val="28"/>
          <w:szCs w:val="40"/>
        </w:rPr>
      </w:pPr>
      <w:r>
        <w:br w:type="page"/>
      </w:r>
      <w:bookmarkStart w:id="9" w:name="_Toc39144660"/>
    </w:p>
    <w:p w14:paraId="495A3B84" w14:textId="77777777" w:rsidR="00601CB7" w:rsidRDefault="00601CB7" w:rsidP="00601CB7">
      <w:pPr>
        <w:pStyle w:val="Heading1"/>
      </w:pPr>
      <w:bookmarkStart w:id="10" w:name="_Toc40084974"/>
      <w:r>
        <w:lastRenderedPageBreak/>
        <w:t>Reference list</w:t>
      </w:r>
      <w:bookmarkEnd w:id="9"/>
      <w:bookmarkEnd w:id="10"/>
    </w:p>
    <w:p w14:paraId="25AA0C73" w14:textId="77777777" w:rsidR="00601CB7" w:rsidRDefault="00601CB7" w:rsidP="00601CB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Journals</w:t>
      </w:r>
    </w:p>
    <w:p w14:paraId="07AC54EC"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Aizenman</w:t>
      </w:r>
      <w:proofErr w:type="spellEnd"/>
      <w:r>
        <w:rPr>
          <w:rFonts w:ascii="Times New Roman" w:hAnsi="Times New Roman" w:cs="Times New Roman"/>
          <w:color w:val="000000" w:themeColor="text1"/>
          <w:sz w:val="24"/>
          <w:szCs w:val="24"/>
          <w:shd w:val="clear" w:color="auto" w:fill="FFFFFF"/>
        </w:rPr>
        <w:t xml:space="preserve">, J., </w:t>
      </w:r>
      <w:proofErr w:type="spellStart"/>
      <w:r>
        <w:rPr>
          <w:rFonts w:ascii="Times New Roman" w:hAnsi="Times New Roman" w:cs="Times New Roman"/>
          <w:color w:val="000000" w:themeColor="text1"/>
          <w:sz w:val="24"/>
          <w:szCs w:val="24"/>
          <w:shd w:val="clear" w:color="auto" w:fill="FFFFFF"/>
        </w:rPr>
        <w:t>Jinjarak</w:t>
      </w:r>
      <w:proofErr w:type="spellEnd"/>
      <w:r>
        <w:rPr>
          <w:rFonts w:ascii="Times New Roman" w:hAnsi="Times New Roman" w:cs="Times New Roman"/>
          <w:color w:val="000000" w:themeColor="text1"/>
          <w:sz w:val="24"/>
          <w:szCs w:val="24"/>
          <w:shd w:val="clear" w:color="auto" w:fill="FFFFFF"/>
        </w:rPr>
        <w:t>, Y. and Park, D., 2016. Fundamentals and sovereign risk of emerging markets. </w:t>
      </w:r>
      <w:r>
        <w:rPr>
          <w:rFonts w:ascii="Times New Roman" w:hAnsi="Times New Roman" w:cs="Times New Roman"/>
          <w:i/>
          <w:iCs/>
          <w:color w:val="000000" w:themeColor="text1"/>
          <w:sz w:val="24"/>
          <w:szCs w:val="24"/>
          <w:shd w:val="clear" w:color="auto" w:fill="FFFFFF"/>
        </w:rPr>
        <w:t>Pacific Economic Review</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21</w:t>
      </w:r>
      <w:r>
        <w:rPr>
          <w:rFonts w:ascii="Times New Roman" w:hAnsi="Times New Roman" w:cs="Times New Roman"/>
          <w:color w:val="000000" w:themeColor="text1"/>
          <w:sz w:val="24"/>
          <w:szCs w:val="24"/>
          <w:shd w:val="clear" w:color="auto" w:fill="FFFFFF"/>
        </w:rPr>
        <w:t>(2), pp.151-177.</w:t>
      </w:r>
    </w:p>
    <w:p w14:paraId="79429D99"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Caswell, S., 2019. An Analysis of Financial Accounting Fundamentals Through Case Studies.</w:t>
      </w:r>
    </w:p>
    <w:p w14:paraId="0BA4FBCF" w14:textId="77777777" w:rsidR="00601CB7" w:rsidRDefault="00601CB7" w:rsidP="00601CB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Chattopadhyay, A., Lyle, M.R. and Wang, C.C., 2016. Accounting data, market values, and the cross section of expected returns worldwide. </w:t>
      </w:r>
      <w:r>
        <w:rPr>
          <w:rFonts w:ascii="Times New Roman" w:hAnsi="Times New Roman" w:cs="Times New Roman"/>
          <w:i/>
          <w:iCs/>
          <w:color w:val="000000" w:themeColor="text1"/>
          <w:sz w:val="24"/>
          <w:szCs w:val="24"/>
          <w:shd w:val="clear" w:color="auto" w:fill="FFFFFF"/>
        </w:rPr>
        <w:t>Harvard Business School Accounting &amp; Management Unit Working Paper</w:t>
      </w:r>
      <w:r>
        <w:rPr>
          <w:rFonts w:ascii="Times New Roman" w:hAnsi="Times New Roman" w:cs="Times New Roman"/>
          <w:color w:val="000000" w:themeColor="text1"/>
          <w:sz w:val="24"/>
          <w:szCs w:val="24"/>
          <w:shd w:val="clear" w:color="auto" w:fill="FFFFFF"/>
        </w:rPr>
        <w:t>, (15-092).</w:t>
      </w:r>
    </w:p>
    <w:p w14:paraId="535CE62D"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Deegan, J., 2019. ACCT 115-103: Fundamentals of Financial Accounting.</w:t>
      </w:r>
    </w:p>
    <w:p w14:paraId="2DF72C1C"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Ferreira, P.H., </w:t>
      </w:r>
      <w:proofErr w:type="spellStart"/>
      <w:r>
        <w:rPr>
          <w:rFonts w:ascii="Times New Roman" w:hAnsi="Times New Roman" w:cs="Times New Roman"/>
          <w:color w:val="000000" w:themeColor="text1"/>
          <w:sz w:val="24"/>
          <w:szCs w:val="24"/>
          <w:shd w:val="clear" w:color="auto" w:fill="FFFFFF"/>
        </w:rPr>
        <w:t>Kräussl</w:t>
      </w:r>
      <w:proofErr w:type="spellEnd"/>
      <w:r>
        <w:rPr>
          <w:rFonts w:ascii="Times New Roman" w:hAnsi="Times New Roman" w:cs="Times New Roman"/>
          <w:color w:val="000000" w:themeColor="text1"/>
          <w:sz w:val="24"/>
          <w:szCs w:val="24"/>
          <w:shd w:val="clear" w:color="auto" w:fill="FFFFFF"/>
        </w:rPr>
        <w:t xml:space="preserve">, R., Landsman, W.R., </w:t>
      </w:r>
      <w:proofErr w:type="spellStart"/>
      <w:r>
        <w:rPr>
          <w:rFonts w:ascii="Times New Roman" w:hAnsi="Times New Roman" w:cs="Times New Roman"/>
          <w:color w:val="000000" w:themeColor="text1"/>
          <w:sz w:val="24"/>
          <w:szCs w:val="24"/>
          <w:shd w:val="clear" w:color="auto" w:fill="FFFFFF"/>
        </w:rPr>
        <w:t>Borysoff</w:t>
      </w:r>
      <w:proofErr w:type="spellEnd"/>
      <w:r>
        <w:rPr>
          <w:rFonts w:ascii="Times New Roman" w:hAnsi="Times New Roman" w:cs="Times New Roman"/>
          <w:color w:val="000000" w:themeColor="text1"/>
          <w:sz w:val="24"/>
          <w:szCs w:val="24"/>
          <w:shd w:val="clear" w:color="auto" w:fill="FFFFFF"/>
        </w:rPr>
        <w:t>, M.N. and Pope, P.F., 2019. Reliability and relevance of fair values: Private equity investments and investee fundamentals. </w:t>
      </w:r>
      <w:r>
        <w:rPr>
          <w:rFonts w:ascii="Times New Roman" w:hAnsi="Times New Roman" w:cs="Times New Roman"/>
          <w:i/>
          <w:iCs/>
          <w:color w:val="000000" w:themeColor="text1"/>
          <w:sz w:val="24"/>
          <w:szCs w:val="24"/>
          <w:shd w:val="clear" w:color="auto" w:fill="FFFFFF"/>
        </w:rPr>
        <w:t>Review of Accounting Studies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24</w:t>
      </w:r>
      <w:r>
        <w:rPr>
          <w:rFonts w:ascii="Times New Roman" w:hAnsi="Times New Roman" w:cs="Times New Roman"/>
          <w:color w:val="000000" w:themeColor="text1"/>
          <w:sz w:val="24"/>
          <w:szCs w:val="24"/>
          <w:shd w:val="clear" w:color="auto" w:fill="FFFFFF"/>
        </w:rPr>
        <w:t>(4), pp.1427-1449.</w:t>
      </w:r>
    </w:p>
    <w:p w14:paraId="7E63E6E4"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Florou</w:t>
      </w:r>
      <w:proofErr w:type="spellEnd"/>
      <w:r>
        <w:rPr>
          <w:rFonts w:ascii="Times New Roman" w:hAnsi="Times New Roman" w:cs="Times New Roman"/>
          <w:color w:val="000000" w:themeColor="text1"/>
          <w:sz w:val="24"/>
          <w:szCs w:val="24"/>
          <w:shd w:val="clear" w:color="auto" w:fill="FFFFFF"/>
        </w:rPr>
        <w:t xml:space="preserve">, A., </w:t>
      </w:r>
      <w:proofErr w:type="spellStart"/>
      <w:r>
        <w:rPr>
          <w:rFonts w:ascii="Times New Roman" w:hAnsi="Times New Roman" w:cs="Times New Roman"/>
          <w:color w:val="000000" w:themeColor="text1"/>
          <w:sz w:val="24"/>
          <w:szCs w:val="24"/>
          <w:shd w:val="clear" w:color="auto" w:fill="FFFFFF"/>
        </w:rPr>
        <w:t>Kosi</w:t>
      </w:r>
      <w:proofErr w:type="spellEnd"/>
      <w:r>
        <w:rPr>
          <w:rFonts w:ascii="Times New Roman" w:hAnsi="Times New Roman" w:cs="Times New Roman"/>
          <w:color w:val="000000" w:themeColor="text1"/>
          <w:sz w:val="24"/>
          <w:szCs w:val="24"/>
          <w:shd w:val="clear" w:color="auto" w:fill="FFFFFF"/>
        </w:rPr>
        <w:t xml:space="preserve">, U. and Pope, P.F., 2017. Are international accounting standards more credit relevant than domestic </w:t>
      </w:r>
      <w:proofErr w:type="gramStart"/>
      <w:r>
        <w:rPr>
          <w:rFonts w:ascii="Times New Roman" w:hAnsi="Times New Roman" w:cs="Times New Roman"/>
          <w:color w:val="000000" w:themeColor="text1"/>
          <w:sz w:val="24"/>
          <w:szCs w:val="24"/>
          <w:shd w:val="clear" w:color="auto" w:fill="FFFFFF"/>
        </w:rPr>
        <w:t>standards?.</w:t>
      </w:r>
      <w:proofErr w:type="gramEnd"/>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Accounting and Business Research</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47</w:t>
      </w:r>
      <w:r>
        <w:rPr>
          <w:rFonts w:ascii="Times New Roman" w:hAnsi="Times New Roman" w:cs="Times New Roman"/>
          <w:color w:val="000000" w:themeColor="text1"/>
          <w:sz w:val="24"/>
          <w:szCs w:val="24"/>
          <w:shd w:val="clear" w:color="auto" w:fill="FFFFFF"/>
        </w:rPr>
        <w:t>(1), pp.1-29.</w:t>
      </w:r>
    </w:p>
    <w:p w14:paraId="599DA5EC"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Gomez, S.M., 2019. ACCT 115-003: Fundamentals of Financial Accounting.</w:t>
      </w:r>
    </w:p>
    <w:p w14:paraId="0FF33A8F"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Kemp, W.C., 2018. </w:t>
      </w:r>
      <w:r>
        <w:rPr>
          <w:rFonts w:ascii="Times New Roman" w:hAnsi="Times New Roman" w:cs="Times New Roman"/>
          <w:i/>
          <w:iCs/>
          <w:color w:val="000000" w:themeColor="text1"/>
          <w:sz w:val="24"/>
          <w:szCs w:val="24"/>
          <w:shd w:val="clear" w:color="auto" w:fill="FFFFFF"/>
        </w:rPr>
        <w:t>An Introduction to Case Reports: The Fundamentals of Accounting</w:t>
      </w:r>
      <w:r>
        <w:rPr>
          <w:rFonts w:ascii="Times New Roman" w:hAnsi="Times New Roman" w:cs="Times New Roman"/>
          <w:color w:val="000000" w:themeColor="text1"/>
          <w:sz w:val="24"/>
          <w:szCs w:val="24"/>
          <w:shd w:val="clear" w:color="auto" w:fill="FFFFFF"/>
        </w:rPr>
        <w:t> (Doctoral dissertation, The University of Mississippi).</w:t>
      </w:r>
    </w:p>
    <w:p w14:paraId="011A420A"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Konchitchki</w:t>
      </w:r>
      <w:proofErr w:type="spellEnd"/>
      <w:r>
        <w:rPr>
          <w:rFonts w:ascii="Times New Roman" w:hAnsi="Times New Roman" w:cs="Times New Roman"/>
          <w:color w:val="000000" w:themeColor="text1"/>
          <w:sz w:val="24"/>
          <w:szCs w:val="24"/>
          <w:shd w:val="clear" w:color="auto" w:fill="FFFFFF"/>
        </w:rPr>
        <w:t>, Y., 2016. Accounting valuation and cost of capital dynamics: Theoretical and empirical macroeconomic aspects. Discussion of Callen. </w:t>
      </w:r>
      <w:r>
        <w:rPr>
          <w:rFonts w:ascii="Times New Roman" w:hAnsi="Times New Roman" w:cs="Times New Roman"/>
          <w:i/>
          <w:iCs/>
          <w:color w:val="000000" w:themeColor="text1"/>
          <w:sz w:val="24"/>
          <w:szCs w:val="24"/>
          <w:shd w:val="clear" w:color="auto" w:fill="FFFFFF"/>
        </w:rPr>
        <w:t>Abacus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52</w:t>
      </w:r>
      <w:r>
        <w:rPr>
          <w:rFonts w:ascii="Times New Roman" w:hAnsi="Times New Roman" w:cs="Times New Roman"/>
          <w:color w:val="000000" w:themeColor="text1"/>
          <w:sz w:val="24"/>
          <w:szCs w:val="24"/>
          <w:shd w:val="clear" w:color="auto" w:fill="FFFFFF"/>
        </w:rPr>
        <w:t>(1), pp.26-34.</w:t>
      </w:r>
    </w:p>
    <w:p w14:paraId="6764350D"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Mensah, C.C., </w:t>
      </w:r>
      <w:proofErr w:type="spellStart"/>
      <w:r>
        <w:rPr>
          <w:rFonts w:ascii="Times New Roman" w:hAnsi="Times New Roman" w:cs="Times New Roman"/>
          <w:color w:val="000000" w:themeColor="text1"/>
          <w:sz w:val="24"/>
          <w:szCs w:val="24"/>
          <w:shd w:val="clear" w:color="auto" w:fill="FFFFFF"/>
        </w:rPr>
        <w:t>Ayagre</w:t>
      </w:r>
      <w:proofErr w:type="spellEnd"/>
      <w:r>
        <w:rPr>
          <w:rFonts w:ascii="Times New Roman" w:hAnsi="Times New Roman" w:cs="Times New Roman"/>
          <w:color w:val="000000" w:themeColor="text1"/>
          <w:sz w:val="24"/>
          <w:szCs w:val="24"/>
          <w:shd w:val="clear" w:color="auto" w:fill="FFFFFF"/>
        </w:rPr>
        <w:t xml:space="preserve">, P. and </w:t>
      </w:r>
      <w:proofErr w:type="spellStart"/>
      <w:r>
        <w:rPr>
          <w:rFonts w:ascii="Times New Roman" w:hAnsi="Times New Roman" w:cs="Times New Roman"/>
          <w:color w:val="000000" w:themeColor="text1"/>
          <w:sz w:val="24"/>
          <w:szCs w:val="24"/>
          <w:shd w:val="clear" w:color="auto" w:fill="FFFFFF"/>
        </w:rPr>
        <w:t>Nyante</w:t>
      </w:r>
      <w:proofErr w:type="spellEnd"/>
      <w:r>
        <w:rPr>
          <w:rFonts w:ascii="Times New Roman" w:hAnsi="Times New Roman" w:cs="Times New Roman"/>
          <w:color w:val="000000" w:themeColor="text1"/>
          <w:sz w:val="24"/>
          <w:szCs w:val="24"/>
          <w:shd w:val="clear" w:color="auto" w:fill="FFFFFF"/>
        </w:rPr>
        <w:t xml:space="preserve">, H., 2016. Fundamentals </w:t>
      </w:r>
      <w:proofErr w:type="gramStart"/>
      <w:r>
        <w:rPr>
          <w:rFonts w:ascii="Times New Roman" w:hAnsi="Times New Roman" w:cs="Times New Roman"/>
          <w:color w:val="000000" w:themeColor="text1"/>
          <w:sz w:val="24"/>
          <w:szCs w:val="24"/>
          <w:shd w:val="clear" w:color="auto" w:fill="FFFFFF"/>
        </w:rPr>
        <w:t>Of</w:t>
      </w:r>
      <w:proofErr w:type="gramEnd"/>
      <w:r>
        <w:rPr>
          <w:rFonts w:ascii="Times New Roman" w:hAnsi="Times New Roman" w:cs="Times New Roman"/>
          <w:color w:val="000000" w:themeColor="text1"/>
          <w:sz w:val="24"/>
          <w:szCs w:val="24"/>
          <w:shd w:val="clear" w:color="auto" w:fill="FFFFFF"/>
        </w:rPr>
        <w:t xml:space="preserve"> Financial Accounting 1.</w:t>
      </w:r>
    </w:p>
    <w:p w14:paraId="0A540F24"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Okeke, R.C. and </w:t>
      </w:r>
      <w:proofErr w:type="spellStart"/>
      <w:r>
        <w:rPr>
          <w:rFonts w:ascii="Times New Roman" w:hAnsi="Times New Roman" w:cs="Times New Roman"/>
          <w:color w:val="000000" w:themeColor="text1"/>
          <w:sz w:val="24"/>
          <w:szCs w:val="24"/>
          <w:shd w:val="clear" w:color="auto" w:fill="FFFFFF"/>
        </w:rPr>
        <w:t>Nwankpa</w:t>
      </w:r>
      <w:proofErr w:type="spellEnd"/>
      <w:r>
        <w:rPr>
          <w:rFonts w:ascii="Times New Roman" w:hAnsi="Times New Roman" w:cs="Times New Roman"/>
          <w:color w:val="000000" w:themeColor="text1"/>
          <w:sz w:val="24"/>
          <w:szCs w:val="24"/>
          <w:shd w:val="clear" w:color="auto" w:fill="FFFFFF"/>
        </w:rPr>
        <w:t>, L.O., 2017. The accounting fundamentals of multilevel marketing, income security and the poverty challenge in Nigeria. </w:t>
      </w:r>
      <w:r>
        <w:rPr>
          <w:rFonts w:ascii="Times New Roman" w:hAnsi="Times New Roman" w:cs="Times New Roman"/>
          <w:i/>
          <w:iCs/>
          <w:color w:val="000000" w:themeColor="text1"/>
          <w:sz w:val="24"/>
          <w:szCs w:val="24"/>
          <w:shd w:val="clear" w:color="auto" w:fill="FFFFFF"/>
        </w:rPr>
        <w:t>World Scientific News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77</w:t>
      </w:r>
      <w:r>
        <w:rPr>
          <w:rFonts w:ascii="Times New Roman" w:hAnsi="Times New Roman" w:cs="Times New Roman"/>
          <w:color w:val="000000" w:themeColor="text1"/>
          <w:sz w:val="24"/>
          <w:szCs w:val="24"/>
          <w:shd w:val="clear" w:color="auto" w:fill="FFFFFF"/>
        </w:rPr>
        <w:t>(2), pp.281-297.</w:t>
      </w:r>
    </w:p>
    <w:p w14:paraId="55D587BB"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Penman, S. and </w:t>
      </w:r>
      <w:proofErr w:type="spellStart"/>
      <w:r>
        <w:rPr>
          <w:rFonts w:ascii="Times New Roman" w:hAnsi="Times New Roman" w:cs="Times New Roman"/>
          <w:color w:val="000000" w:themeColor="text1"/>
          <w:sz w:val="24"/>
          <w:szCs w:val="24"/>
          <w:shd w:val="clear" w:color="auto" w:fill="FFFFFF"/>
        </w:rPr>
        <w:t>Reggiani</w:t>
      </w:r>
      <w:proofErr w:type="spellEnd"/>
      <w:r>
        <w:rPr>
          <w:rFonts w:ascii="Times New Roman" w:hAnsi="Times New Roman" w:cs="Times New Roman"/>
          <w:color w:val="000000" w:themeColor="text1"/>
          <w:sz w:val="24"/>
          <w:szCs w:val="24"/>
          <w:shd w:val="clear" w:color="auto" w:fill="FFFFFF"/>
        </w:rPr>
        <w:t>, F., 2018. Fundamentals of value versus growth investing and an explanation for the value trap. </w:t>
      </w:r>
      <w:r>
        <w:rPr>
          <w:rFonts w:ascii="Times New Roman" w:hAnsi="Times New Roman" w:cs="Times New Roman"/>
          <w:i/>
          <w:iCs/>
          <w:color w:val="000000" w:themeColor="text1"/>
          <w:sz w:val="24"/>
          <w:szCs w:val="24"/>
          <w:shd w:val="clear" w:color="auto" w:fill="FFFFFF"/>
        </w:rPr>
        <w:t>Financial Analysts Journal</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74</w:t>
      </w:r>
      <w:r>
        <w:rPr>
          <w:rFonts w:ascii="Times New Roman" w:hAnsi="Times New Roman" w:cs="Times New Roman"/>
          <w:color w:val="000000" w:themeColor="text1"/>
          <w:sz w:val="24"/>
          <w:szCs w:val="24"/>
          <w:shd w:val="clear" w:color="auto" w:fill="FFFFFF"/>
        </w:rPr>
        <w:t>(4), pp.103-119.</w:t>
      </w:r>
    </w:p>
    <w:p w14:paraId="7BC4FEDA"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Rutkowska-Ziarko</w:t>
      </w:r>
      <w:proofErr w:type="spellEnd"/>
      <w:r>
        <w:rPr>
          <w:rFonts w:ascii="Times New Roman" w:hAnsi="Times New Roman" w:cs="Times New Roman"/>
          <w:color w:val="000000" w:themeColor="text1"/>
          <w:sz w:val="24"/>
          <w:szCs w:val="24"/>
          <w:shd w:val="clear" w:color="auto" w:fill="FFFFFF"/>
        </w:rPr>
        <w:t>, A. and Pyke, C., 2017. The development of downside accounting beta as a measure of risk. </w:t>
      </w:r>
      <w:r>
        <w:rPr>
          <w:rFonts w:ascii="Times New Roman" w:hAnsi="Times New Roman" w:cs="Times New Roman"/>
          <w:i/>
          <w:iCs/>
          <w:color w:val="000000" w:themeColor="text1"/>
          <w:sz w:val="24"/>
          <w:szCs w:val="24"/>
          <w:shd w:val="clear" w:color="auto" w:fill="FFFFFF"/>
        </w:rPr>
        <w:t>Economics and Business review</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(4), pp.55-65.</w:t>
      </w:r>
    </w:p>
    <w:p w14:paraId="4F71DCF1"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Spohr</w:t>
      </w:r>
      <w:proofErr w:type="spellEnd"/>
      <w:r>
        <w:rPr>
          <w:rFonts w:ascii="Times New Roman" w:hAnsi="Times New Roman" w:cs="Times New Roman"/>
          <w:color w:val="000000" w:themeColor="text1"/>
          <w:sz w:val="24"/>
          <w:szCs w:val="24"/>
          <w:shd w:val="clear" w:color="auto" w:fill="FFFFFF"/>
        </w:rPr>
        <w:t xml:space="preserve">, J., 2017. Do Fundamentals Convey Ex Ante Information about Profit </w:t>
      </w:r>
      <w:proofErr w:type="gramStart"/>
      <w:r>
        <w:rPr>
          <w:rFonts w:ascii="Times New Roman" w:hAnsi="Times New Roman" w:cs="Times New Roman"/>
          <w:color w:val="000000" w:themeColor="text1"/>
          <w:sz w:val="24"/>
          <w:szCs w:val="24"/>
          <w:shd w:val="clear" w:color="auto" w:fill="FFFFFF"/>
        </w:rPr>
        <w:t>Warnings?.</w:t>
      </w:r>
      <w:proofErr w:type="gramEnd"/>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Nordic Journal of Business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66</w:t>
      </w:r>
      <w:r>
        <w:rPr>
          <w:rFonts w:ascii="Times New Roman" w:hAnsi="Times New Roman" w:cs="Times New Roman"/>
          <w:color w:val="000000" w:themeColor="text1"/>
          <w:sz w:val="24"/>
          <w:szCs w:val="24"/>
          <w:shd w:val="clear" w:color="auto" w:fill="FFFFFF"/>
        </w:rPr>
        <w:t>(2), p.75.</w:t>
      </w:r>
    </w:p>
    <w:p w14:paraId="5E35EB2E" w14:textId="77777777" w:rsidR="00601CB7" w:rsidRDefault="00601CB7" w:rsidP="00601CB7">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Umbach</w:t>
      </w:r>
      <w:proofErr w:type="spellEnd"/>
      <w:r>
        <w:rPr>
          <w:rFonts w:ascii="Times New Roman" w:hAnsi="Times New Roman" w:cs="Times New Roman"/>
          <w:color w:val="000000" w:themeColor="text1"/>
          <w:sz w:val="24"/>
          <w:szCs w:val="24"/>
          <w:shd w:val="clear" w:color="auto" w:fill="FFFFFF"/>
        </w:rPr>
        <w:t>, W.S., 2018. </w:t>
      </w:r>
      <w:r>
        <w:rPr>
          <w:rFonts w:ascii="Times New Roman" w:hAnsi="Times New Roman" w:cs="Times New Roman"/>
          <w:i/>
          <w:iCs/>
          <w:color w:val="000000" w:themeColor="text1"/>
          <w:sz w:val="24"/>
          <w:szCs w:val="24"/>
          <w:shd w:val="clear" w:color="auto" w:fill="FFFFFF"/>
        </w:rPr>
        <w:t>The Fundamentals of Accounting: A Series of Case Reports</w:t>
      </w:r>
      <w:r>
        <w:rPr>
          <w:rFonts w:ascii="Times New Roman" w:hAnsi="Times New Roman" w:cs="Times New Roman"/>
          <w:color w:val="000000" w:themeColor="text1"/>
          <w:sz w:val="24"/>
          <w:szCs w:val="24"/>
          <w:shd w:val="clear" w:color="auto" w:fill="FFFFFF"/>
        </w:rPr>
        <w:t> (Doctoral dissertation, The University of Mississippi).</w:t>
      </w:r>
    </w:p>
    <w:p w14:paraId="558C378D" w14:textId="77777777" w:rsidR="00601CB7" w:rsidRDefault="00601CB7" w:rsidP="00601CB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Online articles</w:t>
      </w:r>
    </w:p>
    <w:p w14:paraId="7F3BEF04" w14:textId="77777777" w:rsidR="00601CB7" w:rsidRDefault="00601CB7" w:rsidP="00601CB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egrove.olemiss.edu (2020), </w:t>
      </w:r>
      <w:r>
        <w:rPr>
          <w:rFonts w:ascii="Times New Roman" w:hAnsi="Times New Roman" w:cs="Times New Roman"/>
          <w:i/>
          <w:color w:val="000000" w:themeColor="text1"/>
          <w:sz w:val="24"/>
          <w:szCs w:val="24"/>
        </w:rPr>
        <w:t>Fundamentals of Accounting,</w:t>
      </w:r>
      <w:r>
        <w:rPr>
          <w:rFonts w:ascii="Times New Roman" w:hAnsi="Times New Roman" w:cs="Times New Roman"/>
          <w:color w:val="000000" w:themeColor="text1"/>
          <w:sz w:val="24"/>
          <w:szCs w:val="24"/>
        </w:rPr>
        <w:t xml:space="preserve"> Available at: https://egrove.olemiss.edu/cgi/viewcontent.cgi?article=2119&amp;context=hon_thesis [Accessed on: 01/01/2020]</w:t>
      </w:r>
    </w:p>
    <w:p w14:paraId="394D61A4" w14:textId="77777777" w:rsidR="00601CB7" w:rsidRDefault="00601CB7" w:rsidP="00601CB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Websites</w:t>
      </w:r>
    </w:p>
    <w:p w14:paraId="68A7ADB6" w14:textId="77777777" w:rsidR="00601CB7" w:rsidRDefault="00601CB7" w:rsidP="00601CB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icmai.in (2020), </w:t>
      </w:r>
      <w:r>
        <w:rPr>
          <w:rFonts w:ascii="Times New Roman" w:hAnsi="Times New Roman" w:cs="Times New Roman"/>
          <w:i/>
          <w:color w:val="000000" w:themeColor="text1"/>
          <w:sz w:val="24"/>
          <w:szCs w:val="24"/>
        </w:rPr>
        <w:t xml:space="preserve">Fundamentals of </w:t>
      </w:r>
      <w:proofErr w:type="gramStart"/>
      <w:r>
        <w:rPr>
          <w:rFonts w:ascii="Times New Roman" w:hAnsi="Times New Roman" w:cs="Times New Roman"/>
          <w:i/>
          <w:color w:val="000000" w:themeColor="text1"/>
          <w:sz w:val="24"/>
          <w:szCs w:val="24"/>
        </w:rPr>
        <w:t>Accounting,</w:t>
      </w:r>
      <w:r>
        <w:rPr>
          <w:rFonts w:ascii="Times New Roman" w:hAnsi="Times New Roman" w:cs="Times New Roman"/>
          <w:color w:val="000000" w:themeColor="text1"/>
          <w:sz w:val="24"/>
          <w:szCs w:val="24"/>
        </w:rPr>
        <w:t xml:space="preserve">  Available</w:t>
      </w:r>
      <w:proofErr w:type="gramEnd"/>
      <w:r>
        <w:rPr>
          <w:rFonts w:ascii="Times New Roman" w:hAnsi="Times New Roman" w:cs="Times New Roman"/>
          <w:color w:val="000000" w:themeColor="text1"/>
          <w:sz w:val="24"/>
          <w:szCs w:val="24"/>
        </w:rPr>
        <w:t xml:space="preserve"> at: https://icmai.in/upload/Students/Syllabus-2012/Study_Material_New/Foundation-Paper2-Revised.pdf [Accessed on: 01/01/2020]</w:t>
      </w:r>
    </w:p>
    <w:p w14:paraId="03C016DB" w14:textId="77777777" w:rsidR="00601CB7" w:rsidRDefault="00601CB7" w:rsidP="00601CB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B398D12" w14:textId="77777777" w:rsidR="00601CB7" w:rsidRDefault="00601CB7" w:rsidP="00601CB7">
      <w:pPr>
        <w:pStyle w:val="Heading1"/>
      </w:pPr>
      <w:bookmarkStart w:id="11" w:name="_Toc40084975"/>
      <w:bookmarkStart w:id="12" w:name="_Toc39144661"/>
      <w:r>
        <w:lastRenderedPageBreak/>
        <w:t>Appendices</w:t>
      </w:r>
      <w:bookmarkEnd w:id="11"/>
      <w:bookmarkEnd w:id="12"/>
    </w:p>
    <w:p w14:paraId="69E5F09C" w14:textId="77777777" w:rsidR="00601CB7" w:rsidRDefault="00601CB7" w:rsidP="00601CB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Appendix 1: </w:t>
      </w:r>
      <w:r>
        <w:rPr>
          <w:rFonts w:ascii="Times New Roman" w:eastAsia="Times New Roman" w:hAnsi="Times New Roman" w:cs="Times New Roman"/>
          <w:b/>
          <w:color w:val="000000" w:themeColor="text1"/>
          <w:sz w:val="24"/>
          <w:szCs w:val="24"/>
          <w:highlight w:val="white"/>
        </w:rPr>
        <w:t>revenue expenditure and capital expenditure</w:t>
      </w:r>
    </w:p>
    <w:p w14:paraId="354C814A" w14:textId="43263B4C" w:rsidR="00601CB7" w:rsidRDefault="00601CB7" w:rsidP="00601CB7">
      <w:pPr>
        <w:spacing w:line="360" w:lineRule="auto"/>
        <w:jc w:val="center"/>
        <w:rPr>
          <w:rFonts w:ascii="Times New Roman" w:hAnsi="Times New Roman" w:cs="Times New Roman"/>
          <w:color w:val="000000" w:themeColor="text1"/>
          <w:sz w:val="24"/>
          <w:szCs w:val="24"/>
        </w:rPr>
      </w:pPr>
      <w:r>
        <w:rPr>
          <w:noProof/>
          <w:color w:val="000000" w:themeColor="text1"/>
        </w:rPr>
        <w:drawing>
          <wp:inline distT="0" distB="0" distL="0" distR="0" wp14:anchorId="163A5BAB" wp14:editId="1B7719D2">
            <wp:extent cx="5731510" cy="3208655"/>
            <wp:effectExtent l="0" t="0" r="2540" b="0"/>
            <wp:docPr id="1" name="Picture 1" descr="Image result for Difference between “revenue expenditure and capital expenditure” graphs and cg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Difference between “revenue expenditure and capital expenditure” graphs and cgar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5308CDF2" w14:textId="77777777" w:rsidR="00601CB7" w:rsidRDefault="00601CB7" w:rsidP="00601CB7">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(Source: https://www.wallstreetmojo.com/revenue-expenditure-examples/)</w:t>
      </w:r>
    </w:p>
    <w:p w14:paraId="13D1A37E" w14:textId="77777777" w:rsidR="00601CB7" w:rsidRDefault="00601CB7" w:rsidP="00601CB7">
      <w:pPr>
        <w:spacing w:line="360" w:lineRule="auto"/>
        <w:jc w:val="both"/>
        <w:rPr>
          <w:rFonts w:ascii="Times New Roman" w:eastAsia="Times New Roman" w:hAnsi="Times New Roman" w:cs="Times New Roman"/>
          <w:color w:val="000000" w:themeColor="text1"/>
          <w:sz w:val="24"/>
          <w:szCs w:val="24"/>
          <w:highlight w:val="white"/>
        </w:rPr>
      </w:pPr>
    </w:p>
    <w:p w14:paraId="6C79E5CC" w14:textId="77777777" w:rsidR="00601CB7" w:rsidRDefault="00601CB7" w:rsidP="00601CB7">
      <w:pPr>
        <w:rPr>
          <w:rFonts w:ascii="Times New Roman" w:hAnsi="Times New Roman" w:cs="Times New Roman"/>
          <w:sz w:val="24"/>
          <w:szCs w:val="24"/>
        </w:rPr>
      </w:pPr>
    </w:p>
    <w:p w14:paraId="13487ECC" w14:textId="77777777" w:rsidR="00BE7269" w:rsidRDefault="00BE7269"/>
    <w:sectPr w:rsidR="00BE7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536B20"/>
    <w:multiLevelType w:val="hybridMultilevel"/>
    <w:tmpl w:val="E7C8A268"/>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4F2A35D6"/>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abstractNum w:abstractNumId="2" w15:restartNumberingAfterBreak="0">
    <w:nsid w:val="6C0A13B7"/>
    <w:multiLevelType w:val="hybridMultilevel"/>
    <w:tmpl w:val="17D839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701E7332"/>
    <w:multiLevelType w:val="hybridMultilevel"/>
    <w:tmpl w:val="4CBAE542"/>
    <w:lvl w:ilvl="0" w:tplc="40090001">
      <w:start w:val="1"/>
      <w:numFmt w:val="bullet"/>
      <w:lvlText w:val=""/>
      <w:lvlJc w:val="left"/>
      <w:pPr>
        <w:ind w:left="1140" w:hanging="360"/>
      </w:pPr>
      <w:rPr>
        <w:rFonts w:ascii="Symbol" w:hAnsi="Symbol" w:hint="default"/>
      </w:rPr>
    </w:lvl>
    <w:lvl w:ilvl="1" w:tplc="40090003">
      <w:start w:val="1"/>
      <w:numFmt w:val="bullet"/>
      <w:lvlText w:val="o"/>
      <w:lvlJc w:val="left"/>
      <w:pPr>
        <w:ind w:left="1860" w:hanging="360"/>
      </w:pPr>
      <w:rPr>
        <w:rFonts w:ascii="Courier New" w:hAnsi="Courier New" w:cs="Courier New" w:hint="default"/>
      </w:rPr>
    </w:lvl>
    <w:lvl w:ilvl="2" w:tplc="40090005">
      <w:start w:val="1"/>
      <w:numFmt w:val="bullet"/>
      <w:lvlText w:val=""/>
      <w:lvlJc w:val="left"/>
      <w:pPr>
        <w:ind w:left="2580" w:hanging="360"/>
      </w:pPr>
      <w:rPr>
        <w:rFonts w:ascii="Wingdings" w:hAnsi="Wingdings" w:hint="default"/>
      </w:rPr>
    </w:lvl>
    <w:lvl w:ilvl="3" w:tplc="40090001">
      <w:start w:val="1"/>
      <w:numFmt w:val="bullet"/>
      <w:lvlText w:val=""/>
      <w:lvlJc w:val="left"/>
      <w:pPr>
        <w:ind w:left="3300" w:hanging="360"/>
      </w:pPr>
      <w:rPr>
        <w:rFonts w:ascii="Symbol" w:hAnsi="Symbol" w:hint="default"/>
      </w:rPr>
    </w:lvl>
    <w:lvl w:ilvl="4" w:tplc="40090003">
      <w:start w:val="1"/>
      <w:numFmt w:val="bullet"/>
      <w:lvlText w:val="o"/>
      <w:lvlJc w:val="left"/>
      <w:pPr>
        <w:ind w:left="4020" w:hanging="360"/>
      </w:pPr>
      <w:rPr>
        <w:rFonts w:ascii="Courier New" w:hAnsi="Courier New" w:cs="Courier New" w:hint="default"/>
      </w:rPr>
    </w:lvl>
    <w:lvl w:ilvl="5" w:tplc="40090005">
      <w:start w:val="1"/>
      <w:numFmt w:val="bullet"/>
      <w:lvlText w:val=""/>
      <w:lvlJc w:val="left"/>
      <w:pPr>
        <w:ind w:left="4740" w:hanging="360"/>
      </w:pPr>
      <w:rPr>
        <w:rFonts w:ascii="Wingdings" w:hAnsi="Wingdings" w:hint="default"/>
      </w:rPr>
    </w:lvl>
    <w:lvl w:ilvl="6" w:tplc="40090001">
      <w:start w:val="1"/>
      <w:numFmt w:val="bullet"/>
      <w:lvlText w:val=""/>
      <w:lvlJc w:val="left"/>
      <w:pPr>
        <w:ind w:left="5460" w:hanging="360"/>
      </w:pPr>
      <w:rPr>
        <w:rFonts w:ascii="Symbol" w:hAnsi="Symbol" w:hint="default"/>
      </w:rPr>
    </w:lvl>
    <w:lvl w:ilvl="7" w:tplc="40090003">
      <w:start w:val="1"/>
      <w:numFmt w:val="bullet"/>
      <w:lvlText w:val="o"/>
      <w:lvlJc w:val="left"/>
      <w:pPr>
        <w:ind w:left="6180" w:hanging="360"/>
      </w:pPr>
      <w:rPr>
        <w:rFonts w:ascii="Courier New" w:hAnsi="Courier New" w:cs="Courier New" w:hint="default"/>
      </w:rPr>
    </w:lvl>
    <w:lvl w:ilvl="8" w:tplc="40090005">
      <w:start w:val="1"/>
      <w:numFmt w:val="bullet"/>
      <w:lvlText w:val=""/>
      <w:lvlJc w:val="left"/>
      <w:pPr>
        <w:ind w:left="69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2B0"/>
    <w:rsid w:val="003412B0"/>
    <w:rsid w:val="00601CB7"/>
    <w:rsid w:val="00726688"/>
    <w:rsid w:val="00BE7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C967"/>
  <w15:chartTrackingRefBased/>
  <w15:docId w15:val="{F30B0992-27DC-4570-850C-00BC49CC4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CB7"/>
    <w:pPr>
      <w:spacing w:after="0" w:line="276" w:lineRule="auto"/>
    </w:pPr>
    <w:rPr>
      <w:rFonts w:ascii="Arial" w:eastAsia="Arial" w:hAnsi="Arial" w:cs="Arial"/>
      <w:lang w:val="en-IN" w:eastAsia="en-IN"/>
    </w:rPr>
  </w:style>
  <w:style w:type="paragraph" w:styleId="Heading1">
    <w:name w:val="heading 1"/>
    <w:basedOn w:val="Normal"/>
    <w:next w:val="Normal"/>
    <w:link w:val="Heading1Char"/>
    <w:autoRedefine/>
    <w:qFormat/>
    <w:rsid w:val="00601CB7"/>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link w:val="Heading2Char"/>
    <w:autoRedefine/>
    <w:semiHidden/>
    <w:unhideWhenUsed/>
    <w:qFormat/>
    <w:rsid w:val="00601CB7"/>
    <w:pPr>
      <w:keepNext/>
      <w:keepLines/>
      <w:spacing w:before="360" w:after="120" w:line="360" w:lineRule="auto"/>
      <w:jc w:val="both"/>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1CB7"/>
    <w:rPr>
      <w:rFonts w:ascii="Times New Roman" w:eastAsia="Arial" w:hAnsi="Times New Roman" w:cs="Arial"/>
      <w:b/>
      <w:color w:val="000000" w:themeColor="text1"/>
      <w:sz w:val="28"/>
      <w:szCs w:val="40"/>
      <w:lang w:val="en-IN" w:eastAsia="en-IN"/>
    </w:rPr>
  </w:style>
  <w:style w:type="character" w:customStyle="1" w:styleId="Heading2Char">
    <w:name w:val="Heading 2 Char"/>
    <w:basedOn w:val="DefaultParagraphFont"/>
    <w:link w:val="Heading2"/>
    <w:semiHidden/>
    <w:rsid w:val="00601CB7"/>
    <w:rPr>
      <w:rFonts w:ascii="Times New Roman" w:eastAsia="Arial" w:hAnsi="Times New Roman" w:cs="Arial"/>
      <w:b/>
      <w:color w:val="000000" w:themeColor="text1"/>
      <w:sz w:val="24"/>
      <w:szCs w:val="32"/>
      <w:lang w:val="en-IN" w:eastAsia="en-IN"/>
    </w:rPr>
  </w:style>
  <w:style w:type="character" w:styleId="Hyperlink">
    <w:name w:val="Hyperlink"/>
    <w:basedOn w:val="DefaultParagraphFont"/>
    <w:uiPriority w:val="99"/>
    <w:semiHidden/>
    <w:unhideWhenUsed/>
    <w:rsid w:val="00601CB7"/>
    <w:rPr>
      <w:color w:val="0563C1" w:themeColor="hyperlink"/>
      <w:u w:val="single"/>
    </w:rPr>
  </w:style>
  <w:style w:type="paragraph" w:styleId="TOC1">
    <w:name w:val="toc 1"/>
    <w:basedOn w:val="Normal"/>
    <w:next w:val="Normal"/>
    <w:autoRedefine/>
    <w:uiPriority w:val="39"/>
    <w:semiHidden/>
    <w:unhideWhenUsed/>
    <w:rsid w:val="00601CB7"/>
    <w:pPr>
      <w:spacing w:after="100"/>
    </w:pPr>
  </w:style>
  <w:style w:type="paragraph" w:styleId="TOC2">
    <w:name w:val="toc 2"/>
    <w:basedOn w:val="Normal"/>
    <w:next w:val="Normal"/>
    <w:autoRedefine/>
    <w:uiPriority w:val="39"/>
    <w:semiHidden/>
    <w:unhideWhenUsed/>
    <w:rsid w:val="00601CB7"/>
    <w:pPr>
      <w:spacing w:after="100"/>
      <w:ind w:left="220"/>
    </w:pPr>
  </w:style>
  <w:style w:type="paragraph" w:styleId="ListParagraph">
    <w:name w:val="List Paragraph"/>
    <w:basedOn w:val="Normal"/>
    <w:uiPriority w:val="34"/>
    <w:qFormat/>
    <w:rsid w:val="00601CB7"/>
    <w:pPr>
      <w:ind w:left="720"/>
      <w:contextualSpacing/>
    </w:pPr>
  </w:style>
  <w:style w:type="paragraph" w:styleId="TOCHeading">
    <w:name w:val="TOC Heading"/>
    <w:basedOn w:val="Heading1"/>
    <w:next w:val="Normal"/>
    <w:uiPriority w:val="39"/>
    <w:semiHidden/>
    <w:unhideWhenUsed/>
    <w:qFormat/>
    <w:rsid w:val="00601CB7"/>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table" w:customStyle="1" w:styleId="a">
    <w:name w:val="a"/>
    <w:basedOn w:val="TableNormal"/>
    <w:rsid w:val="00601CB7"/>
    <w:pPr>
      <w:spacing w:after="0" w:line="276" w:lineRule="auto"/>
    </w:pPr>
    <w:rPr>
      <w:rFonts w:ascii="Arial" w:eastAsia="Arial" w:hAnsi="Arial" w:cs="Arial"/>
      <w:lang w:val="en-IN" w:eastAsia="en-IN"/>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94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99ec5175ab1ac321/Desktop/assesments%2005.2020/Accounting%20Fundamentals-assessment%202.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docs.live.net/99ec5175ab1ac321/Desktop/assesments%2005.2020/Accounting%20Fundamentals-assessment%202.docx"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99ec5175ab1ac321/Desktop/assesments%2005.2020/Accounting%20Fundamentals-assessment%202.docx" TargetMode="External"/><Relationship Id="rId11" Type="http://schemas.openxmlformats.org/officeDocument/2006/relationships/hyperlink" Target="https://d.docs.live.net/99ec5175ab1ac321/Desktop/assesments%2005.2020/Accounting%20Fundamentals-assessment%202.docx" TargetMode="External"/><Relationship Id="rId5" Type="http://schemas.openxmlformats.org/officeDocument/2006/relationships/hyperlink" Target="https://d.docs.live.net/99ec5175ab1ac321/Desktop/assesments%2005.2020/Accounting%20Fundamentals-assessment%202.docx" TargetMode="External"/><Relationship Id="rId10" Type="http://schemas.openxmlformats.org/officeDocument/2006/relationships/hyperlink" Target="https://d.docs.live.net/99ec5175ab1ac321/Desktop/assesments%2005.2020/Accounting%20Fundamentals-assessment%202.docx" TargetMode="External"/><Relationship Id="rId4" Type="http://schemas.openxmlformats.org/officeDocument/2006/relationships/webSettings" Target="webSettings.xml"/><Relationship Id="rId9" Type="http://schemas.openxmlformats.org/officeDocument/2006/relationships/hyperlink" Target="https://d.docs.live.net/99ec5175ab1ac321/Desktop/assesments%2005.2020/Accounting%20Fundamentals-assessment%202.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1671</Words>
  <Characters>9526</Characters>
  <Application>Microsoft Office Word</Application>
  <DocSecurity>0</DocSecurity>
  <Lines>79</Lines>
  <Paragraphs>22</Paragraphs>
  <ScaleCrop>false</ScaleCrop>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vodislav</dc:creator>
  <cp:keywords/>
  <dc:description/>
  <cp:lastModifiedBy>george vodislav</cp:lastModifiedBy>
  <cp:revision>3</cp:revision>
  <dcterms:created xsi:type="dcterms:W3CDTF">2020-05-11T18:54:00Z</dcterms:created>
  <dcterms:modified xsi:type="dcterms:W3CDTF">2020-05-15T18:35:00Z</dcterms:modified>
</cp:coreProperties>
</file>