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665E2" w14:textId="66472955" w:rsidR="005E4E4B" w:rsidRDefault="00FA2627">
      <w:pPr>
        <w:rPr>
          <w:sz w:val="28"/>
          <w:szCs w:val="28"/>
        </w:rPr>
      </w:pPr>
      <w:r>
        <w:rPr>
          <w:sz w:val="28"/>
          <w:szCs w:val="28"/>
        </w:rPr>
        <w:t>Statutory law is written and passed by the UK Parliament. Parliament makes and passes legislation; however, it is up to the courts to apply the legislation (</w:t>
      </w:r>
      <w:proofErr w:type="spellStart"/>
      <w:r w:rsidR="009A75AF">
        <w:rPr>
          <w:sz w:val="28"/>
          <w:szCs w:val="28"/>
        </w:rPr>
        <w:t>Allbon</w:t>
      </w:r>
      <w:proofErr w:type="spellEnd"/>
      <w:r w:rsidR="009A75AF">
        <w:rPr>
          <w:sz w:val="28"/>
          <w:szCs w:val="28"/>
        </w:rPr>
        <w:t xml:space="preserve"> </w:t>
      </w:r>
      <w:r>
        <w:rPr>
          <w:sz w:val="28"/>
          <w:szCs w:val="28"/>
        </w:rPr>
        <w:t xml:space="preserve">and </w:t>
      </w:r>
      <w:proofErr w:type="spellStart"/>
      <w:r w:rsidR="009A75AF">
        <w:rPr>
          <w:sz w:val="28"/>
          <w:szCs w:val="28"/>
        </w:rPr>
        <w:t>Dua</w:t>
      </w:r>
      <w:proofErr w:type="spellEnd"/>
      <w:r>
        <w:rPr>
          <w:sz w:val="28"/>
          <w:szCs w:val="28"/>
        </w:rPr>
        <w:t>, 2020). When Parliament passes a piece of legislation it is not possible to ask each member of Parliament what was meant</w:t>
      </w:r>
      <w:r w:rsidR="00E17366">
        <w:rPr>
          <w:sz w:val="28"/>
          <w:szCs w:val="28"/>
        </w:rPr>
        <w:t xml:space="preserve"> when</w:t>
      </w:r>
      <w:r>
        <w:rPr>
          <w:sz w:val="28"/>
          <w:szCs w:val="28"/>
        </w:rPr>
        <w:t xml:space="preserve"> they passed the Act (Gillespie and </w:t>
      </w:r>
      <w:proofErr w:type="spellStart"/>
      <w:r>
        <w:rPr>
          <w:sz w:val="28"/>
          <w:szCs w:val="28"/>
        </w:rPr>
        <w:t>Weare</w:t>
      </w:r>
      <w:proofErr w:type="spellEnd"/>
      <w:r>
        <w:rPr>
          <w:sz w:val="28"/>
          <w:szCs w:val="28"/>
        </w:rPr>
        <w:t xml:space="preserve">, 2021). </w:t>
      </w:r>
    </w:p>
    <w:p w14:paraId="288E87E6" w14:textId="355FB711" w:rsidR="00FA2627" w:rsidRDefault="00FA2627">
      <w:pPr>
        <w:rPr>
          <w:sz w:val="28"/>
          <w:szCs w:val="28"/>
        </w:rPr>
      </w:pPr>
      <w:r>
        <w:rPr>
          <w:sz w:val="28"/>
          <w:szCs w:val="28"/>
        </w:rPr>
        <w:t xml:space="preserve">An Act is carefully </w:t>
      </w:r>
      <w:r w:rsidR="00601076">
        <w:rPr>
          <w:sz w:val="28"/>
          <w:szCs w:val="28"/>
        </w:rPr>
        <w:t>written,</w:t>
      </w:r>
      <w:r>
        <w:rPr>
          <w:sz w:val="28"/>
          <w:szCs w:val="28"/>
        </w:rPr>
        <w:t xml:space="preserve"> and the draftsmen try to ensure that they are clear with what is meant by the legislation, however, the statues can contain words with different meaning and words that are no longer used </w:t>
      </w:r>
      <w:proofErr w:type="gramStart"/>
      <w:r>
        <w:rPr>
          <w:sz w:val="28"/>
          <w:szCs w:val="28"/>
        </w:rPr>
        <w:t>in today’s society</w:t>
      </w:r>
      <w:proofErr w:type="gramEnd"/>
      <w:r>
        <w:rPr>
          <w:sz w:val="28"/>
          <w:szCs w:val="28"/>
        </w:rPr>
        <w:t xml:space="preserve"> as some statues date back to hundreds of years ago, despite </w:t>
      </w:r>
      <w:r w:rsidR="00601076">
        <w:rPr>
          <w:sz w:val="28"/>
          <w:szCs w:val="28"/>
        </w:rPr>
        <w:t xml:space="preserve">being applicable today (Laver, 2020). Consequently, sometimes courts </w:t>
      </w:r>
      <w:proofErr w:type="gramStart"/>
      <w:r w:rsidR="00601076">
        <w:rPr>
          <w:sz w:val="28"/>
          <w:szCs w:val="28"/>
        </w:rPr>
        <w:t>have to</w:t>
      </w:r>
      <w:proofErr w:type="gramEnd"/>
      <w:r w:rsidR="00601076">
        <w:rPr>
          <w:sz w:val="28"/>
          <w:szCs w:val="28"/>
        </w:rPr>
        <w:t xml:space="preserve"> interpret an Act’s meaning through the process of statutory interpretation. One of the key principles of statutory interpretation is to simplify and shorten the legislation and to have more consistency and understanding of the legislation (Carter, 2022). Statutory interpretation is a way in which the higher structure of the courts develops the law. </w:t>
      </w:r>
    </w:p>
    <w:p w14:paraId="67D63D15" w14:textId="6C9D3C03" w:rsidR="00601076" w:rsidRDefault="00601076">
      <w:pPr>
        <w:rPr>
          <w:sz w:val="28"/>
          <w:szCs w:val="28"/>
        </w:rPr>
      </w:pPr>
      <w:r>
        <w:rPr>
          <w:sz w:val="28"/>
          <w:szCs w:val="28"/>
        </w:rPr>
        <w:t xml:space="preserve">There are three rules to statutory interpretation they are the literal rule, the golden rule, and the mischief rule. The literal rule requires the courts to apply the law that was created by Parliament and to interpret the words </w:t>
      </w:r>
      <w:r w:rsidR="00636D7C">
        <w:rPr>
          <w:sz w:val="28"/>
          <w:szCs w:val="28"/>
        </w:rPr>
        <w:t xml:space="preserve">according to their natural meaning, this is the usual starting point in the process of statutory interpretation (Wilson, et al, 2020). As stated by Lord Diplock in </w:t>
      </w:r>
      <w:proofErr w:type="spellStart"/>
      <w:r w:rsidR="00636D7C">
        <w:rPr>
          <w:sz w:val="28"/>
          <w:szCs w:val="28"/>
        </w:rPr>
        <w:t>Duport</w:t>
      </w:r>
      <w:proofErr w:type="spellEnd"/>
      <w:r w:rsidR="00636D7C">
        <w:rPr>
          <w:sz w:val="28"/>
          <w:szCs w:val="28"/>
        </w:rPr>
        <w:t xml:space="preserve"> Street Ltd v </w:t>
      </w:r>
      <w:proofErr w:type="spellStart"/>
      <w:r w:rsidR="00636D7C">
        <w:rPr>
          <w:sz w:val="28"/>
          <w:szCs w:val="28"/>
        </w:rPr>
        <w:t>Sirls</w:t>
      </w:r>
      <w:proofErr w:type="spellEnd"/>
      <w:r w:rsidR="00636D7C">
        <w:rPr>
          <w:sz w:val="28"/>
          <w:szCs w:val="28"/>
        </w:rPr>
        <w:t xml:space="preserve"> (1980), ‘the role of the judiciary is to find out from the words that Parliament approved and what its intention was and to what effect’. The golden rule is seen as the </w:t>
      </w:r>
      <w:r w:rsidR="002D5DAE">
        <w:rPr>
          <w:sz w:val="28"/>
          <w:szCs w:val="28"/>
        </w:rPr>
        <w:t>common-sense</w:t>
      </w:r>
      <w:r w:rsidR="00636D7C">
        <w:rPr>
          <w:sz w:val="28"/>
          <w:szCs w:val="28"/>
        </w:rPr>
        <w:t xml:space="preserve"> </w:t>
      </w:r>
      <w:r w:rsidR="002D5DAE">
        <w:rPr>
          <w:sz w:val="28"/>
          <w:szCs w:val="28"/>
        </w:rPr>
        <w:t xml:space="preserve">approach. This rule is where the ordinary definition of the word leads to an absurd meaning, leading to the natural of the words can be modified or an alternative definition can be used. Another aspect of the golden rule is that it is not for the courts to judge the absurdity of a legislation only to apply the legislation. The mischief rule requires the courts to look at what the law was prior to the legislation being passed and to see if there were any gaps that the legislation intended to cover up. </w:t>
      </w:r>
    </w:p>
    <w:p w14:paraId="44D84245" w14:textId="18B0DFE6" w:rsidR="007372BC" w:rsidRDefault="002D5DAE">
      <w:pPr>
        <w:rPr>
          <w:sz w:val="28"/>
          <w:szCs w:val="28"/>
        </w:rPr>
      </w:pPr>
      <w:r>
        <w:rPr>
          <w:sz w:val="28"/>
          <w:szCs w:val="28"/>
        </w:rPr>
        <w:t xml:space="preserve">Upon considering the nature of statutory interpretation, many would argue that statutory interpretation undermines </w:t>
      </w:r>
      <w:r w:rsidR="007372BC">
        <w:rPr>
          <w:sz w:val="28"/>
          <w:szCs w:val="28"/>
        </w:rPr>
        <w:t xml:space="preserve">Parliament’s supremacy and legislation’s essence as a primary source of law and judges could potentially use the ambiguity of words to redefine the intention of legislation. The courts could </w:t>
      </w:r>
      <w:r w:rsidR="00C43B4B">
        <w:rPr>
          <w:sz w:val="28"/>
          <w:szCs w:val="28"/>
        </w:rPr>
        <w:t>be</w:t>
      </w:r>
      <w:r w:rsidR="007372BC">
        <w:rPr>
          <w:sz w:val="28"/>
          <w:szCs w:val="28"/>
        </w:rPr>
        <w:t xml:space="preserve"> seen as acting as though they are the legislature even though they do not have the democratic mandate to do so (</w:t>
      </w:r>
      <w:proofErr w:type="spellStart"/>
      <w:r w:rsidR="007372BC">
        <w:rPr>
          <w:sz w:val="28"/>
          <w:szCs w:val="28"/>
        </w:rPr>
        <w:t>Pey</w:t>
      </w:r>
      <w:proofErr w:type="spellEnd"/>
      <w:r w:rsidR="007372BC">
        <w:rPr>
          <w:sz w:val="28"/>
          <w:szCs w:val="28"/>
        </w:rPr>
        <w:t xml:space="preserve">, 2021). </w:t>
      </w:r>
      <w:r w:rsidR="00C43B4B">
        <w:rPr>
          <w:sz w:val="28"/>
          <w:szCs w:val="28"/>
        </w:rPr>
        <w:t xml:space="preserve">However, upon further </w:t>
      </w:r>
      <w:r w:rsidR="00C43B4B">
        <w:rPr>
          <w:sz w:val="28"/>
          <w:szCs w:val="28"/>
        </w:rPr>
        <w:lastRenderedPageBreak/>
        <w:t xml:space="preserve">inspection of the number of inconsistences and ambiguities found with within the legislation it is apparent that statutory interpretation is needed </w:t>
      </w:r>
      <w:proofErr w:type="gramStart"/>
      <w:r w:rsidR="00C43B4B">
        <w:rPr>
          <w:sz w:val="28"/>
          <w:szCs w:val="28"/>
        </w:rPr>
        <w:t>and in reality, does</w:t>
      </w:r>
      <w:proofErr w:type="gramEnd"/>
      <w:r w:rsidR="00C43B4B">
        <w:rPr>
          <w:sz w:val="28"/>
          <w:szCs w:val="28"/>
        </w:rPr>
        <w:t xml:space="preserve"> not undermine the primacy of Parliamentary legislation. </w:t>
      </w:r>
    </w:p>
    <w:p w14:paraId="548A45B5" w14:textId="7A62B5CE" w:rsidR="00F270F8" w:rsidRDefault="00F270F8">
      <w:pPr>
        <w:rPr>
          <w:sz w:val="28"/>
          <w:szCs w:val="28"/>
        </w:rPr>
      </w:pPr>
      <w:r>
        <w:rPr>
          <w:sz w:val="28"/>
          <w:szCs w:val="28"/>
        </w:rPr>
        <w:t xml:space="preserve">Firstly, contrary to the beliefs of those who argue that statutory interpretation undermines the status of legislation as the primary source of the UK law, statutory interpretation </w:t>
      </w:r>
      <w:proofErr w:type="gramStart"/>
      <w:r>
        <w:rPr>
          <w:sz w:val="28"/>
          <w:szCs w:val="28"/>
        </w:rPr>
        <w:t>actually upholds</w:t>
      </w:r>
      <w:proofErr w:type="gramEnd"/>
      <w:r>
        <w:rPr>
          <w:sz w:val="28"/>
          <w:szCs w:val="28"/>
        </w:rPr>
        <w:t xml:space="preserve"> the supremacy of Parliament and Parliament’s intention. This is </w:t>
      </w:r>
      <w:proofErr w:type="gramStart"/>
      <w:r>
        <w:rPr>
          <w:sz w:val="28"/>
          <w:szCs w:val="28"/>
        </w:rPr>
        <w:t>due to the fact that</w:t>
      </w:r>
      <w:proofErr w:type="gramEnd"/>
      <w:r>
        <w:rPr>
          <w:sz w:val="28"/>
          <w:szCs w:val="28"/>
        </w:rPr>
        <w:t xml:space="preserve"> there are many examples of principles within the doctrine of statutory interpretation that clearly emphasise the need to uphold Parliament’s intention. For example</w:t>
      </w:r>
      <w:r w:rsidR="00044CBF">
        <w:rPr>
          <w:sz w:val="28"/>
          <w:szCs w:val="28"/>
        </w:rPr>
        <w:t>, according to section</w:t>
      </w:r>
      <w:r w:rsidR="00FA06C6">
        <w:rPr>
          <w:sz w:val="28"/>
          <w:szCs w:val="28"/>
        </w:rPr>
        <w:t xml:space="preserve"> </w:t>
      </w:r>
      <w:r w:rsidR="00044CBF">
        <w:rPr>
          <w:sz w:val="28"/>
          <w:szCs w:val="28"/>
        </w:rPr>
        <w:t xml:space="preserve">3 of the Human Rights Act 1998, Parliament has even gone so far as to grant courts more power to depart from an unambiguous meaning within legislation in order to make it convention compliant (Supreme Court 2021). Whilst many would argue that this is merely to avoid having to make a declaration of incompatibility, therefore Parliament’s sovereign intention to grant the courts this power does not necessarily apply to cases that do not involve human rights. However, this clearly shows that Parliament is willing to grant these powers onto the courts in the first place </w:t>
      </w:r>
      <w:r w:rsidR="00A136B7">
        <w:rPr>
          <w:sz w:val="28"/>
          <w:szCs w:val="28"/>
        </w:rPr>
        <w:t xml:space="preserve">which implies that they do not recognise the principle of statutory interpretation as an undermining of their legislation’s primacy. </w:t>
      </w:r>
    </w:p>
    <w:p w14:paraId="3B716724" w14:textId="6082428B" w:rsidR="00A136B7" w:rsidRDefault="00A136B7">
      <w:pPr>
        <w:rPr>
          <w:sz w:val="28"/>
          <w:szCs w:val="28"/>
        </w:rPr>
      </w:pPr>
      <w:r>
        <w:rPr>
          <w:sz w:val="28"/>
          <w:szCs w:val="28"/>
        </w:rPr>
        <w:t xml:space="preserve">Another example of how the intentions behind Parliamentary legislation are upheld is the fact that the courts </w:t>
      </w:r>
      <w:proofErr w:type="gramStart"/>
      <w:r>
        <w:rPr>
          <w:sz w:val="28"/>
          <w:szCs w:val="28"/>
        </w:rPr>
        <w:t>take into account</w:t>
      </w:r>
      <w:proofErr w:type="gramEnd"/>
      <w:r>
        <w:rPr>
          <w:sz w:val="28"/>
          <w:szCs w:val="28"/>
        </w:rPr>
        <w:t xml:space="preserve"> the context surrounding the creation of the Act and one of Parliament’s many objectivise when enacting legislation which is to reflect the values of our </w:t>
      </w:r>
      <w:r w:rsidR="007C35E1">
        <w:rPr>
          <w:sz w:val="28"/>
          <w:szCs w:val="28"/>
        </w:rPr>
        <w:t xml:space="preserve">ever-changing society. The mischief rule is a prime example of this, as it looks at what gaps in the law Parliament intended to cover up when enacting the </w:t>
      </w:r>
      <w:proofErr w:type="gramStart"/>
      <w:r w:rsidR="007C35E1">
        <w:rPr>
          <w:sz w:val="28"/>
          <w:szCs w:val="28"/>
        </w:rPr>
        <w:t>particular legislation</w:t>
      </w:r>
      <w:proofErr w:type="gramEnd"/>
      <w:r w:rsidR="007C35E1">
        <w:rPr>
          <w:sz w:val="28"/>
          <w:szCs w:val="28"/>
        </w:rPr>
        <w:t xml:space="preserve">, therefore when interpreting the words within the legislation they are using Parliament’s initial intentions to fully comprehend the meaning of the Act. Additionally, legislation enacted by Parliament usually </w:t>
      </w:r>
      <w:r w:rsidR="00012793">
        <w:rPr>
          <w:sz w:val="28"/>
          <w:szCs w:val="28"/>
        </w:rPr>
        <w:t xml:space="preserve">intends to uphold the views of the general public. There have been instances where the courts using statutory interpretation have aimed to do so, and this has fulfilled the intention of the legislation even if it was inadvertently. In Fitzpatrick v Sterling Housing Association (1999) for example, the meaning of ‘member of a family’ was interpreted to include a same sex partner, which clearly indicates that when </w:t>
      </w:r>
      <w:r w:rsidR="00D9754A">
        <w:rPr>
          <w:sz w:val="28"/>
          <w:szCs w:val="28"/>
        </w:rPr>
        <w:t xml:space="preserve">legislation is no longer able to reflect the views of the public, statutory interpretation can act as an aid to do so, by changing the meaning to be more reflective of society itself. </w:t>
      </w:r>
    </w:p>
    <w:p w14:paraId="2B47464F" w14:textId="03448E31" w:rsidR="008F191E" w:rsidRDefault="00D9754A">
      <w:pPr>
        <w:rPr>
          <w:sz w:val="28"/>
          <w:szCs w:val="28"/>
        </w:rPr>
      </w:pPr>
      <w:r>
        <w:rPr>
          <w:sz w:val="28"/>
          <w:szCs w:val="28"/>
        </w:rPr>
        <w:lastRenderedPageBreak/>
        <w:t>The necessity of statutory interpretation also supports the idea that the doctrine of statutory interpretation does not diminish the status of legislation as a primary source of law. For example</w:t>
      </w:r>
      <w:r w:rsidR="008F191E">
        <w:rPr>
          <w:sz w:val="28"/>
          <w:szCs w:val="28"/>
        </w:rPr>
        <w:t>,</w:t>
      </w:r>
      <w:r>
        <w:rPr>
          <w:sz w:val="28"/>
          <w:szCs w:val="28"/>
        </w:rPr>
        <w:t xml:space="preserve"> the Coronavirus Act 2020 clearly indicate why statutory interpretation is needed. </w:t>
      </w:r>
      <w:r w:rsidR="008F191E">
        <w:rPr>
          <w:sz w:val="28"/>
          <w:szCs w:val="28"/>
        </w:rPr>
        <w:t xml:space="preserve">This Act is an example of situations where Acts need to be swiftly enacted, and they are not examined with as much thorough scrutiny as what other Acts are forced to undergo. Consequently, the language in these types of Acts is not going to be clear and is surely going to leave some ambiguities. Therefore, the courts will have no choice but to interpret the language in a way in which they see fit, otherwise there will be gaps within the law. As a result, statutory interpretation should not be viewed as an opponent to the status of Parliament’s legislation, and instead </w:t>
      </w:r>
      <w:r w:rsidR="008919FD">
        <w:rPr>
          <w:sz w:val="28"/>
          <w:szCs w:val="28"/>
        </w:rPr>
        <w:t xml:space="preserve">it should be viewed as a tool that aids Parliament in ensuring that the legislation is clear, even when they are under circumstances which prevents them from doing so. </w:t>
      </w:r>
    </w:p>
    <w:p w14:paraId="780F9177" w14:textId="32BC8BDE" w:rsidR="008919FD" w:rsidRDefault="008919FD">
      <w:pPr>
        <w:rPr>
          <w:sz w:val="28"/>
          <w:szCs w:val="28"/>
        </w:rPr>
      </w:pPr>
      <w:r>
        <w:rPr>
          <w:sz w:val="28"/>
          <w:szCs w:val="28"/>
        </w:rPr>
        <w:t xml:space="preserve">On the other </w:t>
      </w:r>
      <w:r w:rsidR="007F5F65">
        <w:rPr>
          <w:sz w:val="28"/>
          <w:szCs w:val="28"/>
        </w:rPr>
        <w:t>hand,</w:t>
      </w:r>
      <w:r>
        <w:rPr>
          <w:sz w:val="28"/>
          <w:szCs w:val="28"/>
        </w:rPr>
        <w:t xml:space="preserve"> it has been argued that statutory interpretation, whilst clearly demonstrating some benefits has diminished Parliamentary legislations primacy. </w:t>
      </w:r>
      <w:r w:rsidR="007F5F65">
        <w:rPr>
          <w:sz w:val="28"/>
          <w:szCs w:val="28"/>
        </w:rPr>
        <w:t xml:space="preserve">The courts interpret statues </w:t>
      </w:r>
      <w:proofErr w:type="gramStart"/>
      <w:r w:rsidR="007F5F65">
        <w:rPr>
          <w:sz w:val="28"/>
          <w:szCs w:val="28"/>
        </w:rPr>
        <w:t>on a daily basis</w:t>
      </w:r>
      <w:proofErr w:type="gramEnd"/>
      <w:r w:rsidR="007F5F65">
        <w:rPr>
          <w:sz w:val="28"/>
          <w:szCs w:val="28"/>
        </w:rPr>
        <w:t xml:space="preserve"> and alter the meaning of words found within legislation without making members of Parliament aware of each and every decision made as it would be impossible to do so (Diggory, 2020). It is certainly true that members of Parliament are unable to be aware of all alterations made by the courts, this perception of statutory interpretation suggests that judges potentially diminish the importance of primary legislation as they could freely interpret legislation in any </w:t>
      </w:r>
      <w:r w:rsidR="0022613A">
        <w:rPr>
          <w:sz w:val="28"/>
          <w:szCs w:val="28"/>
        </w:rPr>
        <w:t>way,</w:t>
      </w:r>
      <w:r w:rsidR="007F5F65">
        <w:rPr>
          <w:sz w:val="28"/>
          <w:szCs w:val="28"/>
        </w:rPr>
        <w:t xml:space="preserve"> they </w:t>
      </w:r>
      <w:r w:rsidR="0022613A">
        <w:rPr>
          <w:sz w:val="28"/>
          <w:szCs w:val="28"/>
        </w:rPr>
        <w:t xml:space="preserve">which to do so without being reviewed by Parliament. However, this is not the case as the literal rule, the golden rule, and the mischief rule are clearly limitations that control the extent to which courts are able to depart from the original terms found in legislation. </w:t>
      </w:r>
    </w:p>
    <w:p w14:paraId="064E8AC2" w14:textId="55C9C6A8" w:rsidR="0022613A" w:rsidRDefault="0022613A">
      <w:pPr>
        <w:rPr>
          <w:sz w:val="28"/>
          <w:szCs w:val="28"/>
        </w:rPr>
      </w:pPr>
      <w:r>
        <w:rPr>
          <w:sz w:val="28"/>
          <w:szCs w:val="28"/>
        </w:rPr>
        <w:t xml:space="preserve">Furthermore, whilst it could be argued that just because statutory interpretation is necessary and seemingly upholds the intention of Parliament in respect to human rights, this does not necessarily mean that statutory interpretation does not diminish legislation’s primacy. </w:t>
      </w:r>
      <w:r w:rsidR="000E15D2">
        <w:rPr>
          <w:sz w:val="28"/>
          <w:szCs w:val="28"/>
        </w:rPr>
        <w:t xml:space="preserve">This is because, whilst courts cannot go completely against the wording of Parliament during their interpretation, this does not necessarily mean that they cannot interpret words in a way that is contradictory to the intentions of Parliament. However, this makes the incorrect assumption that judges simply make decisions on a whim and use their own views as to what a word means. When interpreting statue and the meaning of its words the courts do </w:t>
      </w:r>
      <w:proofErr w:type="gramStart"/>
      <w:r w:rsidR="000E15D2">
        <w:rPr>
          <w:sz w:val="28"/>
          <w:szCs w:val="28"/>
        </w:rPr>
        <w:t>take into account</w:t>
      </w:r>
      <w:proofErr w:type="gramEnd"/>
      <w:r w:rsidR="000E15D2">
        <w:rPr>
          <w:sz w:val="28"/>
          <w:szCs w:val="28"/>
        </w:rPr>
        <w:t xml:space="preserve"> </w:t>
      </w:r>
      <w:r w:rsidR="000E15D2">
        <w:rPr>
          <w:sz w:val="28"/>
          <w:szCs w:val="28"/>
        </w:rPr>
        <w:lastRenderedPageBreak/>
        <w:t xml:space="preserve">statements made in Parliament by ministers during creation of the legislation, as the power </w:t>
      </w:r>
      <w:r w:rsidR="00F10F13">
        <w:rPr>
          <w:sz w:val="28"/>
          <w:szCs w:val="28"/>
        </w:rPr>
        <w:t>was granted to them by the case of Pepper v Hart (1993)</w:t>
      </w:r>
      <w:r w:rsidR="009A75AF">
        <w:rPr>
          <w:sz w:val="28"/>
          <w:szCs w:val="28"/>
        </w:rPr>
        <w:t xml:space="preserve">, </w:t>
      </w:r>
      <w:r w:rsidR="00F10F13">
        <w:rPr>
          <w:sz w:val="28"/>
          <w:szCs w:val="28"/>
        </w:rPr>
        <w:t xml:space="preserve">whereas before this would have been regarded as a breach of Parliamentary privilege (Kelly, 2005). Therefore, when interpreting legislation, the courts </w:t>
      </w:r>
      <w:proofErr w:type="gramStart"/>
      <w:r w:rsidR="00F10F13">
        <w:rPr>
          <w:sz w:val="28"/>
          <w:szCs w:val="28"/>
        </w:rPr>
        <w:t>are able to</w:t>
      </w:r>
      <w:proofErr w:type="gramEnd"/>
      <w:r w:rsidR="00F10F13">
        <w:rPr>
          <w:sz w:val="28"/>
          <w:szCs w:val="28"/>
        </w:rPr>
        <w:t xml:space="preserve"> use the context of the Act’s enacted along with the views of the ministers involved in the creation, which clearly indicates that the courts take the intention of Parliament into account. Furthermore, when interpreting statue judges of the higher court judges make decisions based on principle and rationality (Partington, 2021), therefore they are not interpreting words based on their own opinion. </w:t>
      </w:r>
    </w:p>
    <w:p w14:paraId="0F058706" w14:textId="045E355E" w:rsidR="00F10F13" w:rsidRDefault="00E17366">
      <w:pPr>
        <w:rPr>
          <w:sz w:val="28"/>
          <w:szCs w:val="28"/>
        </w:rPr>
      </w:pPr>
      <w:r>
        <w:rPr>
          <w:sz w:val="28"/>
          <w:szCs w:val="28"/>
        </w:rPr>
        <w:t xml:space="preserve">Overall, whilst the power to interpret the ambiguities or obscurities found in legislation seemingly diminishes the status of legislation as the primary source of UK law as it could potentially lead judges to interpret language in any way they please, this surface level perception of statutory interpretation does not </w:t>
      </w:r>
      <w:proofErr w:type="gramStart"/>
      <w:r>
        <w:rPr>
          <w:sz w:val="28"/>
          <w:szCs w:val="28"/>
        </w:rPr>
        <w:t>take into account</w:t>
      </w:r>
      <w:proofErr w:type="gramEnd"/>
      <w:r>
        <w:rPr>
          <w:sz w:val="28"/>
          <w:szCs w:val="28"/>
        </w:rPr>
        <w:t xml:space="preserve"> the limits imposed on judges when carrying out statutory interpretation and the clear intention to uphold the aims of Parliament’s legislation. </w:t>
      </w:r>
    </w:p>
    <w:p w14:paraId="31CF79D8" w14:textId="38D70D13" w:rsidR="00601076" w:rsidRDefault="00601076">
      <w:pPr>
        <w:rPr>
          <w:sz w:val="28"/>
          <w:szCs w:val="28"/>
        </w:rPr>
      </w:pPr>
    </w:p>
    <w:p w14:paraId="2D1D56EA" w14:textId="53099D49" w:rsidR="009A75AF" w:rsidRDefault="009A75AF">
      <w:pPr>
        <w:rPr>
          <w:sz w:val="28"/>
          <w:szCs w:val="28"/>
        </w:rPr>
      </w:pPr>
      <w:r>
        <w:rPr>
          <w:sz w:val="28"/>
          <w:szCs w:val="28"/>
        </w:rPr>
        <w:t>References:</w:t>
      </w:r>
    </w:p>
    <w:p w14:paraId="32E3D994" w14:textId="0B86E079" w:rsidR="009A75AF" w:rsidRDefault="009A75AF">
      <w:pPr>
        <w:rPr>
          <w:sz w:val="28"/>
          <w:szCs w:val="28"/>
        </w:rPr>
      </w:pPr>
      <w:proofErr w:type="spellStart"/>
      <w:r>
        <w:rPr>
          <w:sz w:val="28"/>
          <w:szCs w:val="28"/>
        </w:rPr>
        <w:t>Allbon</w:t>
      </w:r>
      <w:proofErr w:type="spellEnd"/>
      <w:r>
        <w:rPr>
          <w:sz w:val="28"/>
          <w:szCs w:val="28"/>
        </w:rPr>
        <w:t>, E</w:t>
      </w:r>
      <w:r w:rsidR="006470B2">
        <w:rPr>
          <w:sz w:val="28"/>
          <w:szCs w:val="28"/>
        </w:rPr>
        <w:t xml:space="preserve">. and </w:t>
      </w:r>
      <w:proofErr w:type="spellStart"/>
      <w:r w:rsidR="006470B2">
        <w:rPr>
          <w:sz w:val="28"/>
          <w:szCs w:val="28"/>
        </w:rPr>
        <w:t>Dua</w:t>
      </w:r>
      <w:proofErr w:type="spellEnd"/>
      <w:r w:rsidR="006470B2">
        <w:rPr>
          <w:sz w:val="28"/>
          <w:szCs w:val="28"/>
        </w:rPr>
        <w:t xml:space="preserve">, S. (2020) ‘Elliott and Quinn’s English legal system. Twenty first edition. Pearson Education Limited. </w:t>
      </w:r>
    </w:p>
    <w:p w14:paraId="505E2F23" w14:textId="1320C1D3" w:rsidR="006470B2" w:rsidRDefault="006470B2">
      <w:pPr>
        <w:rPr>
          <w:sz w:val="28"/>
          <w:szCs w:val="28"/>
        </w:rPr>
      </w:pPr>
      <w:r>
        <w:rPr>
          <w:sz w:val="28"/>
          <w:szCs w:val="28"/>
        </w:rPr>
        <w:t xml:space="preserve">Carter, R. (2022) ‘Interpretation Acts- Are they and how do they make for, great law: Available @ </w:t>
      </w:r>
      <w:hyperlink r:id="rId4" w:history="1">
        <w:r w:rsidRPr="00A20EB6">
          <w:rPr>
            <w:rStyle w:val="Hyperlink"/>
            <w:sz w:val="28"/>
            <w:szCs w:val="28"/>
          </w:rPr>
          <w:t>https://doi.org/10.1093/sir/hmab007</w:t>
        </w:r>
      </w:hyperlink>
      <w:r>
        <w:rPr>
          <w:sz w:val="28"/>
          <w:szCs w:val="28"/>
        </w:rPr>
        <w:t>. Accessed on 28</w:t>
      </w:r>
      <w:r w:rsidRPr="006470B2">
        <w:rPr>
          <w:sz w:val="28"/>
          <w:szCs w:val="28"/>
          <w:vertAlign w:val="superscript"/>
        </w:rPr>
        <w:t>th</w:t>
      </w:r>
      <w:r>
        <w:rPr>
          <w:sz w:val="28"/>
          <w:szCs w:val="28"/>
        </w:rPr>
        <w:t xml:space="preserve"> of March 2022. </w:t>
      </w:r>
    </w:p>
    <w:p w14:paraId="6AB870A0" w14:textId="708F6EA6" w:rsidR="006470B2" w:rsidRDefault="006470B2">
      <w:pPr>
        <w:rPr>
          <w:sz w:val="28"/>
          <w:szCs w:val="28"/>
        </w:rPr>
      </w:pPr>
      <w:r>
        <w:rPr>
          <w:sz w:val="28"/>
          <w:szCs w:val="28"/>
        </w:rPr>
        <w:t xml:space="preserve">Diggory, B. (2020) ‘Interpreting Parliamentary </w:t>
      </w:r>
      <w:r w:rsidR="009145B4">
        <w:rPr>
          <w:sz w:val="28"/>
          <w:szCs w:val="28"/>
        </w:rPr>
        <w:t xml:space="preserve">Inaction’ Published by Cambridge University Press. Available @ </w:t>
      </w:r>
      <w:hyperlink r:id="rId5" w:history="1">
        <w:r w:rsidR="009145B4" w:rsidRPr="00A20EB6">
          <w:rPr>
            <w:rStyle w:val="Hyperlink"/>
            <w:sz w:val="28"/>
            <w:szCs w:val="28"/>
          </w:rPr>
          <w:t>https://www.cambridge.org/core/journals/cambridge-law-journal/article/interpreting-parliamentary=inaction/452A6AAB2C3D879EA</w:t>
        </w:r>
      </w:hyperlink>
      <w:r w:rsidR="009145B4">
        <w:rPr>
          <w:sz w:val="28"/>
          <w:szCs w:val="28"/>
        </w:rPr>
        <w:t xml:space="preserve"> Accessed on 28th of March 2022. </w:t>
      </w:r>
    </w:p>
    <w:p w14:paraId="4994DCBA" w14:textId="4E5DB611" w:rsidR="009145B4" w:rsidRDefault="009145B4">
      <w:pPr>
        <w:rPr>
          <w:sz w:val="28"/>
          <w:szCs w:val="28"/>
        </w:rPr>
      </w:pPr>
      <w:r>
        <w:rPr>
          <w:sz w:val="28"/>
          <w:szCs w:val="28"/>
        </w:rPr>
        <w:t xml:space="preserve">Gillespie, A. and </w:t>
      </w:r>
      <w:proofErr w:type="spellStart"/>
      <w:r>
        <w:rPr>
          <w:sz w:val="28"/>
          <w:szCs w:val="28"/>
        </w:rPr>
        <w:t>Weare</w:t>
      </w:r>
      <w:proofErr w:type="spellEnd"/>
      <w:r>
        <w:rPr>
          <w:sz w:val="28"/>
          <w:szCs w:val="28"/>
        </w:rPr>
        <w:t>, S. (2021). ‘The English legal system’ Eight edition. Oxford University Press.</w:t>
      </w:r>
    </w:p>
    <w:p w14:paraId="7C1E8416" w14:textId="6B8AA454" w:rsidR="009145B4" w:rsidRDefault="009145B4">
      <w:pPr>
        <w:rPr>
          <w:sz w:val="28"/>
          <w:szCs w:val="28"/>
        </w:rPr>
      </w:pPr>
      <w:r>
        <w:rPr>
          <w:sz w:val="28"/>
          <w:szCs w:val="28"/>
        </w:rPr>
        <w:t xml:space="preserve">Laver, N. </w:t>
      </w:r>
      <w:r w:rsidR="00286DD5">
        <w:rPr>
          <w:sz w:val="28"/>
          <w:szCs w:val="28"/>
        </w:rPr>
        <w:t xml:space="preserve">(2020). ‘An introductory to statutory interpretation’ Available @ </w:t>
      </w:r>
      <w:hyperlink r:id="rId6" w:history="1">
        <w:r w:rsidR="00286DD5" w:rsidRPr="00A20EB6">
          <w:rPr>
            <w:rStyle w:val="Hyperlink"/>
            <w:sz w:val="28"/>
            <w:szCs w:val="28"/>
          </w:rPr>
          <w:t>https://www.inbrief.co.uk/legal-system/statutory-interpretation/</w:t>
        </w:r>
      </w:hyperlink>
      <w:r w:rsidR="00286DD5">
        <w:rPr>
          <w:sz w:val="28"/>
          <w:szCs w:val="28"/>
        </w:rPr>
        <w:t xml:space="preserve"> Accessed on 4</w:t>
      </w:r>
      <w:r w:rsidR="00286DD5" w:rsidRPr="00286DD5">
        <w:rPr>
          <w:sz w:val="28"/>
          <w:szCs w:val="28"/>
          <w:vertAlign w:val="superscript"/>
        </w:rPr>
        <w:t>th</w:t>
      </w:r>
      <w:r w:rsidR="00286DD5">
        <w:rPr>
          <w:sz w:val="28"/>
          <w:szCs w:val="28"/>
        </w:rPr>
        <w:t xml:space="preserve"> of April 2022. </w:t>
      </w:r>
    </w:p>
    <w:p w14:paraId="40CF107E" w14:textId="06BE24AD" w:rsidR="00286DD5" w:rsidRDefault="00286DD5">
      <w:pPr>
        <w:rPr>
          <w:sz w:val="28"/>
          <w:szCs w:val="28"/>
        </w:rPr>
      </w:pPr>
      <w:r>
        <w:rPr>
          <w:sz w:val="28"/>
          <w:szCs w:val="28"/>
        </w:rPr>
        <w:lastRenderedPageBreak/>
        <w:t xml:space="preserve">Partington, M. (2021) ‘Introduction to the legal system’ Fifteenth edition. Oxford University Press. </w:t>
      </w:r>
    </w:p>
    <w:p w14:paraId="4791A57D" w14:textId="17AB745C" w:rsidR="00286DD5" w:rsidRDefault="00286DD5">
      <w:pPr>
        <w:rPr>
          <w:sz w:val="28"/>
          <w:szCs w:val="28"/>
        </w:rPr>
      </w:pPr>
      <w:proofErr w:type="spellStart"/>
      <w:r>
        <w:rPr>
          <w:sz w:val="28"/>
          <w:szCs w:val="28"/>
        </w:rPr>
        <w:t>Pey</w:t>
      </w:r>
      <w:proofErr w:type="spellEnd"/>
      <w:r>
        <w:rPr>
          <w:sz w:val="28"/>
          <w:szCs w:val="28"/>
        </w:rPr>
        <w:t xml:space="preserve">, R. (2021) ‘Statutory Interpretation Explained’ Available @ </w:t>
      </w:r>
      <w:hyperlink r:id="rId7" w:history="1">
        <w:r w:rsidR="00156B99" w:rsidRPr="00A20EB6">
          <w:rPr>
            <w:rStyle w:val="Hyperlink"/>
            <w:sz w:val="28"/>
            <w:szCs w:val="28"/>
          </w:rPr>
          <w:t>https://www.culs.org.uk/per-incuriam/statutory-interpretation-explained</w:t>
        </w:r>
      </w:hyperlink>
      <w:r w:rsidR="00156B99">
        <w:rPr>
          <w:sz w:val="28"/>
          <w:szCs w:val="28"/>
        </w:rPr>
        <w:t xml:space="preserve"> Accessed on 6th of April 2022. </w:t>
      </w:r>
    </w:p>
    <w:p w14:paraId="279B9EE0" w14:textId="268F0279" w:rsidR="00156B99" w:rsidRDefault="007000E8">
      <w:pPr>
        <w:rPr>
          <w:sz w:val="28"/>
          <w:szCs w:val="28"/>
        </w:rPr>
      </w:pPr>
      <w:r>
        <w:rPr>
          <w:sz w:val="28"/>
          <w:szCs w:val="28"/>
        </w:rPr>
        <w:t xml:space="preserve">Supreme Court. (2021) ‘Statutory interpretation: A collaboration between the Democratic legislation and the courts’ Available @ </w:t>
      </w:r>
      <w:hyperlink r:id="rId8" w:history="1">
        <w:r w:rsidRPr="00A20EB6">
          <w:rPr>
            <w:rStyle w:val="Hyperlink"/>
            <w:sz w:val="28"/>
            <w:szCs w:val="28"/>
          </w:rPr>
          <w:t>https://www.supremecourt.uk/docs/statutory-interpretation-a-collaboration-between-democratic-legislatures-pdf</w:t>
        </w:r>
      </w:hyperlink>
      <w:r>
        <w:rPr>
          <w:sz w:val="28"/>
          <w:szCs w:val="28"/>
        </w:rPr>
        <w:t xml:space="preserve"> Accessed on 11th of April 2022. </w:t>
      </w:r>
    </w:p>
    <w:p w14:paraId="575E9D5E" w14:textId="77FADF5C" w:rsidR="007000E8" w:rsidRDefault="007000E8">
      <w:pPr>
        <w:rPr>
          <w:sz w:val="28"/>
          <w:szCs w:val="28"/>
        </w:rPr>
      </w:pPr>
    </w:p>
    <w:p w14:paraId="6E57D6D0" w14:textId="3A0FE5C3" w:rsidR="00035E78" w:rsidRDefault="00035E78">
      <w:pPr>
        <w:rPr>
          <w:sz w:val="28"/>
          <w:szCs w:val="28"/>
        </w:rPr>
      </w:pPr>
      <w:r>
        <w:rPr>
          <w:sz w:val="28"/>
          <w:szCs w:val="28"/>
        </w:rPr>
        <w:t xml:space="preserve">Wilson, S., Rutherford, H., Storey, T., Wortley, N, and Kotecha, B. (2020) ‘English legal system’ Fourth edition. Oxford University Press. </w:t>
      </w:r>
    </w:p>
    <w:p w14:paraId="0EEE3CDD" w14:textId="64A1A7A6" w:rsidR="00035E78" w:rsidRDefault="00035E78">
      <w:pPr>
        <w:rPr>
          <w:sz w:val="28"/>
          <w:szCs w:val="28"/>
        </w:rPr>
      </w:pPr>
    </w:p>
    <w:p w14:paraId="28A98271" w14:textId="4F4B6B03" w:rsidR="00035E78" w:rsidRDefault="00035E78">
      <w:pPr>
        <w:rPr>
          <w:sz w:val="28"/>
          <w:szCs w:val="28"/>
        </w:rPr>
      </w:pPr>
      <w:r>
        <w:rPr>
          <w:sz w:val="28"/>
          <w:szCs w:val="28"/>
        </w:rPr>
        <w:t>Acts:</w:t>
      </w:r>
    </w:p>
    <w:p w14:paraId="1B554089" w14:textId="03C634BF" w:rsidR="00035E78" w:rsidRDefault="00035E78">
      <w:pPr>
        <w:rPr>
          <w:sz w:val="28"/>
          <w:szCs w:val="28"/>
        </w:rPr>
      </w:pPr>
      <w:r>
        <w:rPr>
          <w:sz w:val="28"/>
          <w:szCs w:val="28"/>
        </w:rPr>
        <w:t>Coronavirus Act 2020</w:t>
      </w:r>
    </w:p>
    <w:p w14:paraId="65E22A92" w14:textId="0C983FFC" w:rsidR="00035E78" w:rsidRDefault="00035E78">
      <w:pPr>
        <w:rPr>
          <w:sz w:val="28"/>
          <w:szCs w:val="28"/>
        </w:rPr>
      </w:pPr>
      <w:r>
        <w:rPr>
          <w:sz w:val="28"/>
          <w:szCs w:val="28"/>
        </w:rPr>
        <w:t>S</w:t>
      </w:r>
      <w:r w:rsidR="00C7517E">
        <w:rPr>
          <w:sz w:val="28"/>
          <w:szCs w:val="28"/>
        </w:rPr>
        <w:t xml:space="preserve"> </w:t>
      </w:r>
      <w:r>
        <w:rPr>
          <w:sz w:val="28"/>
          <w:szCs w:val="28"/>
        </w:rPr>
        <w:t>(3) Human Rights Act 1998</w:t>
      </w:r>
    </w:p>
    <w:p w14:paraId="47DB58D3" w14:textId="44EB6BEC" w:rsidR="00C7517E" w:rsidRDefault="00C7517E">
      <w:pPr>
        <w:rPr>
          <w:sz w:val="28"/>
          <w:szCs w:val="28"/>
        </w:rPr>
      </w:pPr>
    </w:p>
    <w:p w14:paraId="16980B56" w14:textId="178C5848" w:rsidR="00C7517E" w:rsidRDefault="00C7517E">
      <w:pPr>
        <w:rPr>
          <w:sz w:val="28"/>
          <w:szCs w:val="28"/>
        </w:rPr>
      </w:pPr>
      <w:r>
        <w:rPr>
          <w:sz w:val="28"/>
          <w:szCs w:val="28"/>
        </w:rPr>
        <w:t xml:space="preserve">Cases: </w:t>
      </w:r>
    </w:p>
    <w:p w14:paraId="7E23843D" w14:textId="61D18754" w:rsidR="00C7517E" w:rsidRDefault="00C7517E">
      <w:pPr>
        <w:rPr>
          <w:sz w:val="28"/>
          <w:szCs w:val="28"/>
        </w:rPr>
      </w:pPr>
      <w:proofErr w:type="spellStart"/>
      <w:r>
        <w:rPr>
          <w:sz w:val="28"/>
          <w:szCs w:val="28"/>
        </w:rPr>
        <w:t>Duport</w:t>
      </w:r>
      <w:proofErr w:type="spellEnd"/>
      <w:r>
        <w:rPr>
          <w:sz w:val="28"/>
          <w:szCs w:val="28"/>
        </w:rPr>
        <w:t xml:space="preserve"> Street Ltd v </w:t>
      </w:r>
      <w:proofErr w:type="spellStart"/>
      <w:r>
        <w:rPr>
          <w:sz w:val="28"/>
          <w:szCs w:val="28"/>
        </w:rPr>
        <w:t>Sirls</w:t>
      </w:r>
      <w:proofErr w:type="spellEnd"/>
      <w:r>
        <w:rPr>
          <w:sz w:val="28"/>
          <w:szCs w:val="28"/>
        </w:rPr>
        <w:t xml:space="preserve"> (1980) HL3</w:t>
      </w:r>
    </w:p>
    <w:p w14:paraId="64AE0FCA" w14:textId="6DA85274" w:rsidR="00C7517E" w:rsidRDefault="00C7517E">
      <w:pPr>
        <w:rPr>
          <w:sz w:val="28"/>
          <w:szCs w:val="28"/>
        </w:rPr>
      </w:pPr>
      <w:r>
        <w:rPr>
          <w:sz w:val="28"/>
          <w:szCs w:val="28"/>
        </w:rPr>
        <w:t xml:space="preserve">Fitzpatrick v Sterling Housing Association (1999) </w:t>
      </w:r>
      <w:r w:rsidR="00C25741">
        <w:rPr>
          <w:sz w:val="28"/>
          <w:szCs w:val="28"/>
        </w:rPr>
        <w:t>HL42</w:t>
      </w:r>
    </w:p>
    <w:p w14:paraId="6D701DF4" w14:textId="4CFC7A7E" w:rsidR="00C25741" w:rsidRDefault="00C25741">
      <w:pPr>
        <w:rPr>
          <w:sz w:val="28"/>
          <w:szCs w:val="28"/>
        </w:rPr>
      </w:pPr>
      <w:r>
        <w:rPr>
          <w:sz w:val="28"/>
          <w:szCs w:val="28"/>
        </w:rPr>
        <w:t xml:space="preserve">Pepper v Hart (1993) HL3 </w:t>
      </w:r>
    </w:p>
    <w:p w14:paraId="5CA3019E" w14:textId="7481ECDA" w:rsidR="00C7517E" w:rsidRDefault="00C7517E">
      <w:pPr>
        <w:rPr>
          <w:sz w:val="28"/>
          <w:szCs w:val="28"/>
        </w:rPr>
      </w:pPr>
    </w:p>
    <w:p w14:paraId="37685AF6" w14:textId="77777777" w:rsidR="00C7517E" w:rsidRDefault="00C7517E">
      <w:pPr>
        <w:rPr>
          <w:sz w:val="28"/>
          <w:szCs w:val="28"/>
        </w:rPr>
      </w:pPr>
    </w:p>
    <w:p w14:paraId="38E6BBC4" w14:textId="77777777" w:rsidR="00286DD5" w:rsidRDefault="00286DD5">
      <w:pPr>
        <w:rPr>
          <w:sz w:val="28"/>
          <w:szCs w:val="28"/>
        </w:rPr>
      </w:pPr>
    </w:p>
    <w:p w14:paraId="153B1151" w14:textId="77777777" w:rsidR="009A75AF" w:rsidRPr="00FA2627" w:rsidRDefault="009A75AF">
      <w:pPr>
        <w:rPr>
          <w:sz w:val="28"/>
          <w:szCs w:val="28"/>
        </w:rPr>
      </w:pPr>
    </w:p>
    <w:sectPr w:rsidR="009A75AF" w:rsidRPr="00FA26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627"/>
    <w:rsid w:val="00012793"/>
    <w:rsid w:val="00035E78"/>
    <w:rsid w:val="00044CBF"/>
    <w:rsid w:val="000E15D2"/>
    <w:rsid w:val="00156B99"/>
    <w:rsid w:val="0022613A"/>
    <w:rsid w:val="00286DD5"/>
    <w:rsid w:val="002D5DAE"/>
    <w:rsid w:val="005E4E4B"/>
    <w:rsid w:val="00601076"/>
    <w:rsid w:val="00636D7C"/>
    <w:rsid w:val="006470B2"/>
    <w:rsid w:val="007000E8"/>
    <w:rsid w:val="007372BC"/>
    <w:rsid w:val="007C35E1"/>
    <w:rsid w:val="007F5F65"/>
    <w:rsid w:val="008919FD"/>
    <w:rsid w:val="008F191E"/>
    <w:rsid w:val="009145B4"/>
    <w:rsid w:val="009A75AF"/>
    <w:rsid w:val="00A136B7"/>
    <w:rsid w:val="00C25741"/>
    <w:rsid w:val="00C43B4B"/>
    <w:rsid w:val="00C7517E"/>
    <w:rsid w:val="00D9754A"/>
    <w:rsid w:val="00E17366"/>
    <w:rsid w:val="00F10F13"/>
    <w:rsid w:val="00F270F8"/>
    <w:rsid w:val="00FA06C6"/>
    <w:rsid w:val="00FA2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457D"/>
  <w15:chartTrackingRefBased/>
  <w15:docId w15:val="{C5477698-8F45-45D0-8B6B-F4C912F2C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70B2"/>
    <w:rPr>
      <w:color w:val="0563C1" w:themeColor="hyperlink"/>
      <w:u w:val="single"/>
    </w:rPr>
  </w:style>
  <w:style w:type="character" w:styleId="UnresolvedMention">
    <w:name w:val="Unresolved Mention"/>
    <w:basedOn w:val="DefaultParagraphFont"/>
    <w:uiPriority w:val="99"/>
    <w:semiHidden/>
    <w:unhideWhenUsed/>
    <w:rsid w:val="006470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docs/statutory-interpretation-a-collaboration-between-democratic-legislatures-pdf" TargetMode="External"/><Relationship Id="rId3" Type="http://schemas.openxmlformats.org/officeDocument/2006/relationships/webSettings" Target="webSettings.xml"/><Relationship Id="rId7" Type="http://schemas.openxmlformats.org/officeDocument/2006/relationships/hyperlink" Target="https://www.culs.org.uk/per-incuriam/statutory-interpretation-explain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brief.co.uk/legal-system/statutory-interpretation/" TargetMode="External"/><Relationship Id="rId5" Type="http://schemas.openxmlformats.org/officeDocument/2006/relationships/hyperlink" Target="https://www.cambridge.org/core/journals/cambridge-law-journal/article/interpreting-parliamentary=inaction/452A6AAB2C3D879EA" TargetMode="External"/><Relationship Id="rId10" Type="http://schemas.openxmlformats.org/officeDocument/2006/relationships/theme" Target="theme/theme1.xml"/><Relationship Id="rId4" Type="http://schemas.openxmlformats.org/officeDocument/2006/relationships/hyperlink" Target="https://doi.org/10.1093/sir/hmab007"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5</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Charlotte</cp:lastModifiedBy>
  <cp:revision>1</cp:revision>
  <dcterms:created xsi:type="dcterms:W3CDTF">2022-04-25T09:52:00Z</dcterms:created>
  <dcterms:modified xsi:type="dcterms:W3CDTF">2022-04-25T12:21:00Z</dcterms:modified>
</cp:coreProperties>
</file>