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07913C89" w:rsidR="009B47AE" w:rsidRDefault="009A0ECE" w:rsidP="008319D9">
      <w:pPr>
        <w:pStyle w:val="AssignHeader"/>
      </w:pPr>
      <w:r>
        <w:t xml:space="preserve">ECAD7003 – Part A </w:t>
      </w:r>
    </w:p>
    <w:p w14:paraId="57F6D0BA" w14:textId="3FA7134D" w:rsidR="004B2C92" w:rsidRPr="004B2C92" w:rsidRDefault="00CE0C1E" w:rsidP="00350915">
      <w:pPr>
        <w:pStyle w:val="AssignSubHeader"/>
        <w:jc w:val="center"/>
      </w:pPr>
      <w:r>
        <w:t xml:space="preserve">Understanding how the </w:t>
      </w:r>
      <w:r w:rsidR="00B6149E">
        <w:t>learners</w:t>
      </w:r>
      <w:r>
        <w:t>, the school and the local community work together to deliver one of the four purposes of the new curriculum: a video presentation that crit</w:t>
      </w:r>
      <w:r w:rsidR="00B6149E">
        <w:t>ically examines this process.</w:t>
      </w:r>
    </w:p>
    <w:p w14:paraId="17B3AE96" w14:textId="77777777" w:rsidR="008319D9" w:rsidRDefault="008319D9" w:rsidP="00E611D9">
      <w:pPr>
        <w:pStyle w:val="AssignBody"/>
      </w:pPr>
    </w:p>
    <w:p w14:paraId="0D2F6EA6" w14:textId="69CBFE2D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7E030D9E" w14:textId="77777777" w:rsidR="00972C51" w:rsidRDefault="00972C51" w:rsidP="00C835CE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C835CE">
        <w:rPr>
          <w:rFonts w:asciiTheme="majorHAnsi" w:hAnsiTheme="majorHAnsi" w:cstheme="majorHAnsi"/>
          <w:color w:val="000000"/>
        </w:rPr>
        <w:t>BERA (2018) </w:t>
      </w:r>
      <w:r w:rsidRPr="00C835CE">
        <w:rPr>
          <w:rFonts w:asciiTheme="majorHAnsi" w:hAnsiTheme="majorHAnsi" w:cstheme="majorHAnsi"/>
          <w:i/>
          <w:iCs/>
          <w:color w:val="000000"/>
        </w:rPr>
        <w:t>Ethical guidelines for educational research, Fourth edition (2018)</w:t>
      </w:r>
      <w:r w:rsidRPr="00C835CE">
        <w:rPr>
          <w:rFonts w:asciiTheme="majorHAnsi" w:hAnsiTheme="majorHAnsi" w:cstheme="majorHAnsi"/>
          <w:color w:val="000000"/>
        </w:rPr>
        <w:t>, </w:t>
      </w:r>
      <w:r w:rsidRPr="00C835CE">
        <w:rPr>
          <w:rFonts w:asciiTheme="majorHAnsi" w:hAnsiTheme="majorHAnsi" w:cstheme="majorHAnsi"/>
          <w:i/>
          <w:iCs/>
          <w:color w:val="000000"/>
        </w:rPr>
        <w:t>BERA</w:t>
      </w:r>
      <w:r w:rsidRPr="00C835CE">
        <w:rPr>
          <w:rFonts w:asciiTheme="majorHAnsi" w:hAnsiTheme="majorHAnsi" w:cstheme="majorHAnsi"/>
          <w:color w:val="000000"/>
        </w:rPr>
        <w:t>. Available at: https://www.bera.ac.uk/publication/ethical-guidelines-for-educational-research-2018 (Accessed: 05 February 2024). </w:t>
      </w:r>
    </w:p>
    <w:p w14:paraId="562E5CDC" w14:textId="77777777" w:rsidR="00972C51" w:rsidRPr="00812BD9" w:rsidRDefault="00972C51" w:rsidP="00674364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674364">
        <w:rPr>
          <w:rFonts w:asciiTheme="majorHAnsi" w:hAnsiTheme="majorHAnsi" w:cstheme="majorHAnsi"/>
          <w:color w:val="000000"/>
        </w:rPr>
        <w:t>Cairns, K. (2016) ‘</w:t>
      </w:r>
      <w:r w:rsidRPr="00674364">
        <w:rPr>
          <w:rFonts w:asciiTheme="majorHAnsi" w:hAnsiTheme="majorHAnsi" w:cstheme="majorHAnsi"/>
          <w:i/>
          <w:iCs/>
          <w:color w:val="000000"/>
        </w:rPr>
        <w:t>Connecting to Food: Cultivating Children in the School Garden’</w:t>
      </w:r>
      <w:r w:rsidRPr="00674364">
        <w:rPr>
          <w:rFonts w:asciiTheme="majorHAnsi" w:hAnsiTheme="majorHAnsi" w:cstheme="majorHAnsi"/>
          <w:color w:val="000000"/>
        </w:rPr>
        <w:t>, </w:t>
      </w:r>
      <w:r w:rsidRPr="00674364">
        <w:rPr>
          <w:rFonts w:asciiTheme="majorHAnsi" w:hAnsiTheme="majorHAnsi" w:cstheme="majorHAnsi"/>
          <w:i/>
          <w:iCs/>
          <w:color w:val="000000"/>
        </w:rPr>
        <w:t>Children’s Geographies</w:t>
      </w:r>
      <w:r w:rsidRPr="00674364">
        <w:rPr>
          <w:rFonts w:asciiTheme="majorHAnsi" w:hAnsiTheme="majorHAnsi" w:cstheme="majorHAnsi"/>
          <w:color w:val="000000"/>
        </w:rPr>
        <w:t>, 15(3), pp. 304–318. doi:10.1080/14733285.2016.1221058. </w:t>
      </w:r>
    </w:p>
    <w:p w14:paraId="4BAD4481" w14:textId="77777777" w:rsidR="00972C51" w:rsidRDefault="00972C51" w:rsidP="000224A9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511FAA">
        <w:rPr>
          <w:rFonts w:asciiTheme="majorHAnsi" w:hAnsiTheme="majorHAnsi" w:cstheme="majorHAnsi"/>
          <w:color w:val="000000"/>
        </w:rPr>
        <w:t>Corbolino, N</w:t>
      </w:r>
      <w:r w:rsidRPr="000224A9">
        <w:rPr>
          <w:rFonts w:asciiTheme="majorHAnsi" w:hAnsiTheme="majorHAnsi" w:cstheme="majorHAnsi"/>
          <w:color w:val="000000"/>
        </w:rPr>
        <w:t xml:space="preserve">., Bisaccia, P., </w:t>
      </w:r>
      <w:proofErr w:type="spellStart"/>
      <w:r w:rsidRPr="000224A9">
        <w:rPr>
          <w:rFonts w:asciiTheme="majorHAnsi" w:hAnsiTheme="majorHAnsi" w:cstheme="majorHAnsi"/>
          <w:color w:val="000000"/>
        </w:rPr>
        <w:t>Corrà</w:t>
      </w:r>
      <w:proofErr w:type="spellEnd"/>
      <w:r w:rsidRPr="000224A9">
        <w:rPr>
          <w:rFonts w:asciiTheme="majorHAnsi" w:hAnsiTheme="majorHAnsi" w:cstheme="majorHAnsi"/>
          <w:color w:val="000000"/>
        </w:rPr>
        <w:t xml:space="preserve">, F., </w:t>
      </w:r>
      <w:proofErr w:type="spellStart"/>
      <w:r w:rsidRPr="000224A9">
        <w:rPr>
          <w:rFonts w:asciiTheme="majorHAnsi" w:hAnsiTheme="majorHAnsi" w:cstheme="majorHAnsi"/>
          <w:color w:val="000000"/>
        </w:rPr>
        <w:t>Bonato</w:t>
      </w:r>
      <w:proofErr w:type="spellEnd"/>
      <w:r w:rsidRPr="000224A9">
        <w:rPr>
          <w:rFonts w:asciiTheme="majorHAnsi" w:hAnsiTheme="majorHAnsi" w:cstheme="majorHAnsi"/>
          <w:color w:val="000000"/>
        </w:rPr>
        <w:t xml:space="preserve">, M., </w:t>
      </w:r>
      <w:proofErr w:type="spellStart"/>
      <w:r w:rsidRPr="000224A9">
        <w:rPr>
          <w:rFonts w:asciiTheme="majorHAnsi" w:hAnsiTheme="majorHAnsi" w:cstheme="majorHAnsi"/>
          <w:color w:val="000000"/>
        </w:rPr>
        <w:t>Irato</w:t>
      </w:r>
      <w:proofErr w:type="spellEnd"/>
      <w:r w:rsidRPr="000224A9">
        <w:rPr>
          <w:rFonts w:asciiTheme="majorHAnsi" w:hAnsiTheme="majorHAnsi" w:cstheme="majorHAnsi"/>
          <w:color w:val="000000"/>
        </w:rPr>
        <w:t xml:space="preserve">, P., and </w:t>
      </w:r>
      <w:proofErr w:type="spellStart"/>
      <w:r w:rsidRPr="000224A9">
        <w:rPr>
          <w:rFonts w:asciiTheme="majorHAnsi" w:hAnsiTheme="majorHAnsi" w:cstheme="majorHAnsi"/>
          <w:color w:val="000000"/>
        </w:rPr>
        <w:t>Santovito</w:t>
      </w:r>
      <w:proofErr w:type="spellEnd"/>
      <w:r w:rsidRPr="000224A9">
        <w:rPr>
          <w:rFonts w:asciiTheme="majorHAnsi" w:hAnsiTheme="majorHAnsi" w:cstheme="majorHAnsi"/>
          <w:color w:val="000000"/>
        </w:rPr>
        <w:t xml:space="preserve">, </w:t>
      </w:r>
      <w:proofErr w:type="gramStart"/>
      <w:r w:rsidRPr="000224A9">
        <w:rPr>
          <w:rFonts w:asciiTheme="majorHAnsi" w:hAnsiTheme="majorHAnsi" w:cstheme="majorHAnsi"/>
          <w:color w:val="000000"/>
        </w:rPr>
        <w:t>G.</w:t>
      </w:r>
      <w:r w:rsidRPr="00511FAA">
        <w:rPr>
          <w:rFonts w:asciiTheme="majorHAnsi" w:hAnsiTheme="majorHAnsi" w:cstheme="majorHAnsi"/>
          <w:i/>
          <w:iCs/>
          <w:color w:val="000000"/>
        </w:rPr>
        <w:t>.</w:t>
      </w:r>
      <w:proofErr w:type="gramEnd"/>
      <w:r w:rsidRPr="00511FAA">
        <w:rPr>
          <w:rFonts w:asciiTheme="majorHAnsi" w:hAnsiTheme="majorHAnsi" w:cstheme="majorHAnsi"/>
          <w:color w:val="000000"/>
        </w:rPr>
        <w:t> (2020) </w:t>
      </w:r>
      <w:r w:rsidRPr="00511FAA">
        <w:rPr>
          <w:rFonts w:asciiTheme="majorHAnsi" w:hAnsiTheme="majorHAnsi" w:cstheme="majorHAnsi"/>
          <w:i/>
          <w:iCs/>
          <w:color w:val="000000"/>
        </w:rPr>
        <w:t>(PDF) education for Sustainability Development via school garden</w:t>
      </w:r>
      <w:r w:rsidRPr="00511FAA">
        <w:rPr>
          <w:rFonts w:asciiTheme="majorHAnsi" w:hAnsiTheme="majorHAnsi" w:cstheme="majorHAnsi"/>
          <w:color w:val="000000"/>
        </w:rPr>
        <w:t>. Available at: https://www.researchgate.net/publication/343594849_EDUCATION_FOR_SUSTAINABILITY_DEVELOPMENT_VIA_SCHOOL_GARDEN (Accessed: 17 February 2024). </w:t>
      </w:r>
    </w:p>
    <w:p w14:paraId="1C585EC8" w14:textId="77777777" w:rsidR="0047089F" w:rsidRPr="00153067" w:rsidRDefault="0047089F" w:rsidP="0047089F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47089F">
        <w:rPr>
          <w:rFonts w:asciiTheme="majorHAnsi" w:hAnsiTheme="majorHAnsi" w:cstheme="majorHAnsi"/>
          <w:color w:val="000000"/>
        </w:rPr>
        <w:t>Department of Education (2016) </w:t>
      </w:r>
      <w:r w:rsidRPr="0047089F">
        <w:rPr>
          <w:rFonts w:asciiTheme="majorHAnsi" w:hAnsiTheme="majorHAnsi" w:cstheme="majorHAnsi"/>
          <w:i/>
          <w:iCs/>
          <w:color w:val="000000"/>
        </w:rPr>
        <w:t>School Councils and pupil participation</w:t>
      </w:r>
      <w:r w:rsidRPr="0047089F">
        <w:rPr>
          <w:rFonts w:asciiTheme="majorHAnsi" w:hAnsiTheme="majorHAnsi" w:cstheme="majorHAnsi"/>
          <w:color w:val="000000"/>
        </w:rPr>
        <w:t>, </w:t>
      </w:r>
      <w:r w:rsidRPr="0047089F">
        <w:rPr>
          <w:rFonts w:asciiTheme="majorHAnsi" w:hAnsiTheme="majorHAnsi" w:cstheme="majorHAnsi"/>
          <w:i/>
          <w:iCs/>
          <w:color w:val="000000"/>
        </w:rPr>
        <w:t>Education</w:t>
      </w:r>
      <w:r w:rsidRPr="0047089F">
        <w:rPr>
          <w:rFonts w:asciiTheme="majorHAnsi" w:hAnsiTheme="majorHAnsi" w:cstheme="majorHAnsi"/>
          <w:color w:val="000000"/>
        </w:rPr>
        <w:t>. Available at: https://www.education-ni.gov.uk/articles/school-councils-and-pupil-participation#toc-0 (Accessed: 20 February 2024). </w:t>
      </w:r>
    </w:p>
    <w:p w14:paraId="073E85E2" w14:textId="58079052" w:rsidR="00153067" w:rsidRPr="00153067" w:rsidRDefault="00350915" w:rsidP="00153067">
      <w:pPr>
        <w:spacing w:before="100" w:beforeAutospacing="1" w:after="100" w:afterAutospacing="1"/>
        <w:rPr>
          <w:rFonts w:asciiTheme="majorHAnsi" w:hAnsiTheme="majorHAnsi" w:cstheme="majorHAnsi"/>
          <w:color w:val="000000"/>
          <w:sz w:val="23"/>
          <w:szCs w:val="23"/>
        </w:rPr>
      </w:pPr>
      <w:r w:rsidRPr="00153067">
        <w:rPr>
          <w:rFonts w:asciiTheme="majorHAnsi" w:hAnsiTheme="majorHAnsi" w:cstheme="majorHAnsi"/>
          <w:color w:val="000000"/>
        </w:rPr>
        <w:t>Donaldson, G. (2015).</w:t>
      </w:r>
      <w:r w:rsidR="00153067" w:rsidRPr="00153067">
        <w:rPr>
          <w:rFonts w:asciiTheme="majorHAnsi" w:hAnsiTheme="majorHAnsi" w:cstheme="majorHAnsi"/>
          <w:color w:val="000000"/>
          <w:sz w:val="23"/>
          <w:szCs w:val="23"/>
        </w:rPr>
        <w:t xml:space="preserve"> Successful Futures – GOV.WALES, </w:t>
      </w:r>
      <w:r w:rsidR="00153067" w:rsidRPr="00153067">
        <w:rPr>
          <w:rFonts w:asciiTheme="majorHAnsi" w:hAnsiTheme="majorHAnsi" w:cstheme="majorHAnsi"/>
          <w:i/>
          <w:iCs/>
          <w:color w:val="000000"/>
          <w:sz w:val="23"/>
          <w:szCs w:val="23"/>
        </w:rPr>
        <w:t>Successful Futures</w:t>
      </w:r>
      <w:r w:rsidR="00153067" w:rsidRPr="00153067">
        <w:rPr>
          <w:rFonts w:asciiTheme="majorHAnsi" w:hAnsiTheme="majorHAnsi" w:cstheme="majorHAnsi"/>
          <w:color w:val="000000"/>
          <w:sz w:val="23"/>
          <w:szCs w:val="23"/>
        </w:rPr>
        <w:t xml:space="preserve">. Available at: </w:t>
      </w:r>
      <w:hyperlink r:id="rId10" w:history="1">
        <w:r w:rsidR="00153067" w:rsidRPr="00153067">
          <w:rPr>
            <w:rStyle w:val="Hyperlink"/>
            <w:rFonts w:asciiTheme="majorHAnsi" w:hAnsiTheme="majorHAnsi" w:cstheme="majorHAnsi"/>
            <w:sz w:val="23"/>
            <w:szCs w:val="23"/>
          </w:rPr>
          <w:t>https://www.gov.wales/sites/default/files/publications/2018-03/succesful-futures-a-summary-of-professor-graham-donaldsons-report.pdf</w:t>
        </w:r>
      </w:hyperlink>
      <w:r w:rsidR="00153067" w:rsidRPr="00153067">
        <w:rPr>
          <w:rFonts w:asciiTheme="majorHAnsi" w:hAnsiTheme="majorHAnsi" w:cstheme="majorHAnsi"/>
          <w:color w:val="000000"/>
          <w:sz w:val="23"/>
          <w:szCs w:val="23"/>
        </w:rPr>
        <w:t xml:space="preserve"> (Accessed: 2</w:t>
      </w:r>
      <w:r w:rsidR="00153067" w:rsidRPr="00153067">
        <w:rPr>
          <w:rFonts w:asciiTheme="majorHAnsi" w:hAnsiTheme="majorHAnsi" w:cstheme="majorHAnsi"/>
          <w:color w:val="000000"/>
          <w:sz w:val="23"/>
          <w:szCs w:val="23"/>
        </w:rPr>
        <w:t>0</w:t>
      </w:r>
      <w:r w:rsidR="00153067" w:rsidRPr="00153067">
        <w:rPr>
          <w:rFonts w:asciiTheme="majorHAnsi" w:hAnsiTheme="majorHAnsi" w:cstheme="majorHAnsi"/>
          <w:color w:val="000000"/>
          <w:sz w:val="23"/>
          <w:szCs w:val="23"/>
        </w:rPr>
        <w:t xml:space="preserve"> February 2024).</w:t>
      </w:r>
    </w:p>
    <w:p w14:paraId="5129E7DF" w14:textId="77777777" w:rsidR="00972C51" w:rsidRDefault="00972C51" w:rsidP="001E2D58">
      <w:pPr>
        <w:pStyle w:val="NormalWeb"/>
        <w:rPr>
          <w:rStyle w:val="apple-converted-space"/>
          <w:rFonts w:asciiTheme="majorHAnsi" w:hAnsiTheme="majorHAnsi" w:cstheme="majorHAnsi"/>
          <w:color w:val="000000"/>
        </w:rPr>
      </w:pPr>
      <w:r w:rsidRPr="001E2D58">
        <w:rPr>
          <w:rFonts w:asciiTheme="majorHAnsi" w:hAnsiTheme="majorHAnsi" w:cstheme="majorHAnsi"/>
          <w:color w:val="000000"/>
        </w:rPr>
        <w:t>Estyn (2023)</w:t>
      </w:r>
      <w:r w:rsidRPr="001E2D58">
        <w:rPr>
          <w:rStyle w:val="apple-converted-space"/>
          <w:rFonts w:asciiTheme="majorHAnsi" w:hAnsiTheme="majorHAnsi" w:cstheme="majorHAnsi"/>
          <w:color w:val="000000"/>
        </w:rPr>
        <w:t> </w:t>
      </w:r>
      <w:r w:rsidRPr="001E2D58">
        <w:rPr>
          <w:rFonts w:asciiTheme="majorHAnsi" w:hAnsiTheme="majorHAnsi" w:cstheme="majorHAnsi"/>
          <w:i/>
          <w:iCs/>
          <w:color w:val="000000"/>
        </w:rPr>
        <w:t xml:space="preserve">Welcome to </w:t>
      </w:r>
      <w:proofErr w:type="spellStart"/>
      <w:r w:rsidRPr="001E2D58">
        <w:rPr>
          <w:rFonts w:asciiTheme="majorHAnsi" w:hAnsiTheme="majorHAnsi" w:cstheme="majorHAnsi"/>
          <w:i/>
          <w:iCs/>
          <w:color w:val="000000"/>
        </w:rPr>
        <w:t>estyn</w:t>
      </w:r>
      <w:proofErr w:type="spellEnd"/>
      <w:r w:rsidRPr="001E2D58">
        <w:rPr>
          <w:rFonts w:asciiTheme="majorHAnsi" w:hAnsiTheme="majorHAnsi" w:cstheme="majorHAnsi"/>
          <w:color w:val="000000"/>
        </w:rPr>
        <w:t>,</w:t>
      </w:r>
      <w:r w:rsidRPr="001E2D58">
        <w:rPr>
          <w:rStyle w:val="apple-converted-space"/>
          <w:rFonts w:asciiTheme="majorHAnsi" w:hAnsiTheme="majorHAnsi" w:cstheme="majorHAnsi"/>
          <w:color w:val="000000"/>
        </w:rPr>
        <w:t> </w:t>
      </w:r>
      <w:r w:rsidRPr="001E2D58">
        <w:rPr>
          <w:rFonts w:asciiTheme="majorHAnsi" w:hAnsiTheme="majorHAnsi" w:cstheme="majorHAnsi"/>
          <w:i/>
          <w:iCs/>
          <w:color w:val="000000"/>
        </w:rPr>
        <w:t>Estyn</w:t>
      </w:r>
      <w:r w:rsidRPr="001E2D58">
        <w:rPr>
          <w:rFonts w:asciiTheme="majorHAnsi" w:hAnsiTheme="majorHAnsi" w:cstheme="majorHAnsi"/>
          <w:color w:val="000000"/>
        </w:rPr>
        <w:t>. Available at: https://www.estyn.gov.wales/ (Accessed: 05 February 2024).</w:t>
      </w:r>
      <w:r w:rsidRPr="001E2D58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4FB13C23" w14:textId="77777777" w:rsidR="00972C51" w:rsidRDefault="00972C51" w:rsidP="00C0556A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C0556A">
        <w:rPr>
          <w:rFonts w:asciiTheme="majorHAnsi" w:hAnsiTheme="majorHAnsi" w:cstheme="majorHAnsi"/>
          <w:color w:val="000000"/>
        </w:rPr>
        <w:t xml:space="preserve">Papadopoulou, A., </w:t>
      </w:r>
      <w:proofErr w:type="spellStart"/>
      <w:r w:rsidRPr="00C0556A">
        <w:rPr>
          <w:rFonts w:asciiTheme="majorHAnsi" w:hAnsiTheme="majorHAnsi" w:cstheme="majorHAnsi"/>
          <w:color w:val="000000"/>
        </w:rPr>
        <w:t>Kazana</w:t>
      </w:r>
      <w:proofErr w:type="spellEnd"/>
      <w:r w:rsidRPr="00C0556A">
        <w:rPr>
          <w:rFonts w:asciiTheme="majorHAnsi" w:hAnsiTheme="majorHAnsi" w:cstheme="majorHAnsi"/>
          <w:color w:val="000000"/>
        </w:rPr>
        <w:t xml:space="preserve">, A. and </w:t>
      </w:r>
      <w:proofErr w:type="spellStart"/>
      <w:r w:rsidRPr="00C0556A">
        <w:rPr>
          <w:rFonts w:asciiTheme="majorHAnsi" w:hAnsiTheme="majorHAnsi" w:cstheme="majorHAnsi"/>
          <w:color w:val="000000"/>
        </w:rPr>
        <w:t>Armakolas</w:t>
      </w:r>
      <w:proofErr w:type="spellEnd"/>
      <w:r w:rsidRPr="00C0556A">
        <w:rPr>
          <w:rFonts w:asciiTheme="majorHAnsi" w:hAnsiTheme="majorHAnsi" w:cstheme="majorHAnsi"/>
          <w:color w:val="000000"/>
        </w:rPr>
        <w:t>, S. (2020) ‘E</w:t>
      </w:r>
      <w:r w:rsidRPr="0076087B">
        <w:rPr>
          <w:rFonts w:asciiTheme="majorHAnsi" w:hAnsiTheme="majorHAnsi" w:cstheme="majorHAnsi"/>
          <w:i/>
          <w:iCs/>
          <w:color w:val="000000"/>
        </w:rPr>
        <w:t>ducation for sustainability development via school garden’</w:t>
      </w:r>
      <w:r w:rsidRPr="00C0556A">
        <w:rPr>
          <w:rFonts w:asciiTheme="majorHAnsi" w:hAnsiTheme="majorHAnsi" w:cstheme="majorHAnsi"/>
          <w:color w:val="000000"/>
        </w:rPr>
        <w:t>, </w:t>
      </w:r>
      <w:r w:rsidRPr="00C0556A">
        <w:rPr>
          <w:rFonts w:asciiTheme="majorHAnsi" w:hAnsiTheme="majorHAnsi" w:cstheme="majorHAnsi"/>
          <w:i/>
          <w:iCs/>
          <w:color w:val="000000"/>
        </w:rPr>
        <w:t>European Journal of Education Studies</w:t>
      </w:r>
      <w:r w:rsidRPr="00C0556A">
        <w:rPr>
          <w:rFonts w:asciiTheme="majorHAnsi" w:hAnsiTheme="majorHAnsi" w:cstheme="majorHAnsi"/>
          <w:color w:val="000000"/>
        </w:rPr>
        <w:t>, 7(9). doi:10.46827/</w:t>
      </w:r>
      <w:proofErr w:type="gramStart"/>
      <w:r w:rsidRPr="00C0556A">
        <w:rPr>
          <w:rFonts w:asciiTheme="majorHAnsi" w:hAnsiTheme="majorHAnsi" w:cstheme="majorHAnsi"/>
          <w:color w:val="000000"/>
        </w:rPr>
        <w:t>ejes.v</w:t>
      </w:r>
      <w:proofErr w:type="gramEnd"/>
      <w:r w:rsidRPr="00C0556A">
        <w:rPr>
          <w:rFonts w:asciiTheme="majorHAnsi" w:hAnsiTheme="majorHAnsi" w:cstheme="majorHAnsi"/>
          <w:color w:val="000000"/>
        </w:rPr>
        <w:t>7i9.3247. </w:t>
      </w:r>
    </w:p>
    <w:p w14:paraId="5D5CFAA8" w14:textId="77777777" w:rsidR="00972C51" w:rsidRPr="001B7C94" w:rsidRDefault="00972C51" w:rsidP="00AD29CC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8945E1">
        <w:rPr>
          <w:rFonts w:asciiTheme="majorHAnsi" w:hAnsiTheme="majorHAnsi" w:cstheme="majorHAnsi"/>
          <w:color w:val="000000"/>
        </w:rPr>
        <w:t>Poelman, M</w:t>
      </w:r>
      <w:r w:rsidRPr="00AD29CC">
        <w:rPr>
          <w:rFonts w:asciiTheme="majorHAnsi" w:hAnsiTheme="majorHAnsi" w:cstheme="majorHAnsi"/>
          <w:color w:val="000000"/>
        </w:rPr>
        <w:t xml:space="preserve">., Dijkstra, S., </w:t>
      </w:r>
      <w:proofErr w:type="spellStart"/>
      <w:r w:rsidRPr="00AD29CC">
        <w:rPr>
          <w:rFonts w:asciiTheme="majorHAnsi" w:hAnsiTheme="majorHAnsi" w:cstheme="majorHAnsi"/>
          <w:color w:val="000000"/>
        </w:rPr>
        <w:t>Sponselee</w:t>
      </w:r>
      <w:proofErr w:type="spellEnd"/>
      <w:r w:rsidRPr="00AD29CC">
        <w:rPr>
          <w:rFonts w:asciiTheme="majorHAnsi" w:hAnsiTheme="majorHAnsi" w:cstheme="majorHAnsi"/>
          <w:color w:val="000000"/>
        </w:rPr>
        <w:t xml:space="preserve">, H., </w:t>
      </w:r>
      <w:proofErr w:type="spellStart"/>
      <w:r w:rsidRPr="00AD29CC">
        <w:rPr>
          <w:rFonts w:asciiTheme="majorHAnsi" w:hAnsiTheme="majorHAnsi" w:cstheme="majorHAnsi"/>
          <w:color w:val="000000"/>
        </w:rPr>
        <w:t>Kamphuis</w:t>
      </w:r>
      <w:proofErr w:type="spellEnd"/>
      <w:r w:rsidRPr="00AD29CC">
        <w:rPr>
          <w:rFonts w:asciiTheme="majorHAnsi" w:hAnsiTheme="majorHAnsi" w:cstheme="majorHAnsi"/>
          <w:color w:val="000000"/>
        </w:rPr>
        <w:t xml:space="preserve">, C., </w:t>
      </w:r>
      <w:proofErr w:type="spellStart"/>
      <w:r w:rsidRPr="00AD29CC">
        <w:rPr>
          <w:rFonts w:asciiTheme="majorHAnsi" w:hAnsiTheme="majorHAnsi" w:cstheme="majorHAnsi"/>
          <w:color w:val="000000"/>
        </w:rPr>
        <w:t>Battjes</w:t>
      </w:r>
      <w:proofErr w:type="spellEnd"/>
      <w:r w:rsidRPr="00AD29CC">
        <w:rPr>
          <w:rFonts w:asciiTheme="majorHAnsi" w:hAnsiTheme="majorHAnsi" w:cstheme="majorHAnsi"/>
          <w:color w:val="000000"/>
        </w:rPr>
        <w:t xml:space="preserve">-Fries, M., </w:t>
      </w:r>
      <w:proofErr w:type="spellStart"/>
      <w:r w:rsidRPr="00AD29CC">
        <w:rPr>
          <w:rFonts w:asciiTheme="majorHAnsi" w:hAnsiTheme="majorHAnsi" w:cstheme="majorHAnsi"/>
          <w:color w:val="000000"/>
        </w:rPr>
        <w:t>Gillebaart</w:t>
      </w:r>
      <w:proofErr w:type="spellEnd"/>
      <w:r w:rsidRPr="00AD29CC">
        <w:rPr>
          <w:rFonts w:asciiTheme="majorHAnsi" w:hAnsiTheme="majorHAnsi" w:cstheme="majorHAnsi"/>
          <w:color w:val="000000"/>
        </w:rPr>
        <w:t xml:space="preserve">, M. and </w:t>
      </w:r>
      <w:proofErr w:type="spellStart"/>
      <w:r w:rsidRPr="00AD29CC">
        <w:rPr>
          <w:rFonts w:asciiTheme="majorHAnsi" w:hAnsiTheme="majorHAnsi" w:cstheme="majorHAnsi"/>
          <w:color w:val="000000"/>
        </w:rPr>
        <w:t>Seidell</w:t>
      </w:r>
      <w:proofErr w:type="spellEnd"/>
      <w:r w:rsidRPr="00AD29CC">
        <w:rPr>
          <w:rFonts w:asciiTheme="majorHAnsi" w:hAnsiTheme="majorHAnsi" w:cstheme="majorHAnsi"/>
          <w:color w:val="000000"/>
        </w:rPr>
        <w:t xml:space="preserve">, </w:t>
      </w:r>
      <w:proofErr w:type="gramStart"/>
      <w:r w:rsidRPr="00AD29CC">
        <w:rPr>
          <w:rFonts w:asciiTheme="majorHAnsi" w:hAnsiTheme="majorHAnsi" w:cstheme="majorHAnsi"/>
          <w:color w:val="000000"/>
        </w:rPr>
        <w:t>J.</w:t>
      </w:r>
      <w:r w:rsidRPr="008945E1">
        <w:rPr>
          <w:rFonts w:asciiTheme="majorHAnsi" w:hAnsiTheme="majorHAnsi" w:cstheme="majorHAnsi"/>
          <w:i/>
          <w:iCs/>
          <w:color w:val="000000"/>
        </w:rPr>
        <w:t>.</w:t>
      </w:r>
      <w:proofErr w:type="gramEnd"/>
      <w:r w:rsidRPr="008945E1">
        <w:rPr>
          <w:rFonts w:asciiTheme="majorHAnsi" w:hAnsiTheme="majorHAnsi" w:cstheme="majorHAnsi"/>
          <w:color w:val="000000"/>
        </w:rPr>
        <w:t xml:space="preserve"> (2018) </w:t>
      </w:r>
      <w:r w:rsidRPr="0076087B">
        <w:rPr>
          <w:rFonts w:asciiTheme="majorHAnsi" w:hAnsiTheme="majorHAnsi" w:cstheme="majorHAnsi"/>
          <w:i/>
          <w:iCs/>
          <w:color w:val="000000"/>
        </w:rPr>
        <w:t xml:space="preserve">‘Towards the measurement of food literacy with respect to healthy eating: The development and validation of the </w:t>
      </w:r>
      <w:proofErr w:type="spellStart"/>
      <w:r w:rsidRPr="0076087B">
        <w:rPr>
          <w:rFonts w:asciiTheme="majorHAnsi" w:hAnsiTheme="majorHAnsi" w:cstheme="majorHAnsi"/>
          <w:i/>
          <w:iCs/>
          <w:color w:val="000000"/>
        </w:rPr>
        <w:t>self perceived</w:t>
      </w:r>
      <w:proofErr w:type="spellEnd"/>
      <w:r w:rsidRPr="0076087B">
        <w:rPr>
          <w:rFonts w:asciiTheme="majorHAnsi" w:hAnsiTheme="majorHAnsi" w:cstheme="majorHAnsi"/>
          <w:i/>
          <w:iCs/>
          <w:color w:val="000000"/>
        </w:rPr>
        <w:t xml:space="preserve"> food literacy scale among an adult sample in the Netherlands</w:t>
      </w:r>
      <w:r w:rsidRPr="008945E1">
        <w:rPr>
          <w:rFonts w:asciiTheme="majorHAnsi" w:hAnsiTheme="majorHAnsi" w:cstheme="majorHAnsi"/>
          <w:color w:val="000000"/>
        </w:rPr>
        <w:t>’, </w:t>
      </w:r>
      <w:r w:rsidRPr="008945E1">
        <w:rPr>
          <w:rFonts w:asciiTheme="majorHAnsi" w:hAnsiTheme="majorHAnsi" w:cstheme="majorHAnsi"/>
          <w:i/>
          <w:iCs/>
          <w:color w:val="000000"/>
        </w:rPr>
        <w:t xml:space="preserve">International Journal of </w:t>
      </w:r>
      <w:proofErr w:type="spellStart"/>
      <w:r w:rsidRPr="008945E1">
        <w:rPr>
          <w:rFonts w:asciiTheme="majorHAnsi" w:hAnsiTheme="majorHAnsi" w:cstheme="majorHAnsi"/>
          <w:i/>
          <w:iCs/>
          <w:color w:val="000000"/>
        </w:rPr>
        <w:t>Behavioral</w:t>
      </w:r>
      <w:proofErr w:type="spellEnd"/>
      <w:r w:rsidRPr="008945E1">
        <w:rPr>
          <w:rFonts w:asciiTheme="majorHAnsi" w:hAnsiTheme="majorHAnsi" w:cstheme="majorHAnsi"/>
          <w:i/>
          <w:iCs/>
          <w:color w:val="000000"/>
        </w:rPr>
        <w:t xml:space="preserve"> Nutrition and Physical Activity</w:t>
      </w:r>
      <w:r w:rsidRPr="008945E1">
        <w:rPr>
          <w:rFonts w:asciiTheme="majorHAnsi" w:hAnsiTheme="majorHAnsi" w:cstheme="majorHAnsi"/>
          <w:color w:val="000000"/>
        </w:rPr>
        <w:t>, 15(1). doi:10.1186/s12966-018-0687-z. </w:t>
      </w:r>
    </w:p>
    <w:p w14:paraId="5308E71B" w14:textId="77777777" w:rsidR="00972C51" w:rsidRPr="00C835CE" w:rsidRDefault="00972C51" w:rsidP="00EB3A21">
      <w:pPr>
        <w:pStyle w:val="NormalWeb"/>
        <w:rPr>
          <w:rStyle w:val="apple-converted-space"/>
          <w:rFonts w:asciiTheme="majorHAnsi" w:hAnsiTheme="majorHAnsi" w:cstheme="majorHAnsi"/>
          <w:color w:val="000000"/>
        </w:rPr>
      </w:pPr>
      <w:r w:rsidRPr="00EB3A21">
        <w:rPr>
          <w:rFonts w:asciiTheme="majorHAnsi" w:hAnsiTheme="majorHAnsi" w:cstheme="majorHAnsi"/>
          <w:color w:val="000000"/>
        </w:rPr>
        <w:t>Rhondda Cynon Taf (2024)</w:t>
      </w:r>
      <w:r w:rsidRPr="00EB3A21">
        <w:rPr>
          <w:rStyle w:val="apple-converted-space"/>
          <w:rFonts w:asciiTheme="majorHAnsi" w:hAnsiTheme="majorHAnsi" w:cstheme="majorHAnsi"/>
          <w:color w:val="000000"/>
        </w:rPr>
        <w:t> </w:t>
      </w:r>
      <w:r w:rsidRPr="00EB3A21">
        <w:rPr>
          <w:rFonts w:asciiTheme="majorHAnsi" w:hAnsiTheme="majorHAnsi" w:cstheme="majorHAnsi"/>
          <w:i/>
          <w:iCs/>
          <w:color w:val="000000"/>
        </w:rPr>
        <w:t xml:space="preserve">Pay as you feel shops - big </w:t>
      </w:r>
      <w:proofErr w:type="spellStart"/>
      <w:r w:rsidRPr="00EB3A21">
        <w:rPr>
          <w:rFonts w:asciiTheme="majorHAnsi" w:hAnsiTheme="majorHAnsi" w:cstheme="majorHAnsi"/>
          <w:i/>
          <w:iCs/>
          <w:color w:val="000000"/>
        </w:rPr>
        <w:t>bocs</w:t>
      </w:r>
      <w:proofErr w:type="spellEnd"/>
      <w:r w:rsidRPr="00EB3A21">
        <w:rPr>
          <w:rFonts w:asciiTheme="majorHAnsi" w:hAnsiTheme="majorHAnsi" w:cstheme="majorHAnsi"/>
          <w:i/>
          <w:iCs/>
          <w:color w:val="000000"/>
        </w:rPr>
        <w:t xml:space="preserve"> </w:t>
      </w:r>
      <w:proofErr w:type="spellStart"/>
      <w:r w:rsidRPr="00EB3A21">
        <w:rPr>
          <w:rFonts w:asciiTheme="majorHAnsi" w:hAnsiTheme="majorHAnsi" w:cstheme="majorHAnsi"/>
          <w:i/>
          <w:iCs/>
          <w:color w:val="000000"/>
        </w:rPr>
        <w:t>bwyd</w:t>
      </w:r>
      <w:proofErr w:type="spellEnd"/>
      <w:r w:rsidRPr="00EB3A21">
        <w:rPr>
          <w:rFonts w:asciiTheme="majorHAnsi" w:hAnsiTheme="majorHAnsi" w:cstheme="majorHAnsi"/>
          <w:color w:val="000000"/>
        </w:rPr>
        <w:t>,</w:t>
      </w:r>
      <w:r w:rsidRPr="00EB3A21">
        <w:rPr>
          <w:rStyle w:val="apple-converted-space"/>
          <w:rFonts w:asciiTheme="majorHAnsi" w:hAnsiTheme="majorHAnsi" w:cstheme="majorHAnsi"/>
          <w:color w:val="000000"/>
        </w:rPr>
        <w:t> </w:t>
      </w:r>
      <w:r w:rsidRPr="00EB3A21">
        <w:rPr>
          <w:rFonts w:asciiTheme="majorHAnsi" w:hAnsiTheme="majorHAnsi" w:cstheme="majorHAnsi"/>
          <w:i/>
          <w:iCs/>
          <w:color w:val="000000"/>
        </w:rPr>
        <w:t>Rhondda Cynon Taf County Borough Council</w:t>
      </w:r>
      <w:r w:rsidRPr="00EB3A21">
        <w:rPr>
          <w:rFonts w:asciiTheme="majorHAnsi" w:hAnsiTheme="majorHAnsi" w:cstheme="majorHAnsi"/>
          <w:color w:val="000000"/>
        </w:rPr>
        <w:t xml:space="preserve">. Available at: </w:t>
      </w:r>
      <w:r w:rsidRPr="00EB3A21">
        <w:rPr>
          <w:rFonts w:asciiTheme="majorHAnsi" w:hAnsiTheme="majorHAnsi" w:cstheme="majorHAnsi"/>
          <w:color w:val="000000"/>
        </w:rPr>
        <w:lastRenderedPageBreak/>
        <w:t>https://www.rctcbc.gov.uk/EN/Resident/SchoolsandLearning/</w:t>
      </w:r>
      <w:r w:rsidRPr="00C835CE">
        <w:rPr>
          <w:rFonts w:asciiTheme="majorHAnsi" w:hAnsiTheme="majorHAnsi" w:cstheme="majorHAnsi"/>
          <w:color w:val="000000"/>
        </w:rPr>
        <w:t>HelpandsupportforEducationRelatedCosts/PayasyouFeelShopsBigBocsBwyd.aspx (Accessed: 12 February 2024).</w:t>
      </w:r>
      <w:r w:rsidRPr="00C835CE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1796DC1D" w14:textId="77777777" w:rsidR="00972C51" w:rsidRPr="000224A9" w:rsidRDefault="00972C51" w:rsidP="002E72C7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2E72C7">
        <w:rPr>
          <w:rFonts w:asciiTheme="majorHAnsi" w:hAnsiTheme="majorHAnsi" w:cstheme="majorHAnsi"/>
          <w:color w:val="000000"/>
        </w:rPr>
        <w:t xml:space="preserve">Savoie-Roskos, M.R., </w:t>
      </w:r>
      <w:proofErr w:type="spellStart"/>
      <w:r w:rsidRPr="002E72C7">
        <w:rPr>
          <w:rFonts w:asciiTheme="majorHAnsi" w:hAnsiTheme="majorHAnsi" w:cstheme="majorHAnsi"/>
          <w:color w:val="000000"/>
        </w:rPr>
        <w:t>Wengreen</w:t>
      </w:r>
      <w:proofErr w:type="spellEnd"/>
      <w:r w:rsidRPr="002E72C7">
        <w:rPr>
          <w:rFonts w:asciiTheme="majorHAnsi" w:hAnsiTheme="majorHAnsi" w:cstheme="majorHAnsi"/>
          <w:color w:val="000000"/>
        </w:rPr>
        <w:t xml:space="preserve">, H. and Durward, C. (2017) </w:t>
      </w:r>
      <w:r w:rsidRPr="00ED04CC">
        <w:rPr>
          <w:rFonts w:asciiTheme="majorHAnsi" w:hAnsiTheme="majorHAnsi" w:cstheme="majorHAnsi"/>
          <w:i/>
          <w:iCs/>
          <w:color w:val="000000"/>
        </w:rPr>
        <w:t>‘Increasing fruit and vegetable intake among children and youth through gardening-based interventions: A systematic review</w:t>
      </w:r>
      <w:r w:rsidRPr="002E72C7">
        <w:rPr>
          <w:rFonts w:asciiTheme="majorHAnsi" w:hAnsiTheme="majorHAnsi" w:cstheme="majorHAnsi"/>
          <w:color w:val="000000"/>
        </w:rPr>
        <w:t>’, </w:t>
      </w:r>
      <w:r w:rsidRPr="00ED04CC">
        <w:rPr>
          <w:rFonts w:asciiTheme="majorHAnsi" w:hAnsiTheme="majorHAnsi" w:cstheme="majorHAnsi"/>
          <w:color w:val="000000"/>
        </w:rPr>
        <w:t>Journal of the Academy of Nutrition and Dietetics,</w:t>
      </w:r>
      <w:r w:rsidRPr="002E72C7">
        <w:rPr>
          <w:rFonts w:asciiTheme="majorHAnsi" w:hAnsiTheme="majorHAnsi" w:cstheme="majorHAnsi"/>
          <w:color w:val="000000"/>
        </w:rPr>
        <w:t xml:space="preserve"> 117(2), pp. 240–250. </w:t>
      </w:r>
      <w:proofErr w:type="gramStart"/>
      <w:r w:rsidRPr="002E72C7">
        <w:rPr>
          <w:rFonts w:asciiTheme="majorHAnsi" w:hAnsiTheme="majorHAnsi" w:cstheme="majorHAnsi"/>
          <w:color w:val="000000"/>
        </w:rPr>
        <w:t>doi:10.1016/j.jand</w:t>
      </w:r>
      <w:proofErr w:type="gramEnd"/>
      <w:r w:rsidRPr="002E72C7">
        <w:rPr>
          <w:rFonts w:asciiTheme="majorHAnsi" w:hAnsiTheme="majorHAnsi" w:cstheme="majorHAnsi"/>
          <w:color w:val="000000"/>
        </w:rPr>
        <w:t>.2016.10.014. </w:t>
      </w:r>
    </w:p>
    <w:p w14:paraId="11870E31" w14:textId="77777777" w:rsidR="00972C51" w:rsidRDefault="00972C51" w:rsidP="00674364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812BD9">
        <w:rPr>
          <w:rFonts w:asciiTheme="majorHAnsi" w:hAnsiTheme="majorHAnsi" w:cstheme="majorHAnsi"/>
          <w:color w:val="000000"/>
        </w:rPr>
        <w:t>School X, (2024). Placement school. Website withheld to protect anonymity.</w:t>
      </w:r>
    </w:p>
    <w:p w14:paraId="0538367C" w14:textId="77777777" w:rsidR="00972C51" w:rsidRPr="00812BD9" w:rsidRDefault="00972C51" w:rsidP="000F1886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0F1886">
        <w:rPr>
          <w:rFonts w:asciiTheme="majorHAnsi" w:hAnsiTheme="majorHAnsi" w:cstheme="majorHAnsi"/>
          <w:color w:val="000000"/>
        </w:rPr>
        <w:t>UK Parliament (2024) </w:t>
      </w:r>
      <w:r w:rsidRPr="000F1886">
        <w:rPr>
          <w:rFonts w:asciiTheme="majorHAnsi" w:hAnsiTheme="majorHAnsi" w:cstheme="majorHAnsi"/>
          <w:i/>
          <w:iCs/>
          <w:color w:val="000000"/>
        </w:rPr>
        <w:t>Rising cost of living in the UK - house of commons library</w:t>
      </w:r>
      <w:r w:rsidRPr="000F1886">
        <w:rPr>
          <w:rFonts w:asciiTheme="majorHAnsi" w:hAnsiTheme="majorHAnsi" w:cstheme="majorHAnsi"/>
          <w:color w:val="000000"/>
        </w:rPr>
        <w:t>. Available at: https://commonslibrary.parliament.uk/research-briefings/cbp-9428/ (Accessed: 20 February 2024). </w:t>
      </w:r>
    </w:p>
    <w:p w14:paraId="588EEDDD" w14:textId="77777777" w:rsidR="00972C51" w:rsidRPr="000F1886" w:rsidRDefault="00972C51" w:rsidP="004F2815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4F2815">
        <w:rPr>
          <w:rFonts w:asciiTheme="majorHAnsi" w:hAnsiTheme="majorHAnsi" w:cstheme="majorHAnsi"/>
          <w:color w:val="000000"/>
        </w:rPr>
        <w:t>Welsh Government (2022) </w:t>
      </w:r>
      <w:r w:rsidRPr="004F2815">
        <w:rPr>
          <w:rFonts w:asciiTheme="majorHAnsi" w:hAnsiTheme="majorHAnsi" w:cstheme="majorHAnsi"/>
          <w:i/>
          <w:iCs/>
          <w:color w:val="000000"/>
        </w:rPr>
        <w:t>Developing a vision for curriculum design</w:t>
      </w:r>
      <w:r w:rsidRPr="004F2815">
        <w:rPr>
          <w:rFonts w:asciiTheme="majorHAnsi" w:hAnsiTheme="majorHAnsi" w:cstheme="majorHAnsi"/>
          <w:color w:val="000000"/>
        </w:rPr>
        <w:t>, </w:t>
      </w:r>
      <w:r w:rsidRPr="004F2815">
        <w:rPr>
          <w:rFonts w:asciiTheme="majorHAnsi" w:hAnsiTheme="majorHAnsi" w:cstheme="majorHAnsi"/>
          <w:i/>
          <w:iCs/>
          <w:color w:val="000000"/>
        </w:rPr>
        <w:t>Hwb</w:t>
      </w:r>
      <w:r w:rsidRPr="004F2815">
        <w:rPr>
          <w:rFonts w:asciiTheme="majorHAnsi" w:hAnsiTheme="majorHAnsi" w:cstheme="majorHAnsi"/>
          <w:color w:val="000000"/>
        </w:rPr>
        <w:t>. Available at: https://hwb.gov.wales/curriculum-for-wales/designing-your-curriculum/developing-a-vision-for-curriculum-design (Accessed: 05 February 2024). </w:t>
      </w:r>
    </w:p>
    <w:p w14:paraId="7E4827AD" w14:textId="77777777" w:rsidR="00972C51" w:rsidRPr="005914E2" w:rsidRDefault="00972C51" w:rsidP="005914E2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  <w:r w:rsidRPr="005914E2">
        <w:rPr>
          <w:rFonts w:asciiTheme="majorHAnsi" w:hAnsiTheme="majorHAnsi" w:cstheme="majorHAnsi"/>
          <w:color w:val="000000"/>
        </w:rPr>
        <w:t xml:space="preserve">Yen, D.A., </w:t>
      </w:r>
      <w:proofErr w:type="spellStart"/>
      <w:r w:rsidRPr="005914E2">
        <w:rPr>
          <w:rFonts w:asciiTheme="majorHAnsi" w:hAnsiTheme="majorHAnsi" w:cstheme="majorHAnsi"/>
          <w:color w:val="000000"/>
        </w:rPr>
        <w:t>Cappellini</w:t>
      </w:r>
      <w:proofErr w:type="spellEnd"/>
      <w:r w:rsidRPr="005914E2">
        <w:rPr>
          <w:rFonts w:asciiTheme="majorHAnsi" w:hAnsiTheme="majorHAnsi" w:cstheme="majorHAnsi"/>
          <w:color w:val="000000"/>
        </w:rPr>
        <w:t xml:space="preserve">, B. and </w:t>
      </w:r>
      <w:proofErr w:type="spellStart"/>
      <w:r w:rsidRPr="005914E2">
        <w:rPr>
          <w:rFonts w:asciiTheme="majorHAnsi" w:hAnsiTheme="majorHAnsi" w:cstheme="majorHAnsi"/>
          <w:color w:val="000000"/>
        </w:rPr>
        <w:t>Dovey</w:t>
      </w:r>
      <w:proofErr w:type="spellEnd"/>
      <w:r w:rsidRPr="005914E2">
        <w:rPr>
          <w:rFonts w:asciiTheme="majorHAnsi" w:hAnsiTheme="majorHAnsi" w:cstheme="majorHAnsi"/>
          <w:color w:val="000000"/>
        </w:rPr>
        <w:t xml:space="preserve">, T. (2022) </w:t>
      </w:r>
      <w:r w:rsidRPr="00ED04CC">
        <w:rPr>
          <w:rFonts w:asciiTheme="majorHAnsi" w:hAnsiTheme="majorHAnsi" w:cstheme="majorHAnsi"/>
          <w:i/>
          <w:iCs/>
          <w:color w:val="000000"/>
        </w:rPr>
        <w:t>‘Primary school children’s responses to food waste at school</w:t>
      </w:r>
      <w:r w:rsidRPr="005914E2">
        <w:rPr>
          <w:rFonts w:asciiTheme="majorHAnsi" w:hAnsiTheme="majorHAnsi" w:cstheme="majorHAnsi"/>
          <w:color w:val="000000"/>
        </w:rPr>
        <w:t>’, </w:t>
      </w:r>
      <w:r w:rsidRPr="005914E2">
        <w:rPr>
          <w:rFonts w:asciiTheme="majorHAnsi" w:hAnsiTheme="majorHAnsi" w:cstheme="majorHAnsi"/>
          <w:i/>
          <w:iCs/>
          <w:color w:val="000000"/>
        </w:rPr>
        <w:t>British Food Journal</w:t>
      </w:r>
      <w:r w:rsidRPr="005914E2">
        <w:rPr>
          <w:rFonts w:asciiTheme="majorHAnsi" w:hAnsiTheme="majorHAnsi" w:cstheme="majorHAnsi"/>
          <w:color w:val="000000"/>
        </w:rPr>
        <w:t>, 124(13), pp. 109–125. doi:10.1108/bfj-06-2021-0608. </w:t>
      </w:r>
    </w:p>
    <w:p w14:paraId="02C58615" w14:textId="77777777" w:rsidR="000F1886" w:rsidRPr="004F2815" w:rsidRDefault="000F1886" w:rsidP="004F2815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</w:p>
    <w:p w14:paraId="09F1DC0D" w14:textId="77777777" w:rsidR="004F2815" w:rsidRPr="00C835CE" w:rsidRDefault="004F2815" w:rsidP="00C835CE">
      <w:pPr>
        <w:spacing w:before="100" w:beforeAutospacing="1" w:after="100" w:afterAutospacing="1"/>
        <w:rPr>
          <w:rFonts w:asciiTheme="majorHAnsi" w:hAnsiTheme="majorHAnsi" w:cstheme="majorHAnsi"/>
          <w:color w:val="000000"/>
        </w:rPr>
      </w:pPr>
    </w:p>
    <w:p w14:paraId="225E3DEA" w14:textId="77777777" w:rsidR="00C835CE" w:rsidRDefault="00C835CE" w:rsidP="00EB3A21">
      <w:pPr>
        <w:pStyle w:val="NormalWeb"/>
        <w:rPr>
          <w:rStyle w:val="apple-converted-space"/>
          <w:rFonts w:asciiTheme="majorHAnsi" w:hAnsiTheme="majorHAnsi" w:cstheme="majorHAnsi"/>
          <w:color w:val="000000"/>
        </w:rPr>
      </w:pPr>
    </w:p>
    <w:p w14:paraId="43A3B1AB" w14:textId="77777777" w:rsidR="00402C37" w:rsidRPr="00EB3A21" w:rsidRDefault="00402C37" w:rsidP="00EB3A21">
      <w:pPr>
        <w:pStyle w:val="NormalWeb"/>
        <w:rPr>
          <w:rFonts w:asciiTheme="majorHAnsi" w:hAnsiTheme="majorHAnsi" w:cstheme="majorHAnsi"/>
          <w:color w:val="000000"/>
        </w:rPr>
      </w:pPr>
    </w:p>
    <w:p w14:paraId="2F3F27DC" w14:textId="77777777" w:rsidR="00812BD9" w:rsidRDefault="00812BD9" w:rsidP="00E611D9">
      <w:pPr>
        <w:pStyle w:val="AssignBody"/>
        <w:rPr>
          <w:b/>
        </w:rPr>
      </w:pPr>
    </w:p>
    <w:p w14:paraId="66C323B0" w14:textId="571C384B" w:rsidR="00D0409F" w:rsidRPr="00603642" w:rsidRDefault="004B7B13" w:rsidP="00E611D9">
      <w:pPr>
        <w:pStyle w:val="AssignBody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 </w:t>
      </w:r>
    </w:p>
    <w:sectPr w:rsidR="00D0409F" w:rsidRPr="00603642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EF31F1" w14:textId="77777777" w:rsidR="00887462" w:rsidRDefault="00887462" w:rsidP="00E611D9">
      <w:r>
        <w:separator/>
      </w:r>
    </w:p>
  </w:endnote>
  <w:endnote w:type="continuationSeparator" w:id="0">
    <w:p w14:paraId="01CEFEE6" w14:textId="77777777" w:rsidR="00887462" w:rsidRDefault="00887462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FA3A0C" w14:textId="77777777" w:rsidR="00887462" w:rsidRDefault="00887462" w:rsidP="00E611D9">
      <w:r>
        <w:separator/>
      </w:r>
    </w:p>
  </w:footnote>
  <w:footnote w:type="continuationSeparator" w:id="0">
    <w:p w14:paraId="6B8C1C4F" w14:textId="77777777" w:rsidR="00887462" w:rsidRDefault="00887462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A73578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319D9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96622E6" w:rsidR="00E611D9" w:rsidRPr="00E611D9" w:rsidRDefault="00E611D9" w:rsidP="00ED04CC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ED04CC">
            <w:rPr>
              <w:rFonts w:ascii="Arial" w:hAnsi="Arial" w:cs="Arial"/>
            </w:rPr>
            <w:t xml:space="preserve"> </w:t>
          </w:r>
          <w:r w:rsidR="008319D9">
            <w:rPr>
              <w:rFonts w:ascii="Arial" w:hAnsi="Arial" w:cs="Arial"/>
            </w:rPr>
            <w:t>2205934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70C02"/>
    <w:multiLevelType w:val="hybridMultilevel"/>
    <w:tmpl w:val="9B6AB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626B46"/>
    <w:multiLevelType w:val="hybridMultilevel"/>
    <w:tmpl w:val="5FDAC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C7773B"/>
    <w:multiLevelType w:val="hybridMultilevel"/>
    <w:tmpl w:val="D8E2D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4541280">
    <w:abstractNumId w:val="2"/>
  </w:num>
  <w:num w:numId="2" w16cid:durableId="1570923219">
    <w:abstractNumId w:val="0"/>
  </w:num>
  <w:num w:numId="3" w16cid:durableId="8964049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162"/>
    <w:rsid w:val="0001111B"/>
    <w:rsid w:val="000224A9"/>
    <w:rsid w:val="0003164F"/>
    <w:rsid w:val="00033AE7"/>
    <w:rsid w:val="000438FE"/>
    <w:rsid w:val="00044331"/>
    <w:rsid w:val="00066ECD"/>
    <w:rsid w:val="0006718B"/>
    <w:rsid w:val="0007595F"/>
    <w:rsid w:val="00085A39"/>
    <w:rsid w:val="00087FFD"/>
    <w:rsid w:val="000946D7"/>
    <w:rsid w:val="000C1702"/>
    <w:rsid w:val="000C5DB6"/>
    <w:rsid w:val="000E0C9F"/>
    <w:rsid w:val="000F1585"/>
    <w:rsid w:val="000F1886"/>
    <w:rsid w:val="001259AD"/>
    <w:rsid w:val="001501EA"/>
    <w:rsid w:val="00153067"/>
    <w:rsid w:val="001535DA"/>
    <w:rsid w:val="00157F7D"/>
    <w:rsid w:val="001731C6"/>
    <w:rsid w:val="0018189E"/>
    <w:rsid w:val="00185CCD"/>
    <w:rsid w:val="001949BC"/>
    <w:rsid w:val="001B7C94"/>
    <w:rsid w:val="001C3741"/>
    <w:rsid w:val="001C7BDB"/>
    <w:rsid w:val="001D2CF5"/>
    <w:rsid w:val="001E2D58"/>
    <w:rsid w:val="001F2423"/>
    <w:rsid w:val="00217517"/>
    <w:rsid w:val="002229F0"/>
    <w:rsid w:val="002257BA"/>
    <w:rsid w:val="00226809"/>
    <w:rsid w:val="00231F6E"/>
    <w:rsid w:val="00262A16"/>
    <w:rsid w:val="00287AD3"/>
    <w:rsid w:val="002942DF"/>
    <w:rsid w:val="002A2A6D"/>
    <w:rsid w:val="002B717B"/>
    <w:rsid w:val="002D44D7"/>
    <w:rsid w:val="002D5B98"/>
    <w:rsid w:val="002D6435"/>
    <w:rsid w:val="002E3C60"/>
    <w:rsid w:val="002E72C7"/>
    <w:rsid w:val="002E7A7D"/>
    <w:rsid w:val="002F4CF2"/>
    <w:rsid w:val="00303AEE"/>
    <w:rsid w:val="00311953"/>
    <w:rsid w:val="00315006"/>
    <w:rsid w:val="00350915"/>
    <w:rsid w:val="003540CB"/>
    <w:rsid w:val="00354C13"/>
    <w:rsid w:val="003575A1"/>
    <w:rsid w:val="003814AA"/>
    <w:rsid w:val="00383467"/>
    <w:rsid w:val="003940B6"/>
    <w:rsid w:val="003A0DFF"/>
    <w:rsid w:val="003B2DDF"/>
    <w:rsid w:val="003B567F"/>
    <w:rsid w:val="003B5E3C"/>
    <w:rsid w:val="003D5373"/>
    <w:rsid w:val="003E55AE"/>
    <w:rsid w:val="00402C37"/>
    <w:rsid w:val="0040485F"/>
    <w:rsid w:val="004106BA"/>
    <w:rsid w:val="00420ED5"/>
    <w:rsid w:val="00425C89"/>
    <w:rsid w:val="00433F17"/>
    <w:rsid w:val="00436506"/>
    <w:rsid w:val="00440253"/>
    <w:rsid w:val="00447B1D"/>
    <w:rsid w:val="00454B85"/>
    <w:rsid w:val="0045616C"/>
    <w:rsid w:val="004576C1"/>
    <w:rsid w:val="00463C40"/>
    <w:rsid w:val="00465018"/>
    <w:rsid w:val="0047089F"/>
    <w:rsid w:val="004740E6"/>
    <w:rsid w:val="00477BCF"/>
    <w:rsid w:val="00481BD3"/>
    <w:rsid w:val="00492817"/>
    <w:rsid w:val="004958CE"/>
    <w:rsid w:val="00496BAC"/>
    <w:rsid w:val="00496D4A"/>
    <w:rsid w:val="00497347"/>
    <w:rsid w:val="004B2C92"/>
    <w:rsid w:val="004B3C72"/>
    <w:rsid w:val="004B6F14"/>
    <w:rsid w:val="004B7B13"/>
    <w:rsid w:val="004C6BB8"/>
    <w:rsid w:val="004E039B"/>
    <w:rsid w:val="004F2815"/>
    <w:rsid w:val="004F6D07"/>
    <w:rsid w:val="00502F04"/>
    <w:rsid w:val="00507529"/>
    <w:rsid w:val="00511FAA"/>
    <w:rsid w:val="00517580"/>
    <w:rsid w:val="00524FEA"/>
    <w:rsid w:val="00530AB8"/>
    <w:rsid w:val="0055331F"/>
    <w:rsid w:val="00580DE3"/>
    <w:rsid w:val="00587BD8"/>
    <w:rsid w:val="005900CF"/>
    <w:rsid w:val="005914E2"/>
    <w:rsid w:val="005956FB"/>
    <w:rsid w:val="005A0896"/>
    <w:rsid w:val="005B51C4"/>
    <w:rsid w:val="005B5999"/>
    <w:rsid w:val="005B663F"/>
    <w:rsid w:val="005C67DB"/>
    <w:rsid w:val="005C7555"/>
    <w:rsid w:val="005D0EBA"/>
    <w:rsid w:val="005D5425"/>
    <w:rsid w:val="005D553B"/>
    <w:rsid w:val="005F2856"/>
    <w:rsid w:val="00603642"/>
    <w:rsid w:val="006217D4"/>
    <w:rsid w:val="006250E3"/>
    <w:rsid w:val="00630479"/>
    <w:rsid w:val="00631CCE"/>
    <w:rsid w:val="006419C3"/>
    <w:rsid w:val="0065129A"/>
    <w:rsid w:val="006721A7"/>
    <w:rsid w:val="00674364"/>
    <w:rsid w:val="00691A46"/>
    <w:rsid w:val="006B022B"/>
    <w:rsid w:val="006B1FEA"/>
    <w:rsid w:val="006B5861"/>
    <w:rsid w:val="006D45E0"/>
    <w:rsid w:val="006E41F2"/>
    <w:rsid w:val="006E6012"/>
    <w:rsid w:val="006F2301"/>
    <w:rsid w:val="007058BC"/>
    <w:rsid w:val="0072482A"/>
    <w:rsid w:val="00744966"/>
    <w:rsid w:val="0075322C"/>
    <w:rsid w:val="00753F62"/>
    <w:rsid w:val="0076087B"/>
    <w:rsid w:val="007769FF"/>
    <w:rsid w:val="00797E96"/>
    <w:rsid w:val="007A33EE"/>
    <w:rsid w:val="007B379E"/>
    <w:rsid w:val="007B6E71"/>
    <w:rsid w:val="007D1C44"/>
    <w:rsid w:val="007D7D8A"/>
    <w:rsid w:val="007E451B"/>
    <w:rsid w:val="007E4EC0"/>
    <w:rsid w:val="00800D7C"/>
    <w:rsid w:val="00801E31"/>
    <w:rsid w:val="00812BD9"/>
    <w:rsid w:val="00817F7A"/>
    <w:rsid w:val="00824406"/>
    <w:rsid w:val="008319D9"/>
    <w:rsid w:val="0083295A"/>
    <w:rsid w:val="00836780"/>
    <w:rsid w:val="00847B23"/>
    <w:rsid w:val="00877A8E"/>
    <w:rsid w:val="0088505B"/>
    <w:rsid w:val="00887462"/>
    <w:rsid w:val="0089411B"/>
    <w:rsid w:val="008945E1"/>
    <w:rsid w:val="0089771C"/>
    <w:rsid w:val="008A554B"/>
    <w:rsid w:val="008C10FA"/>
    <w:rsid w:val="008C1DDE"/>
    <w:rsid w:val="008E6AA9"/>
    <w:rsid w:val="008F285E"/>
    <w:rsid w:val="008F365B"/>
    <w:rsid w:val="00904C5A"/>
    <w:rsid w:val="009175F0"/>
    <w:rsid w:val="00920197"/>
    <w:rsid w:val="009479DB"/>
    <w:rsid w:val="00957CC3"/>
    <w:rsid w:val="00961FFB"/>
    <w:rsid w:val="009700E9"/>
    <w:rsid w:val="0097069F"/>
    <w:rsid w:val="00972C51"/>
    <w:rsid w:val="00972D5C"/>
    <w:rsid w:val="0099570C"/>
    <w:rsid w:val="009A0ECE"/>
    <w:rsid w:val="009A49C4"/>
    <w:rsid w:val="009A7F0F"/>
    <w:rsid w:val="009B31CF"/>
    <w:rsid w:val="009B47AE"/>
    <w:rsid w:val="009C10E9"/>
    <w:rsid w:val="00A04734"/>
    <w:rsid w:val="00A104DC"/>
    <w:rsid w:val="00A31531"/>
    <w:rsid w:val="00A50A94"/>
    <w:rsid w:val="00A706B8"/>
    <w:rsid w:val="00AB3F72"/>
    <w:rsid w:val="00AC3A13"/>
    <w:rsid w:val="00AD29CC"/>
    <w:rsid w:val="00AD2F0A"/>
    <w:rsid w:val="00AD4EBD"/>
    <w:rsid w:val="00AD752F"/>
    <w:rsid w:val="00AE03C3"/>
    <w:rsid w:val="00AF5D8F"/>
    <w:rsid w:val="00B0300B"/>
    <w:rsid w:val="00B30975"/>
    <w:rsid w:val="00B321AD"/>
    <w:rsid w:val="00B417DF"/>
    <w:rsid w:val="00B51350"/>
    <w:rsid w:val="00B55BB3"/>
    <w:rsid w:val="00B6149E"/>
    <w:rsid w:val="00B637DF"/>
    <w:rsid w:val="00B6524F"/>
    <w:rsid w:val="00B67895"/>
    <w:rsid w:val="00B705A0"/>
    <w:rsid w:val="00B76ADD"/>
    <w:rsid w:val="00B81F5E"/>
    <w:rsid w:val="00B82E86"/>
    <w:rsid w:val="00BA36AC"/>
    <w:rsid w:val="00BA5BBD"/>
    <w:rsid w:val="00BC651E"/>
    <w:rsid w:val="00BD18B2"/>
    <w:rsid w:val="00BE50E0"/>
    <w:rsid w:val="00BF7E13"/>
    <w:rsid w:val="00C0556A"/>
    <w:rsid w:val="00C174AD"/>
    <w:rsid w:val="00C44060"/>
    <w:rsid w:val="00C4704E"/>
    <w:rsid w:val="00C61CA1"/>
    <w:rsid w:val="00C770D9"/>
    <w:rsid w:val="00C835CE"/>
    <w:rsid w:val="00CD1240"/>
    <w:rsid w:val="00CD7796"/>
    <w:rsid w:val="00CE0C1E"/>
    <w:rsid w:val="00CE4DA2"/>
    <w:rsid w:val="00CF1C7D"/>
    <w:rsid w:val="00CF7469"/>
    <w:rsid w:val="00D0409F"/>
    <w:rsid w:val="00D3024C"/>
    <w:rsid w:val="00D41DA9"/>
    <w:rsid w:val="00D45C45"/>
    <w:rsid w:val="00D744A1"/>
    <w:rsid w:val="00D74B6C"/>
    <w:rsid w:val="00D8421A"/>
    <w:rsid w:val="00D86E94"/>
    <w:rsid w:val="00D95A46"/>
    <w:rsid w:val="00DA3060"/>
    <w:rsid w:val="00DB0751"/>
    <w:rsid w:val="00DD70B4"/>
    <w:rsid w:val="00DE0A3A"/>
    <w:rsid w:val="00DE2CF4"/>
    <w:rsid w:val="00DF66E8"/>
    <w:rsid w:val="00DF6746"/>
    <w:rsid w:val="00DF6AC5"/>
    <w:rsid w:val="00E13BBA"/>
    <w:rsid w:val="00E13C47"/>
    <w:rsid w:val="00E15E39"/>
    <w:rsid w:val="00E1659A"/>
    <w:rsid w:val="00E262CA"/>
    <w:rsid w:val="00E41B04"/>
    <w:rsid w:val="00E420EE"/>
    <w:rsid w:val="00E43304"/>
    <w:rsid w:val="00E43AD5"/>
    <w:rsid w:val="00E44A65"/>
    <w:rsid w:val="00E50360"/>
    <w:rsid w:val="00E60C5F"/>
    <w:rsid w:val="00E611D9"/>
    <w:rsid w:val="00E7181C"/>
    <w:rsid w:val="00E83315"/>
    <w:rsid w:val="00E86969"/>
    <w:rsid w:val="00E86B76"/>
    <w:rsid w:val="00E936DE"/>
    <w:rsid w:val="00EB1F11"/>
    <w:rsid w:val="00EB3A21"/>
    <w:rsid w:val="00EC541C"/>
    <w:rsid w:val="00ED04CC"/>
    <w:rsid w:val="00ED366B"/>
    <w:rsid w:val="00ED3CDB"/>
    <w:rsid w:val="00ED4F8F"/>
    <w:rsid w:val="00ED77F6"/>
    <w:rsid w:val="00EE17B8"/>
    <w:rsid w:val="00EE435C"/>
    <w:rsid w:val="00EE705E"/>
    <w:rsid w:val="00EF56E6"/>
    <w:rsid w:val="00F016D0"/>
    <w:rsid w:val="00F06F5C"/>
    <w:rsid w:val="00F20FBD"/>
    <w:rsid w:val="00F62934"/>
    <w:rsid w:val="00F667E9"/>
    <w:rsid w:val="00F71972"/>
    <w:rsid w:val="00F7204D"/>
    <w:rsid w:val="00F846FF"/>
    <w:rsid w:val="00F86040"/>
    <w:rsid w:val="00F94A81"/>
    <w:rsid w:val="00FA0461"/>
    <w:rsid w:val="00FA694F"/>
    <w:rsid w:val="00FB2901"/>
    <w:rsid w:val="00FD09B3"/>
    <w:rsid w:val="00FD5A94"/>
    <w:rsid w:val="00FE6905"/>
    <w:rsid w:val="00FF3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4A6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E2D58"/>
  </w:style>
  <w:style w:type="character" w:customStyle="1" w:styleId="align-middle">
    <w:name w:val="align-middle"/>
    <w:basedOn w:val="DefaultParagraphFont"/>
    <w:rsid w:val="00FF3EFE"/>
  </w:style>
  <w:style w:type="character" w:styleId="Hyperlink">
    <w:name w:val="Hyperlink"/>
    <w:basedOn w:val="DefaultParagraphFont"/>
    <w:uiPriority w:val="99"/>
    <w:semiHidden/>
    <w:unhideWhenUsed/>
    <w:rsid w:val="00FF3EF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10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4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9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835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48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26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25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7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5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8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1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9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91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20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567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249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gov.wales/sites/default/files/publications/2018-03/succesful-futures-a-summary-of-professor-graham-donaldsons-repor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307</TotalTime>
  <Pages>2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Courtney Payne (2205934)</cp:lastModifiedBy>
  <cp:revision>277</cp:revision>
  <dcterms:created xsi:type="dcterms:W3CDTF">2024-03-02T15:01:00Z</dcterms:created>
  <dcterms:modified xsi:type="dcterms:W3CDTF">2024-03-04T15:39:00Z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