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CCEBF8" w14:textId="77777777" w:rsidR="006B2C28" w:rsidRPr="006B2C28" w:rsidRDefault="006B2C28" w:rsidP="006B2C28">
      <w:pPr>
        <w:shd w:val="clear" w:color="auto" w:fill="FFFFFF"/>
        <w:spacing w:after="0" w:line="240" w:lineRule="auto"/>
        <w:jc w:val="center"/>
        <w:rPr>
          <w:rFonts w:ascii="Helvetica" w:eastAsia="Times New Roman" w:hAnsi="Helvetica" w:cs="Times New Roman"/>
          <w:b/>
          <w:bCs/>
          <w:color w:val="FFFFFF"/>
          <w:sz w:val="24"/>
          <w:szCs w:val="24"/>
          <w:lang w:eastAsia="en-GB"/>
        </w:rPr>
      </w:pPr>
      <w:r w:rsidRPr="006B2C28">
        <w:rPr>
          <w:rFonts w:ascii="Helvetica" w:eastAsia="Times New Roman" w:hAnsi="Helvetica" w:cs="Times New Roman"/>
          <w:b/>
          <w:bCs/>
          <w:color w:val="FFFFFF"/>
          <w:sz w:val="24"/>
          <w:szCs w:val="24"/>
          <w:lang w:eastAsia="en-GB"/>
        </w:rPr>
        <w:t>19 Jun 2020</w:t>
      </w:r>
    </w:p>
    <w:p w14:paraId="458593C9" w14:textId="77777777" w:rsidR="006B2C28" w:rsidRPr="006B2C28" w:rsidRDefault="006B2C28" w:rsidP="006B2C28">
      <w:pPr>
        <w:shd w:val="clear" w:color="auto" w:fill="FFFFFF"/>
        <w:spacing w:before="100" w:beforeAutospacing="1" w:after="100" w:afterAutospacing="1" w:line="240" w:lineRule="auto"/>
        <w:jc w:val="center"/>
        <w:outlineLvl w:val="0"/>
        <w:rPr>
          <w:rFonts w:ascii="Helvetica" w:eastAsia="Times New Roman" w:hAnsi="Helvetica" w:cs="Times New Roman"/>
          <w:b/>
          <w:bCs/>
          <w:color w:val="FFFFFF"/>
          <w:kern w:val="36"/>
          <w:sz w:val="48"/>
          <w:szCs w:val="48"/>
          <w:lang w:eastAsia="en-GB"/>
        </w:rPr>
      </w:pPr>
      <w:r w:rsidRPr="006B2C28">
        <w:rPr>
          <w:rFonts w:ascii="Helvetica" w:eastAsia="Times New Roman" w:hAnsi="Helvetica" w:cs="Times New Roman"/>
          <w:b/>
          <w:bCs/>
          <w:color w:val="FFFFFF"/>
          <w:kern w:val="36"/>
          <w:sz w:val="48"/>
          <w:szCs w:val="48"/>
          <w:lang w:eastAsia="en-GB"/>
        </w:rPr>
        <w:t>Employee reactions to workplace austerity</w:t>
      </w:r>
    </w:p>
    <w:p w14:paraId="30836840" w14:textId="77777777" w:rsidR="006B2C28" w:rsidRPr="006B2C28" w:rsidRDefault="006B2C28" w:rsidP="006B2C28">
      <w:pPr>
        <w:shd w:val="clear" w:color="auto" w:fill="FFFFFF"/>
        <w:spacing w:before="100" w:beforeAutospacing="1" w:after="100" w:afterAutospacing="1" w:line="240" w:lineRule="auto"/>
        <w:jc w:val="center"/>
        <w:rPr>
          <w:rFonts w:ascii="Helvetica" w:eastAsia="Times New Roman" w:hAnsi="Helvetica" w:cs="Times New Roman"/>
          <w:b/>
          <w:bCs/>
          <w:color w:val="FFFFFF"/>
          <w:sz w:val="24"/>
          <w:szCs w:val="24"/>
          <w:lang w:eastAsia="en-GB"/>
        </w:rPr>
      </w:pPr>
      <w:r w:rsidRPr="006B2C28">
        <w:rPr>
          <w:rFonts w:ascii="Helvetica" w:eastAsia="Times New Roman" w:hAnsi="Helvetica" w:cs="Times New Roman"/>
          <w:b/>
          <w:bCs/>
          <w:color w:val="FFFFFF"/>
          <w:sz w:val="24"/>
          <w:szCs w:val="24"/>
          <w:lang w:eastAsia="en-GB"/>
        </w:rPr>
        <w:t>The impact of employer measures during economic downturns</w:t>
      </w:r>
    </w:p>
    <w:p w14:paraId="3C433E1C" w14:textId="77777777" w:rsidR="006B2C28" w:rsidRPr="006B2C28" w:rsidRDefault="006B2C28" w:rsidP="006B2C28">
      <w:pPr>
        <w:shd w:val="clear" w:color="auto" w:fill="FFFFFF"/>
        <w:spacing w:before="100" w:beforeAutospacing="1" w:after="100" w:afterAutospacing="1" w:line="240" w:lineRule="auto"/>
        <w:jc w:val="center"/>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In a Nutshell: Issue 98  </w:t>
      </w:r>
    </w:p>
    <w:p w14:paraId="7AB2905C" w14:textId="77777777" w:rsidR="006B2C28" w:rsidRPr="006B2C28" w:rsidRDefault="006B2C28" w:rsidP="006B2C28">
      <w:pPr>
        <w:shd w:val="clear" w:color="auto" w:fill="FFFFFF"/>
        <w:spacing w:after="0" w:line="240" w:lineRule="auto"/>
        <w:jc w:val="center"/>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pict w14:anchorId="49A2AF09">
          <v:rect id="_x0000_i1025" style="width:0;height:0" o:hralign="center" o:hrstd="t" o:hr="t" fillcolor="#a0a0a0" stroked="f"/>
        </w:pict>
      </w:r>
    </w:p>
    <w:p w14:paraId="2F59119C"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Many people professionals will now be helping employers prepare their response to a period of national recession. This research explores the potential impacts these employer responses can have among employees, and what these findings mean for practice.</w:t>
      </w:r>
    </w:p>
    <w:p w14:paraId="07054EA3"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 xml:space="preserve">Employee reactions to workplace austerity. Recessionary actions and absence: A workplace-level study, Steven Wood, George </w:t>
      </w:r>
      <w:proofErr w:type="spellStart"/>
      <w:r w:rsidRPr="006B2C28">
        <w:rPr>
          <w:rFonts w:ascii="Helvetica" w:eastAsia="Times New Roman" w:hAnsi="Helvetica" w:cs="Times New Roman"/>
          <w:b/>
          <w:bCs/>
          <w:color w:val="58595B"/>
          <w:sz w:val="24"/>
          <w:szCs w:val="24"/>
          <w:lang w:eastAsia="en-GB"/>
        </w:rPr>
        <w:t>Michaelides</w:t>
      </w:r>
      <w:proofErr w:type="spellEnd"/>
      <w:r w:rsidRPr="006B2C28">
        <w:rPr>
          <w:rFonts w:ascii="Helvetica" w:eastAsia="Times New Roman" w:hAnsi="Helvetica" w:cs="Times New Roman"/>
          <w:b/>
          <w:bCs/>
          <w:color w:val="58595B"/>
          <w:sz w:val="24"/>
          <w:szCs w:val="24"/>
          <w:lang w:eastAsia="en-GB"/>
        </w:rPr>
        <w:t xml:space="preserve">, </w:t>
      </w:r>
      <w:proofErr w:type="spellStart"/>
      <w:r w:rsidRPr="006B2C28">
        <w:rPr>
          <w:rFonts w:ascii="Helvetica" w:eastAsia="Times New Roman" w:hAnsi="Helvetica" w:cs="Times New Roman"/>
          <w:b/>
          <w:bCs/>
          <w:color w:val="58595B"/>
          <w:sz w:val="24"/>
          <w:szCs w:val="24"/>
          <w:lang w:eastAsia="en-GB"/>
        </w:rPr>
        <w:t>Chidiebere</w:t>
      </w:r>
      <w:proofErr w:type="spellEnd"/>
      <w:r w:rsidRPr="006B2C28">
        <w:rPr>
          <w:rFonts w:ascii="Helvetica" w:eastAsia="Times New Roman" w:hAnsi="Helvetica" w:cs="Times New Roman"/>
          <w:b/>
          <w:bCs/>
          <w:color w:val="58595B"/>
          <w:sz w:val="24"/>
          <w:szCs w:val="24"/>
          <w:lang w:eastAsia="en-GB"/>
        </w:rPr>
        <w:t xml:space="preserve"> </w:t>
      </w:r>
      <w:proofErr w:type="spellStart"/>
      <w:r w:rsidRPr="006B2C28">
        <w:rPr>
          <w:rFonts w:ascii="Helvetica" w:eastAsia="Times New Roman" w:hAnsi="Helvetica" w:cs="Times New Roman"/>
          <w:b/>
          <w:bCs/>
          <w:color w:val="58595B"/>
          <w:sz w:val="24"/>
          <w:szCs w:val="24"/>
          <w:lang w:eastAsia="en-GB"/>
        </w:rPr>
        <w:t>Ogbonnaya</w:t>
      </w:r>
      <w:proofErr w:type="spellEnd"/>
      <w:r w:rsidRPr="006B2C28">
        <w:rPr>
          <w:rFonts w:ascii="Helvetica" w:eastAsia="Times New Roman" w:hAnsi="Helvetica" w:cs="Times New Roman"/>
          <w:b/>
          <w:bCs/>
          <w:color w:val="58595B"/>
          <w:sz w:val="24"/>
          <w:szCs w:val="24"/>
          <w:lang w:eastAsia="en-GB"/>
        </w:rPr>
        <w:t>. Human Resource Management, March 2020, online first.</w:t>
      </w:r>
    </w:p>
    <w:p w14:paraId="71A68932"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p>
    <w:p w14:paraId="1CEA3608" w14:textId="77777777" w:rsidR="006B2C28" w:rsidRPr="006B2C28" w:rsidRDefault="006B2C28" w:rsidP="006B2C28">
      <w:pPr>
        <w:shd w:val="clear" w:color="auto" w:fill="FFFFFF"/>
        <w:spacing w:before="100" w:beforeAutospacing="1" w:after="100" w:afterAutospacing="1" w:line="240" w:lineRule="auto"/>
        <w:outlineLvl w:val="1"/>
        <w:rPr>
          <w:rFonts w:ascii="Helvetica" w:eastAsia="Times New Roman" w:hAnsi="Helvetica" w:cs="Times New Roman"/>
          <w:b/>
          <w:bCs/>
          <w:color w:val="58595B"/>
          <w:sz w:val="36"/>
          <w:szCs w:val="36"/>
          <w:lang w:eastAsia="en-GB"/>
        </w:rPr>
      </w:pPr>
      <w:r w:rsidRPr="006B2C28">
        <w:rPr>
          <w:rFonts w:ascii="Helvetica" w:eastAsia="Times New Roman" w:hAnsi="Helvetica" w:cs="Times New Roman"/>
          <w:b/>
          <w:bCs/>
          <w:color w:val="58595B"/>
          <w:sz w:val="36"/>
          <w:szCs w:val="36"/>
          <w:lang w:eastAsia="en-GB"/>
        </w:rPr>
        <w:t>Article review</w:t>
      </w:r>
    </w:p>
    <w:p w14:paraId="602795EA"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 xml:space="preserve">Actions taken by employers in response to periods of national austerity or recession, such as work restructuring or pay freezes, are widely assumed to decrease employees' job </w:t>
      </w:r>
      <w:proofErr w:type="gramStart"/>
      <w:r w:rsidRPr="006B2C28">
        <w:rPr>
          <w:rFonts w:ascii="Helvetica" w:eastAsia="Times New Roman" w:hAnsi="Helvetica" w:cs="Times New Roman"/>
          <w:b/>
          <w:bCs/>
          <w:color w:val="58595B"/>
          <w:sz w:val="24"/>
          <w:szCs w:val="24"/>
          <w:lang w:eastAsia="en-GB"/>
        </w:rPr>
        <w:t>security</w:t>
      </w:r>
      <w:proofErr w:type="gramEnd"/>
      <w:r w:rsidRPr="006B2C28">
        <w:rPr>
          <w:rFonts w:ascii="Helvetica" w:eastAsia="Times New Roman" w:hAnsi="Helvetica" w:cs="Times New Roman"/>
          <w:b/>
          <w:bCs/>
          <w:color w:val="58595B"/>
          <w:sz w:val="24"/>
          <w:szCs w:val="24"/>
          <w:lang w:eastAsia="en-GB"/>
        </w:rPr>
        <w:t xml:space="preserve"> and detrimentally affect perceptions of management's trustworthiness.</w:t>
      </w:r>
    </w:p>
    <w:p w14:paraId="69AF1702"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Using data from Britain's Workplace Employee Relations Survey 2011, the authors of this study assess whether these effects occur and if they influence workplace absenteeism.</w:t>
      </w:r>
    </w:p>
    <w:p w14:paraId="7D12A23B"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The findings</w:t>
      </w:r>
    </w:p>
    <w:p w14:paraId="4EE6B0F6"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The authors define recessionary actions as a specific form of organisational change taken in response to a downturn, which are likely to affect employees' experience of work. These responses are perceived by employers to be capable of improving an organisation's performance more quickly than is possible through changes targeted at increasing revenue.</w:t>
      </w:r>
    </w:p>
    <w:p w14:paraId="031FAD34"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Recessionary actions are typically associated with cost-cutting and include such options as layoffs, pay freezes or cuts, recruitment embargoes, reductions in employee benefits, work intensification, training budget cuts and reduced working weeks. As the authors point out:</w:t>
      </w:r>
    </w:p>
    <w:p w14:paraId="71446394"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i/>
          <w:iCs/>
          <w:color w:val="58595B"/>
          <w:sz w:val="24"/>
          <w:szCs w:val="24"/>
          <w:lang w:eastAsia="en-GB"/>
        </w:rPr>
        <w:lastRenderedPageBreak/>
        <w:t>‘In stressor–stress theory terms, they are stressors as they alter the demands placed on employees or reduce the resources at their disposal, such that we would expect adverse effects on employees' wellbeing and, in turn, on their behaviour’.</w:t>
      </w:r>
    </w:p>
    <w:p w14:paraId="67AD0DBE"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The researchers hypothesize that job security and trust perceptions, independently, may firstly mediate a relationship between recessionary actions and employee wellbeing. Secondly, wellbeing influences absenteeism in the workplace and hence increases ‘strain- or stress-based absenteeism’. Job security and trust perceptions may also, independently, mediate the relationship between recessionary actions and workplace absenteeism, and increase a contrasting type of absenteeism known as ‘withdrawal absenteeism’. These are often associated with different degrees of voluntarism; as stress-based absenteeism may reflect mental or physical health problems it is often seen as involuntary, while withdrawal absence is considered more voluntary.</w:t>
      </w:r>
    </w:p>
    <w:p w14:paraId="74F50EDB"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Their research finds that recessionary actions may not be strongly associated with stress-based absence. The only relationship between recessionary actions and absence involving wellbeing is through anxiety associated with the negative relationship between recessionary actions and trust perceptions, but this is associated with lower absenteeism. The authors point out that: ‘Given the level of anxiety, one can treat this as indicative of a degree of presenteeism, since employees are attending when their mental health may not be perfect’.</w:t>
      </w:r>
    </w:p>
    <w:p w14:paraId="7847E9C8"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Recessionary actions were also found to be negatively related to workplace absence through their negative association with job security. In other words, people more readily attended work for fear of increasing their insecurity and risking their future employment or promotion prospects. By contrast, recessionary activities are positively related to workplace absence through their negative association with trust perceptions. In other words, people more readily take time off work in response to feelings of unease about the trustworthiness of their employer.</w:t>
      </w:r>
    </w:p>
    <w:p w14:paraId="79E0922B"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As the authors highlight, these findings:</w:t>
      </w:r>
    </w:p>
    <w:p w14:paraId="375466D8"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i/>
          <w:iCs/>
          <w:color w:val="58595B"/>
          <w:sz w:val="24"/>
          <w:szCs w:val="24"/>
          <w:lang w:eastAsia="en-GB"/>
        </w:rPr>
        <w:t>‘shows that recessionary actions' association with lower levels of trust perceptions can simultaneously increase and reduce absenteeism, thus adding to the emerging discussion of presenteeism and its coexistence with absenteeism’.</w:t>
      </w:r>
    </w:p>
    <w:p w14:paraId="3BFA439C"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What does this mean for practice?</w:t>
      </w:r>
    </w:p>
    <w:p w14:paraId="0B009B08"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In terms of organisational policy and practice, according to the paper, there are three main implications:</w:t>
      </w:r>
    </w:p>
    <w:p w14:paraId="31482FD7" w14:textId="77777777" w:rsidR="006B2C28" w:rsidRPr="006B2C28" w:rsidRDefault="006B2C28" w:rsidP="006B2C28">
      <w:pPr>
        <w:numPr>
          <w:ilvl w:val="0"/>
          <w:numId w:val="1"/>
        </w:numPr>
        <w:shd w:val="clear" w:color="auto" w:fill="FFFFFF"/>
        <w:spacing w:before="100" w:beforeAutospacing="1" w:after="100" w:afterAutospacing="1" w:line="240" w:lineRule="auto"/>
        <w:ind w:left="2325"/>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 xml:space="preserve">When considering taking recessionary actions, managers should be ‘mindful of their effects on employees' perceptions of the organisation and wellbeing, and how </w:t>
      </w:r>
      <w:r w:rsidRPr="006B2C28">
        <w:rPr>
          <w:rFonts w:ascii="Helvetica" w:eastAsia="Times New Roman" w:hAnsi="Helvetica" w:cs="Times New Roman"/>
          <w:b/>
          <w:bCs/>
          <w:color w:val="58595B"/>
          <w:sz w:val="24"/>
          <w:szCs w:val="24"/>
          <w:lang w:eastAsia="en-GB"/>
        </w:rPr>
        <w:lastRenderedPageBreak/>
        <w:t xml:space="preserve">these affect absence’. They warn that the insecurity generated by recessionary actions may result in employees attending work when not well, </w:t>
      </w:r>
      <w:proofErr w:type="gramStart"/>
      <w:r w:rsidRPr="006B2C28">
        <w:rPr>
          <w:rFonts w:ascii="Helvetica" w:eastAsia="Times New Roman" w:hAnsi="Helvetica" w:cs="Times New Roman"/>
          <w:b/>
          <w:bCs/>
          <w:color w:val="58595B"/>
          <w:sz w:val="24"/>
          <w:szCs w:val="24"/>
          <w:lang w:eastAsia="en-GB"/>
        </w:rPr>
        <w:t>physically</w:t>
      </w:r>
      <w:proofErr w:type="gramEnd"/>
      <w:r w:rsidRPr="006B2C28">
        <w:rPr>
          <w:rFonts w:ascii="Helvetica" w:eastAsia="Times New Roman" w:hAnsi="Helvetica" w:cs="Times New Roman"/>
          <w:b/>
          <w:bCs/>
          <w:color w:val="58595B"/>
          <w:sz w:val="24"/>
          <w:szCs w:val="24"/>
          <w:lang w:eastAsia="en-GB"/>
        </w:rPr>
        <w:t xml:space="preserve"> or mentally, and that focusing on this issue might be more productive than reinforcing absence procedures or considering further ways of controlling absenteeism.</w:t>
      </w:r>
      <w:r w:rsidRPr="006B2C28">
        <w:rPr>
          <w:rFonts w:ascii="Helvetica" w:eastAsia="Times New Roman" w:hAnsi="Helvetica" w:cs="Times New Roman"/>
          <w:b/>
          <w:bCs/>
          <w:color w:val="58595B"/>
          <w:sz w:val="24"/>
          <w:szCs w:val="24"/>
          <w:lang w:eastAsia="en-GB"/>
        </w:rPr>
        <w:br/>
      </w:r>
    </w:p>
    <w:p w14:paraId="39600BD8" w14:textId="77777777" w:rsidR="006B2C28" w:rsidRPr="006B2C28" w:rsidRDefault="006B2C28" w:rsidP="006B2C28">
      <w:pPr>
        <w:numPr>
          <w:ilvl w:val="0"/>
          <w:numId w:val="1"/>
        </w:numPr>
        <w:shd w:val="clear" w:color="auto" w:fill="FFFFFF"/>
        <w:spacing w:before="100" w:beforeAutospacing="1" w:after="100" w:afterAutospacing="1" w:line="240" w:lineRule="auto"/>
        <w:ind w:left="2325"/>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Specific interventions to prepare management for when recessions occur may be necessary, such as training them to be able to communicate difficult decisions in a fair and useful way. There is evidence that such training can help reduce the negative impact on employees' trust perceptions. While the authors suggest that information processes should involve consultation and provide employees with a voice, they also recommend developing new forms of involvement (or modifying existing practices). Employers should ensure that all actions are designed and implemented according to current concepts of high involvement management and applied consistently throughout the organisation.</w:t>
      </w:r>
      <w:r w:rsidRPr="006B2C28">
        <w:rPr>
          <w:rFonts w:ascii="Helvetica" w:eastAsia="Times New Roman" w:hAnsi="Helvetica" w:cs="Times New Roman"/>
          <w:b/>
          <w:bCs/>
          <w:color w:val="58595B"/>
          <w:sz w:val="24"/>
          <w:szCs w:val="24"/>
          <w:lang w:eastAsia="en-GB"/>
        </w:rPr>
        <w:br/>
      </w:r>
    </w:p>
    <w:p w14:paraId="34B334E9" w14:textId="77777777" w:rsidR="006B2C28" w:rsidRPr="006B2C28" w:rsidRDefault="006B2C28" w:rsidP="006B2C28">
      <w:pPr>
        <w:numPr>
          <w:ilvl w:val="0"/>
          <w:numId w:val="1"/>
        </w:numPr>
        <w:shd w:val="clear" w:color="auto" w:fill="FFFFFF"/>
        <w:spacing w:before="100" w:beforeAutospacing="1" w:after="100" w:afterAutospacing="1" w:line="240" w:lineRule="auto"/>
        <w:ind w:left="2325"/>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Managers should consider ways of compensating employees for the loss of reward or increased workloads. While there may be limited financial scope for this, the option of enriching job content may be relatively low-cost, suggesting managers should practice more conscious job design aimed at increasing the quality and meaningfulness of work. There’s also evidence that such redesign can help to maintain performance during financial cutbacks.</w:t>
      </w:r>
    </w:p>
    <w:p w14:paraId="5A01A782"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 xml:space="preserve">Given that most of the world is currently suffering from the economic consequences of the coronavirus pandemic, this research is timely for those HR professionals helping their employers plan for recessionary activities. How employees respond to these activities will depend in the investment the organisation has made in ensuring that </w:t>
      </w:r>
      <w:proofErr w:type="gramStart"/>
      <w:r w:rsidRPr="006B2C28">
        <w:rPr>
          <w:rFonts w:ascii="Helvetica" w:eastAsia="Times New Roman" w:hAnsi="Helvetica" w:cs="Times New Roman"/>
          <w:b/>
          <w:bCs/>
          <w:color w:val="58595B"/>
          <w:sz w:val="24"/>
          <w:szCs w:val="24"/>
          <w:lang w:eastAsia="en-GB"/>
        </w:rPr>
        <w:t>it’s</w:t>
      </w:r>
      <w:proofErr w:type="gramEnd"/>
      <w:r w:rsidRPr="006B2C28">
        <w:rPr>
          <w:rFonts w:ascii="Helvetica" w:eastAsia="Times New Roman" w:hAnsi="Helvetica" w:cs="Times New Roman"/>
          <w:b/>
          <w:bCs/>
          <w:color w:val="58595B"/>
          <w:sz w:val="24"/>
          <w:szCs w:val="24"/>
          <w:lang w:eastAsia="en-GB"/>
        </w:rPr>
        <w:t>:</w:t>
      </w:r>
    </w:p>
    <w:p w14:paraId="0C841067" w14:textId="77777777" w:rsidR="006B2C28" w:rsidRPr="006B2C28" w:rsidRDefault="006B2C28" w:rsidP="006B2C28">
      <w:pPr>
        <w:numPr>
          <w:ilvl w:val="0"/>
          <w:numId w:val="2"/>
        </w:numPr>
        <w:shd w:val="clear" w:color="auto" w:fill="FFFFFF"/>
        <w:spacing w:before="100" w:beforeAutospacing="1" w:after="100" w:afterAutospacing="1" w:line="240" w:lineRule="auto"/>
        <w:ind w:left="2325"/>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 xml:space="preserve">decision-making processes are fair, </w:t>
      </w:r>
      <w:proofErr w:type="gramStart"/>
      <w:r w:rsidRPr="006B2C28">
        <w:rPr>
          <w:rFonts w:ascii="Helvetica" w:eastAsia="Times New Roman" w:hAnsi="Helvetica" w:cs="Times New Roman"/>
          <w:b/>
          <w:bCs/>
          <w:color w:val="58595B"/>
          <w:sz w:val="24"/>
          <w:szCs w:val="24"/>
          <w:lang w:eastAsia="en-GB"/>
        </w:rPr>
        <w:t>open</w:t>
      </w:r>
      <w:proofErr w:type="gramEnd"/>
      <w:r w:rsidRPr="006B2C28">
        <w:rPr>
          <w:rFonts w:ascii="Helvetica" w:eastAsia="Times New Roman" w:hAnsi="Helvetica" w:cs="Times New Roman"/>
          <w:b/>
          <w:bCs/>
          <w:color w:val="58595B"/>
          <w:sz w:val="24"/>
          <w:szCs w:val="24"/>
          <w:lang w:eastAsia="en-GB"/>
        </w:rPr>
        <w:t xml:space="preserve"> and transparent</w:t>
      </w:r>
    </w:p>
    <w:p w14:paraId="417601A8" w14:textId="77777777" w:rsidR="006B2C28" w:rsidRPr="006B2C28" w:rsidRDefault="006B2C28" w:rsidP="006B2C28">
      <w:pPr>
        <w:numPr>
          <w:ilvl w:val="0"/>
          <w:numId w:val="2"/>
        </w:numPr>
        <w:shd w:val="clear" w:color="auto" w:fill="FFFFFF"/>
        <w:spacing w:before="100" w:beforeAutospacing="1" w:after="100" w:afterAutospacing="1" w:line="240" w:lineRule="auto"/>
        <w:ind w:left="2325"/>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communications are effective</w:t>
      </w:r>
    </w:p>
    <w:p w14:paraId="672A5362" w14:textId="77777777" w:rsidR="006B2C28" w:rsidRPr="006B2C28" w:rsidRDefault="006B2C28" w:rsidP="006B2C28">
      <w:pPr>
        <w:numPr>
          <w:ilvl w:val="0"/>
          <w:numId w:val="2"/>
        </w:numPr>
        <w:shd w:val="clear" w:color="auto" w:fill="FFFFFF"/>
        <w:spacing w:before="100" w:beforeAutospacing="1" w:after="100" w:afterAutospacing="1" w:line="240" w:lineRule="auto"/>
        <w:ind w:left="2325"/>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line managers show compassion</w:t>
      </w:r>
    </w:p>
    <w:p w14:paraId="5DCDD022" w14:textId="77777777" w:rsidR="006B2C28" w:rsidRPr="006B2C28" w:rsidRDefault="006B2C28" w:rsidP="006B2C28">
      <w:pPr>
        <w:numPr>
          <w:ilvl w:val="0"/>
          <w:numId w:val="2"/>
        </w:numPr>
        <w:shd w:val="clear" w:color="auto" w:fill="FFFFFF"/>
        <w:spacing w:before="100" w:beforeAutospacing="1" w:after="100" w:afterAutospacing="1" w:line="240" w:lineRule="auto"/>
        <w:ind w:left="2325"/>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 xml:space="preserve">employees </w:t>
      </w:r>
      <w:proofErr w:type="gramStart"/>
      <w:r w:rsidRPr="006B2C28">
        <w:rPr>
          <w:rFonts w:ascii="Helvetica" w:eastAsia="Times New Roman" w:hAnsi="Helvetica" w:cs="Times New Roman"/>
          <w:b/>
          <w:bCs/>
          <w:color w:val="58595B"/>
          <w:sz w:val="24"/>
          <w:szCs w:val="24"/>
          <w:lang w:eastAsia="en-GB"/>
        </w:rPr>
        <w:t>are able to</w:t>
      </w:r>
      <w:proofErr w:type="gramEnd"/>
      <w:r w:rsidRPr="006B2C28">
        <w:rPr>
          <w:rFonts w:ascii="Helvetica" w:eastAsia="Times New Roman" w:hAnsi="Helvetica" w:cs="Times New Roman"/>
          <w:b/>
          <w:bCs/>
          <w:color w:val="58595B"/>
          <w:sz w:val="24"/>
          <w:szCs w:val="24"/>
          <w:lang w:eastAsia="en-GB"/>
        </w:rPr>
        <w:t xml:space="preserve"> raise issues of concern.</w:t>
      </w:r>
    </w:p>
    <w:p w14:paraId="3BB69A05"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The research also highlights to people professionals the possibility that conscious job and work design can not only help compensate employees for recessionary activities, and that the improved productivity of doing this may also reduce the need for some of these recessionary activities to be so drastic.</w:t>
      </w:r>
    </w:p>
    <w:p w14:paraId="673F7A58" w14:textId="77777777" w:rsidR="006B2C28" w:rsidRPr="006B2C28" w:rsidRDefault="006B2C28" w:rsidP="006B2C28">
      <w:pPr>
        <w:shd w:val="clear" w:color="auto" w:fill="FFFFFF"/>
        <w:spacing w:before="100" w:beforeAutospacing="1" w:after="100" w:afterAutospacing="1" w:line="240" w:lineRule="auto"/>
        <w:rPr>
          <w:rFonts w:ascii="Helvetica" w:eastAsia="Times New Roman" w:hAnsi="Helvetica" w:cs="Times New Roman"/>
          <w:b/>
          <w:bCs/>
          <w:color w:val="58595B"/>
          <w:sz w:val="24"/>
          <w:szCs w:val="24"/>
          <w:lang w:eastAsia="en-GB"/>
        </w:rPr>
      </w:pPr>
      <w:r w:rsidRPr="006B2C28">
        <w:rPr>
          <w:rFonts w:ascii="Helvetica" w:eastAsia="Times New Roman" w:hAnsi="Helvetica" w:cs="Times New Roman"/>
          <w:b/>
          <w:bCs/>
          <w:color w:val="58595B"/>
          <w:sz w:val="24"/>
          <w:szCs w:val="24"/>
          <w:lang w:eastAsia="en-GB"/>
        </w:rPr>
        <w:t>An </w:t>
      </w:r>
      <w:hyperlink r:id="rId5" w:tgtFrame="_blank" w:tooltip="Human Resource Management: online first" w:history="1">
        <w:r w:rsidRPr="006B2C28">
          <w:rPr>
            <w:rFonts w:ascii="Helvetica" w:eastAsia="Times New Roman" w:hAnsi="Helvetica" w:cs="Times New Roman"/>
            <w:b/>
            <w:bCs/>
            <w:color w:val="68297F"/>
            <w:sz w:val="24"/>
            <w:szCs w:val="24"/>
            <w:u w:val="single"/>
            <w:lang w:eastAsia="en-GB"/>
          </w:rPr>
          <w:t>abstract of the article</w:t>
        </w:r>
      </w:hyperlink>
      <w:r w:rsidRPr="006B2C28">
        <w:rPr>
          <w:rFonts w:ascii="Helvetica" w:eastAsia="Times New Roman" w:hAnsi="Helvetica" w:cs="Times New Roman"/>
          <w:b/>
          <w:bCs/>
          <w:color w:val="58595B"/>
          <w:sz w:val="24"/>
          <w:szCs w:val="24"/>
          <w:lang w:eastAsia="en-GB"/>
        </w:rPr>
        <w:t> is available.</w:t>
      </w:r>
    </w:p>
    <w:p w14:paraId="09457B95" w14:textId="77777777" w:rsidR="00427AC6" w:rsidRDefault="00427AC6"/>
    <w:sectPr w:rsidR="00427A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A11DAC"/>
    <w:multiLevelType w:val="multilevel"/>
    <w:tmpl w:val="09D81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C46800"/>
    <w:multiLevelType w:val="multilevel"/>
    <w:tmpl w:val="06EE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C28"/>
    <w:rsid w:val="00427AC6"/>
    <w:rsid w:val="006B2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066FB"/>
  <w15:chartTrackingRefBased/>
  <w15:docId w15:val="{393FF644-974B-4468-AD88-038D29423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8176820">
      <w:bodyDiv w:val="1"/>
      <w:marLeft w:val="0"/>
      <w:marRight w:val="0"/>
      <w:marTop w:val="0"/>
      <w:marBottom w:val="0"/>
      <w:divBdr>
        <w:top w:val="none" w:sz="0" w:space="0" w:color="auto"/>
        <w:left w:val="none" w:sz="0" w:space="0" w:color="auto"/>
        <w:bottom w:val="none" w:sz="0" w:space="0" w:color="auto"/>
        <w:right w:val="none" w:sz="0" w:space="0" w:color="auto"/>
      </w:divBdr>
      <w:divsChild>
        <w:div w:id="941179833">
          <w:marLeft w:val="0"/>
          <w:marRight w:val="0"/>
          <w:marTop w:val="0"/>
          <w:marBottom w:val="0"/>
          <w:divBdr>
            <w:top w:val="none" w:sz="0" w:space="0" w:color="auto"/>
            <w:left w:val="none" w:sz="0" w:space="0" w:color="auto"/>
            <w:bottom w:val="none" w:sz="0" w:space="0" w:color="auto"/>
            <w:right w:val="none" w:sz="0" w:space="0" w:color="auto"/>
          </w:divBdr>
          <w:divsChild>
            <w:div w:id="730495353">
              <w:marLeft w:val="0"/>
              <w:marRight w:val="0"/>
              <w:marTop w:val="0"/>
              <w:marBottom w:val="0"/>
              <w:divBdr>
                <w:top w:val="none" w:sz="0" w:space="0" w:color="auto"/>
                <w:left w:val="none" w:sz="0" w:space="0" w:color="auto"/>
                <w:bottom w:val="none" w:sz="0" w:space="0" w:color="auto"/>
                <w:right w:val="none" w:sz="0" w:space="0" w:color="auto"/>
              </w:divBdr>
            </w:div>
          </w:divsChild>
        </w:div>
        <w:div w:id="907346785">
          <w:marLeft w:val="0"/>
          <w:marRight w:val="0"/>
          <w:marTop w:val="0"/>
          <w:marBottom w:val="0"/>
          <w:divBdr>
            <w:top w:val="none" w:sz="0" w:space="0" w:color="auto"/>
            <w:left w:val="none" w:sz="0" w:space="0" w:color="auto"/>
            <w:bottom w:val="none" w:sz="0" w:space="0" w:color="auto"/>
            <w:right w:val="none" w:sz="0" w:space="0" w:color="auto"/>
          </w:divBdr>
          <w:divsChild>
            <w:div w:id="1926064597">
              <w:marLeft w:val="0"/>
              <w:marRight w:val="0"/>
              <w:marTop w:val="0"/>
              <w:marBottom w:val="0"/>
              <w:divBdr>
                <w:top w:val="none" w:sz="0" w:space="0" w:color="auto"/>
                <w:left w:val="none" w:sz="0" w:space="0" w:color="auto"/>
                <w:bottom w:val="none" w:sz="0" w:space="0" w:color="auto"/>
                <w:right w:val="none" w:sz="0" w:space="0" w:color="auto"/>
              </w:divBdr>
              <w:divsChild>
                <w:div w:id="1658726836">
                  <w:marLeft w:val="0"/>
                  <w:marRight w:val="0"/>
                  <w:marTop w:val="0"/>
                  <w:marBottom w:val="0"/>
                  <w:divBdr>
                    <w:top w:val="none" w:sz="0" w:space="0" w:color="auto"/>
                    <w:left w:val="none" w:sz="0" w:space="0" w:color="auto"/>
                    <w:bottom w:val="none" w:sz="0" w:space="0" w:color="auto"/>
                    <w:right w:val="none" w:sz="0" w:space="0" w:color="auto"/>
                  </w:divBdr>
                  <w:divsChild>
                    <w:div w:id="689457123">
                      <w:marLeft w:val="0"/>
                      <w:marRight w:val="0"/>
                      <w:marTop w:val="0"/>
                      <w:marBottom w:val="0"/>
                      <w:divBdr>
                        <w:top w:val="none" w:sz="0" w:space="0" w:color="auto"/>
                        <w:left w:val="none" w:sz="0" w:space="0" w:color="auto"/>
                        <w:bottom w:val="none" w:sz="0" w:space="0" w:color="auto"/>
                        <w:right w:val="none" w:sz="0" w:space="0" w:color="auto"/>
                      </w:divBdr>
                      <w:divsChild>
                        <w:div w:id="515582803">
                          <w:marLeft w:val="1605"/>
                          <w:marRight w:val="1605"/>
                          <w:marTop w:val="0"/>
                          <w:marBottom w:val="0"/>
                          <w:divBdr>
                            <w:top w:val="none" w:sz="0" w:space="0" w:color="auto"/>
                            <w:left w:val="none" w:sz="0" w:space="0" w:color="auto"/>
                            <w:bottom w:val="none" w:sz="0" w:space="0" w:color="auto"/>
                            <w:right w:val="none" w:sz="0" w:space="0" w:color="auto"/>
                          </w:divBdr>
                          <w:divsChild>
                            <w:div w:id="104432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902070">
              <w:marLeft w:val="0"/>
              <w:marRight w:val="0"/>
              <w:marTop w:val="0"/>
              <w:marBottom w:val="0"/>
              <w:divBdr>
                <w:top w:val="none" w:sz="0" w:space="0" w:color="auto"/>
                <w:left w:val="none" w:sz="0" w:space="0" w:color="auto"/>
                <w:bottom w:val="none" w:sz="0" w:space="0" w:color="auto"/>
                <w:right w:val="none" w:sz="0" w:space="0" w:color="auto"/>
              </w:divBdr>
              <w:divsChild>
                <w:div w:id="1918591777">
                  <w:marLeft w:val="0"/>
                  <w:marRight w:val="0"/>
                  <w:marTop w:val="0"/>
                  <w:marBottom w:val="0"/>
                  <w:divBdr>
                    <w:top w:val="none" w:sz="0" w:space="0" w:color="auto"/>
                    <w:left w:val="none" w:sz="0" w:space="0" w:color="auto"/>
                    <w:bottom w:val="none" w:sz="0" w:space="0" w:color="auto"/>
                    <w:right w:val="none" w:sz="0" w:space="0" w:color="auto"/>
                  </w:divBdr>
                  <w:divsChild>
                    <w:div w:id="1696807793">
                      <w:marLeft w:val="0"/>
                      <w:marRight w:val="0"/>
                      <w:marTop w:val="0"/>
                      <w:marBottom w:val="0"/>
                      <w:divBdr>
                        <w:top w:val="none" w:sz="0" w:space="0" w:color="auto"/>
                        <w:left w:val="none" w:sz="0" w:space="0" w:color="auto"/>
                        <w:bottom w:val="none" w:sz="0" w:space="0" w:color="auto"/>
                        <w:right w:val="none" w:sz="0" w:space="0" w:color="auto"/>
                      </w:divBdr>
                      <w:divsChild>
                        <w:div w:id="1373917823">
                          <w:marLeft w:val="1605"/>
                          <w:marRight w:val="1605"/>
                          <w:marTop w:val="0"/>
                          <w:marBottom w:val="0"/>
                          <w:divBdr>
                            <w:top w:val="none" w:sz="0" w:space="0" w:color="auto"/>
                            <w:left w:val="none" w:sz="0" w:space="0" w:color="auto"/>
                            <w:bottom w:val="none" w:sz="0" w:space="0" w:color="auto"/>
                            <w:right w:val="none" w:sz="0" w:space="0" w:color="auto"/>
                          </w:divBdr>
                          <w:divsChild>
                            <w:div w:id="100948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125001">
              <w:marLeft w:val="0"/>
              <w:marRight w:val="0"/>
              <w:marTop w:val="0"/>
              <w:marBottom w:val="0"/>
              <w:divBdr>
                <w:top w:val="none" w:sz="0" w:space="0" w:color="auto"/>
                <w:left w:val="none" w:sz="0" w:space="0" w:color="auto"/>
                <w:bottom w:val="none" w:sz="0" w:space="0" w:color="auto"/>
                <w:right w:val="none" w:sz="0" w:space="0" w:color="auto"/>
              </w:divBdr>
              <w:divsChild>
                <w:div w:id="2102949948">
                  <w:marLeft w:val="0"/>
                  <w:marRight w:val="0"/>
                  <w:marTop w:val="0"/>
                  <w:marBottom w:val="0"/>
                  <w:divBdr>
                    <w:top w:val="none" w:sz="0" w:space="0" w:color="auto"/>
                    <w:left w:val="none" w:sz="0" w:space="0" w:color="auto"/>
                    <w:bottom w:val="none" w:sz="0" w:space="0" w:color="auto"/>
                    <w:right w:val="none" w:sz="0" w:space="0" w:color="auto"/>
                  </w:divBdr>
                  <w:divsChild>
                    <w:div w:id="389888494">
                      <w:marLeft w:val="0"/>
                      <w:marRight w:val="0"/>
                      <w:marTop w:val="0"/>
                      <w:marBottom w:val="0"/>
                      <w:divBdr>
                        <w:top w:val="none" w:sz="0" w:space="0" w:color="auto"/>
                        <w:left w:val="none" w:sz="0" w:space="0" w:color="auto"/>
                        <w:bottom w:val="none" w:sz="0" w:space="0" w:color="auto"/>
                        <w:right w:val="none" w:sz="0" w:space="0" w:color="auto"/>
                      </w:divBdr>
                      <w:divsChild>
                        <w:div w:id="1764834072">
                          <w:marLeft w:val="1605"/>
                          <w:marRight w:val="1605"/>
                          <w:marTop w:val="0"/>
                          <w:marBottom w:val="0"/>
                          <w:divBdr>
                            <w:top w:val="none" w:sz="0" w:space="0" w:color="auto"/>
                            <w:left w:val="none" w:sz="0" w:space="0" w:color="auto"/>
                            <w:bottom w:val="none" w:sz="0" w:space="0" w:color="auto"/>
                            <w:right w:val="none" w:sz="0" w:space="0" w:color="auto"/>
                          </w:divBdr>
                          <w:divsChild>
                            <w:div w:id="140371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onlinelibrary.wiley.com/doi/epdf/10.1002/hrm.2200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1011</Words>
  <Characters>5766</Characters>
  <Application>Microsoft Office Word</Application>
  <DocSecurity>0</DocSecurity>
  <Lines>48</Lines>
  <Paragraphs>13</Paragraphs>
  <ScaleCrop>false</ScaleCrop>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2020-07-23T15:11:00Z</dcterms:created>
  <dcterms:modified xsi:type="dcterms:W3CDTF">2020-07-23T15:12:00Z</dcterms:modified>
</cp:coreProperties>
</file>