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sdt>
      <w:sdtPr>
        <w:rPr>
          <w:rFonts w:ascii="Times New Roman" w:cs="Times New Roman" w:hAnsi="Times New Roman"/>
          <w:b/>
          <w:bCs/>
          <w:color w:val="auto"/>
          <w:sz w:val="24"/>
          <w:szCs w:val="24"/>
        </w:rPr>
        <w:id w:val="-11724757"/>
        <w:docPartObj>
          <w:docPartGallery/>
          <w:docPartUnique/>
        </w:docPartObj>
      </w:sdtPr>
      <w:sdtEndPr/>
      <w:sdtContent>
        <w:p>
          <w:pPr>
            <w:pStyle w:val="22"/>
            <w:spacing w:line="360" w:lineRule="auto"/>
            <w:jc w:val="center"/>
            <w:rPr>
              <w:rFonts w:ascii="Times New Roman" w:cs="Times New Roman" w:hAnsi="Times New Roman"/>
              <w:b/>
              <w:bCs/>
              <w:color w:val="auto"/>
              <w:sz w:val="24"/>
              <w:szCs w:val="24"/>
            </w:rPr>
          </w:pPr>
          <w:r>
            <w:rPr>
              <w:rFonts w:ascii="Times New Roman" w:cs="Times New Roman" w:hAnsi="Times New Roman"/>
              <w:b/>
              <w:bCs/>
              <w:color w:val="auto"/>
              <w:sz w:val="24"/>
              <w:szCs w:val="24"/>
            </w:rPr>
            <w:t>Table of Contents</w:t>
          </w:r>
        </w:p>
      </w:sdtContent>
    </w:sdt>
    <w:p>
      <w:pPr>
        <w:pStyle w:val="23"/>
        <w:tabs>
          <w:tab w:val="right" w:leader="dot" w:pos="9350"/>
        </w:tabs>
        <w:rPr>
          <w:rFonts w:ascii="Calibri" w:eastAsia="等线" w:hAnsi="Calibri"/>
          <w:sz w:val="22"/>
        </w:rPr>
      </w:pPr>
      <w:r>
        <w:fldChar w:fldCharType="begin"/>
      </w:r>
      <w:r>
        <w:instrText xml:space="preserve"> TOC \o "1-3" \h \z \u </w:instrText>
      </w:r>
      <w:r>
        <w:fldChar w:fldCharType="separate"/>
      </w:r>
      <w:r>
        <w:fldChar w:fldCharType="begin"/>
      </w:r>
      <w:r>
        <w:instrText>Hyperlink \l "_Toc200014175"</w:instrText>
      </w:r>
      <w:r>
        <w:fldChar w:fldCharType="separate"/>
      </w:r>
      <w:r>
        <w:rPr>
          <w:rFonts w:eastAsia="Times New Roman" w:cs="Times New Roman"/>
          <w:bCs/>
        </w:rPr>
        <w:t>1</w:t>
      </w:r>
      <w:r>
        <w:rPr>
          <w:rFonts w:ascii="Calibri" w:eastAsia="等线" w:hAnsi="Calibri"/>
          <w:sz w:val="22"/>
        </w:rPr>
        <w:tab/>
      </w:r>
      <w:r>
        <w:rPr>
          <w:rFonts w:eastAsia="Times New Roman"/>
        </w:rPr>
        <w:t>Introduction</w:t>
      </w:r>
      <w:r>
        <w:tab/>
      </w:r>
      <w:r>
        <w:fldChar w:fldCharType="begin"/>
      </w:r>
      <w:r>
        <w:instrText xml:space="preserve"> PAGEREF _Toc200014175 \h </w:instrText>
      </w:r>
      <w:r>
        <w:fldChar w:fldCharType="separate"/>
      </w:r>
      <w:r>
        <w:t>3</w:t>
      </w:r>
      <w:r>
        <w:fldChar w:fldCharType="end"/>
      </w:r>
      <w:r>
        <w:fldChar w:fldCharType="end"/>
      </w:r>
    </w:p>
    <w:p>
      <w:pPr>
        <w:pStyle w:val="23"/>
        <w:tabs>
          <w:tab w:val="right" w:leader="dot" w:pos="9350"/>
        </w:tabs>
        <w:rPr>
          <w:rFonts w:ascii="Calibri" w:eastAsia="等线" w:hAnsi="Calibri"/>
          <w:sz w:val="22"/>
        </w:rPr>
      </w:pPr>
      <w:r>
        <w:fldChar w:fldCharType="begin"/>
      </w:r>
      <w:r>
        <w:instrText>Hyperlink \l "_Toc200014176"</w:instrText>
      </w:r>
      <w:r>
        <w:fldChar w:fldCharType="separate"/>
      </w:r>
      <w:r>
        <w:t>2</w:t>
      </w:r>
      <w:r>
        <w:rPr>
          <w:rFonts w:ascii="Calibri" w:eastAsia="等线" w:hAnsi="Calibri"/>
          <w:sz w:val="22"/>
        </w:rPr>
        <w:tab/>
      </w:r>
      <w:r>
        <w:t>Role Reflection</w:t>
        <w:tab/>
      </w:r>
      <w:r>
        <w:fldChar w:fldCharType="begin"/>
      </w:r>
      <w:r>
        <w:instrText xml:space="preserve"> PAGEREF _Toc200014176 \h </w:instrText>
      </w:r>
      <w:r>
        <w:fldChar w:fldCharType="separate"/>
      </w:r>
      <w:r>
        <w:t>3</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"_Toc200014177"</w:instrText>
      </w:r>
      <w:r>
        <w:fldChar w:fldCharType="separate"/>
      </w:r>
      <w:r>
        <w:t>2.1</w:t>
      </w:r>
      <w:r>
        <w:rPr>
          <w:rFonts w:ascii="Calibri" w:eastAsia="等线" w:hAnsi="Calibri"/>
          <w:sz w:val="22"/>
        </w:rPr>
        <w:tab/>
      </w:r>
      <w:r>
        <w:t>Placement Role and Responsibilities</w:t>
        <w:tab/>
      </w:r>
      <w:r>
        <w:fldChar w:fldCharType="begin"/>
      </w:r>
      <w:r>
        <w:instrText xml:space="preserve"> PAGEREF _Toc200014177 \h </w:instrText>
      </w:r>
      <w:r>
        <w:fldChar w:fldCharType="separate"/>
      </w:r>
      <w:r>
        <w:t>3</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"_Toc200014178"</w:instrText>
      </w:r>
      <w:r>
        <w:fldChar w:fldCharType="separate"/>
      </w:r>
      <w:r>
        <w:t>2.2</w:t>
      </w:r>
      <w:r>
        <w:rPr>
          <w:rFonts w:ascii="Calibri" w:eastAsia="等线" w:hAnsi="Calibri"/>
          <w:sz w:val="22"/>
        </w:rPr>
        <w:tab/>
      </w:r>
      <w:r>
        <w:t>Supervisory Skills and Self-Assessment</w:t>
        <w:tab/>
      </w:r>
      <w:r>
        <w:fldChar w:fldCharType="begin"/>
      </w:r>
      <w:r>
        <w:instrText xml:space="preserve"> PAGEREF _Toc200014178 \h </w:instrText>
      </w:r>
      <w:r>
        <w:fldChar w:fldCharType="separate"/>
      </w:r>
      <w:r>
        <w:t>4</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"_Toc200014179"</w:instrText>
      </w:r>
      <w:r>
        <w:fldChar w:fldCharType="separate"/>
      </w:r>
      <w:r>
        <w:t>2.3</w:t>
      </w:r>
      <w:r>
        <w:rPr>
          <w:rFonts w:ascii="Calibri" w:eastAsia="等线" w:hAnsi="Calibri"/>
          <w:sz w:val="22"/>
        </w:rPr>
        <w:tab/>
      </w:r>
      <w:r>
        <w:t>Examples of Effective or Ineffective Supervision</w:t>
        <w:tab/>
      </w:r>
      <w:r>
        <w:fldChar w:fldCharType="begin"/>
      </w:r>
      <w:r>
        <w:instrText xml:space="preserve"> PAGEREF _Toc200014179 \h </w:instrText>
      </w:r>
      <w:r>
        <w:fldChar w:fldCharType="separate"/>
      </w:r>
      <w:r>
        <w:t>4</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"_Toc200014180"</w:instrText>
      </w:r>
      <w:r>
        <w:fldChar w:fldCharType="separate"/>
      </w:r>
      <w:r>
        <w:t>2.4</w:t>
      </w:r>
      <w:r>
        <w:rPr>
          <w:rFonts w:ascii="Calibri" w:eastAsia="等线" w:hAnsi="Calibri"/>
          <w:sz w:val="22"/>
        </w:rPr>
        <w:tab/>
      </w:r>
      <w:r>
        <w:t>Personal Action Plan for Development</w:t>
        <w:tab/>
      </w:r>
      <w:r>
        <w:fldChar w:fldCharType="begin"/>
      </w:r>
      <w:r>
        <w:instrText xml:space="preserve"> PAGEREF _Toc200014180 \h </w:instrText>
      </w:r>
      <w:r>
        <w:fldChar w:fldCharType="separate"/>
      </w:r>
      <w:r>
        <w:t>4</w:t>
      </w:r>
      <w:r>
        <w:fldChar w:fldCharType="end"/>
      </w:r>
      <w:r>
        <w:fldChar w:fldCharType="end"/>
      </w:r>
    </w:p>
    <w:p>
      <w:pPr>
        <w:pStyle w:val="23"/>
        <w:tabs>
          <w:tab w:val="right" w:leader="dot" w:pos="9350"/>
        </w:tabs>
        <w:rPr>
          <w:rFonts w:ascii="Calibri" w:eastAsia="等线" w:hAnsi="Calibri"/>
          <w:sz w:val="22"/>
        </w:rPr>
      </w:pPr>
      <w:r>
        <w:fldChar w:fldCharType="begin"/>
      </w:r>
      <w:r>
        <w:instrText>Hyperlink \l "_Toc200014181"</w:instrText>
      </w:r>
      <w:r>
        <w:fldChar w:fldCharType="separate"/>
      </w:r>
      <w:r>
        <w:t>3</w:t>
      </w:r>
      <w:r>
        <w:rPr>
          <w:rFonts w:ascii="Calibri" w:eastAsia="等线" w:hAnsi="Calibri"/>
          <w:sz w:val="22"/>
        </w:rPr>
        <w:tab/>
      </w:r>
      <w:r>
        <w:t>Development Journey</w:t>
        <w:tab/>
      </w:r>
      <w:r>
        <w:fldChar w:fldCharType="begin"/>
      </w:r>
      <w:r>
        <w:instrText xml:space="preserve"> PAGEREF _Toc200014181 \h </w:instrText>
      </w:r>
      <w:r>
        <w:fldChar w:fldCharType="separate"/>
      </w:r>
      <w:r>
        <w:t>5</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"_Toc200014182"</w:instrText>
      </w:r>
      <w:r>
        <w:fldChar w:fldCharType="separate"/>
      </w:r>
      <w:r>
        <w:t>3.1</w:t>
      </w:r>
      <w:r>
        <w:rPr>
          <w:rFonts w:ascii="Calibri" w:eastAsia="等线" w:hAnsi="Calibri"/>
          <w:sz w:val="22"/>
        </w:rPr>
        <w:tab/>
      </w:r>
      <w:r>
        <w:t>Comparison with Level 4 Placement</w:t>
        <w:tab/>
      </w:r>
      <w:r>
        <w:fldChar w:fldCharType="begin"/>
      </w:r>
      <w:r>
        <w:instrText xml:space="preserve"> PAGEREF _Toc200014182 \h </w:instrText>
      </w:r>
      <w:r>
        <w:fldChar w:fldCharType="separate"/>
      </w:r>
      <w:r>
        <w:t>5</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"_Toc200014183"</w:instrText>
      </w:r>
      <w:r>
        <w:fldChar w:fldCharType="separate"/>
      </w:r>
      <w:r>
        <w:t>3.2</w:t>
      </w:r>
      <w:r>
        <w:rPr>
          <w:rFonts w:ascii="Calibri" w:eastAsia="等线" w:hAnsi="Calibri"/>
          <w:sz w:val="22"/>
        </w:rPr>
        <w:tab/>
      </w:r>
      <w:r>
        <w:t>Integration of Academic Learning (Level 4&amp;Level 5 Modules)</w:t>
        <w:tab/>
      </w:r>
      <w:r>
        <w:fldChar w:fldCharType="begin"/>
      </w:r>
      <w:r>
        <w:instrText xml:space="preserve"> PAGEREF _Toc200014183 \h </w:instrText>
      </w:r>
      <w:r>
        <w:fldChar w:fldCharType="separate"/>
      </w:r>
      <w:r>
        <w:t>5</w:t>
      </w:r>
      <w:r>
        <w:fldChar w:fldCharType="end"/>
      </w:r>
      <w:r>
        <w:fldChar w:fldCharType="end"/>
      </w:r>
    </w:p>
    <w:p>
      <w:pPr>
        <w:pStyle w:val="23"/>
        <w:tabs>
          <w:tab w:val="right" w:leader="dot" w:pos="9350"/>
        </w:tabs>
        <w:rPr>
          <w:rFonts w:ascii="Calibri" w:eastAsia="等线" w:hAnsi="Calibri"/>
          <w:sz w:val="22"/>
        </w:rPr>
      </w:pPr>
      <w:r>
        <w:fldChar w:fldCharType="begin"/>
      </w:r>
      <w:r>
        <w:instrText>Hyperlink \l "_Toc200014184"</w:instrText>
      </w:r>
      <w:r>
        <w:fldChar w:fldCharType="separate"/>
      </w:r>
      <w:r>
        <w:t>4</w:t>
      </w:r>
      <w:r>
        <w:rPr>
          <w:rFonts w:ascii="Calibri" w:eastAsia="等线" w:hAnsi="Calibri"/>
          <w:sz w:val="22"/>
        </w:rPr>
        <w:tab/>
      </w:r>
      <w:r>
        <w:t>Service Improvement Proposal</w:t>
        <w:tab/>
      </w:r>
      <w:r>
        <w:fldChar w:fldCharType="begin"/>
      </w:r>
      <w:r>
        <w:instrText xml:space="preserve"> PAGEREF _Toc200014184 \h </w:instrText>
      </w:r>
      <w:r>
        <w:fldChar w:fldCharType="separate"/>
      </w:r>
      <w:r>
        <w:t>5</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"_Toc200014185"</w:instrText>
      </w:r>
      <w:r>
        <w:fldChar w:fldCharType="separate"/>
      </w:r>
      <w:r>
        <w:t>4.1</w:t>
      </w:r>
      <w:r>
        <w:rPr>
          <w:rFonts w:ascii="Calibri" w:eastAsia="等线" w:hAnsi="Calibri"/>
          <w:sz w:val="22"/>
        </w:rPr>
        <w:tab/>
      </w:r>
      <w:r>
        <w:t>Identified Area for Improvement</w:t>
        <w:tab/>
      </w:r>
      <w:r>
        <w:fldChar w:fldCharType="begin"/>
      </w:r>
      <w:r>
        <w:instrText xml:space="preserve"> PAGEREF _Toc200014185 \h </w:instrText>
      </w:r>
      <w:r>
        <w:fldChar w:fldCharType="separate"/>
      </w:r>
      <w:r>
        <w:t>5</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"_Toc200014186"</w:instrText>
      </w:r>
      <w:r>
        <w:fldChar w:fldCharType="separate"/>
      </w:r>
      <w:r>
        <w:t>4.2</w:t>
      </w:r>
      <w:r>
        <w:rPr>
          <w:rFonts w:ascii="Calibri" w:eastAsia="等线" w:hAnsi="Calibri"/>
          <w:sz w:val="22"/>
        </w:rPr>
        <w:tab/>
      </w:r>
      <w:r>
        <w:t>Justification with Observations</w:t>
        <w:tab/>
      </w:r>
      <w:r>
        <w:fldChar w:fldCharType="begin"/>
      </w:r>
      <w:r>
        <w:instrText xml:space="preserve"> PAGEREF _Toc200014186 \h </w:instrText>
      </w:r>
      <w:r>
        <w:fldChar w:fldCharType="separate"/>
      </w:r>
      <w:r>
        <w:t>6</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"_Toc200014187"</w:instrText>
      </w:r>
      <w:r>
        <w:fldChar w:fldCharType="separate"/>
      </w:r>
      <w:r>
        <w:t>4.3</w:t>
      </w:r>
      <w:r>
        <w:rPr>
          <w:rFonts w:ascii="Calibri" w:eastAsia="等线" w:hAnsi="Calibri"/>
          <w:sz w:val="22"/>
        </w:rPr>
        <w:tab/>
      </w:r>
      <w:r>
        <w:t>Improvement Plan with Actionable Steps</w:t>
        <w:tab/>
      </w:r>
      <w:r>
        <w:fldChar w:fldCharType="begin"/>
      </w:r>
      <w:r>
        <w:instrText xml:space="preserve"> PAGEREF _Toc200014187 \h </w:instrText>
      </w:r>
      <w:r>
        <w:fldChar w:fldCharType="separate"/>
      </w:r>
      <w:r>
        <w:t>6</w:t>
      </w:r>
      <w:r>
        <w:fldChar w:fldCharType="end"/>
      </w:r>
      <w:r>
        <w:fldChar w:fldCharType="end"/>
      </w:r>
    </w:p>
    <w:p>
      <w:pPr>
        <w:pStyle w:val="24"/>
        <w:tabs>
          <w:tab w:val="right" w:leader="dot" w:pos="9350"/>
        </w:tabs>
        <w:rPr>
          <w:rFonts w:ascii="Calibri" w:eastAsia="等线" w:hAnsi="Calibri"/>
          <w:sz w:val="22"/>
        </w:rPr>
      </w:pPr>
      <w:r>
        <w:fldChar w:fldCharType="begin"/>
      </w:r>
      <w:r>
        <w:instrText>Hyperlink \l "_Toc200014188"</w:instrText>
      </w:r>
      <w:r>
        <w:fldChar w:fldCharType="separate"/>
      </w:r>
      <w:r>
        <w:t>4.4</w:t>
      </w:r>
      <w:r>
        <w:rPr>
          <w:rFonts w:ascii="Calibri" w:eastAsia="等线" w:hAnsi="Calibri"/>
          <w:sz w:val="22"/>
        </w:rPr>
        <w:tab/>
      </w:r>
      <w:r>
        <w:t>Enhancing Service Standards through Training and Knowledge</w:t>
        <w:tab/>
      </w:r>
      <w:r>
        <w:fldChar w:fldCharType="begin"/>
      </w:r>
      <w:r>
        <w:instrText xml:space="preserve"> PAGEREF _Toc200014188 \h </w:instrText>
      </w:r>
      <w:r>
        <w:fldChar w:fldCharType="separate"/>
      </w:r>
      <w:r>
        <w:t>6</w:t>
      </w:r>
      <w:r>
        <w:fldChar w:fldCharType="end"/>
      </w:r>
      <w:r>
        <w:fldChar w:fldCharType="end"/>
      </w:r>
    </w:p>
    <w:p>
      <w:pPr>
        <w:pStyle w:val="23"/>
        <w:tabs>
          <w:tab w:val="right" w:leader="dot" w:pos="9350"/>
        </w:tabs>
        <w:rPr>
          <w:rFonts w:ascii="Calibri" w:eastAsia="等线" w:hAnsi="Calibri"/>
          <w:sz w:val="22"/>
        </w:rPr>
      </w:pPr>
      <w:r>
        <w:fldChar w:fldCharType="begin"/>
      </w:r>
      <w:r>
        <w:instrText>Hyperlink \l "_Toc200014189"</w:instrText>
      </w:r>
      <w:r>
        <w:fldChar w:fldCharType="separate"/>
      </w:r>
      <w:r>
        <w:rPr>
          <w:rFonts w:eastAsia="Times New Roman"/>
        </w:rPr>
        <w:t>5</w:t>
      </w:r>
      <w:r>
        <w:rPr>
          <w:rFonts w:ascii="Calibri" w:eastAsia="等线" w:hAnsi="Calibri"/>
          <w:sz w:val="22"/>
        </w:rPr>
        <w:tab/>
      </w:r>
      <w:r>
        <w:rPr>
          <w:rFonts w:eastAsia="Times New Roman"/>
        </w:rPr>
        <w:t>Conclusion</w:t>
      </w:r>
      <w:r>
        <w:tab/>
      </w:r>
      <w:r>
        <w:fldChar w:fldCharType="begin"/>
      </w:r>
      <w:r>
        <w:instrText xml:space="preserve"> PAGEREF _Toc200014189 \h </w:instrText>
      </w:r>
      <w:r>
        <w:fldChar w:fldCharType="separate"/>
      </w:r>
      <w:r>
        <w:t>6</w:t>
      </w:r>
      <w:r>
        <w:fldChar w:fldCharType="end"/>
      </w:r>
      <w:r>
        <w:fldChar w:fldCharType="end"/>
      </w:r>
    </w:p>
    <w:p>
      <w:pPr>
        <w:pStyle w:val="23"/>
        <w:tabs>
          <w:tab w:val="right" w:leader="dot" w:pos="9350"/>
        </w:tabs>
        <w:rPr>
          <w:rFonts w:ascii="Calibri" w:eastAsia="等线" w:hAnsi="Calibri"/>
          <w:sz w:val="22"/>
        </w:rPr>
      </w:pPr>
      <w:r>
        <w:fldChar w:fldCharType="begin"/>
      </w:r>
      <w:r>
        <w:instrText>Hyperlink \l "_Toc200014190"</w:instrText>
      </w:r>
      <w:r>
        <w:fldChar w:fldCharType="separate"/>
      </w:r>
      <w:r>
        <w:t>6</w:t>
      </w:r>
      <w:r>
        <w:rPr>
          <w:rFonts w:ascii="Calibri" w:eastAsia="等线" w:hAnsi="Calibri"/>
          <w:sz w:val="22"/>
        </w:rPr>
        <w:tab/>
      </w:r>
      <w:r>
        <w:t>Reference</w:t>
        <w:tab/>
      </w:r>
      <w:r>
        <w:fldChar w:fldCharType="begin"/>
      </w:r>
      <w:r>
        <w:instrText xml:space="preserve"> PAGEREF _Toc200014190 \h </w:instrText>
      </w:r>
      <w:r>
        <w:fldChar w:fldCharType="separate"/>
      </w:r>
      <w:r>
        <w:t>8</w:t>
      </w:r>
      <w:r>
        <w:fldChar w:fldCharType="end"/>
      </w:r>
      <w:r>
        <w:fldChar w:fldCharType="end"/>
      </w:r>
    </w:p>
    <w:p>
      <w:r>
        <w:rPr>
          <w:b/>
          <w:bCs/>
        </w:rPr>
        <w:fldChar w:fldCharType="end"/>
      </w: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pStyle w:val="1"/>
        <w:rPr>
          <w:rFonts w:eastAsia="Times New Roman" w:cs="Times New Roman"/>
          <w:bCs/>
          <w:szCs w:val="24"/>
        </w:rPr>
      </w:pPr>
      <w:bookmarkStart w:id="1" w:name="_Toc200014175"/>
      <w:r>
        <w:rPr>
          <w:rFonts w:eastAsia="Times New Roman"/>
        </w:rPr>
        <w:t>Introduction</w:t>
      </w:r>
    </w:p>
    <w:p>
      <w:pPr>
        <w:ind w:left="0" w:firstLine="0"/>
      </w:pPr>
      <w:r>
        <w:t xml:space="preserve">I spent my placement at the Marriott Hotel in the Food and Beverage (F&amp;B) department. You have multiple options at the hotel, such as an all-day dining venue, a lounge bar and a venue for events. By being part of this placement, I understood better how a large hotel keeps its guests happy with excellent service. During this time, I tried to enhance three areas: improving how I supervise, communicating better under pressure and understanding the way departments collaborate in bringing food to customers. My choices were influenced by what I went through before and what people said about earlier modules. Being on-site allowed me to observe teamwork, view what guests expect and see how the hotel was run with this well-known brand </w:t>
      </w:r>
      <w:r>
        <w:rPr>
          <w:color w:val="000000"/>
          <w:shd w:val="clear" w:color="auto" w:fill="FFFFFF"/>
        </w:rPr>
        <w:t>(Laerdal et al., 2022)</w:t>
      </w:r>
      <w:r>
        <w:t>. With this log, I will analyze how far I have come, connect theoretical knowledge with my practical tasks and suggest useful changes to the way services are delivered.</w:t>
      </w:r>
    </w:p>
    <w:p>
      <w:pPr>
        <w:pStyle w:val="1"/>
      </w:pPr>
      <w:bookmarkStart w:id="2" w:name="_Toc200014176"/>
      <w:r>
        <w:t>Role Reflection</w:t>
      </w:r>
      <w:bookmarkEnd w:id="2"/>
      <w:r>
        <w:t xml:space="preserve"> </w:t>
      </w:r>
    </w:p>
    <w:p>
      <w:pPr>
        <w:pStyle w:val="2"/>
      </w:pPr>
      <w:bookmarkStart w:id="3" w:name="_Toc200014177"/>
      <w:r>
        <w:t>Placement Role and Responsibilities</w:t>
      </w:r>
    </w:p>
    <w:p>
      <w:pPr>
        <w:ind w:left="0" w:firstLine="0"/>
      </w:pPr>
      <w:r>
        <w:t>I used Gibbs’ Reflective Cycle (from 1988) to review my placement as a Food and Beverage Assistant at the Marriott Hotel. I managed to set up tables, take orders and handle room service. I was comfortable speaking to guests, but I felt nervous about dealing with problems within the team. I noted that team members were relocated swiftly when the lunch rush began, which kept everything flowing well, but staff did not properly communicate with guests, so many of them felt unhappy with the event. The examples I looked at made it clear how leadership shapes service quality. I need practice making decisions in a more assertive way. I want to take leadership courses, get input from others and deal with pressure situations. Acting in this way will help improve my supervisory effectiveness.</w:t>
      </w:r>
    </w:p>
    <w:p>
      <w:pPr>
        <w:keepNext/>
        <w:ind w:left="0" w:firstLine="0"/>
        <w:jc w:val="center"/>
      </w:pPr>
      <w:r>
        <w:drawing>
          <wp:inline distT="0" distB="0" distL="0" distR="0">
            <wp:extent cx="3352800" cy="2657474"/>
            <wp:effectExtent l="0" t="0" r="0" b="0"/>
            <wp:docPr id="4" name="Image 4"/>
            <wp:cNvGraphicFramePr>
              <a:graphicFrameLocks noChangeAspect="1"/>
            </wp:cNvGraphicFramePr>
            <a:graphic>
              <a:graphicData uri="http://schemas.openxmlformats.org/drawingml/2006/picture">
                <pic:pic>
                  <pic:nvPicPr>
                    <pic:cNvPr id="6" name="Image 6"/>
                    <pic:cNvPicPr/>
                  </pic:nvPicPr>
                  <pic:blipFill>
                    <a:blip r:embed="rId3"/>
                    <a:stretch>
                      <a:fillRect/>
                    </a:stretch>
                  </pic:blipFill>
                  <pic:spPr>
                    <a:xfrm rot="0">
                      <a:off x="0" y="0"/>
                      <a:ext cx="3352800" cy="2657474"/>
                    </a:xfrm>
                    <a:prstGeom prst="rect"/>
                    <a:noFill/>
                    <a:ln w="12700" cmpd="sng" cap="flat">
                      <a:noFill/>
                      <a:prstDash val="solid"/>
                      <a:miter/>
                    </a:ln>
                  </pic:spPr>
                </pic:pic>
              </a:graphicData>
            </a:graphic>
          </wp:inline>
        </w:drawing>
      </w:r>
    </w:p>
    <w:p>
      <w:pPr>
        <w:pStyle w:val="17"/>
        <w:jc w:val="center"/>
        <w:rPr>
          <w:b/>
          <w:bCs/>
          <w:color w:val="auto"/>
        </w:rPr>
      </w:pPr>
      <w:r>
        <w:rPr>
          <w:b/>
          <w:bCs/>
          <w:color w:val="auto"/>
        </w:rPr>
        <w:t xml:space="preserve">Figure </w:t>
      </w:r>
      <w:r>
        <w:rPr>
          <w:b/>
          <w:bCs/>
          <w:color w:val="auto"/>
        </w:rPr>
        <w:fldChar w:fldCharType="begin"/>
      </w:r>
      <w:r>
        <w:rPr>
          <w:b/>
          <w:bCs/>
          <w:color w:val="auto"/>
        </w:rPr>
        <w:instrText xml:space="preserve"> SEQ Figure \* ARABIC </w:instrText>
      </w:r>
      <w:r>
        <w:rPr>
          <w:b/>
          <w:bCs/>
          <w:color w:val="auto"/>
        </w:rPr>
        <w:fldChar w:fldCharType="separate"/>
      </w:r>
      <w:r>
        <w:rPr>
          <w:b/>
          <w:bCs/>
          <w:color w:val="auto"/>
        </w:rPr>
        <w:t>1</w:t>
      </w:r>
      <w:r>
        <w:rPr>
          <w:b/>
          <w:bCs/>
          <w:color w:val="auto"/>
        </w:rPr>
        <w:fldChar w:fldCharType="end"/>
      </w:r>
      <w:r>
        <w:rPr>
          <w:b/>
          <w:bCs/>
          <w:color w:val="auto"/>
        </w:rPr>
        <w:t xml:space="preserve"> Gibbs’ reflective cycle model (1998) </w:t>
      </w:r>
    </w:p>
    <w:p>
      <w:pPr>
        <w:pStyle w:val="17"/>
        <w:jc w:val="center"/>
        <w:rPr>
          <w:b/>
          <w:bCs/>
          <w:color w:val="auto"/>
        </w:rPr>
      </w:pPr>
      <w:r>
        <w:rPr>
          <w:b/>
          <w:bCs/>
          <w:color w:val="auto"/>
        </w:rPr>
        <w:t>Source: (Gelbman, 2021)</w:t>
      </w:r>
    </w:p>
    <w:p>
      <w:pPr>
        <w:pStyle w:val="2"/>
      </w:pPr>
      <w:bookmarkStart w:id="4" w:name="_Toc200014178"/>
      <w:r>
        <w:t>Supervisory Skills and Self-Assessment</w:t>
      </w:r>
    </w:p>
    <w:p>
      <w:pPr>
        <w:ind w:left="0" w:firstLine="0"/>
      </w:pPr>
      <w:r>
        <w:t xml:space="preserve">A good supervisor is able to lead, communicate, solve issues and adjust to new situations. Good supervisors at Marriott would communicate clearly, remain calm in stressful situations and boost their team by providing positive encouragement. It became clear to me that I was capable of teamwork and communication, but I didn’t handle directions or complaints with enough assurance. Managing multiple tasks under pressure was a struggle for me, which is something I still need to work on </w:t>
      </w:r>
      <w:r>
        <w:rPr>
          <w:color w:val="000000"/>
          <w:shd w:val="clear" w:color="auto" w:fill="FFFFFF"/>
        </w:rPr>
        <w:t>(Ghorbani, 2023)</w:t>
      </w:r>
      <w:r>
        <w:t>.  I realised that I was good at listening to guests, however, when it came to dealing with issues within the team, I was hesitant, so my assertiveness was not strong.</w:t>
      </w:r>
    </w:p>
    <w:p>
      <w:pPr>
        <w:pStyle w:val="2"/>
      </w:pPr>
      <w:bookmarkStart w:id="5" w:name="_Toc200014179"/>
      <w:r>
        <w:t>Examples of Effective or Ineffective Supervision</w:t>
      </w:r>
    </w:p>
    <w:p>
      <w:pPr>
        <w:ind w:left="0" w:firstLine="0"/>
      </w:pPr>
      <w:r>
        <w:t>A good example of good supervision was when we had a lot of guests at lunch service. They rearranged staff tasks in the middle of the service when there were not enough people, which prevented any delays. On a different occasion, confusion about where guests were scheduled to sit made them unhappy during a banquet. The mentioned examples pointed out that leadership actions greatly influence the overall quality of services and the mood of the workforce (</w:t>
      </w:r>
      <w:r>
        <w:rPr>
          <w:rFonts w:cs="Times New Roman"/>
          <w:shd w:val="clear" w:color="auto" w:fill="FFFFFF"/>
        </w:rPr>
        <w:t>Dimitriou</w:t>
      </w:r>
      <w:r>
        <w:t>, 2022).  In the two circumstances, strong communication mattered a lot strong leaders steered clear of an issue, but unclear instructions led to confusion and unhappiness.</w:t>
      </w:r>
    </w:p>
    <w:p>
      <w:pPr>
        <w:pStyle w:val="2"/>
      </w:pPr>
      <w:bookmarkStart w:id="6" w:name="_Toc200014180"/>
      <w:r>
        <w:t>Personal Action Plan for Development</w:t>
      </w:r>
    </w:p>
    <w:p>
      <w:pPr>
        <w:tabs>
          <w:tab w:val="left" w:pos="90"/>
        </w:tabs>
        <w:ind w:left="0" w:firstLine="0"/>
      </w:pPr>
      <w:r>
        <w:t xml:space="preserve">I will enroll in brief leadership and conflict resolution classes. Regularly ask your supervisors for their thoughts on how you are doing. Look for opportunities to lead small activities in your future jobs. Simulate situations when the restaurant is really busy to get comfortable staying calm </w:t>
      </w:r>
      <w:r>
        <w:rPr>
          <w:color w:val="000000"/>
          <w:shd w:val="clear" w:color="auto" w:fill="FFFFFF"/>
        </w:rPr>
        <w:t xml:space="preserve">(Morrison, 2022). </w:t>
      </w:r>
      <w:r>
        <w:t>Participate in conversations or workshops with fellow professionals to learn about their approaches to managing stress and leadership in the workplace. Following these steps will help me improve in supervisory positions by expanding both my skill set and my ability to work with people.</w:t>
      </w:r>
    </w:p>
    <w:p>
      <w:pPr>
        <w:pStyle w:val="1"/>
      </w:pPr>
      <w:bookmarkStart w:id="7" w:name="_Toc200014181"/>
      <w:r>
        <w:t>Development Journey</w:t>
      </w:r>
      <w:bookmarkEnd w:id="7"/>
      <w:r>
        <w:t xml:space="preserve"> </w:t>
      </w:r>
    </w:p>
    <w:p>
      <w:pPr>
        <w:pStyle w:val="2"/>
      </w:pPr>
      <w:bookmarkStart w:id="8" w:name="_Toc200014182"/>
      <w:r>
        <w:t>Comparison with Level 4 Placement</w:t>
      </w:r>
    </w:p>
    <w:p>
      <w:pPr>
        <w:ind w:left="0" w:firstLine="0"/>
      </w:pPr>
      <w:r>
        <w:t xml:space="preserve">At Level 4, I spent my time working in an independent hotel and reviewing basic F&amp;B duties. Everything inside was slower, and they provided more tailored service. Marriott had a faster pace, and the work there was more planned, with a strong emphasis on sticking to brand specifications. Everyone on the Marriott team knew their responsibilities, and I discovered the techniques for large groups to cooperate. Multitasking and informal ways of communicating were more significant in my Level 4 placement </w:t>
      </w:r>
      <w:r>
        <w:rPr>
          <w:color w:val="000000"/>
          <w:shd w:val="clear" w:color="auto" w:fill="FFFFFF"/>
        </w:rPr>
        <w:t xml:space="preserve">(de Kervenoael et al., 2020). </w:t>
      </w:r>
      <w:r>
        <w:t>I found that Marriott took advantage of digital tools for making reservations, setting employee shifts and handling tables, while the Level 4 hotel mostly used manual methods. Being part of the Marriott environment motivated me to become more efficient, organized and work as a team.</w:t>
      </w:r>
    </w:p>
    <w:p>
      <w:pPr>
        <w:pStyle w:val="2"/>
      </w:pPr>
      <w:bookmarkStart w:id="9" w:name="_Toc200014183"/>
      <w:r>
        <w:t>Integration of Academic Learning (Level 4&amp;Level 5 Modules)</w:t>
      </w:r>
    </w:p>
    <w:p>
      <w:pPr>
        <w:ind w:left="0" w:firstLine="0"/>
      </w:pPr>
      <w:r>
        <w:t xml:space="preserve">In the Level 4 Food&amp;Beverage Operations section, it was explained to me how to sequence dishes and design menus. I saw at Marriott how concepts such as these are actually put into practice, primarily during buffet preparation and service. Due to what I learned about sustainability in the Level 5 Sustainable Hospitality&amp;Tourism Management module, I now appreciate that Marriott is trying to reduce food waste and provide local products. Though sustainability was not something pursued every day, I found efforts being made to support eco-friendly procedures. The hotel has bulk condiments instead of individually packaged ones and also encourages guests to reuse their towels to save drinking water, both of which match the strategies I examined. Through these studies, I knew how to improve the operations and make better decisions </w:t>
      </w:r>
      <w:r>
        <w:rPr>
          <w:color w:val="000000"/>
          <w:shd w:val="clear" w:color="auto" w:fill="FFFFFF"/>
        </w:rPr>
        <w:t>(Kaydos, 2020).</w:t>
      </w:r>
    </w:p>
    <w:p>
      <w:pPr>
        <w:pStyle w:val="1"/>
      </w:pPr>
      <w:bookmarkStart w:id="10" w:name="_Toc200014184"/>
      <w:r>
        <w:t>Service Improvement Proposal</w:t>
      </w:r>
      <w:bookmarkEnd w:id="10"/>
      <w:r>
        <w:t xml:space="preserve"> </w:t>
      </w:r>
    </w:p>
    <w:p>
      <w:pPr>
        <w:pStyle w:val="2"/>
      </w:pPr>
      <w:bookmarkStart w:id="11" w:name="_Toc200014185"/>
      <w:r>
        <w:t>Identified Area for Improvement</w:t>
      </w:r>
    </w:p>
    <w:p>
      <w:pPr>
        <w:ind w:left="0" w:firstLine="0"/>
      </w:pPr>
      <w:r>
        <w:t xml:space="preserve">It would be helpful if the Marriott Hotel improved its breakfast service for guests, making it both speedy and effective, particularly for the buffet </w:t>
      </w:r>
      <w:r>
        <w:rPr>
          <w:color w:val="000000"/>
          <w:shd w:val="clear" w:color="auto" w:fill="FFFFFF"/>
        </w:rPr>
        <w:t>(Wibawa and Mathilda, 2023).</w:t>
      </w:r>
    </w:p>
    <w:p>
      <w:pPr>
        <w:pStyle w:val="2"/>
      </w:pPr>
      <w:bookmarkStart w:id="12" w:name="_Toc200014186"/>
      <w:r>
        <w:t>Justification with Observations</w:t>
      </w:r>
    </w:p>
    <w:p>
      <w:pPr>
        <w:ind w:left="0" w:firstLine="0"/>
      </w:pPr>
      <w:r>
        <w:t xml:space="preserve">On the basis of what I have seen and heard from colleagues, the breakfast service is frequently hurried and not very organised. Nearly half of our guests sometimes need to spend more time there because their tea or coffee has been refilled too slowly for them, and in many cases, the staff are not aware of their work section either. On days when the restaurant is crowded, it is common to see staff focused on one area while others are waiting longer. It was found that not having clear roles and not communicating properly often leads to confusion among the </w:t>
      </w:r>
      <w:r>
        <w:rPr>
          <w:color w:val="000000"/>
          <w:shd w:val="clear" w:color="auto" w:fill="FFFFFF"/>
        </w:rPr>
        <w:t>(Shen et al., 2020).</w:t>
      </w:r>
    </w:p>
    <w:p>
      <w:pPr>
        <w:pStyle w:val="2"/>
      </w:pPr>
      <w:bookmarkStart w:id="13" w:name="_Toc200014187"/>
      <w:r>
        <w:t>Improvement Plan with Actionable Steps</w:t>
      </w:r>
    </w:p>
    <w:p>
      <w:r>
        <w:t>1.</w:t>
        <w:tab/>
        <w:t>To design a map that lines up the restaurant with different areas clearly. Give each zone its own server to make it easier to monitor and manage everything.</w:t>
      </w:r>
    </w:p>
    <w:p>
      <w:r>
        <w:t>2.</w:t>
        <w:tab/>
        <w:t>At the beginning of every day, hold a meeting to tell the team about guest volume, assign their areas and mention any new or different information.</w:t>
      </w:r>
    </w:p>
    <w:p>
      <w:r>
        <w:t>3.</w:t>
        <w:tab/>
        <w:t>An offer a station serving tea and coffee for guests, which will cut down on how much the staff has to do and how long they have to stand in line.</w:t>
      </w:r>
    </w:p>
    <w:p>
      <w:r>
        <w:t xml:space="preserve">Performing these tasks improves teamwork and makes the guest experience easier. Studies show that good communication and task organization help servers work more quickly and make guests happier </w:t>
      </w:r>
      <w:r>
        <w:rPr>
          <w:color w:val="000000"/>
          <w:shd w:val="clear" w:color="auto" w:fill="FFFFFF"/>
        </w:rPr>
        <w:t>(Wang, Xu and Ma, 2021).</w:t>
      </w:r>
    </w:p>
    <w:p>
      <w:pPr>
        <w:pStyle w:val="2"/>
      </w:pPr>
      <w:bookmarkStart w:id="14" w:name="_Toc200014188"/>
      <w:r>
        <w:t>Enhancing Service Standards through Training and Knowledge</w:t>
      </w:r>
    </w:p>
    <w:p>
      <w:pPr>
        <w:ind w:left="0" w:firstLine="0"/>
      </w:pPr>
      <w:r>
        <w:t xml:space="preserve">All staff should be taught using Marriott’s digital learning program to uphold brand standards. Training team members in managing tasks, dealing with guests and handling several roles can help them perform better. Team members can learn from each other by discussing what went well and what could use change during feedback after the service event </w:t>
      </w:r>
      <w:r>
        <w:rPr>
          <w:color w:val="000000"/>
          <w:shd w:val="clear" w:color="auto" w:fill="FFFFFF"/>
        </w:rPr>
        <w:t xml:space="preserve">(Evans, 2024). </w:t>
      </w:r>
      <w:r>
        <w:t>They will allow us to deliver breakfast that is both dependable and high-standard.</w:t>
      </w:r>
    </w:p>
    <w:p>
      <w:pPr>
        <w:pStyle w:val="1"/>
        <w:rPr>
          <w:rFonts w:eastAsia="Times New Roman"/>
        </w:rPr>
      </w:pPr>
      <w:bookmarkStart w:id="15" w:name="_Toc200014189"/>
      <w:r>
        <w:rPr>
          <w:rFonts w:eastAsia="Times New Roman"/>
        </w:rPr>
        <w:t>Conclusion</w:t>
      </w:r>
      <w:bookmarkEnd w:id="15"/>
      <w:r>
        <w:rPr>
          <w:rFonts w:eastAsia="Times New Roman"/>
        </w:rPr>
        <w:t xml:space="preserve"> </w:t>
      </w:r>
    </w:p>
    <w:p>
      <w:pPr>
        <w:ind w:left="0" w:firstLine="0"/>
      </w:pPr>
      <w:r>
        <w:t>The position at the Marriott Hotel taught me a lot about running food and beverage in a major hotel. I came up with goals for learning: better supervision, effective communication when under pressure and how teams collaborate to serve guests. I achieved improvements in communication, teamwork and technical skills, but my best results were in the first two. Nevertheless, I still lack confidence when managing teams or dealing with complaints (Ghorbani, 2023). My experience from both university and at work has shown me why good leadership, clear communication and planning are important (Dimitriou, 2022). It has become clear to me that sustainability and technology are important parts of daily hotel operation (Mehta et al., 2021). Following the plan will enable me to keep improving myself. All in all, participating in this role has helped me to improve at work and in life and I believe I am ready for bigger opportunities in the hospitality industry.</w:t>
      </w:r>
    </w:p>
    <w:p/>
    <w:p>
      <w:r>
        <w:br w:type="page"/>
      </w:r>
    </w:p>
    <w:p/>
    <w:p>
      <w:pPr>
        <w:pStyle w:val="1"/>
      </w:pPr>
      <w:bookmarkStart w:id="16" w:name="_Toc200014190"/>
      <w:r>
        <w:t>Reference</w:t>
      </w:r>
    </w:p>
    <w:p>
      <w:pPr>
        <w:pStyle w:val="16"/>
        <w:spacing w:before="0" w:beforeAutospacing="0" w:after="240" w:afterAutospacing="0" w:line="360" w:lineRule="auto"/>
        <w:ind w:left="720" w:hanging="720"/>
        <w:jc w:val="both"/>
        <w:rPr>
          <w:color w:val="000000"/>
        </w:rPr>
      </w:pPr>
      <w:r>
        <w:rPr>
          <w:color w:val="000000"/>
        </w:rPr>
        <w:t>Wibawa, I.K. and Mathilda, K. (2023). Squences Of Service Implementation In Improving The Service Quality At Lobby Lounge Bar And Restaurant JW Marriot Hotel Surabaya. </w:t>
      </w:r>
      <w:r>
        <w:rPr>
          <w:i/>
          <w:iCs/>
          <w:color w:val="000000"/>
        </w:rPr>
        <w:t>Journey : Journal of Tourismpreneurship, Culinary, Hospitality, Convention and Event Management</w:t>
      </w:r>
      <w:r>
        <w:rPr>
          <w:color w:val="000000"/>
        </w:rPr>
        <w:t>, [online] 6(1), pp.107–126. doi:https://doi.org/10.46837/journey.v6i1.160.</w:t>
      </w:r>
    </w:p>
    <w:p>
      <w:pPr>
        <w:pStyle w:val="16"/>
        <w:spacing w:before="0" w:beforeAutospacing="0" w:after="240" w:afterAutospacing="0" w:line="360" w:lineRule="auto"/>
        <w:ind w:left="720" w:hanging="720"/>
        <w:jc w:val="both"/>
        <w:rPr>
          <w:color w:val="000000"/>
        </w:rPr>
      </w:pPr>
      <w:r>
        <w:rPr>
          <w:color w:val="000000"/>
        </w:rPr>
        <w:t>de Kervenoael, R., Hasan, R., Schwob, A. and Goh, E. (2020). Leveraging human-robot interaction in hospitality services: Incorporating the role of perceived value, empathy, and information sharing into visitors’ intentions to use social robots. </w:t>
      </w:r>
      <w:r>
        <w:rPr>
          <w:i/>
          <w:iCs/>
          <w:color w:val="000000"/>
        </w:rPr>
        <w:t>Tourism Management</w:t>
      </w:r>
      <w:r>
        <w:rPr>
          <w:color w:val="000000"/>
        </w:rPr>
        <w:t>, [online] 78, p.104042. doi:https://doi.org/10.1016/j.tourman.2019.104042.</w:t>
      </w:r>
    </w:p>
    <w:p>
      <w:pPr>
        <w:pStyle w:val="16"/>
        <w:spacing w:before="0" w:beforeAutospacing="0" w:after="240" w:afterAutospacing="0" w:line="360" w:lineRule="auto"/>
        <w:ind w:left="720" w:hanging="720"/>
        <w:jc w:val="both"/>
        <w:rPr>
          <w:shd w:val="clear" w:color="auto" w:fill="FFFFFF"/>
        </w:rPr>
      </w:pPr>
      <w:r>
        <w:rPr>
          <w:shd w:val="clear" w:color="auto" w:fill="FFFFFF"/>
        </w:rPr>
        <w:t>Dimitriou, C. K. (2022) ‘The critical role that national culture and ethical leadership play in fostering employee commitment to service quality in the hotel industry’, </w:t>
      </w:r>
      <w:r>
        <w:rPr>
          <w:i/>
          <w:iCs/>
          <w:shd w:val="clear" w:color="auto" w:fill="FFFFFF"/>
        </w:rPr>
        <w:t>Research in Hospitality Management</w:t>
      </w:r>
      <w:r>
        <w:rPr>
          <w:shd w:val="clear" w:color="auto" w:fill="FFFFFF"/>
        </w:rPr>
        <w:t>, 12(3), pp. 255–271. doi: 10.1080/22243534.2022.2133770.</w:t>
      </w:r>
    </w:p>
    <w:p>
      <w:pPr>
        <w:pStyle w:val="16"/>
        <w:spacing w:before="0" w:beforeAutospacing="0" w:after="240" w:afterAutospacing="0" w:line="360" w:lineRule="auto"/>
        <w:ind w:left="720" w:hanging="720"/>
        <w:jc w:val="both"/>
        <w:rPr>
          <w:color w:val="000000"/>
        </w:rPr>
      </w:pPr>
      <w:r>
        <w:rPr>
          <w:color w:val="000000"/>
        </w:rPr>
        <w:t>Evans, N.G. (2024). Strategic Management for Tourism, Hospitality and Events. [online] doi:https://doi.org/10.4324/9781003318613.</w:t>
      </w:r>
    </w:p>
    <w:p>
      <w:pPr>
        <w:pStyle w:val="16"/>
        <w:spacing w:before="0" w:beforeAutospacing="0" w:after="240" w:afterAutospacing="0" w:line="360" w:lineRule="auto"/>
        <w:ind w:left="720" w:hanging="720"/>
        <w:jc w:val="both"/>
        <w:rPr>
          <w:color w:val="000000"/>
        </w:rPr>
      </w:pPr>
      <w:r>
        <w:rPr>
          <w:color w:val="000000"/>
        </w:rPr>
        <w:t>Ghorbani, H.R. (2023). Exploring the Impact of Stress on the Management of the Hotel Industry : The Case of a Hotel in Tampere. </w:t>
      </w:r>
      <w:r>
        <w:rPr>
          <w:i/>
          <w:iCs/>
          <w:color w:val="000000"/>
        </w:rPr>
        <w:t>Theseus.fi</w:t>
      </w:r>
      <w:r>
        <w:rPr>
          <w:color w:val="000000"/>
        </w:rPr>
        <w:t>. [online] doi:http://www.theseus.fi/handle/10024/816513.</w:t>
      </w:r>
    </w:p>
    <w:p>
      <w:pPr>
        <w:pStyle w:val="16"/>
        <w:spacing w:before="0" w:beforeAutospacing="0" w:after="240" w:afterAutospacing="0" w:line="360" w:lineRule="auto"/>
        <w:ind w:left="720" w:hanging="720"/>
        <w:jc w:val="both"/>
        <w:rPr>
          <w:color w:val="000000"/>
        </w:rPr>
      </w:pPr>
      <w:r>
        <w:rPr>
          <w:color w:val="000000"/>
        </w:rPr>
        <w:t>Morrison, A.M. (2022). </w:t>
      </w:r>
      <w:r>
        <w:rPr>
          <w:i/>
          <w:iCs/>
          <w:color w:val="000000"/>
        </w:rPr>
        <w:t>Hospitality and Travel Marketing</w:t>
      </w:r>
      <w:r>
        <w:rPr>
          <w:color w:val="000000"/>
        </w:rPr>
        <w:t>. [online] doi:https://doi.org/10.4324/9781003292616.</w:t>
      </w:r>
    </w:p>
    <w:p>
      <w:pPr>
        <w:pStyle w:val="16"/>
        <w:spacing w:before="0" w:beforeAutospacing="0" w:after="240" w:afterAutospacing="0" w:line="360" w:lineRule="auto"/>
        <w:ind w:left="720" w:hanging="720"/>
        <w:jc w:val="both"/>
        <w:rPr>
          <w:color w:val="000000"/>
        </w:rPr>
      </w:pPr>
      <w:r>
        <w:rPr>
          <w:color w:val="000000"/>
        </w:rPr>
        <w:t>Laerdal, K.M., Palmer, C. and Lester, J.-A. (2022). Constructing and performing hotel hospitality culture. </w:t>
      </w:r>
      <w:r>
        <w:rPr>
          <w:i/>
          <w:iCs/>
          <w:color w:val="000000"/>
        </w:rPr>
        <w:t>Hospitality&amp;Society</w:t>
      </w:r>
      <w:r>
        <w:rPr>
          <w:color w:val="000000"/>
        </w:rPr>
        <w:t>, [online] 12(1), pp.3–26. doi:https://doi.org/10.1386/hosp_00043_1.</w:t>
      </w:r>
    </w:p>
    <w:p>
      <w:pPr>
        <w:pStyle w:val="16"/>
        <w:spacing w:before="0" w:beforeAutospacing="0" w:after="240" w:afterAutospacing="0" w:line="360" w:lineRule="auto"/>
        <w:ind w:left="720" w:hanging="720"/>
        <w:jc w:val="both"/>
        <w:rPr>
          <w:color w:val="000000"/>
        </w:rPr>
      </w:pPr>
      <w:r>
        <w:rPr>
          <w:color w:val="000000"/>
        </w:rPr>
        <w:t>Kaydos, W. (2020). </w:t>
      </w:r>
      <w:r>
        <w:rPr>
          <w:i/>
          <w:iCs/>
          <w:color w:val="000000"/>
        </w:rPr>
        <w:t>Operational Performance Measurement</w:t>
      </w:r>
      <w:r>
        <w:rPr>
          <w:color w:val="000000"/>
        </w:rPr>
        <w:t>. [online] </w:t>
      </w:r>
      <w:r>
        <w:rPr>
          <w:i/>
          <w:iCs/>
          <w:color w:val="000000"/>
        </w:rPr>
        <w:t>CRC Press eBooks</w:t>
      </w:r>
      <w:r>
        <w:rPr>
          <w:color w:val="000000"/>
        </w:rPr>
        <w:t>. Informa. doi:https://doi.org/10.4324/9780367802103.</w:t>
      </w:r>
    </w:p>
    <w:p>
      <w:pPr>
        <w:pStyle w:val="16"/>
        <w:spacing w:before="0" w:beforeAutospacing="0" w:after="240" w:afterAutospacing="0" w:line="360" w:lineRule="auto"/>
        <w:ind w:left="720" w:hanging="720"/>
        <w:jc w:val="both"/>
        <w:rPr>
          <w:color w:val="000000"/>
        </w:rPr>
      </w:pPr>
      <w:r>
        <w:rPr>
          <w:color w:val="000000"/>
        </w:rPr>
        <w:t>Shen, L., Qian, J. and Chen, S.C. (2020). Effective Communication Strategies of Sustainable Hospitality: A Qualitative Exploration. </w:t>
      </w:r>
      <w:r>
        <w:rPr>
          <w:i/>
          <w:iCs/>
          <w:color w:val="000000"/>
        </w:rPr>
        <w:t>Sustainability</w:t>
      </w:r>
      <w:r>
        <w:rPr>
          <w:color w:val="000000"/>
        </w:rPr>
        <w:t>, [online] 12(17), pp.6920–6920. doi:https://doi.org/10.3390/su12176920.</w:t>
      </w:r>
    </w:p>
    <w:p>
      <w:pPr>
        <w:pStyle w:val="16"/>
        <w:spacing w:before="0" w:beforeAutospacing="0" w:after="240" w:afterAutospacing="0" w:line="360" w:lineRule="auto"/>
        <w:ind w:left="720" w:hanging="720"/>
        <w:jc w:val="both"/>
        <w:rPr>
          <w:color w:val="000000"/>
        </w:rPr>
      </w:pPr>
      <w:r>
        <w:rPr>
          <w:color w:val="000000"/>
        </w:rPr>
        <w:t>Wang, Y.-C., Xu, S.T. and Ma, E. (2021). Serve perfectly, being happier: A perfectionistic perspective on customer-driven hotel employee citizenship behavior and well-being. </w:t>
      </w:r>
      <w:r>
        <w:rPr>
          <w:i/>
          <w:iCs/>
          <w:color w:val="000000"/>
        </w:rPr>
        <w:t>International Journal of Hospitality Management</w:t>
      </w:r>
      <w:r>
        <w:rPr>
          <w:color w:val="000000"/>
        </w:rPr>
        <w:t>, [online] 96, pp.102984–102984. doi:https://doi.org/10.1016/j.ijhm.2021.102984.</w:t>
      </w:r>
    </w:p>
    <w:p/>
    <w:p/>
    <w:p>
      <w:pPr>
        <w:ind w:left="0" w:firstLine="0"/>
      </w:pPr>
    </w:p>
    <w:p>
      <w:pPr>
        <w:pStyle w:val="16"/>
        <w:spacing w:line="360" w:lineRule="auto"/>
        <w:jc w:val="both"/>
      </w:pPr>
    </w:p>
    <w:p/>
    <w:p>
      <w:pPr>
        <w:ind w:left="0" w:firstLine="0"/>
      </w:pPr>
    </w:p>
    <w:p>
      <w:pPr>
        <w:spacing w:before="100" w:beforeAutospacing="1" w:after="100" w:afterAutospacing="1"/>
        <w:ind w:left="0" w:firstLine="0"/>
        <w:jc w:val="center"/>
        <w:rPr>
          <w:rFonts w:eastAsia="Times New Roman" w:cs="Times New Roman"/>
          <w:b/>
          <w:bCs/>
          <w:szCs w:val="24"/>
        </w:rPr>
      </w:pPr>
      <w:r>
        <w:rPr>
          <w:rFonts w:eastAsia="Times New Roman" w:cs="Times New Roman"/>
          <w:b/>
          <w:bCs/>
          <w:szCs w:val="24"/>
        </w:rPr>
        <w:t>Title:</w:t>
      </w:r>
      <w:r>
        <w:rPr>
          <w:rFonts w:eastAsia="Times New Roman" w:cs="Times New Roman"/>
          <w:szCs w:val="24"/>
        </w:rPr>
        <w:t xml:space="preserve"> </w:t>
      </w:r>
      <w:r>
        <w:rPr>
          <w:rFonts w:eastAsia="Times New Roman" w:cs="Times New Roman"/>
          <w:b/>
          <w:bCs/>
          <w:szCs w:val="24"/>
        </w:rPr>
        <w:t>Reflective Learning Log Managing Food and Beverage Operations at Marriott Hotel</w:t>
      </w:r>
    </w:p>
    <w:p>
      <w:pPr>
        <w:spacing w:before="100" w:beforeAutospacing="1" w:after="100" w:afterAutospacing="1"/>
        <w:ind w:left="0" w:firstLine="0"/>
        <w:jc w:val="center"/>
        <w:rPr>
          <w:b/>
          <w:bCs/>
        </w:rPr>
      </w:pPr>
      <w:r>
        <w:rPr>
          <w:b/>
          <w:bCs/>
        </w:rPr>
        <w:t xml:space="preserve">Module Code: BMIH6002 </w:t>
      </w:r>
    </w:p>
    <w:p>
      <w:pPr>
        <w:spacing w:before="100" w:beforeAutospacing="1" w:after="100" w:afterAutospacing="1"/>
        <w:ind w:left="0" w:firstLine="0"/>
        <w:jc w:val="center"/>
        <w:rPr>
          <w:b/>
          <w:bCs/>
        </w:rPr>
      </w:pPr>
      <w:r>
        <w:rPr>
          <w:b/>
          <w:bCs/>
        </w:rPr>
        <w:t xml:space="preserve">       Name : Alexandru Alin Minea</w:t>
      </w:r>
    </w:p>
    <w:p>
      <w:pPr>
        <w:spacing w:before="100" w:beforeAutospacing="1" w:after="100" w:afterAutospacing="1"/>
        <w:ind w:left="0" w:firstLineChars="1400" w:firstLine="3360"/>
        <w:rPr>
          <w:b/>
          <w:bCs/>
        </w:rPr>
      </w:pPr>
      <w:r>
        <w:rPr>
          <w:b/>
          <w:bCs/>
        </w:rPr>
        <w:t>Student ID : 2215123</w:t>
      </w:r>
    </w:p>
    <w:p>
      <w:pPr>
        <w:spacing w:before="100" w:beforeAutospacing="1" w:after="100" w:afterAutospacing="1"/>
        <w:ind w:left="0" w:firstLineChars="1400" w:firstLine="3360"/>
        <w:rPr>
          <w:b/>
          <w:bCs/>
        </w:rPr>
      </w:pPr>
      <w:r>
        <w:rPr>
          <w:b/>
          <w:bCs/>
        </w:rPr>
        <w:t xml:space="preserve">Tutore : Kathryn Roberts </w:t>
      </w:r>
      <w:bookmarkStart w:id="0" w:name="_GoBack"/>
      <w:bookmarkEnd w:id="0"/>
    </w:p>
    <w:p>
      <w:pPr>
        <w:spacing w:before="100" w:beforeAutospacing="1" w:after="100" w:afterAutospacing="1"/>
        <w:ind w:left="0" w:firstLine="0"/>
        <w:jc w:val="center"/>
        <w:rPr>
          <w:b/>
          <w:bCs/>
        </w:rPr>
      </w:pPr>
      <w:r>
        <w:rPr>
          <w:b/>
          <w:bCs/>
        </w:rPr>
        <w:t>Module Title: Managing Food and Beverage Operations</w:t>
      </w:r>
    </w:p>
    <w:p>
      <w:pPr>
        <w:spacing w:before="100" w:beforeAutospacing="1" w:after="100" w:afterAutospacing="1"/>
        <w:ind w:left="0" w:firstLine="0"/>
        <w:jc w:val="center"/>
        <w:rPr>
          <w:b/>
          <w:bCs/>
        </w:rPr>
      </w:pPr>
      <w:r>
        <w:rPr>
          <w:b/>
          <w:bCs/>
        </w:rPr>
        <w:t xml:space="preserve">Declaration </w:t>
      </w:r>
    </w:p>
    <w:p>
      <w:pPr>
        <w:spacing w:before="100" w:beforeAutospacing="1" w:after="100" w:afterAutospacing="1"/>
        <w:ind w:left="0" w:firstLine="0"/>
        <w:rPr>
          <w:rFonts w:eastAsia="Times New Roman" w:cs="Times New Roman"/>
          <w:b/>
          <w:bCs/>
          <w:szCs w:val="24"/>
        </w:rPr>
      </w:pPr>
      <w:r>
        <w:rPr>
          <w:rFonts w:eastAsia="Times New Roman" w:cs="Times New Roman"/>
          <w:b/>
          <w:bCs/>
          <w:szCs w:val="24"/>
        </w:rPr>
        <w:drawing>
          <wp:inline distT="0" distB="0" distL="0" distR="0">
            <wp:extent cx="5943600" cy="1337945"/>
            <wp:effectExtent l="0" t="0" r="0" b="0"/>
            <wp:docPr id="1" name="Image 1"/>
            <wp:cNvGraphicFramePr>
              <a:graphicFrameLocks noChangeAspect="1"/>
            </wp:cNvGraphicFramePr>
            <a:graphic>
              <a:graphicData uri="http://schemas.openxmlformats.org/drawingml/2006/picture">
                <pic:pic>
                  <pic:nvPicPr>
                    <pic:cNvPr id="3" name="Image 3"/>
                    <pic:cNvPicPr/>
                  </pic:nvPicPr>
                  <pic:blipFill>
                    <a:blip r:embed="rId2"/>
                    <a:stretch>
                      <a:fillRect/>
                    </a:stretch>
                  </pic:blipFill>
                  <pic:spPr>
                    <a:xfrm rot="0">
                      <a:off x="0" y="0"/>
                      <a:ext cx="5943600" cy="1337945"/>
                    </a:xfrm>
                    <a:prstGeom prst="rect"/>
                    <a:noFill/>
                    <a:ln w="12700" cmpd="sng" cap="flat">
                      <a:noFill/>
                      <a:prstDash val="solid"/>
                      <a:miter/>
                    </a:ln>
                  </pic:spPr>
                </pic:pic>
              </a:graphicData>
            </a:graphic>
          </wp:inline>
        </w:drawing>
      </w: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p>
      <w:pPr>
        <w:spacing w:before="100" w:beforeAutospacing="1" w:after="100" w:afterAutospacing="1"/>
        <w:ind w:left="0" w:firstLine="0"/>
        <w:rPr>
          <w:rFonts w:eastAsia="Times New Roman" w:cs="Times New Roman"/>
          <w:b/>
          <w:bCs/>
          <w:szCs w:val="24"/>
        </w:rPr>
      </w:pPr>
    </w:p>
    <w:sectPr>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roid Sans Fallback"/>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Arial">
    <w:panose1 w:val="00000000000000000000"/>
    <w:charset w:val="00"/>
    <w:family w:val="auto"/>
    <w:pitch w:val="variable"/>
    <w:sig w:usb0="00000000" w:usb1="00000000" w:usb2="00000000" w:usb3="00000000" w:csb0="00000000" w:csb1="00000000"/>
  </w:font>
  <w:font w:name="等线 Light">
    <w:altName w:val="Droid Sans Fallback"/>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04090025"/>
    <w:lvl w:ilvl="0">
      <w:start w:val="1"/>
      <w:numFmt w:val="decimal"/>
      <w:lvlRestart w:val="0"/>
      <w:pStyle w:val="1"/>
      <w:lvlText w:val="%1"/>
      <w:lvlJc w:val="left"/>
      <w:pPr>
        <w:tabs>
          <w:tab w:val="num" w:pos="0"/>
        </w:tabs>
        <w:ind w:left="432" w:hanging="432"/>
      </w:pPr>
    </w:lvl>
    <w:lvl w:ilvl="1">
      <w:start w:val="1"/>
      <w:numFmt w:val="decimal"/>
      <w:pStyle w:val="2"/>
      <w:lvlText w:val="%1.%2"/>
      <w:lvlJc w:val="left"/>
      <w:pPr>
        <w:tabs>
          <w:tab w:val="num" w:pos="0"/>
        </w:tabs>
        <w:ind w:left="576" w:hanging="576"/>
      </w:pPr>
    </w:lvl>
    <w:lvl w:ilvl="2">
      <w:start w:val="1"/>
      <w:numFmt w:val="decimal"/>
      <w:pStyle w:val="3"/>
      <w:lvlText w:val="%1.%2.%3"/>
      <w:lvlJc w:val="left"/>
      <w:pPr>
        <w:tabs>
          <w:tab w:val="num" w:pos="0"/>
        </w:tabs>
        <w:ind w:left="720" w:hanging="720"/>
      </w:pPr>
    </w:lvl>
    <w:lvl w:ilvl="3">
      <w:start w:val="1"/>
      <w:numFmt w:val="decimal"/>
      <w:pStyle w:val="4"/>
      <w:lvlText w:val="%1.%2.%3.%4"/>
      <w:lvlJc w:val="left"/>
      <w:pPr>
        <w:tabs>
          <w:tab w:val="num" w:pos="0"/>
        </w:tabs>
        <w:ind w:left="864" w:hanging="864"/>
      </w:pPr>
    </w:lvl>
    <w:lvl w:ilvl="4">
      <w:start w:val="1"/>
      <w:numFmt w:val="decimal"/>
      <w:pStyle w:val="5"/>
      <w:lvlText w:val="%1.%2.%3.%4.%5"/>
      <w:lvlJc w:val="left"/>
      <w:pPr>
        <w:tabs>
          <w:tab w:val="num" w:pos="0"/>
        </w:tabs>
        <w:ind w:left="1008" w:hanging="1008"/>
      </w:pPr>
    </w:lvl>
    <w:lvl w:ilvl="5">
      <w:start w:val="1"/>
      <w:numFmt w:val="decimal"/>
      <w:pStyle w:val="6"/>
      <w:lvlText w:val="%1.%2.%3.%4.%5.%6"/>
      <w:lvlJc w:val="left"/>
      <w:pPr>
        <w:tabs>
          <w:tab w:val="num" w:pos="0"/>
        </w:tabs>
        <w:ind w:left="1152" w:hanging="1152"/>
      </w:pPr>
    </w:lvl>
    <w:lvl w:ilvl="6">
      <w:start w:val="1"/>
      <w:numFmt w:val="decimal"/>
      <w:pStyle w:val="7"/>
      <w:lvlText w:val="%1.%2.%3.%4.%5.%6.%7"/>
      <w:lvlJc w:val="left"/>
      <w:pPr>
        <w:tabs>
          <w:tab w:val="num" w:pos="0"/>
        </w:tabs>
        <w:ind w:left="1296" w:hanging="1296"/>
      </w:pPr>
    </w:lvl>
    <w:lvl w:ilvl="7">
      <w:start w:val="1"/>
      <w:numFmt w:val="decimal"/>
      <w:pStyle w:val="8"/>
      <w:lvlText w:val="%1.%2.%3.%4.%5.%6.%7.%8"/>
      <w:lvlJc w:val="left"/>
      <w:pPr>
        <w:tabs>
          <w:tab w:val="num" w:pos="0"/>
        </w:tabs>
        <w:ind w:left="1440" w:hanging="1440"/>
      </w:pPr>
    </w:lvl>
    <w:lvl w:ilvl="8">
      <w:start w:val="1"/>
      <w:numFmt w:val="decimal"/>
      <w:pStyle w:val="9"/>
      <w:lvlText w:val="%1.%2.%3.%4.%5.%6.%7.%8.%9"/>
      <w:lvlJc w:val="left"/>
      <w:pPr>
        <w:tabs>
          <w:tab w:val="num" w:pos="0"/>
        </w:tabs>
        <w:ind w:left="1584" w:hanging="1584"/>
      </w:p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ind w:left="360" w:hanging="360"/>
      <w:jc w:val="both"/>
    </w:pPr>
    <w:rPr>
      <w:rFonts w:ascii="Times New Roman" w:eastAsia="Calibri" w:cs="Arial" w:hAnsi="Times New Roman"/>
      <w:sz w:val="24"/>
      <w:szCs w:val="22"/>
      <w:lang w:val="en-US" w:eastAsia="en-US" w:bidi="ar-SA"/>
    </w:rPr>
  </w:style>
  <w:style w:type="paragraph" w:styleId="1">
    <w:name w:val="heading 1"/>
    <w:basedOn w:val="0"/>
    <w:next w:val="0"/>
    <w:pPr>
      <w:keepNext/>
      <w:keepLines/>
      <w:numPr>
        <w:ilvl w:val="0"/>
        <w:numId w:val="1"/>
      </w:numPr>
      <w:spacing w:before="240"/>
      <w:outlineLvl w:val="0"/>
    </w:pPr>
    <w:rPr>
      <w:rFonts w:eastAsia="等线 Light" w:cs="Times New Roman"/>
      <w:b/>
      <w:szCs w:val="32"/>
    </w:rPr>
  </w:style>
  <w:style w:type="paragraph" w:styleId="2">
    <w:name w:val="heading 2"/>
    <w:basedOn w:val="0"/>
    <w:next w:val="0"/>
    <w:pPr>
      <w:keepNext/>
      <w:keepLines/>
      <w:numPr>
        <w:ilvl w:val="1"/>
        <w:numId w:val="1"/>
      </w:numPr>
      <w:spacing w:before="40"/>
      <w:outlineLvl w:val="1"/>
    </w:pPr>
    <w:rPr>
      <w:rFonts w:eastAsia="等线 Light" w:cs="Times New Roman"/>
      <w:b/>
      <w:szCs w:val="26"/>
    </w:rPr>
  </w:style>
  <w:style w:type="paragraph" w:styleId="3">
    <w:name w:val="heading 3"/>
    <w:basedOn w:val="0"/>
    <w:next w:val="0"/>
    <w:pPr>
      <w:keepNext/>
      <w:keepLines/>
      <w:numPr>
        <w:ilvl w:val="2"/>
        <w:numId w:val="1"/>
      </w:numPr>
      <w:spacing w:before="40" w:line="480" w:lineRule="auto"/>
      <w:outlineLvl w:val="2"/>
    </w:pPr>
    <w:rPr>
      <w:rFonts w:eastAsia="等线 Light" w:cs="Times New Roman"/>
      <w:b/>
      <w:szCs w:val="24"/>
    </w:rPr>
  </w:style>
  <w:style w:type="paragraph" w:styleId="4">
    <w:name w:val="heading 4"/>
    <w:basedOn w:val="0"/>
    <w:next w:val="0"/>
    <w:pPr>
      <w:keepNext/>
      <w:keepLines/>
      <w:numPr>
        <w:ilvl w:val="3"/>
        <w:numId w:val="1"/>
      </w:numPr>
      <w:spacing w:before="40"/>
      <w:outlineLvl w:val="3"/>
    </w:pPr>
    <w:rPr>
      <w:rFonts w:ascii="Calibri Light" w:eastAsia="等线 Light" w:cs="Times New Roman" w:hAnsi="Calibri Light"/>
      <w:i/>
      <w:iCs/>
      <w:color w:val="2F5496"/>
    </w:rPr>
  </w:style>
  <w:style w:type="paragraph" w:styleId="5">
    <w:name w:val="heading 5"/>
    <w:basedOn w:val="0"/>
    <w:next w:val="0"/>
    <w:pPr>
      <w:keepNext/>
      <w:keepLines/>
      <w:numPr>
        <w:ilvl w:val="4"/>
        <w:numId w:val="1"/>
      </w:numPr>
      <w:spacing w:before="40"/>
      <w:outlineLvl w:val="4"/>
    </w:pPr>
    <w:rPr>
      <w:rFonts w:ascii="Calibri Light" w:eastAsia="等线 Light" w:cs="Times New Roman" w:hAnsi="Calibri Light"/>
      <w:color w:val="2F5496"/>
    </w:rPr>
  </w:style>
  <w:style w:type="paragraph" w:styleId="6">
    <w:name w:val="heading 6"/>
    <w:basedOn w:val="0"/>
    <w:next w:val="0"/>
    <w:pPr>
      <w:keepNext/>
      <w:keepLines/>
      <w:numPr>
        <w:ilvl w:val="5"/>
        <w:numId w:val="1"/>
      </w:numPr>
      <w:spacing w:before="40"/>
      <w:outlineLvl w:val="5"/>
    </w:pPr>
    <w:rPr>
      <w:rFonts w:ascii="Calibri Light" w:eastAsia="等线 Light" w:cs="Times New Roman" w:hAnsi="Calibri Light"/>
      <w:color w:val="1F3763"/>
    </w:rPr>
  </w:style>
  <w:style w:type="paragraph" w:styleId="7">
    <w:name w:val="heading 7"/>
    <w:basedOn w:val="0"/>
    <w:next w:val="0"/>
    <w:pPr>
      <w:keepNext/>
      <w:keepLines/>
      <w:numPr>
        <w:ilvl w:val="6"/>
        <w:numId w:val="1"/>
      </w:numPr>
      <w:spacing w:before="40"/>
      <w:outlineLvl w:val="6"/>
    </w:pPr>
    <w:rPr>
      <w:rFonts w:ascii="Calibri Light" w:eastAsia="等线 Light" w:cs="Times New Roman" w:hAnsi="Calibri Light"/>
      <w:i/>
      <w:iCs/>
      <w:color w:val="1F3763"/>
    </w:rPr>
  </w:style>
  <w:style w:type="paragraph" w:styleId="8">
    <w:name w:val="heading 8"/>
    <w:basedOn w:val="0"/>
    <w:next w:val="0"/>
    <w:pPr>
      <w:keepNext/>
      <w:keepLines/>
      <w:numPr>
        <w:ilvl w:val="7"/>
        <w:numId w:val="1"/>
      </w:numPr>
      <w:spacing w:before="40"/>
      <w:outlineLvl w:val="7"/>
    </w:pPr>
    <w:rPr>
      <w:rFonts w:ascii="Calibri Light" w:eastAsia="等线 Light" w:cs="Times New Roman" w:hAnsi="Calibri Light"/>
      <w:color w:val="272727"/>
      <w:sz w:val="21"/>
      <w:szCs w:val="21"/>
    </w:rPr>
  </w:style>
  <w:style w:type="paragraph" w:styleId="9">
    <w:name w:val="heading 9"/>
    <w:basedOn w:val="0"/>
    <w:next w:val="0"/>
    <w:pPr>
      <w:keepNext/>
      <w:keepLines/>
      <w:numPr>
        <w:ilvl w:val="8"/>
        <w:numId w:val="1"/>
      </w:numPr>
      <w:spacing w:before="40"/>
      <w:outlineLvl w:val="8"/>
    </w:pPr>
    <w:rPr>
      <w:rFonts w:ascii="Calibri Light" w:eastAsia="等线 Light" w:cs="Times New Roman" w:hAnsi="Calibri Light"/>
      <w:i/>
      <w:iCs/>
      <w:color w:val="272727"/>
      <w:sz w:val="21"/>
      <w:szCs w:val="21"/>
    </w:rPr>
  </w:style>
  <w:style w:type="character" w:default="1" w:styleId="10">
    <w:name w:val="Default Paragraph Font"/>
  </w:style>
  <w:style w:type="paragraph" w:customStyle="1" w:styleId="15">
    <w:name w:val="No Spacing"/>
    <w:pPr>
      <w:spacing w:line="240" w:lineRule="auto"/>
      <w:ind w:left="360" w:hanging="360"/>
      <w:jc w:val="both"/>
    </w:pPr>
    <w:rPr>
      <w:rFonts w:ascii="Times New Roman" w:eastAsia="Calibri" w:cs="Arial" w:hAnsi="Times New Roman"/>
      <w:sz w:val="24"/>
      <w:szCs w:val="22"/>
      <w:lang w:val="en-US" w:eastAsia="en-US" w:bidi="ar-SA"/>
    </w:rPr>
  </w:style>
  <w:style w:type="paragraph" w:styleId="16">
    <w:name w:val="Normal (Web)"/>
    <w:basedOn w:val="0"/>
    <w:pPr>
      <w:spacing w:before="100" w:beforeAutospacing="1" w:after="100" w:afterAutospacing="1" w:line="240" w:lineRule="auto"/>
      <w:ind w:left="0" w:firstLine="0"/>
      <w:jc w:val="left"/>
    </w:pPr>
    <w:rPr>
      <w:rFonts w:eastAsia="Times New Roman" w:cs="Times New Roman"/>
      <w:szCs w:val="24"/>
    </w:rPr>
  </w:style>
  <w:style w:type="paragraph" w:styleId="17">
    <w:name w:val="caption"/>
    <w:basedOn w:val="0"/>
    <w:next w:val="0"/>
    <w:pPr>
      <w:spacing w:after="200" w:line="240" w:lineRule="auto"/>
    </w:pPr>
    <w:rPr>
      <w:i/>
      <w:iCs/>
      <w:color w:val="44546A"/>
      <w:sz w:val="18"/>
      <w:szCs w:val="18"/>
    </w:rPr>
  </w:style>
  <w:style w:type="character" w:styleId="18">
    <w:name w:val="annotation reference"/>
    <w:basedOn w:val="10"/>
    <w:rPr>
      <w:sz w:val="16"/>
      <w:szCs w:val="16"/>
    </w:rPr>
  </w:style>
  <w:style w:type="paragraph" w:styleId="19">
    <w:name w:val="annotation text"/>
    <w:basedOn w:val="0"/>
    <w:pPr>
      <w:spacing w:line="240" w:lineRule="auto"/>
    </w:pPr>
    <w:rPr>
      <w:sz w:val="20"/>
      <w:szCs w:val="20"/>
    </w:rPr>
  </w:style>
  <w:style w:type="paragraph" w:styleId="20">
    <w:name w:val="annotation subject"/>
    <w:basedOn w:val="19"/>
    <w:next w:val="19"/>
    <w:rPr>
      <w:b/>
      <w:bCs/>
    </w:rPr>
  </w:style>
  <w:style w:type="paragraph" w:styleId="21">
    <w:name w:val="Balloon Text"/>
    <w:basedOn w:val="0"/>
    <w:pPr>
      <w:spacing w:line="240" w:lineRule="auto"/>
    </w:pPr>
    <w:rPr>
      <w:rFonts w:ascii="Segoe UI" w:cs="Segoe UI" w:hAnsi="Segoe UI"/>
      <w:sz w:val="18"/>
      <w:szCs w:val="18"/>
    </w:rPr>
  </w:style>
  <w:style w:type="paragraph" w:customStyle="1" w:styleId="22">
    <w:name w:val="TOC Heading"/>
    <w:basedOn w:val="1"/>
    <w:next w:val="0"/>
    <w:pPr>
      <w:numPr>
        <w:ilvl w:val="0"/>
        <w:numId w:val="0"/>
      </w:numPr>
      <w:spacing w:line="259" w:lineRule="auto"/>
      <w:jc w:val="left"/>
      <w:outlineLvl w:val="9"/>
    </w:pPr>
    <w:rPr>
      <w:rFonts w:ascii="Calibri Light" w:hAnsi="Calibri Light"/>
      <w:b w:val="0"/>
      <w:color w:val="2F5496"/>
      <w:sz w:val="32"/>
    </w:rPr>
  </w:style>
  <w:style w:type="paragraph" w:styleId="23">
    <w:name w:val="toc 1"/>
    <w:basedOn w:val="0"/>
    <w:autoRedefine/>
    <w:next w:val="0"/>
    <w:pPr>
      <w:spacing w:after="100"/>
      <w:ind w:left="0"/>
    </w:pPr>
  </w:style>
  <w:style w:type="paragraph" w:styleId="24">
    <w:name w:val="toc 2"/>
    <w:basedOn w:val="0"/>
    <w:autoRedefine/>
    <w:next w:val="0"/>
    <w:pPr>
      <w:spacing w:after="100"/>
      <w:ind w:left="240"/>
    </w:pPr>
  </w:style>
  <w:style w:type="character" w:styleId="25">
    <w:name w:val="Hyperlink"/>
    <w:basedOn w:val="10"/>
    <w:rPr>
      <w:color w:val="0563C1"/>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image" Target="media/5.png"/><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6</TotalTime>
  <Application>Office</Application>
  <Pages>10</Pages>
  <Words>1811</Words>
  <Characters>10073</Characters>
  <Lines>202</Lines>
  <Paragraphs>69</Paragraphs>
  <CharactersWithSpaces>11819</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0</cp:revision>
  <dcterms:modified xsi:type="dcterms:W3CDTF">2025-06-16T09:02:40Z</dcterms:modified>
</cp:coreProperties>
</file>