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0A3A4" w14:textId="78C252AA" w:rsidR="003F5EE7" w:rsidRPr="005351EE" w:rsidRDefault="003F5EE7" w:rsidP="003F5EE7">
      <w:pPr>
        <w:spacing w:line="360" w:lineRule="auto"/>
        <w:rPr>
          <w:rFonts w:ascii="Arial" w:hAnsi="Arial" w:cs="Arial"/>
          <w:sz w:val="24"/>
          <w:szCs w:val="24"/>
          <w:lang w:val="en-US"/>
        </w:rPr>
      </w:pPr>
      <w:r w:rsidRPr="005351EE">
        <w:rPr>
          <w:rFonts w:ascii="Arial" w:hAnsi="Arial" w:cs="Arial"/>
          <w:sz w:val="24"/>
          <w:szCs w:val="24"/>
          <w:lang w:val="en-US"/>
        </w:rPr>
        <w:t xml:space="preserve">This case study will look at Amira’s story. Amira is an 8-year-old girl who has been living through a lot of trauma. Through reading the case study, neglect appears to biggest ACE, which we will be discussed in this paper. However, it is clear there are other areas of concern such as erratic school attendance, however when she is in school, she has become withdrawn and is reluctant to play with her peers. It appears that Amira is potentially being neglected as she has disclosed that she is left alone for long periods of time and often goes without food. The house Amira was living in appears to be in disrepair, with no mattress to sleep on and the house being filthy. Mum appears to have a drinking problem and admitted to drinking more than a bottle of vodka a day. </w:t>
      </w:r>
    </w:p>
    <w:p w14:paraId="3172B2CE" w14:textId="77777777" w:rsidR="003F5EE7" w:rsidRDefault="003F5EE7" w:rsidP="003F5EE7">
      <w:pPr>
        <w:spacing w:line="360" w:lineRule="auto"/>
        <w:rPr>
          <w:rFonts w:ascii="Arial" w:hAnsi="Arial" w:cs="Arial"/>
          <w:sz w:val="24"/>
          <w:szCs w:val="24"/>
          <w:lang w:val="en-US"/>
        </w:rPr>
      </w:pPr>
      <w:r w:rsidRPr="005351EE">
        <w:rPr>
          <w:rFonts w:ascii="Arial" w:hAnsi="Arial" w:cs="Arial"/>
          <w:sz w:val="24"/>
          <w:szCs w:val="24"/>
          <w:lang w:val="en-US"/>
        </w:rPr>
        <w:t>It is extremely likely that Amira has been living in poverty, which has led to Amira being neglected. The conventional representation of poverty is that it is characterized by a lack of resources. However, in recent years this has been challenged. As Poverty has increased it is understood to be characterized as a complex, multi-dimensional set of issues (Spicker, 2020).</w:t>
      </w:r>
    </w:p>
    <w:p w14:paraId="3CCEF94C" w14:textId="77777777" w:rsidR="00676E8D" w:rsidRDefault="00676E8D" w:rsidP="00676E8D">
      <w:pPr>
        <w:spacing w:line="360" w:lineRule="auto"/>
        <w:rPr>
          <w:rFonts w:ascii="Arial" w:hAnsi="Arial" w:cs="Arial"/>
          <w:sz w:val="24"/>
          <w:szCs w:val="24"/>
          <w:lang w:val="en-US"/>
        </w:rPr>
      </w:pPr>
      <w:r w:rsidRPr="005351EE">
        <w:rPr>
          <w:rFonts w:ascii="Arial" w:hAnsi="Arial" w:cs="Arial"/>
          <w:sz w:val="24"/>
          <w:szCs w:val="24"/>
          <w:lang w:val="en-US"/>
        </w:rPr>
        <w:t xml:space="preserve">There are many challenges in identifying thresholds between poor parenting and maltreatment, especially neglect. This is apparent in Amira’s case as it is difficult to disentangle poverty and parental negligence. </w:t>
      </w:r>
    </w:p>
    <w:p w14:paraId="1AD03E0B" w14:textId="59CBF960" w:rsidR="001A1666" w:rsidRDefault="001A1666" w:rsidP="001A1666">
      <w:pPr>
        <w:spacing w:line="360" w:lineRule="auto"/>
        <w:rPr>
          <w:rFonts w:ascii="Arial" w:hAnsi="Arial" w:cs="Arial"/>
          <w:sz w:val="24"/>
          <w:szCs w:val="24"/>
          <w:lang w:val="en-US"/>
        </w:rPr>
      </w:pPr>
      <w:r w:rsidRPr="005351EE">
        <w:rPr>
          <w:rFonts w:ascii="Arial" w:hAnsi="Arial" w:cs="Arial"/>
          <w:sz w:val="24"/>
          <w:szCs w:val="24"/>
          <w:lang w:val="en-US"/>
        </w:rPr>
        <w:t>Research</w:t>
      </w:r>
      <w:r w:rsidR="00E47EB2">
        <w:rPr>
          <w:rFonts w:ascii="Arial" w:hAnsi="Arial" w:cs="Arial"/>
          <w:sz w:val="24"/>
          <w:szCs w:val="24"/>
          <w:lang w:val="en-US"/>
        </w:rPr>
        <w:t xml:space="preserve"> </w:t>
      </w:r>
      <w:r w:rsidRPr="005351EE">
        <w:rPr>
          <w:rFonts w:ascii="Arial" w:hAnsi="Arial" w:cs="Arial"/>
          <w:sz w:val="24"/>
          <w:szCs w:val="24"/>
          <w:lang w:val="en-US"/>
        </w:rPr>
        <w:t xml:space="preserve">has found that adverse childhood experiences (ACEs), </w:t>
      </w:r>
      <w:r w:rsidR="00E47EB2">
        <w:rPr>
          <w:rFonts w:ascii="Arial" w:hAnsi="Arial" w:cs="Arial"/>
          <w:sz w:val="24"/>
          <w:szCs w:val="24"/>
          <w:lang w:val="en-US"/>
        </w:rPr>
        <w:t xml:space="preserve">can significantly impact social and emotional development of children (Blodgett &amp; Lanigan, 2018). </w:t>
      </w:r>
      <w:r w:rsidRPr="005351EE">
        <w:rPr>
          <w:rFonts w:ascii="Arial" w:hAnsi="Arial" w:cs="Arial"/>
          <w:sz w:val="24"/>
          <w:szCs w:val="24"/>
          <w:lang w:val="en-US"/>
        </w:rPr>
        <w:t>Poverty</w:t>
      </w:r>
      <w:r w:rsidR="00E47EB2">
        <w:rPr>
          <w:rFonts w:ascii="Arial" w:hAnsi="Arial" w:cs="Arial"/>
          <w:sz w:val="24"/>
          <w:szCs w:val="24"/>
          <w:lang w:val="en-US"/>
        </w:rPr>
        <w:t xml:space="preserve"> is believed to exacerbate these adverse conditions by heightening family stress and dysfunction, ultimately affecting the child’s health and</w:t>
      </w:r>
      <w:r w:rsidRPr="005351EE">
        <w:rPr>
          <w:rFonts w:ascii="Arial" w:hAnsi="Arial" w:cs="Arial"/>
          <w:sz w:val="24"/>
          <w:szCs w:val="24"/>
          <w:lang w:val="en-US"/>
        </w:rPr>
        <w:t xml:space="preserve"> development (Steele et al., 2016). </w:t>
      </w:r>
      <w:r w:rsidR="00E47EB2">
        <w:rPr>
          <w:rFonts w:ascii="Arial" w:hAnsi="Arial" w:cs="Arial"/>
          <w:sz w:val="24"/>
          <w:szCs w:val="24"/>
          <w:lang w:val="en-US"/>
        </w:rPr>
        <w:t xml:space="preserve">Children living in poverty are more than twice as likely as their peers to be exposed to three or more </w:t>
      </w:r>
      <w:r w:rsidRPr="005351EE">
        <w:rPr>
          <w:rFonts w:ascii="Arial" w:hAnsi="Arial" w:cs="Arial"/>
          <w:sz w:val="24"/>
          <w:szCs w:val="24"/>
          <w:lang w:val="en-US"/>
        </w:rPr>
        <w:t xml:space="preserve">adverse childhood experiences (Child Trends, 2013). </w:t>
      </w:r>
      <w:r w:rsidR="00E47EB2">
        <w:rPr>
          <w:rFonts w:ascii="Arial" w:hAnsi="Arial" w:cs="Arial"/>
          <w:sz w:val="24"/>
          <w:szCs w:val="24"/>
          <w:lang w:val="en-US"/>
        </w:rPr>
        <w:t xml:space="preserve">This exposure increases the risk of behaviour problems by up to five times </w:t>
      </w:r>
      <w:r w:rsidRPr="005351EE">
        <w:rPr>
          <w:rFonts w:ascii="Arial" w:hAnsi="Arial" w:cs="Arial"/>
          <w:sz w:val="24"/>
          <w:szCs w:val="24"/>
          <w:lang w:val="en-US"/>
        </w:rPr>
        <w:t xml:space="preserve">(Clarkson Freeman, 2014). </w:t>
      </w:r>
    </w:p>
    <w:p w14:paraId="41E8DA60" w14:textId="77777777" w:rsidR="001A1666" w:rsidRDefault="001A1666" w:rsidP="001A1666">
      <w:pPr>
        <w:spacing w:line="360" w:lineRule="auto"/>
        <w:rPr>
          <w:rFonts w:ascii="Arial" w:hAnsi="Arial" w:cs="Arial"/>
          <w:sz w:val="24"/>
          <w:szCs w:val="24"/>
        </w:rPr>
      </w:pPr>
      <w:r w:rsidRPr="005351EE">
        <w:rPr>
          <w:rFonts w:ascii="Arial" w:hAnsi="Arial" w:cs="Arial"/>
          <w:sz w:val="24"/>
          <w:szCs w:val="24"/>
        </w:rPr>
        <w:t xml:space="preserve">CDC, (2022), claim that a child living in poverty will experience more abuse and neglect. Living in poverty can place extra stress on families, which is likely to increase the risk for the child experiencing abuse and neglect. </w:t>
      </w:r>
    </w:p>
    <w:p w14:paraId="26B8B66E" w14:textId="5955D083" w:rsidR="008B6DCF" w:rsidRPr="008B6DCF" w:rsidRDefault="008B6DCF" w:rsidP="001A1666">
      <w:pPr>
        <w:spacing w:line="360" w:lineRule="auto"/>
        <w:rPr>
          <w:rFonts w:ascii="Arial" w:hAnsi="Arial" w:cs="Arial"/>
          <w:sz w:val="24"/>
          <w:szCs w:val="24"/>
          <w:lang w:val="en-US"/>
        </w:rPr>
      </w:pPr>
      <w:r>
        <w:rPr>
          <w:rFonts w:ascii="Arial" w:hAnsi="Arial" w:cs="Arial"/>
          <w:sz w:val="24"/>
          <w:szCs w:val="24"/>
          <w:lang w:val="en-US"/>
        </w:rPr>
        <w:t xml:space="preserve">As well as potentially living in poverty, Amira has been living with her mum who has admitted to drinking a bottle of vodka a day, research has shown children are again more at risk of abuse when a parent abuses alcohol (Widom &amp; Hiller-Sturmhofel, </w:t>
      </w:r>
      <w:r>
        <w:rPr>
          <w:rFonts w:ascii="Arial" w:hAnsi="Arial" w:cs="Arial"/>
          <w:sz w:val="24"/>
          <w:szCs w:val="24"/>
          <w:lang w:val="en-US"/>
        </w:rPr>
        <w:lastRenderedPageBreak/>
        <w:t>2001). When a child’s mother has an alcohol use disorder, they may struggle to learn coping skills which result in the child internalizing their problems, this can mean the child may become withdrawn, depressed, and anxious. By keeping their problems in this is affecting the child’s internal world and experiences. On the other hand, a child may externalize their problems and act out, which may mean they develop a conduct disorder, blaming others, and acting aggressively. It can also manifest in delinquency, anger, aggression, and legal troubles (Keller et al., 2008; Liu, 2004).</w:t>
      </w:r>
    </w:p>
    <w:p w14:paraId="257D2090" w14:textId="5CC5F49F" w:rsidR="001A1666" w:rsidRPr="001A1666" w:rsidRDefault="001A1666" w:rsidP="001A1666">
      <w:pPr>
        <w:spacing w:line="360" w:lineRule="auto"/>
        <w:rPr>
          <w:rFonts w:ascii="Arial" w:hAnsi="Arial" w:cs="Arial"/>
          <w:sz w:val="24"/>
          <w:szCs w:val="24"/>
        </w:rPr>
      </w:pPr>
      <w:r w:rsidRPr="001A1666">
        <w:rPr>
          <w:rFonts w:ascii="Arial" w:hAnsi="Arial" w:cs="Arial"/>
          <w:sz w:val="24"/>
          <w:szCs w:val="24"/>
        </w:rPr>
        <w:t xml:space="preserve">It is clear to see what Amira has been living through is neglect. </w:t>
      </w:r>
      <w:r w:rsidR="00572AA6">
        <w:rPr>
          <w:rFonts w:ascii="Arial" w:hAnsi="Arial" w:cs="Arial"/>
          <w:sz w:val="24"/>
          <w:szCs w:val="24"/>
        </w:rPr>
        <w:t>Child neglect stands apart from other types of abuse due to its focus on the failure to meet a child’s fundamental needs. These continuous omissions when repeated over time can result in severe health issues and tragically even the loss of a child’s life</w:t>
      </w:r>
      <w:r w:rsidRPr="001A1666">
        <w:rPr>
          <w:rFonts w:ascii="Arial" w:hAnsi="Arial" w:cs="Arial"/>
          <w:sz w:val="24"/>
          <w:szCs w:val="24"/>
        </w:rPr>
        <w:t xml:space="preserve"> (Avdibegovi &amp; Brki, 2020). Child neglect can </w:t>
      </w:r>
      <w:r w:rsidR="00572AA6">
        <w:rPr>
          <w:rFonts w:ascii="Arial" w:hAnsi="Arial" w:cs="Arial"/>
          <w:sz w:val="24"/>
          <w:szCs w:val="24"/>
        </w:rPr>
        <w:t>occur due to various factors</w:t>
      </w:r>
      <w:r w:rsidRPr="001A1666">
        <w:rPr>
          <w:rFonts w:ascii="Arial" w:hAnsi="Arial" w:cs="Arial"/>
          <w:sz w:val="24"/>
          <w:szCs w:val="24"/>
        </w:rPr>
        <w:t xml:space="preserve"> and there is no </w:t>
      </w:r>
      <w:r w:rsidR="00572AA6">
        <w:rPr>
          <w:rFonts w:ascii="Arial" w:hAnsi="Arial" w:cs="Arial"/>
          <w:sz w:val="24"/>
          <w:szCs w:val="24"/>
        </w:rPr>
        <w:t>single</w:t>
      </w:r>
      <w:r w:rsidRPr="001A1666">
        <w:rPr>
          <w:rFonts w:ascii="Arial" w:hAnsi="Arial" w:cs="Arial"/>
          <w:sz w:val="24"/>
          <w:szCs w:val="24"/>
        </w:rPr>
        <w:t xml:space="preserve"> model </w:t>
      </w:r>
      <w:r w:rsidR="00572AA6">
        <w:rPr>
          <w:rFonts w:ascii="Arial" w:hAnsi="Arial" w:cs="Arial"/>
          <w:sz w:val="24"/>
          <w:szCs w:val="24"/>
        </w:rPr>
        <w:t>which will fully</w:t>
      </w:r>
      <w:r w:rsidRPr="001A1666">
        <w:rPr>
          <w:rFonts w:ascii="Arial" w:hAnsi="Arial" w:cs="Arial"/>
          <w:sz w:val="24"/>
          <w:szCs w:val="24"/>
        </w:rPr>
        <w:t xml:space="preserve"> explain this. Blumenthal (2015), states there are three different models, a model of parental deficit, an environmental deficit model and an ecological -transactional model. The parental deficit model states that the parents are responsible for ensuring child welfare and that the cause of the neglect is due to inadequate parenting (Cameron et al., 2007). In this model there are parental characteristics which are the major causal factors for the child neglect, these characteristics include, psychopathology, cognitive </w:t>
      </w:r>
      <w:r w:rsidR="00A24DB5" w:rsidRPr="001A1666">
        <w:rPr>
          <w:rFonts w:ascii="Arial" w:hAnsi="Arial" w:cs="Arial"/>
          <w:sz w:val="24"/>
          <w:szCs w:val="24"/>
        </w:rPr>
        <w:t>distortions,</w:t>
      </w:r>
      <w:r w:rsidRPr="001A1666">
        <w:rPr>
          <w:rFonts w:ascii="Arial" w:hAnsi="Arial" w:cs="Arial"/>
          <w:sz w:val="24"/>
          <w:szCs w:val="24"/>
        </w:rPr>
        <w:t xml:space="preserve"> or experienced inappropriate care. However</w:t>
      </w:r>
      <w:r w:rsidR="00A24DB5">
        <w:rPr>
          <w:rFonts w:ascii="Arial" w:hAnsi="Arial" w:cs="Arial"/>
          <w:sz w:val="24"/>
          <w:szCs w:val="24"/>
        </w:rPr>
        <w:t>,</w:t>
      </w:r>
      <w:r w:rsidRPr="001A1666">
        <w:rPr>
          <w:rFonts w:ascii="Arial" w:hAnsi="Arial" w:cs="Arial"/>
          <w:sz w:val="24"/>
          <w:szCs w:val="24"/>
        </w:rPr>
        <w:t xml:space="preserve"> this model does not take into consideration the social and economical circumstances which can impact the way a person parents (Smith et al., 2009). Where the environmental deficit model states that child neglect is from material deprivation. It emerges from sociological theories where causes and effects if intergenerational poverty is explained. The model explains that poverty can cause stress, and parents are unable to </w:t>
      </w:r>
      <w:r w:rsidR="00A24DB5" w:rsidRPr="001A1666">
        <w:rPr>
          <w:rFonts w:ascii="Arial" w:hAnsi="Arial" w:cs="Arial"/>
          <w:sz w:val="24"/>
          <w:szCs w:val="24"/>
        </w:rPr>
        <w:t>satisfy the needs of the child materially or emotionally</w:t>
      </w:r>
      <w:r w:rsidRPr="001A1666">
        <w:rPr>
          <w:rFonts w:ascii="Arial" w:hAnsi="Arial" w:cs="Arial"/>
          <w:sz w:val="24"/>
          <w:szCs w:val="24"/>
        </w:rPr>
        <w:t xml:space="preserve">. Whereas the ecological-transactional model, </w:t>
      </w:r>
      <w:r w:rsidR="00572AA6">
        <w:rPr>
          <w:rFonts w:ascii="Arial" w:hAnsi="Arial" w:cs="Arial"/>
          <w:sz w:val="24"/>
          <w:szCs w:val="24"/>
        </w:rPr>
        <w:t xml:space="preserve">suggests that neglect can arise from the interplay between family characteristics and environmental factors. </w:t>
      </w:r>
      <w:r w:rsidRPr="001A1666">
        <w:rPr>
          <w:rFonts w:ascii="Arial" w:hAnsi="Arial" w:cs="Arial"/>
          <w:sz w:val="24"/>
          <w:szCs w:val="24"/>
        </w:rPr>
        <w:t xml:space="preserve">This model focuses not only on the level of stress but </w:t>
      </w:r>
      <w:r w:rsidR="00572AA6">
        <w:rPr>
          <w:rFonts w:ascii="Arial" w:hAnsi="Arial" w:cs="Arial"/>
          <w:sz w:val="24"/>
          <w:szCs w:val="24"/>
        </w:rPr>
        <w:t xml:space="preserve">how the person’s coping mechanism responds to </w:t>
      </w:r>
      <w:r w:rsidRPr="001A1666">
        <w:rPr>
          <w:rFonts w:ascii="Arial" w:hAnsi="Arial" w:cs="Arial"/>
          <w:sz w:val="24"/>
          <w:szCs w:val="24"/>
        </w:rPr>
        <w:t>the stre</w:t>
      </w:r>
      <w:r w:rsidR="00572AA6">
        <w:rPr>
          <w:rFonts w:ascii="Arial" w:hAnsi="Arial" w:cs="Arial"/>
          <w:sz w:val="24"/>
          <w:szCs w:val="24"/>
        </w:rPr>
        <w:t xml:space="preserve">ss. </w:t>
      </w:r>
      <w:r w:rsidRPr="001A1666">
        <w:rPr>
          <w:rFonts w:ascii="Arial" w:hAnsi="Arial" w:cs="Arial"/>
          <w:sz w:val="24"/>
          <w:szCs w:val="24"/>
        </w:rPr>
        <w:t xml:space="preserve">When stress in the family exceeds the coping mechanisms this is when neglect may occur (Daniel et al., 2011). </w:t>
      </w:r>
    </w:p>
    <w:p w14:paraId="61101ADE" w14:textId="11295D3C" w:rsidR="001A1666" w:rsidRPr="001A1666" w:rsidRDefault="001A1666" w:rsidP="001A1666">
      <w:pPr>
        <w:spacing w:line="360" w:lineRule="auto"/>
        <w:rPr>
          <w:rFonts w:ascii="Arial" w:hAnsi="Arial" w:cs="Arial"/>
          <w:sz w:val="24"/>
          <w:szCs w:val="24"/>
        </w:rPr>
      </w:pPr>
      <w:r w:rsidRPr="001A1666">
        <w:rPr>
          <w:rFonts w:ascii="Arial" w:hAnsi="Arial" w:cs="Arial"/>
          <w:sz w:val="24"/>
          <w:szCs w:val="24"/>
        </w:rPr>
        <w:t xml:space="preserve">Neglect is one of the biggest threats to the development and welfare of children (Avdibegovi &amp; Brki, 2020), there is limited research on the direct consequences of neglect (Watson, 2005). Despite the limited research the results of </w:t>
      </w:r>
      <w:r w:rsidR="000A2E83">
        <w:rPr>
          <w:rFonts w:ascii="Arial" w:hAnsi="Arial" w:cs="Arial"/>
          <w:sz w:val="24"/>
          <w:szCs w:val="24"/>
        </w:rPr>
        <w:t>the r</w:t>
      </w:r>
      <w:r w:rsidRPr="001A1666">
        <w:rPr>
          <w:rFonts w:ascii="Arial" w:hAnsi="Arial" w:cs="Arial"/>
          <w:sz w:val="24"/>
          <w:szCs w:val="24"/>
        </w:rPr>
        <w:t>esearch</w:t>
      </w:r>
      <w:r w:rsidR="000A2E83">
        <w:rPr>
          <w:rFonts w:ascii="Arial" w:hAnsi="Arial" w:cs="Arial"/>
          <w:sz w:val="24"/>
          <w:szCs w:val="24"/>
        </w:rPr>
        <w:t xml:space="preserve"> </w:t>
      </w:r>
      <w:r w:rsidR="000A2E83">
        <w:rPr>
          <w:rFonts w:ascii="Arial" w:hAnsi="Arial" w:cs="Arial"/>
          <w:sz w:val="24"/>
          <w:szCs w:val="24"/>
        </w:rPr>
        <w:lastRenderedPageBreak/>
        <w:t>which is out there</w:t>
      </w:r>
      <w:r w:rsidRPr="001A1666">
        <w:rPr>
          <w:rFonts w:ascii="Arial" w:hAnsi="Arial" w:cs="Arial"/>
          <w:sz w:val="24"/>
          <w:szCs w:val="24"/>
        </w:rPr>
        <w:t xml:space="preserve"> show</w:t>
      </w:r>
      <w:r w:rsidR="000A2E83">
        <w:rPr>
          <w:rFonts w:ascii="Arial" w:hAnsi="Arial" w:cs="Arial"/>
          <w:sz w:val="24"/>
          <w:szCs w:val="24"/>
        </w:rPr>
        <w:t>s</w:t>
      </w:r>
      <w:r w:rsidRPr="001A1666">
        <w:rPr>
          <w:rFonts w:ascii="Arial" w:hAnsi="Arial" w:cs="Arial"/>
          <w:sz w:val="24"/>
          <w:szCs w:val="24"/>
        </w:rPr>
        <w:t xml:space="preserve"> that there are multiple consequences of neglect which can be long lasting (Avdibegovi &amp; Brki, 2020). </w:t>
      </w:r>
      <w:r w:rsidR="00572AA6">
        <w:rPr>
          <w:rFonts w:ascii="Arial" w:hAnsi="Arial" w:cs="Arial"/>
          <w:sz w:val="24"/>
          <w:szCs w:val="24"/>
        </w:rPr>
        <w:t>A child’s growth and development are influenced by numerous factors. Key elements that impact the fulfilment of basic needs include, sufficient</w:t>
      </w:r>
      <w:r w:rsidRPr="001A1666">
        <w:rPr>
          <w:rFonts w:ascii="Arial" w:hAnsi="Arial" w:cs="Arial"/>
          <w:sz w:val="24"/>
          <w:szCs w:val="24"/>
        </w:rPr>
        <w:t xml:space="preserve"> nutrition, emotional support, hygiene, health care, mental health </w:t>
      </w:r>
      <w:r w:rsidR="00572AA6">
        <w:rPr>
          <w:rFonts w:ascii="Arial" w:hAnsi="Arial" w:cs="Arial"/>
          <w:sz w:val="24"/>
          <w:szCs w:val="24"/>
        </w:rPr>
        <w:t>support</w:t>
      </w:r>
      <w:r w:rsidRPr="001A1666">
        <w:rPr>
          <w:rFonts w:ascii="Arial" w:hAnsi="Arial" w:cs="Arial"/>
          <w:sz w:val="24"/>
          <w:szCs w:val="24"/>
        </w:rPr>
        <w:t xml:space="preserve">, cognitive stimulation, family </w:t>
      </w:r>
      <w:r w:rsidR="00572AA6">
        <w:rPr>
          <w:rFonts w:ascii="Arial" w:hAnsi="Arial" w:cs="Arial"/>
          <w:sz w:val="24"/>
          <w:szCs w:val="24"/>
        </w:rPr>
        <w:t>dynamics</w:t>
      </w:r>
      <w:r w:rsidRPr="001A1666">
        <w:rPr>
          <w:rFonts w:ascii="Arial" w:hAnsi="Arial" w:cs="Arial"/>
          <w:sz w:val="24"/>
          <w:szCs w:val="24"/>
        </w:rPr>
        <w:t xml:space="preserve">, and safe living conditions. If a child’s needs are not being met, their development is likely to hindered (Perry, 2002). Further development can be interrupted by deprivation related to neglect, this is likely to result in dysregulation of the neural system and lead to neurocognitive deficits (Lee &amp; Hoaken, 2007). </w:t>
      </w:r>
    </w:p>
    <w:p w14:paraId="23DF15F3" w14:textId="66D38201" w:rsidR="001A1666" w:rsidRPr="001A1666" w:rsidRDefault="00E47EB2" w:rsidP="001A1666">
      <w:pPr>
        <w:spacing w:line="360" w:lineRule="auto"/>
        <w:rPr>
          <w:rFonts w:ascii="Arial" w:hAnsi="Arial" w:cs="Arial"/>
          <w:sz w:val="24"/>
          <w:szCs w:val="24"/>
        </w:rPr>
      </w:pPr>
      <w:r>
        <w:rPr>
          <w:rFonts w:ascii="Arial" w:hAnsi="Arial" w:cs="Arial"/>
          <w:sz w:val="24"/>
          <w:szCs w:val="24"/>
        </w:rPr>
        <w:t>Neglected children often exhibit underdeveloped cognitive and emotional brain functions, which can lead to an overdevelopment of the brain areas associated with survival. This imbalance can contribute to increased anxiety, impulsivity, poor emotional regulation, and hyperactivity</w:t>
      </w:r>
      <w:r w:rsidR="001A1666" w:rsidRPr="001A1666">
        <w:rPr>
          <w:rFonts w:ascii="Arial" w:hAnsi="Arial" w:cs="Arial"/>
          <w:sz w:val="24"/>
          <w:szCs w:val="24"/>
        </w:rPr>
        <w:t xml:space="preserve"> (Avdibegovi &amp; Brki, 2020). </w:t>
      </w:r>
      <w:r w:rsidR="00BE60BB">
        <w:rPr>
          <w:rFonts w:ascii="Arial" w:hAnsi="Arial" w:cs="Arial"/>
          <w:sz w:val="24"/>
          <w:szCs w:val="24"/>
        </w:rPr>
        <w:t>Additionally,</w:t>
      </w:r>
      <w:r>
        <w:rPr>
          <w:rFonts w:ascii="Arial" w:hAnsi="Arial" w:cs="Arial"/>
          <w:sz w:val="24"/>
          <w:szCs w:val="24"/>
        </w:rPr>
        <w:t xml:space="preserve"> the underdevelopment of the limbic and cortical functions may impact empathy and cognitive abilities in individuals</w:t>
      </w:r>
      <w:r w:rsidR="001A1666" w:rsidRPr="001A1666">
        <w:rPr>
          <w:rFonts w:ascii="Arial" w:hAnsi="Arial" w:cs="Arial"/>
          <w:sz w:val="24"/>
          <w:szCs w:val="24"/>
        </w:rPr>
        <w:t xml:space="preserve"> (Spratt et al., 2012).</w:t>
      </w:r>
    </w:p>
    <w:p w14:paraId="4EBB3AFE" w14:textId="5844A026" w:rsidR="001A1666" w:rsidRPr="001A1666" w:rsidRDefault="001A1666" w:rsidP="001A1666">
      <w:pPr>
        <w:spacing w:line="360" w:lineRule="auto"/>
        <w:rPr>
          <w:rFonts w:ascii="Arial" w:hAnsi="Arial" w:cs="Arial"/>
          <w:sz w:val="24"/>
          <w:szCs w:val="24"/>
        </w:rPr>
      </w:pPr>
      <w:r w:rsidRPr="001A1666">
        <w:rPr>
          <w:rFonts w:ascii="Arial" w:hAnsi="Arial" w:cs="Arial"/>
          <w:sz w:val="24"/>
          <w:szCs w:val="24"/>
        </w:rPr>
        <w:t>Research has shown that neglected children</w:t>
      </w:r>
      <w:r w:rsidR="00743650">
        <w:rPr>
          <w:rFonts w:ascii="Arial" w:hAnsi="Arial" w:cs="Arial"/>
          <w:sz w:val="24"/>
          <w:szCs w:val="24"/>
        </w:rPr>
        <w:t xml:space="preserve"> often exhibit internalised symptoms more frequently than their peers who have experienced other forms of abuse. The children who have been neglected may display </w:t>
      </w:r>
      <w:r w:rsidRPr="001A1666">
        <w:rPr>
          <w:rFonts w:ascii="Arial" w:hAnsi="Arial" w:cs="Arial"/>
          <w:sz w:val="24"/>
          <w:szCs w:val="24"/>
        </w:rPr>
        <w:t>passive, withdrawn, apathetic</w:t>
      </w:r>
      <w:r w:rsidR="00743650">
        <w:rPr>
          <w:rFonts w:ascii="Arial" w:hAnsi="Arial" w:cs="Arial"/>
          <w:sz w:val="24"/>
          <w:szCs w:val="24"/>
        </w:rPr>
        <w:t xml:space="preserve"> behaviours, and are often </w:t>
      </w:r>
      <w:r w:rsidRPr="001A1666">
        <w:rPr>
          <w:rFonts w:ascii="Arial" w:hAnsi="Arial" w:cs="Arial"/>
          <w:sz w:val="24"/>
          <w:szCs w:val="24"/>
        </w:rPr>
        <w:t xml:space="preserve">less </w:t>
      </w:r>
      <w:r w:rsidR="00743650">
        <w:rPr>
          <w:rFonts w:ascii="Arial" w:hAnsi="Arial" w:cs="Arial"/>
          <w:sz w:val="24"/>
          <w:szCs w:val="24"/>
        </w:rPr>
        <w:t>engaged</w:t>
      </w:r>
      <w:r w:rsidRPr="001A1666">
        <w:rPr>
          <w:rFonts w:ascii="Arial" w:hAnsi="Arial" w:cs="Arial"/>
          <w:sz w:val="24"/>
          <w:szCs w:val="24"/>
        </w:rPr>
        <w:t xml:space="preserve"> in the</w:t>
      </w:r>
      <w:r w:rsidR="00743650">
        <w:rPr>
          <w:rFonts w:ascii="Arial" w:hAnsi="Arial" w:cs="Arial"/>
          <w:sz w:val="24"/>
          <w:szCs w:val="24"/>
        </w:rPr>
        <w:t>ir</w:t>
      </w:r>
      <w:r w:rsidRPr="001A1666">
        <w:rPr>
          <w:rFonts w:ascii="Arial" w:hAnsi="Arial" w:cs="Arial"/>
          <w:sz w:val="24"/>
          <w:szCs w:val="24"/>
        </w:rPr>
        <w:t xml:space="preserve"> social and physical environment, feeling helpless when under stress and showing signs of significant developmental delays (Egeland et al., 2002). </w:t>
      </w:r>
    </w:p>
    <w:p w14:paraId="7FD2EFF8" w14:textId="2E00C341" w:rsidR="001A1666" w:rsidRDefault="001A1666" w:rsidP="001A1666">
      <w:pPr>
        <w:spacing w:line="360" w:lineRule="auto"/>
        <w:rPr>
          <w:rFonts w:ascii="Arial" w:hAnsi="Arial" w:cs="Arial"/>
          <w:sz w:val="24"/>
          <w:szCs w:val="24"/>
        </w:rPr>
      </w:pPr>
      <w:r w:rsidRPr="001A1666">
        <w:rPr>
          <w:rFonts w:ascii="Arial" w:hAnsi="Arial" w:cs="Arial"/>
          <w:sz w:val="24"/>
          <w:szCs w:val="24"/>
        </w:rPr>
        <w:t xml:space="preserve">School-age children who are neglected is accompanied by a </w:t>
      </w:r>
      <w:r w:rsidR="00A24DB5" w:rsidRPr="001A1666">
        <w:rPr>
          <w:rFonts w:ascii="Arial" w:hAnsi="Arial" w:cs="Arial"/>
          <w:sz w:val="24"/>
          <w:szCs w:val="24"/>
        </w:rPr>
        <w:t>continuous</w:t>
      </w:r>
      <w:r w:rsidRPr="001A1666">
        <w:rPr>
          <w:rFonts w:ascii="Arial" w:hAnsi="Arial" w:cs="Arial"/>
          <w:sz w:val="24"/>
          <w:szCs w:val="24"/>
        </w:rPr>
        <w:t xml:space="preserve"> negative perception of themselves and others, they are li</w:t>
      </w:r>
      <w:r w:rsidR="007C314D">
        <w:rPr>
          <w:rFonts w:ascii="Arial" w:hAnsi="Arial" w:cs="Arial"/>
          <w:sz w:val="24"/>
          <w:szCs w:val="24"/>
        </w:rPr>
        <w:t>k</w:t>
      </w:r>
      <w:r w:rsidRPr="001A1666">
        <w:rPr>
          <w:rFonts w:ascii="Arial" w:hAnsi="Arial" w:cs="Arial"/>
          <w:sz w:val="24"/>
          <w:szCs w:val="24"/>
        </w:rPr>
        <w:t xml:space="preserve">ely to have negative interpersonal expectations and find it difficult to resolve interpersonal problems and difficulties in achieving academic success (Shields et al., 2001). Childhood neglect is also associated with developing personality disorders, anxiety, depression, and manifestation of suicidal and </w:t>
      </w:r>
      <w:r w:rsidR="00A24DB5" w:rsidRPr="001A1666">
        <w:rPr>
          <w:rFonts w:ascii="Arial" w:hAnsi="Arial" w:cs="Arial"/>
          <w:sz w:val="24"/>
          <w:szCs w:val="24"/>
        </w:rPr>
        <w:t>self-harming</w:t>
      </w:r>
      <w:r w:rsidRPr="001A1666">
        <w:rPr>
          <w:rFonts w:ascii="Arial" w:hAnsi="Arial" w:cs="Arial"/>
          <w:sz w:val="24"/>
          <w:szCs w:val="24"/>
        </w:rPr>
        <w:t xml:space="preserve"> behaviour (Avdibegovi &amp; Brki, 2020). </w:t>
      </w:r>
    </w:p>
    <w:p w14:paraId="1773212C" w14:textId="0ED2FBC7" w:rsidR="001A1666" w:rsidRPr="005351EE" w:rsidRDefault="00FB27AF" w:rsidP="001A1666">
      <w:pPr>
        <w:spacing w:line="360" w:lineRule="auto"/>
        <w:rPr>
          <w:rFonts w:ascii="Arial" w:hAnsi="Arial" w:cs="Arial"/>
          <w:sz w:val="24"/>
          <w:szCs w:val="24"/>
        </w:rPr>
      </w:pPr>
      <w:r>
        <w:rPr>
          <w:rFonts w:ascii="Arial" w:hAnsi="Arial" w:cs="Arial"/>
          <w:sz w:val="24"/>
          <w:szCs w:val="24"/>
        </w:rPr>
        <w:t>R</w:t>
      </w:r>
      <w:r w:rsidR="001A1666">
        <w:rPr>
          <w:rFonts w:ascii="Arial" w:hAnsi="Arial" w:cs="Arial"/>
          <w:sz w:val="24"/>
          <w:szCs w:val="24"/>
        </w:rPr>
        <w:t>esearch that does look into long term effects from neglect</w:t>
      </w:r>
      <w:r>
        <w:rPr>
          <w:rFonts w:ascii="Arial" w:hAnsi="Arial" w:cs="Arial"/>
          <w:sz w:val="24"/>
          <w:szCs w:val="24"/>
        </w:rPr>
        <w:t xml:space="preserve"> suggests that individuals may struggle with </w:t>
      </w:r>
      <w:r w:rsidR="001A1666">
        <w:rPr>
          <w:rFonts w:ascii="Arial" w:hAnsi="Arial" w:cs="Arial"/>
          <w:sz w:val="24"/>
          <w:szCs w:val="24"/>
        </w:rPr>
        <w:t>poor impulse control, social withdrawal,</w:t>
      </w:r>
      <w:r>
        <w:rPr>
          <w:rFonts w:ascii="Arial" w:hAnsi="Arial" w:cs="Arial"/>
          <w:sz w:val="24"/>
          <w:szCs w:val="24"/>
        </w:rPr>
        <w:t xml:space="preserve"> challenges </w:t>
      </w:r>
      <w:r w:rsidR="001A1666">
        <w:rPr>
          <w:rFonts w:ascii="Arial" w:hAnsi="Arial" w:cs="Arial"/>
          <w:sz w:val="24"/>
          <w:szCs w:val="24"/>
        </w:rPr>
        <w:t xml:space="preserve">coping and regulating emotions, low self-esteem, </w:t>
      </w:r>
      <w:r>
        <w:rPr>
          <w:rFonts w:ascii="Arial" w:hAnsi="Arial" w:cs="Arial"/>
          <w:sz w:val="24"/>
          <w:szCs w:val="24"/>
        </w:rPr>
        <w:t xml:space="preserve">as well as engaging in </w:t>
      </w:r>
      <w:r w:rsidR="001A1666">
        <w:rPr>
          <w:rFonts w:ascii="Arial" w:hAnsi="Arial" w:cs="Arial"/>
          <w:sz w:val="24"/>
          <w:szCs w:val="24"/>
        </w:rPr>
        <w:t>pathological behaviours such as tics, tantrums, stealing and self-punishment</w:t>
      </w:r>
      <w:r>
        <w:rPr>
          <w:rFonts w:ascii="Arial" w:hAnsi="Arial" w:cs="Arial"/>
          <w:sz w:val="24"/>
          <w:szCs w:val="24"/>
        </w:rPr>
        <w:t>. Additionally, these effects can also manifest in low</w:t>
      </w:r>
      <w:r w:rsidR="001A1666">
        <w:rPr>
          <w:rFonts w:ascii="Arial" w:hAnsi="Arial" w:cs="Arial"/>
          <w:sz w:val="24"/>
          <w:szCs w:val="24"/>
        </w:rPr>
        <w:t xml:space="preserve"> academic achievement (Hildyard &amp; Wolfe, 2002). Children who </w:t>
      </w:r>
      <w:r w:rsidR="001A1666">
        <w:rPr>
          <w:rFonts w:ascii="Arial" w:hAnsi="Arial" w:cs="Arial"/>
          <w:sz w:val="24"/>
          <w:szCs w:val="24"/>
        </w:rPr>
        <w:lastRenderedPageBreak/>
        <w:t>are neglected often suffer from injuries and stress which can disrupt early braid development and effect the development of the nervous and immune systems which increase the risk of health threats such as alcoholism, anxiety and depression, P</w:t>
      </w:r>
      <w:r w:rsidR="007C314D">
        <w:rPr>
          <w:rFonts w:ascii="Arial" w:hAnsi="Arial" w:cs="Arial"/>
          <w:sz w:val="24"/>
          <w:szCs w:val="24"/>
        </w:rPr>
        <w:t xml:space="preserve">ost </w:t>
      </w:r>
      <w:r w:rsidR="001A1666">
        <w:rPr>
          <w:rFonts w:ascii="Arial" w:hAnsi="Arial" w:cs="Arial"/>
          <w:sz w:val="24"/>
          <w:szCs w:val="24"/>
        </w:rPr>
        <w:t>T</w:t>
      </w:r>
      <w:r w:rsidR="007C314D">
        <w:rPr>
          <w:rFonts w:ascii="Arial" w:hAnsi="Arial" w:cs="Arial"/>
          <w:sz w:val="24"/>
          <w:szCs w:val="24"/>
        </w:rPr>
        <w:t xml:space="preserve">raumatic </w:t>
      </w:r>
      <w:r w:rsidR="001A1666">
        <w:rPr>
          <w:rFonts w:ascii="Arial" w:hAnsi="Arial" w:cs="Arial"/>
          <w:sz w:val="24"/>
          <w:szCs w:val="24"/>
        </w:rPr>
        <w:t>S</w:t>
      </w:r>
      <w:r w:rsidR="007C314D">
        <w:rPr>
          <w:rFonts w:ascii="Arial" w:hAnsi="Arial" w:cs="Arial"/>
          <w:sz w:val="24"/>
          <w:szCs w:val="24"/>
        </w:rPr>
        <w:t>tress Disorder (PTSD)</w:t>
      </w:r>
      <w:r w:rsidR="001A1666">
        <w:rPr>
          <w:rFonts w:ascii="Arial" w:hAnsi="Arial" w:cs="Arial"/>
          <w:sz w:val="24"/>
          <w:szCs w:val="24"/>
        </w:rPr>
        <w:t xml:space="preserve">, drug abuse, and suicide (Ng et al., 2018). </w:t>
      </w:r>
    </w:p>
    <w:p w14:paraId="58B1E65B" w14:textId="5A4EADAE" w:rsidR="001A1666" w:rsidRDefault="001A1666" w:rsidP="001A1666">
      <w:pPr>
        <w:spacing w:line="360" w:lineRule="auto"/>
        <w:rPr>
          <w:rFonts w:ascii="Arial" w:hAnsi="Arial" w:cs="Arial"/>
          <w:sz w:val="24"/>
          <w:szCs w:val="24"/>
        </w:rPr>
      </w:pPr>
      <w:r>
        <w:rPr>
          <w:rFonts w:ascii="Arial" w:hAnsi="Arial" w:cs="Arial"/>
          <w:sz w:val="24"/>
          <w:szCs w:val="24"/>
        </w:rPr>
        <w:t>C</w:t>
      </w:r>
      <w:r w:rsidRPr="001A1666">
        <w:rPr>
          <w:rFonts w:ascii="Arial" w:hAnsi="Arial" w:cs="Arial"/>
          <w:sz w:val="24"/>
          <w:szCs w:val="24"/>
        </w:rPr>
        <w:t xml:space="preserve">hildren who are neglected are at risk of emotional behavioural and interpersonal difficulties, mental health disorders, learning difficulties and poorer academic achievement, juvenile delinquency (Daniel et al., 2011). When a child who has been neglected reaches adulthood, they are likely to experience mental health problems such as depression, </w:t>
      </w:r>
      <w:r w:rsidR="00A24DB5" w:rsidRPr="001A1666">
        <w:rPr>
          <w:rFonts w:ascii="Arial" w:hAnsi="Arial" w:cs="Arial"/>
          <w:sz w:val="24"/>
          <w:szCs w:val="24"/>
        </w:rPr>
        <w:t>post-traumatic</w:t>
      </w:r>
      <w:r w:rsidRPr="001A1666">
        <w:rPr>
          <w:rFonts w:ascii="Arial" w:hAnsi="Arial" w:cs="Arial"/>
          <w:sz w:val="24"/>
          <w:szCs w:val="24"/>
        </w:rPr>
        <w:t xml:space="preserve"> stress disorder, anxiety, suicide attempts, psychoactive substance abuse and other forms of risky behaviour (Norman et al., 2012). Anda et al (2006) also found long terms effects such as hypertension and chronic pain syndrome. Research suggests that parents of neglected children were often neglected themselves, which suggests intergenerational transmission of parenting style (Colman &amp; Widom, 2004).</w:t>
      </w:r>
    </w:p>
    <w:p w14:paraId="761012CE" w14:textId="29147517" w:rsidR="007C314D" w:rsidRDefault="009E4F0D" w:rsidP="009E4F0D">
      <w:pPr>
        <w:spacing w:line="360" w:lineRule="auto"/>
        <w:rPr>
          <w:rFonts w:ascii="Arial" w:hAnsi="Arial" w:cs="Arial"/>
          <w:sz w:val="24"/>
          <w:szCs w:val="24"/>
        </w:rPr>
      </w:pPr>
      <w:r w:rsidRPr="005351EE">
        <w:rPr>
          <w:rFonts w:ascii="Arial" w:hAnsi="Arial" w:cs="Arial"/>
          <w:sz w:val="24"/>
          <w:szCs w:val="24"/>
        </w:rPr>
        <w:t>Amira has clearly experienced stressful life experiences</w:t>
      </w:r>
      <w:r w:rsidR="007C314D">
        <w:rPr>
          <w:rFonts w:ascii="Arial" w:hAnsi="Arial" w:cs="Arial"/>
          <w:sz w:val="24"/>
          <w:szCs w:val="24"/>
        </w:rPr>
        <w:t>, the risk of her development is huge unless interventions can be put into place. By providing timely support this can increase the protective factors which influence a child’s wellbeing and decrease the risks that may be impacting a child’s life negatively (HM Government, 2023).</w:t>
      </w:r>
    </w:p>
    <w:p w14:paraId="7CA86CAB" w14:textId="37E562E7" w:rsidR="009E4F0D" w:rsidRPr="005351EE" w:rsidRDefault="009E4F0D" w:rsidP="009E4F0D">
      <w:pPr>
        <w:spacing w:line="360" w:lineRule="auto"/>
        <w:rPr>
          <w:rFonts w:ascii="Arial" w:hAnsi="Arial" w:cs="Arial"/>
          <w:sz w:val="24"/>
          <w:szCs w:val="24"/>
        </w:rPr>
      </w:pPr>
      <w:r w:rsidRPr="005351EE">
        <w:rPr>
          <w:rFonts w:ascii="Arial" w:hAnsi="Arial" w:cs="Arial"/>
          <w:sz w:val="24"/>
          <w:szCs w:val="24"/>
        </w:rPr>
        <w:t>As well as adults being able to recognise the signs that a child is being abused it is also important that a child is able to speak out about a situation that they feel is not right or makes them feel uncomfortable. This helps to ensure that the abuse ends sooner, and child is able to access the right support (Public Health Wales, 2016).</w:t>
      </w:r>
    </w:p>
    <w:p w14:paraId="1E8C3A9F" w14:textId="77777777" w:rsidR="006D2985" w:rsidRDefault="009E4F0D" w:rsidP="009E4F0D">
      <w:pPr>
        <w:spacing w:line="360" w:lineRule="auto"/>
        <w:rPr>
          <w:rFonts w:ascii="Arial" w:hAnsi="Arial" w:cs="Arial"/>
          <w:sz w:val="24"/>
          <w:szCs w:val="24"/>
        </w:rPr>
      </w:pPr>
      <w:r w:rsidRPr="005351EE">
        <w:rPr>
          <w:rFonts w:ascii="Arial" w:hAnsi="Arial" w:cs="Arial"/>
          <w:sz w:val="24"/>
          <w:szCs w:val="24"/>
        </w:rPr>
        <w:t>The NSPCC have a safeguarding programme called Speak out Stay safe</w:t>
      </w:r>
      <w:r w:rsidR="006D2985">
        <w:rPr>
          <w:rFonts w:ascii="Arial" w:hAnsi="Arial" w:cs="Arial"/>
          <w:sz w:val="24"/>
          <w:szCs w:val="24"/>
        </w:rPr>
        <w:t>,</w:t>
      </w:r>
      <w:r w:rsidRPr="005351EE">
        <w:rPr>
          <w:rFonts w:ascii="Arial" w:hAnsi="Arial" w:cs="Arial"/>
          <w:sz w:val="24"/>
          <w:szCs w:val="24"/>
        </w:rPr>
        <w:t xml:space="preserve"> which is aimed for primary school children, aged 5 – 11 years old. It is a programme which aims to increase the child’s awareness and understanding of abuse and harm and enable</w:t>
      </w:r>
      <w:r w:rsidR="006D2985">
        <w:rPr>
          <w:rFonts w:ascii="Arial" w:hAnsi="Arial" w:cs="Arial"/>
          <w:sz w:val="24"/>
          <w:szCs w:val="24"/>
        </w:rPr>
        <w:t>s</w:t>
      </w:r>
      <w:r w:rsidRPr="005351EE">
        <w:rPr>
          <w:rFonts w:ascii="Arial" w:hAnsi="Arial" w:cs="Arial"/>
          <w:sz w:val="24"/>
          <w:szCs w:val="24"/>
        </w:rPr>
        <w:t xml:space="preserve"> them to seek help from a trusted adult (Anopa et al., 2015). The programme consists of a variety of virtual assemblies, follow on lessons and face to face workshops. Covering areas such as, children having the right to speak out and their views should be taken seriously. It covers various forms of hurt in simple age-appropriate ways. Explain</w:t>
      </w:r>
      <w:r w:rsidR="006D2985">
        <w:rPr>
          <w:rFonts w:ascii="Arial" w:hAnsi="Arial" w:cs="Arial"/>
          <w:sz w:val="24"/>
          <w:szCs w:val="24"/>
        </w:rPr>
        <w:t>s</w:t>
      </w:r>
      <w:r w:rsidRPr="005351EE">
        <w:rPr>
          <w:rFonts w:ascii="Arial" w:hAnsi="Arial" w:cs="Arial"/>
          <w:sz w:val="24"/>
          <w:szCs w:val="24"/>
        </w:rPr>
        <w:t xml:space="preserve"> about safe adults who may be good to talk to</w:t>
      </w:r>
      <w:r w:rsidR="006D2985">
        <w:rPr>
          <w:rFonts w:ascii="Arial" w:hAnsi="Arial" w:cs="Arial"/>
          <w:sz w:val="24"/>
          <w:szCs w:val="24"/>
        </w:rPr>
        <w:t>, and d</w:t>
      </w:r>
      <w:r w:rsidRPr="005351EE">
        <w:rPr>
          <w:rFonts w:ascii="Arial" w:hAnsi="Arial" w:cs="Arial"/>
          <w:sz w:val="24"/>
          <w:szCs w:val="24"/>
        </w:rPr>
        <w:t xml:space="preserve">efinitions of abuse. </w:t>
      </w:r>
    </w:p>
    <w:p w14:paraId="1BC66EA2" w14:textId="78242AD6" w:rsidR="009E4F0D" w:rsidRPr="006D2985" w:rsidRDefault="009E4F0D" w:rsidP="009E4F0D">
      <w:pPr>
        <w:spacing w:line="360" w:lineRule="auto"/>
        <w:rPr>
          <w:rFonts w:ascii="Arial" w:hAnsi="Arial" w:cs="Arial"/>
          <w:sz w:val="24"/>
          <w:szCs w:val="24"/>
        </w:rPr>
      </w:pPr>
      <w:r w:rsidRPr="005351EE">
        <w:rPr>
          <w:rFonts w:ascii="Arial" w:hAnsi="Arial" w:cs="Arial"/>
          <w:sz w:val="24"/>
          <w:szCs w:val="24"/>
        </w:rPr>
        <w:lastRenderedPageBreak/>
        <w:t xml:space="preserve">Another intervention which could be used to support Amira is that of play therapy. </w:t>
      </w:r>
      <w:r w:rsidR="00F16A66" w:rsidRPr="00A43793">
        <w:rPr>
          <w:rFonts w:ascii="Arial" w:hAnsi="Arial" w:cs="Arial"/>
          <w:sz w:val="24"/>
          <w:szCs w:val="24"/>
          <w:lang w:val="en-US"/>
        </w:rPr>
        <w:t xml:space="preserve">With the increasing rates of adverse childhood experiences, this leads to devastating effects on individuals into adulthood. It has been found that child-centered play therapy and the use of toys helps to support the developmental needs of children who have experienced adverse childhood experiences (Parker et al., 2021). </w:t>
      </w:r>
      <w:r w:rsidRPr="005351EE">
        <w:rPr>
          <w:rFonts w:ascii="Arial" w:hAnsi="Arial" w:cs="Arial"/>
          <w:sz w:val="24"/>
          <w:szCs w:val="24"/>
        </w:rPr>
        <w:t>Many people think play therapy is “just play”</w:t>
      </w:r>
      <w:r w:rsidR="00FF17B3">
        <w:rPr>
          <w:rFonts w:ascii="Arial" w:hAnsi="Arial" w:cs="Arial"/>
          <w:sz w:val="24"/>
          <w:szCs w:val="24"/>
        </w:rPr>
        <w:t>, but p</w:t>
      </w:r>
      <w:r w:rsidRPr="005351EE">
        <w:rPr>
          <w:rFonts w:ascii="Arial" w:hAnsi="Arial" w:cs="Arial"/>
          <w:sz w:val="24"/>
          <w:szCs w:val="24"/>
        </w:rPr>
        <w:t>lay can be a window into the child’s inner world</w:t>
      </w:r>
      <w:r w:rsidR="00FF17B3">
        <w:rPr>
          <w:rFonts w:ascii="Arial" w:hAnsi="Arial" w:cs="Arial"/>
          <w:sz w:val="24"/>
          <w:szCs w:val="24"/>
        </w:rPr>
        <w:t>.</w:t>
      </w:r>
    </w:p>
    <w:p w14:paraId="5E8B7DBB" w14:textId="4B6548FF" w:rsidR="00FB27AF" w:rsidRDefault="009E4F0D" w:rsidP="00F16A66">
      <w:pPr>
        <w:spacing w:line="360" w:lineRule="auto"/>
        <w:rPr>
          <w:rFonts w:ascii="Arial" w:hAnsi="Arial" w:cs="Arial"/>
          <w:sz w:val="24"/>
          <w:szCs w:val="24"/>
          <w:lang w:val="en-US"/>
        </w:rPr>
      </w:pPr>
      <w:r w:rsidRPr="005351EE">
        <w:rPr>
          <w:rFonts w:ascii="Arial" w:hAnsi="Arial" w:cs="Arial"/>
          <w:sz w:val="24"/>
          <w:szCs w:val="24"/>
        </w:rPr>
        <w:t>A play therapist is a licensed mental health professional</w:t>
      </w:r>
      <w:r w:rsidR="00FB27AF">
        <w:rPr>
          <w:rFonts w:ascii="Arial" w:hAnsi="Arial" w:cs="Arial"/>
          <w:sz w:val="24"/>
          <w:szCs w:val="24"/>
        </w:rPr>
        <w:t xml:space="preserve"> with specialised training in play therapy. This form of therapy is tailored to help children navigate and heal from their trauma. A crucial aspect of effective play therapy is the therapist’s ability to be open, engaging and to communicate the message </w:t>
      </w:r>
      <w:r w:rsidR="00FB27AF">
        <w:rPr>
          <w:rFonts w:ascii="Arial" w:hAnsi="Arial" w:cs="Arial"/>
          <w:sz w:val="24"/>
          <w:szCs w:val="24"/>
          <w:lang w:val="en-US"/>
        </w:rPr>
        <w:t>“</w:t>
      </w:r>
      <w:r w:rsidR="00F16A66" w:rsidRPr="00A43793">
        <w:rPr>
          <w:rFonts w:ascii="Arial" w:hAnsi="Arial" w:cs="Arial"/>
          <w:sz w:val="24"/>
          <w:szCs w:val="24"/>
          <w:lang w:val="en-US"/>
        </w:rPr>
        <w:t>I am here, I hear you and I care”.</w:t>
      </w:r>
      <w:r w:rsidR="00FB27AF">
        <w:rPr>
          <w:rFonts w:ascii="Arial" w:hAnsi="Arial" w:cs="Arial"/>
          <w:sz w:val="24"/>
          <w:szCs w:val="24"/>
          <w:lang w:val="en-US"/>
        </w:rPr>
        <w:t xml:space="preserve"> Empathetic and understanding responses from the therapist are essential (Landreth, 2012), especially for children who may feel unsafe in a new relationship due to past trauma (Erickson,1968). Encouraging such openness, empathy and understanding triggers a surprising experience for the child, overriding their pain-based learning and helping to build trust (Baylin &amp; Hughes, 2016). Play therapy provides a unique avenue for children to release from the opioid system in a non-self-protective, enjoyable manor aiding in the establishment of trust executive functioning and impulse control (Baylin &amp; Hughes, 2016).</w:t>
      </w:r>
    </w:p>
    <w:p w14:paraId="3EE7382A" w14:textId="5D7AD117" w:rsidR="00F16A66" w:rsidRPr="00A43793" w:rsidRDefault="00FB27AF" w:rsidP="00F16A66">
      <w:pPr>
        <w:spacing w:line="360" w:lineRule="auto"/>
        <w:rPr>
          <w:rFonts w:ascii="Arial" w:hAnsi="Arial" w:cs="Arial"/>
          <w:sz w:val="24"/>
          <w:szCs w:val="24"/>
          <w:lang w:val="en-US"/>
        </w:rPr>
      </w:pPr>
      <w:r>
        <w:rPr>
          <w:rFonts w:ascii="Arial" w:hAnsi="Arial" w:cs="Arial"/>
          <w:sz w:val="24"/>
          <w:szCs w:val="24"/>
          <w:lang w:val="en-US"/>
        </w:rPr>
        <w:t xml:space="preserve">Children naturally use play to learn, process emotions and make sense of their surroundings (Bruner, 1972). In play therapy, a non-judgmental environment is created using toys and okay to address the child’s developmental needs (Landreth, 2012). This approach allows children to creatively modify and process their traumatic experiences, contributing to their healing and recovery </w:t>
      </w:r>
      <w:r w:rsidR="00F16A66" w:rsidRPr="00A43793">
        <w:rPr>
          <w:rFonts w:ascii="Arial" w:hAnsi="Arial" w:cs="Arial"/>
          <w:sz w:val="24"/>
          <w:szCs w:val="24"/>
          <w:lang w:val="en-US"/>
        </w:rPr>
        <w:t xml:space="preserve">(Baylin &amp; Hughes, 2016). </w:t>
      </w:r>
    </w:p>
    <w:p w14:paraId="66340634" w14:textId="76D6DF19" w:rsidR="00300B62" w:rsidRDefault="00B378DB" w:rsidP="009E4F0D">
      <w:pPr>
        <w:spacing w:line="360" w:lineRule="auto"/>
        <w:rPr>
          <w:rFonts w:ascii="Arial" w:hAnsi="Arial" w:cs="Arial"/>
          <w:sz w:val="24"/>
          <w:szCs w:val="24"/>
        </w:rPr>
      </w:pPr>
      <w:r>
        <w:rPr>
          <w:rFonts w:ascii="Arial" w:hAnsi="Arial" w:cs="Arial"/>
          <w:sz w:val="24"/>
          <w:szCs w:val="24"/>
        </w:rPr>
        <w:t xml:space="preserve">The child will be encouraged to engage in various forms of play. The therapist will closely observe the child’s play and will pay specific attention to themes, symbols and narratives that emerge. </w:t>
      </w:r>
      <w:r w:rsidR="00300B62">
        <w:rPr>
          <w:rFonts w:ascii="Arial" w:hAnsi="Arial" w:cs="Arial"/>
          <w:sz w:val="24"/>
          <w:szCs w:val="24"/>
        </w:rPr>
        <w:t xml:space="preserve">Children may act out scenarios related to their abuse experience or </w:t>
      </w:r>
      <w:r w:rsidR="001D155F">
        <w:rPr>
          <w:rFonts w:ascii="Arial" w:hAnsi="Arial" w:cs="Arial"/>
          <w:sz w:val="24"/>
          <w:szCs w:val="24"/>
        </w:rPr>
        <w:t>re-enact</w:t>
      </w:r>
      <w:r w:rsidR="00300B62">
        <w:rPr>
          <w:rFonts w:ascii="Arial" w:hAnsi="Arial" w:cs="Arial"/>
          <w:sz w:val="24"/>
          <w:szCs w:val="24"/>
        </w:rPr>
        <w:t xml:space="preserve"> distressing events which they have encountered. This will enable the therapist to understand the child’s perception of their </w:t>
      </w:r>
      <w:r w:rsidR="00FF17B3">
        <w:rPr>
          <w:rFonts w:ascii="Arial" w:hAnsi="Arial" w:cs="Arial"/>
          <w:sz w:val="24"/>
          <w:szCs w:val="24"/>
        </w:rPr>
        <w:t xml:space="preserve">trauma and how this continues to affect them. The therapist will then be able to support the child in gaining a deeper understanding of their emotional worlds. Children may be able to begin to identify their emotions and be able to label their feelings, this will support the </w:t>
      </w:r>
      <w:r w:rsidR="00FF17B3">
        <w:rPr>
          <w:rFonts w:ascii="Arial" w:hAnsi="Arial" w:cs="Arial"/>
          <w:sz w:val="24"/>
          <w:szCs w:val="24"/>
        </w:rPr>
        <w:lastRenderedPageBreak/>
        <w:t xml:space="preserve">child to be able to verbalise their emotions allowing them to better communicate their needs and emotions. </w:t>
      </w:r>
    </w:p>
    <w:p w14:paraId="4B85F468" w14:textId="4B527B19" w:rsidR="001A1666" w:rsidRDefault="00FF17B3" w:rsidP="001A1666">
      <w:pPr>
        <w:spacing w:line="360" w:lineRule="auto"/>
        <w:rPr>
          <w:rFonts w:ascii="Arial" w:hAnsi="Arial" w:cs="Arial"/>
          <w:sz w:val="24"/>
          <w:szCs w:val="24"/>
        </w:rPr>
      </w:pPr>
      <w:r>
        <w:rPr>
          <w:rFonts w:ascii="Arial" w:hAnsi="Arial" w:cs="Arial"/>
          <w:sz w:val="24"/>
          <w:szCs w:val="24"/>
        </w:rPr>
        <w:t xml:space="preserve">Although studies show mixed results of the effectiveness of play therapy. Play therapy is largely dependent on the </w:t>
      </w:r>
      <w:r w:rsidR="00A24DB5">
        <w:rPr>
          <w:rFonts w:ascii="Arial" w:hAnsi="Arial" w:cs="Arial"/>
          <w:sz w:val="24"/>
          <w:szCs w:val="24"/>
        </w:rPr>
        <w:t>therapist’s</w:t>
      </w:r>
      <w:r>
        <w:rPr>
          <w:rFonts w:ascii="Arial" w:hAnsi="Arial" w:cs="Arial"/>
          <w:sz w:val="24"/>
          <w:szCs w:val="24"/>
        </w:rPr>
        <w:t xml:space="preserve"> skills. It can also be a </w:t>
      </w:r>
      <w:r w:rsidR="00A24DB5">
        <w:rPr>
          <w:rFonts w:ascii="Arial" w:hAnsi="Arial" w:cs="Arial"/>
          <w:sz w:val="24"/>
          <w:szCs w:val="24"/>
        </w:rPr>
        <w:t>long-drawn-out</w:t>
      </w:r>
      <w:r>
        <w:rPr>
          <w:rFonts w:ascii="Arial" w:hAnsi="Arial" w:cs="Arial"/>
          <w:sz w:val="24"/>
          <w:szCs w:val="24"/>
        </w:rPr>
        <w:t xml:space="preserve"> process. </w:t>
      </w:r>
    </w:p>
    <w:p w14:paraId="2E9530B6" w14:textId="33CF006A" w:rsidR="006D2985" w:rsidRDefault="006D2985" w:rsidP="001A1666">
      <w:pPr>
        <w:spacing w:line="360" w:lineRule="auto"/>
        <w:rPr>
          <w:rFonts w:ascii="Arial" w:hAnsi="Arial" w:cs="Arial"/>
          <w:sz w:val="24"/>
          <w:szCs w:val="24"/>
        </w:rPr>
      </w:pPr>
      <w:r>
        <w:rPr>
          <w:rFonts w:ascii="Arial" w:hAnsi="Arial" w:cs="Arial"/>
          <w:sz w:val="24"/>
          <w:szCs w:val="24"/>
        </w:rPr>
        <w:t>Every child deserves to grow up in a safe, stable, and loving environment, nothing should come before the child’s welfare. Amira clearly needs support, and it is fundamental that all people involved from the family to the professionals, are all clear and open and honest with their findings, to ensure everyone has Amira’s best interest at heart.</w:t>
      </w:r>
    </w:p>
    <w:p w14:paraId="3203154F" w14:textId="7288024D" w:rsidR="00291994" w:rsidRDefault="00291994" w:rsidP="001A1666">
      <w:pPr>
        <w:spacing w:line="360" w:lineRule="auto"/>
        <w:rPr>
          <w:rFonts w:ascii="Arial" w:hAnsi="Arial" w:cs="Arial"/>
          <w:sz w:val="24"/>
          <w:szCs w:val="24"/>
        </w:rPr>
      </w:pPr>
      <w:r>
        <w:rPr>
          <w:rFonts w:ascii="Arial" w:hAnsi="Arial" w:cs="Arial"/>
          <w:sz w:val="24"/>
          <w:szCs w:val="24"/>
        </w:rPr>
        <w:t>The next section of this essay will discuss that of resilience and self-care strategies to avoid personal burnout</w:t>
      </w:r>
      <w:r w:rsidR="006D2985">
        <w:rPr>
          <w:rFonts w:ascii="Arial" w:hAnsi="Arial" w:cs="Arial"/>
          <w:sz w:val="24"/>
          <w:szCs w:val="24"/>
        </w:rPr>
        <w:t>. When working with vulnerable children, and hearing the things they have experience, it is only natural to feel empathy towards them and you are at risk of experiencing secondary trauma from their experiences. This can lead to stress and burnout. If a professional becomes subject to burnout this can impact the way in which they deliver their care and support (Poghosyan et al., 2010).</w:t>
      </w:r>
    </w:p>
    <w:p w14:paraId="3C8DCDEC" w14:textId="490E3CA7" w:rsidR="00291994" w:rsidRDefault="008A72A6" w:rsidP="001A1666">
      <w:pPr>
        <w:spacing w:line="360" w:lineRule="auto"/>
        <w:rPr>
          <w:rFonts w:ascii="Arial" w:hAnsi="Arial" w:cs="Arial"/>
          <w:sz w:val="24"/>
          <w:szCs w:val="24"/>
        </w:rPr>
      </w:pPr>
      <w:r>
        <w:rPr>
          <w:rFonts w:ascii="Arial" w:hAnsi="Arial" w:cs="Arial"/>
          <w:sz w:val="24"/>
          <w:szCs w:val="24"/>
        </w:rPr>
        <w:t xml:space="preserve">Researchers have found that negative effects can impact a person who provide support to trauma survivors (McCann &amp; Pearlman 1990). </w:t>
      </w:r>
      <w:r w:rsidR="00291994">
        <w:rPr>
          <w:rFonts w:ascii="Arial" w:hAnsi="Arial" w:cs="Arial"/>
          <w:sz w:val="24"/>
          <w:szCs w:val="24"/>
        </w:rPr>
        <w:t xml:space="preserve">Helping others can be painful for the person helping, hearing the child’s stories of what they have been through can be described as an occupational hazard (Skovholt </w:t>
      </w:r>
      <w:r w:rsidR="00002844">
        <w:rPr>
          <w:rFonts w:ascii="Arial" w:hAnsi="Arial" w:cs="Arial"/>
          <w:sz w:val="24"/>
          <w:szCs w:val="24"/>
        </w:rPr>
        <w:t>&amp; Trotter-Mathison, 2011</w:t>
      </w:r>
      <w:r w:rsidR="00291994">
        <w:rPr>
          <w:rFonts w:ascii="Arial" w:hAnsi="Arial" w:cs="Arial"/>
          <w:sz w:val="24"/>
          <w:szCs w:val="24"/>
        </w:rPr>
        <w:t xml:space="preserve">). Counsellors are also likely to have gone through their own trauma in life which can be an increased risk to their emotional arousal to the stories of trauma they hear (Lawson &amp; Myers, 2011). </w:t>
      </w:r>
      <w:r>
        <w:rPr>
          <w:rFonts w:ascii="Arial" w:hAnsi="Arial" w:cs="Arial"/>
          <w:sz w:val="24"/>
          <w:szCs w:val="24"/>
        </w:rPr>
        <w:t xml:space="preserve">Terms such as compassion fatigue (Figley, 2002), Secondary trauma (Figley, </w:t>
      </w:r>
      <w:r w:rsidR="00002844">
        <w:rPr>
          <w:rFonts w:ascii="Arial" w:hAnsi="Arial" w:cs="Arial"/>
          <w:sz w:val="24"/>
          <w:szCs w:val="24"/>
        </w:rPr>
        <w:t>2013</w:t>
      </w:r>
      <w:r>
        <w:rPr>
          <w:rFonts w:ascii="Arial" w:hAnsi="Arial" w:cs="Arial"/>
          <w:sz w:val="24"/>
          <w:szCs w:val="24"/>
        </w:rPr>
        <w:t xml:space="preserve">) and vicarious traumatization (McCann &amp; Pearlman, 1990) have been used to describe the negative emotional and cognitive changes a person may go through after supporting a person who has experienced trauma. </w:t>
      </w:r>
    </w:p>
    <w:p w14:paraId="463D58F1" w14:textId="5B9638B3" w:rsidR="00291994" w:rsidRDefault="00291994" w:rsidP="001A1666">
      <w:pPr>
        <w:spacing w:line="360" w:lineRule="auto"/>
        <w:rPr>
          <w:rFonts w:ascii="Arial" w:hAnsi="Arial" w:cs="Arial"/>
          <w:sz w:val="24"/>
          <w:szCs w:val="24"/>
        </w:rPr>
      </w:pPr>
      <w:r>
        <w:rPr>
          <w:rFonts w:ascii="Arial" w:hAnsi="Arial" w:cs="Arial"/>
          <w:sz w:val="24"/>
          <w:szCs w:val="24"/>
        </w:rPr>
        <w:t>Burnout is defined as ‘the cumulative result of that sense of powerlessness in achieving work goals which may be accompanied by psychophysiological arousal symptoms such as sleeplessness and irritability, decreased work performance, and relational disruptions or avoidance’ (Valent, 20</w:t>
      </w:r>
      <w:r w:rsidR="00002844">
        <w:rPr>
          <w:rFonts w:ascii="Arial" w:hAnsi="Arial" w:cs="Arial"/>
          <w:sz w:val="24"/>
          <w:szCs w:val="24"/>
        </w:rPr>
        <w:t>13</w:t>
      </w:r>
      <w:r>
        <w:rPr>
          <w:rFonts w:ascii="Arial" w:hAnsi="Arial" w:cs="Arial"/>
          <w:sz w:val="24"/>
          <w:szCs w:val="24"/>
        </w:rPr>
        <w:t>).</w:t>
      </w:r>
    </w:p>
    <w:p w14:paraId="32459EDC" w14:textId="71355C6C" w:rsidR="00291994" w:rsidRDefault="00291994" w:rsidP="001A1666">
      <w:pPr>
        <w:spacing w:line="360" w:lineRule="auto"/>
        <w:rPr>
          <w:rFonts w:ascii="Arial" w:hAnsi="Arial" w:cs="Arial"/>
          <w:sz w:val="24"/>
          <w:szCs w:val="24"/>
        </w:rPr>
      </w:pPr>
      <w:r>
        <w:rPr>
          <w:rFonts w:ascii="Arial" w:hAnsi="Arial" w:cs="Arial"/>
          <w:sz w:val="24"/>
          <w:szCs w:val="24"/>
        </w:rPr>
        <w:lastRenderedPageBreak/>
        <w:t>When I am feeling burnt out, I feel tired and rundown. I sometimes begin to feel depressed and have a sense of hopelessness. Osborn (2004), states that people may begin to feel resentment, a sen</w:t>
      </w:r>
      <w:r w:rsidR="006D2985">
        <w:rPr>
          <w:rFonts w:ascii="Arial" w:hAnsi="Arial" w:cs="Arial"/>
          <w:sz w:val="24"/>
          <w:szCs w:val="24"/>
        </w:rPr>
        <w:t>se</w:t>
      </w:r>
      <w:r>
        <w:rPr>
          <w:rFonts w:ascii="Arial" w:hAnsi="Arial" w:cs="Arial"/>
          <w:sz w:val="24"/>
          <w:szCs w:val="24"/>
        </w:rPr>
        <w:t xml:space="preserve"> of entitlement and low morale. </w:t>
      </w:r>
    </w:p>
    <w:p w14:paraId="5A1CAD56" w14:textId="3F99A0D9" w:rsidR="00291994" w:rsidRDefault="00291994" w:rsidP="001A1666">
      <w:pPr>
        <w:spacing w:line="360" w:lineRule="auto"/>
        <w:rPr>
          <w:rFonts w:ascii="Arial" w:hAnsi="Arial" w:cs="Arial"/>
          <w:sz w:val="24"/>
          <w:szCs w:val="24"/>
        </w:rPr>
      </w:pPr>
      <w:r>
        <w:rPr>
          <w:rFonts w:ascii="Arial" w:hAnsi="Arial" w:cs="Arial"/>
          <w:sz w:val="24"/>
          <w:szCs w:val="24"/>
        </w:rPr>
        <w:t>To avoid becoming burnt-out it is fundamental to ensure you take care of yourself. Self-care means taking care of yourself so that you can remain healthy, be well, do your job and can</w:t>
      </w:r>
      <w:r w:rsidR="006D2985">
        <w:rPr>
          <w:rFonts w:ascii="Arial" w:hAnsi="Arial" w:cs="Arial"/>
          <w:sz w:val="24"/>
          <w:szCs w:val="24"/>
        </w:rPr>
        <w:t xml:space="preserve"> continue to</w:t>
      </w:r>
      <w:r>
        <w:rPr>
          <w:rFonts w:ascii="Arial" w:hAnsi="Arial" w:cs="Arial"/>
          <w:sz w:val="24"/>
          <w:szCs w:val="24"/>
        </w:rPr>
        <w:t xml:space="preserve"> help others and be able to do all the things you need and want to complete in a day (Lawler, 2023). Self-care is a way people cope wit</w:t>
      </w:r>
      <w:r w:rsidR="006D2985">
        <w:rPr>
          <w:rFonts w:ascii="Arial" w:hAnsi="Arial" w:cs="Arial"/>
          <w:sz w:val="24"/>
          <w:szCs w:val="24"/>
        </w:rPr>
        <w:t xml:space="preserve">h </w:t>
      </w:r>
      <w:r>
        <w:rPr>
          <w:rFonts w:ascii="Arial" w:hAnsi="Arial" w:cs="Arial"/>
          <w:sz w:val="24"/>
          <w:szCs w:val="24"/>
        </w:rPr>
        <w:t>daily stressors (Patel, 2022). There are different types of self-care, emotional self-care which includes things such as self-talk, bubble baths, saying no to unnecessary stress. Physical self-care which includes, prioritising sleep, taking part in exercise and spiritual self-care which would include attending religious services, spending time in nature and meditating (Lopez, 2020).</w:t>
      </w:r>
    </w:p>
    <w:p w14:paraId="0498E518" w14:textId="286DE321" w:rsidR="007A40A0" w:rsidRDefault="007A40A0" w:rsidP="007A40A0">
      <w:pPr>
        <w:spacing w:line="360" w:lineRule="auto"/>
        <w:rPr>
          <w:rFonts w:ascii="Arial" w:hAnsi="Arial" w:cs="Arial"/>
          <w:sz w:val="24"/>
          <w:szCs w:val="24"/>
          <w:lang w:val="en-US"/>
        </w:rPr>
      </w:pPr>
      <w:r>
        <w:rPr>
          <w:rFonts w:ascii="Arial" w:hAnsi="Arial" w:cs="Arial"/>
          <w:sz w:val="24"/>
          <w:szCs w:val="24"/>
          <w:lang w:val="en-US"/>
        </w:rPr>
        <w:t xml:space="preserve">An activity which I find helps to clear my head, is to go for a long walk, or partake in physical exercise. I find going for a long walk around the harbour allows you to take time for yourself, to process the day, and self-reflect on how I may have done things different, it allows me to take on board what others have said without the fear of </w:t>
      </w:r>
      <w:r w:rsidR="006D2985">
        <w:rPr>
          <w:rFonts w:ascii="Arial" w:hAnsi="Arial" w:cs="Arial"/>
          <w:sz w:val="24"/>
          <w:szCs w:val="24"/>
          <w:lang w:val="en-US"/>
        </w:rPr>
        <w:t xml:space="preserve">feeling you are </w:t>
      </w:r>
      <w:r>
        <w:rPr>
          <w:rFonts w:ascii="Arial" w:hAnsi="Arial" w:cs="Arial"/>
          <w:sz w:val="24"/>
          <w:szCs w:val="24"/>
          <w:lang w:val="en-US"/>
        </w:rPr>
        <w:t xml:space="preserve">being judged from other people. It clears my mind and allows me to come home to be with my family without bringing the stress home from the day. I feel that by going for a walk before returning home, allows me to be able to fully engage with my family and give them my undivided attention, and help my children with their homework and bedtime routines. By going for a walk, it has released the stress and ensures the secondary trauma does not impact my family life.   </w:t>
      </w:r>
    </w:p>
    <w:p w14:paraId="78997ADE" w14:textId="77777777" w:rsidR="007A40A0" w:rsidRDefault="007A40A0" w:rsidP="007A40A0">
      <w:pPr>
        <w:spacing w:line="360" w:lineRule="auto"/>
        <w:rPr>
          <w:rFonts w:ascii="Arial" w:hAnsi="Arial" w:cs="Arial"/>
          <w:sz w:val="24"/>
          <w:szCs w:val="24"/>
          <w:lang w:val="en-US"/>
        </w:rPr>
      </w:pPr>
      <w:r>
        <w:rPr>
          <w:rFonts w:ascii="Arial" w:hAnsi="Arial" w:cs="Arial"/>
          <w:sz w:val="24"/>
          <w:szCs w:val="24"/>
          <w:lang w:val="en-US"/>
        </w:rPr>
        <w:t>Research as far back as 1990 details the benefits of regular exercise to treat stress, anxiety, and depression (Diamant, 1991; Norris et al., 1992; Steptoe et al, 1993). Studies have found that individuals who participate in regular exercise are found to have sustains happiness, self-esteem and optimism compared to those individuals who do not exercise on a regular basis (Appelqvist-Schmidlechner et al., 2023).</w:t>
      </w:r>
    </w:p>
    <w:p w14:paraId="330B9CD9" w14:textId="670EF7F8" w:rsidR="007A40A0" w:rsidRDefault="007A40A0" w:rsidP="007A40A0">
      <w:pPr>
        <w:spacing w:line="360" w:lineRule="auto"/>
        <w:rPr>
          <w:rFonts w:ascii="Arial" w:hAnsi="Arial" w:cs="Arial"/>
          <w:sz w:val="24"/>
          <w:szCs w:val="24"/>
          <w:lang w:val="en-US"/>
        </w:rPr>
      </w:pPr>
      <w:r>
        <w:rPr>
          <w:rFonts w:ascii="Arial" w:hAnsi="Arial" w:cs="Arial"/>
          <w:sz w:val="24"/>
          <w:szCs w:val="24"/>
          <w:lang w:val="en-US"/>
        </w:rPr>
        <w:t xml:space="preserve">Although there are occasions when people become addicted to exercise which result in having an adverse effect and can lead to higher levels of anxiety and depression (Weinstein &amp; Weinstein, 2014). As we have stated whilst regular exercise is usually seen as a healthy activity, exercise addiction can have a detrimental effect to a person’s personal and professional life (Landolfi, 2012). People can also become </w:t>
      </w:r>
      <w:r>
        <w:rPr>
          <w:rFonts w:ascii="Arial" w:hAnsi="Arial" w:cs="Arial"/>
          <w:sz w:val="24"/>
          <w:szCs w:val="24"/>
          <w:lang w:val="en-US"/>
        </w:rPr>
        <w:lastRenderedPageBreak/>
        <w:t>dependent on exercise which causes withdrawal from family life and if a person isn’t able to exercise this can also lead to withdrawal symptoms such as anxiety, restlessness, sleeplessness, and headaches (Krivoshchekov &amp; Lushnikov, 2011).</w:t>
      </w:r>
    </w:p>
    <w:p w14:paraId="75C90B9A" w14:textId="2DA982D9" w:rsidR="00676E8D" w:rsidRDefault="00291994" w:rsidP="00676E8D">
      <w:pPr>
        <w:spacing w:line="360" w:lineRule="auto"/>
        <w:rPr>
          <w:rFonts w:ascii="Arial" w:hAnsi="Arial" w:cs="Arial"/>
          <w:sz w:val="24"/>
          <w:szCs w:val="24"/>
          <w:lang w:val="en-US"/>
        </w:rPr>
      </w:pPr>
      <w:r>
        <w:rPr>
          <w:rFonts w:ascii="Arial" w:hAnsi="Arial" w:cs="Arial"/>
          <w:sz w:val="24"/>
          <w:szCs w:val="24"/>
          <w:lang w:val="en-US"/>
        </w:rPr>
        <w:t xml:space="preserve">Within my personal line of work, I come across traumatic events and support individuals who have lived through extreme trauma and adverse childhood experiences, and how we deal with situations differ on every occasion. Lawson &amp; Venart (2005) found that professionals </w:t>
      </w:r>
      <w:r w:rsidR="00190ABC">
        <w:rPr>
          <w:rFonts w:ascii="Arial" w:hAnsi="Arial" w:cs="Arial"/>
          <w:sz w:val="24"/>
          <w:szCs w:val="24"/>
          <w:lang w:val="en-US"/>
        </w:rPr>
        <w:t xml:space="preserve">often </w:t>
      </w:r>
      <w:r>
        <w:rPr>
          <w:rFonts w:ascii="Arial" w:hAnsi="Arial" w:cs="Arial"/>
          <w:sz w:val="24"/>
          <w:szCs w:val="24"/>
          <w:lang w:val="en-US"/>
        </w:rPr>
        <w:t>believ</w:t>
      </w:r>
      <w:r w:rsidR="00190ABC">
        <w:rPr>
          <w:rFonts w:ascii="Arial" w:hAnsi="Arial" w:cs="Arial"/>
          <w:sz w:val="24"/>
          <w:szCs w:val="24"/>
          <w:lang w:val="en-US"/>
        </w:rPr>
        <w:t>e</w:t>
      </w:r>
      <w:r>
        <w:rPr>
          <w:rFonts w:ascii="Arial" w:hAnsi="Arial" w:cs="Arial"/>
          <w:sz w:val="24"/>
          <w:szCs w:val="24"/>
          <w:lang w:val="en-US"/>
        </w:rPr>
        <w:t xml:space="preserve"> that they should be</w:t>
      </w:r>
      <w:r w:rsidR="00190ABC">
        <w:rPr>
          <w:rFonts w:ascii="Arial" w:hAnsi="Arial" w:cs="Arial"/>
          <w:sz w:val="24"/>
          <w:szCs w:val="24"/>
          <w:lang w:val="en-US"/>
        </w:rPr>
        <w:t xml:space="preserve"> capable of overcoming their personal difficulties without assistance and that their training and skills should mean they are immune to the effects of </w:t>
      </w:r>
      <w:r>
        <w:rPr>
          <w:rFonts w:ascii="Arial" w:hAnsi="Arial" w:cs="Arial"/>
          <w:sz w:val="24"/>
          <w:szCs w:val="24"/>
          <w:lang w:val="en-US"/>
        </w:rPr>
        <w:t>vicarious traumati</w:t>
      </w:r>
      <w:r w:rsidR="00190ABC">
        <w:rPr>
          <w:rFonts w:ascii="Arial" w:hAnsi="Arial" w:cs="Arial"/>
          <w:sz w:val="24"/>
          <w:szCs w:val="24"/>
          <w:lang w:val="en-US"/>
        </w:rPr>
        <w:t>s</w:t>
      </w:r>
      <w:r>
        <w:rPr>
          <w:rFonts w:ascii="Arial" w:hAnsi="Arial" w:cs="Arial"/>
          <w:sz w:val="24"/>
          <w:szCs w:val="24"/>
          <w:lang w:val="en-US"/>
        </w:rPr>
        <w:t>ation or compassion fatigue</w:t>
      </w:r>
      <w:r w:rsidR="00190ABC">
        <w:rPr>
          <w:rFonts w:ascii="Arial" w:hAnsi="Arial" w:cs="Arial"/>
          <w:sz w:val="24"/>
          <w:szCs w:val="24"/>
          <w:lang w:val="en-US"/>
        </w:rPr>
        <w:t xml:space="preserve">. </w:t>
      </w:r>
      <w:r>
        <w:rPr>
          <w:rFonts w:ascii="Arial" w:hAnsi="Arial" w:cs="Arial"/>
          <w:sz w:val="24"/>
          <w:szCs w:val="24"/>
          <w:lang w:val="en-US"/>
        </w:rPr>
        <w:t xml:space="preserve">However, Figley (1995), stated that professionals are vulnerable to stress due to the nature of their work. As well as having insufficient support resources, inadequate supervisions, working long hours and poor self-care all contribute to burnout (Lee et al., 2010). </w:t>
      </w:r>
    </w:p>
    <w:p w14:paraId="637B5F5F" w14:textId="77777777" w:rsidR="00291994" w:rsidRDefault="00291994" w:rsidP="00291994">
      <w:pPr>
        <w:spacing w:line="360" w:lineRule="auto"/>
        <w:rPr>
          <w:rFonts w:ascii="Arial" w:hAnsi="Arial" w:cs="Arial"/>
          <w:sz w:val="24"/>
          <w:szCs w:val="24"/>
          <w:lang w:val="en-US"/>
        </w:rPr>
      </w:pPr>
      <w:r>
        <w:rPr>
          <w:rFonts w:ascii="Arial" w:hAnsi="Arial" w:cs="Arial"/>
          <w:sz w:val="24"/>
          <w:szCs w:val="24"/>
          <w:lang w:val="en-US"/>
        </w:rPr>
        <w:t>I find talking to my line-manager helps to clear my mind after having a difficult day, I find having a debrief allows me to offload and process the upsetting situation we have been in. As my line manager has usually been involved in the case, it allows us to talk openly and freely about how we are feeling and how things have impacted us, compared to talking to a loved one as I am unable to be as open due to keeping confidentiality. Although with a debrief there is always a risk of re-</w:t>
      </w:r>
      <w:r w:rsidRPr="00291994">
        <w:rPr>
          <w:rFonts w:ascii="Arial" w:hAnsi="Arial" w:cs="Arial"/>
          <w:sz w:val="24"/>
          <w:szCs w:val="24"/>
        </w:rPr>
        <w:t>traumatising</w:t>
      </w:r>
      <w:r>
        <w:rPr>
          <w:rFonts w:ascii="Arial" w:hAnsi="Arial" w:cs="Arial"/>
          <w:sz w:val="24"/>
          <w:szCs w:val="24"/>
          <w:lang w:val="en-US"/>
        </w:rPr>
        <w:t xml:space="preserve"> a person (Raphael, 2003). There is little research which investigates the effects of debriefings on the emotional experiences and well-being of professionals (Evans et al., 2023). Research has found that emotional wellbeing of professionals has been severely neglected, resulting in staff moral injury, stress, and burnout (Smith, 2021). A debrief gives the professional a voice to improve outcomes for the people they are supporting as well as their own emotional experience and wellbeing (Leff &amp; Twohig, 2023). </w:t>
      </w:r>
    </w:p>
    <w:p w14:paraId="2A4C5CE0" w14:textId="195A665E" w:rsidR="001B161E" w:rsidRDefault="00291994" w:rsidP="00291994">
      <w:pPr>
        <w:spacing w:line="360" w:lineRule="auto"/>
        <w:rPr>
          <w:rFonts w:ascii="Arial" w:hAnsi="Arial" w:cs="Arial"/>
          <w:sz w:val="24"/>
          <w:szCs w:val="24"/>
          <w:lang w:val="en-US"/>
        </w:rPr>
      </w:pPr>
      <w:r>
        <w:rPr>
          <w:rFonts w:ascii="Arial" w:hAnsi="Arial" w:cs="Arial"/>
          <w:sz w:val="24"/>
          <w:szCs w:val="24"/>
          <w:lang w:val="en-US"/>
        </w:rPr>
        <w:t xml:space="preserve">It has been found that it is more </w:t>
      </w:r>
      <w:r w:rsidR="008A72A6">
        <w:rPr>
          <w:rFonts w:ascii="Arial" w:hAnsi="Arial" w:cs="Arial"/>
          <w:sz w:val="24"/>
          <w:szCs w:val="24"/>
          <w:lang w:val="en-US"/>
        </w:rPr>
        <w:t>beneficial</w:t>
      </w:r>
      <w:r>
        <w:rPr>
          <w:rFonts w:ascii="Arial" w:hAnsi="Arial" w:cs="Arial"/>
          <w:sz w:val="24"/>
          <w:szCs w:val="24"/>
          <w:lang w:val="en-US"/>
        </w:rPr>
        <w:t xml:space="preserve"> to focus on cultivating and building resources to promote resilience rather than focusing on the stress and state of depletion (Osborn, 2004). People are not born resilient, people need to build resilience by active practice of decisions that lead to wellness and health (Lawson &amp; Myers, 2011). It is believed the prevention of burnout is the discovery and reinforcement of satisfaction, finding activities that provide a sense of satisfaction of </w:t>
      </w:r>
      <w:r>
        <w:rPr>
          <w:rFonts w:ascii="Arial" w:hAnsi="Arial" w:cs="Arial"/>
          <w:sz w:val="24"/>
          <w:szCs w:val="24"/>
          <w:lang w:val="en-US"/>
        </w:rPr>
        <w:lastRenderedPageBreak/>
        <w:t xml:space="preserve">working with people who have lived through or going through trauma (Figley &amp; Stamm, 1996). </w:t>
      </w:r>
    </w:p>
    <w:p w14:paraId="2E4E37AB" w14:textId="2AA78776" w:rsidR="007A40A0" w:rsidRDefault="007A40A0" w:rsidP="00291994">
      <w:pPr>
        <w:spacing w:line="360" w:lineRule="auto"/>
        <w:rPr>
          <w:rFonts w:ascii="Arial" w:hAnsi="Arial" w:cs="Arial"/>
          <w:sz w:val="24"/>
          <w:szCs w:val="24"/>
          <w:lang w:val="en-US"/>
        </w:rPr>
      </w:pPr>
      <w:r>
        <w:rPr>
          <w:rFonts w:ascii="Arial" w:hAnsi="Arial" w:cs="Arial"/>
          <w:sz w:val="24"/>
          <w:szCs w:val="24"/>
          <w:lang w:val="en-US"/>
        </w:rPr>
        <w:t xml:space="preserve">When a person adapts to a difficult or challenging situation, for example supporting someone through their trauma, the process and outcome of doing this successfully is known as resilience (Wu et al., 2013). </w:t>
      </w:r>
    </w:p>
    <w:p w14:paraId="5F8FBBDC" w14:textId="3EA0898C" w:rsidR="007A40A0" w:rsidRDefault="007A40A0" w:rsidP="00291994">
      <w:pPr>
        <w:spacing w:line="360" w:lineRule="auto"/>
        <w:rPr>
          <w:rFonts w:ascii="Arial" w:hAnsi="Arial" w:cs="Arial"/>
          <w:sz w:val="24"/>
          <w:szCs w:val="24"/>
          <w:lang w:val="en-US"/>
        </w:rPr>
      </w:pPr>
      <w:r>
        <w:rPr>
          <w:rFonts w:ascii="Arial" w:hAnsi="Arial" w:cs="Arial"/>
          <w:sz w:val="24"/>
          <w:szCs w:val="24"/>
          <w:lang w:val="en-US"/>
        </w:rPr>
        <w:t>A way of building resilience is that of self-reflection (Crane et al., 2018). Research suggests that by reflecting on our responses to a stressful experience we will be able to achieve three things. We will strengthen our resilient belief systems, by growing our mindset, we will improve our coping strategies, allowing us to handle conflict behaviour</w:t>
      </w:r>
      <w:r w:rsidR="001D155F">
        <w:rPr>
          <w:rFonts w:ascii="Arial" w:hAnsi="Arial" w:cs="Arial"/>
          <w:sz w:val="24"/>
          <w:szCs w:val="24"/>
          <w:lang w:val="en-US"/>
        </w:rPr>
        <w:t>s</w:t>
      </w:r>
      <w:r>
        <w:rPr>
          <w:rFonts w:ascii="Arial" w:hAnsi="Arial" w:cs="Arial"/>
          <w:sz w:val="24"/>
          <w:szCs w:val="24"/>
          <w:lang w:val="en-US"/>
        </w:rPr>
        <w:t xml:space="preserve"> in a more effective manor and lastly, we will improve how we use coping resources (Crane et al., 2018).</w:t>
      </w:r>
    </w:p>
    <w:p w14:paraId="00623CD1" w14:textId="415E887D" w:rsidR="007A40A0" w:rsidRDefault="007A40A0" w:rsidP="00291994">
      <w:pPr>
        <w:spacing w:line="360" w:lineRule="auto"/>
        <w:rPr>
          <w:rFonts w:ascii="Arial" w:hAnsi="Arial" w:cs="Arial"/>
          <w:sz w:val="24"/>
          <w:szCs w:val="24"/>
          <w:lang w:val="en-US"/>
        </w:rPr>
      </w:pPr>
      <w:r>
        <w:rPr>
          <w:rFonts w:ascii="Arial" w:hAnsi="Arial" w:cs="Arial"/>
          <w:sz w:val="24"/>
          <w:szCs w:val="24"/>
          <w:lang w:val="en-US"/>
        </w:rPr>
        <w:t>Many people will often just want to put a difficult experience or a bad day behind them, and just want to move on. However</w:t>
      </w:r>
      <w:r w:rsidR="001D155F">
        <w:rPr>
          <w:rFonts w:ascii="Arial" w:hAnsi="Arial" w:cs="Arial"/>
          <w:sz w:val="24"/>
          <w:szCs w:val="24"/>
          <w:lang w:val="en-US"/>
        </w:rPr>
        <w:t xml:space="preserve">, </w:t>
      </w:r>
      <w:r>
        <w:rPr>
          <w:rFonts w:ascii="Arial" w:hAnsi="Arial" w:cs="Arial"/>
          <w:sz w:val="24"/>
          <w:szCs w:val="24"/>
          <w:lang w:val="en-US"/>
        </w:rPr>
        <w:t xml:space="preserve">there are benefits to taking time to reflect on what has happened, what it means and how we can do things differently next time. </w:t>
      </w:r>
    </w:p>
    <w:p w14:paraId="60273B1A" w14:textId="3DC3D59A" w:rsidR="007A40A0" w:rsidRDefault="007A40A0" w:rsidP="00291994">
      <w:pPr>
        <w:spacing w:line="360" w:lineRule="auto"/>
        <w:rPr>
          <w:rFonts w:ascii="Arial" w:hAnsi="Arial" w:cs="Arial"/>
          <w:sz w:val="24"/>
          <w:szCs w:val="24"/>
          <w:lang w:val="en-US"/>
        </w:rPr>
      </w:pPr>
      <w:r>
        <w:rPr>
          <w:rFonts w:ascii="Arial" w:hAnsi="Arial" w:cs="Arial"/>
          <w:sz w:val="24"/>
          <w:szCs w:val="24"/>
          <w:lang w:val="en-US"/>
        </w:rPr>
        <w:t xml:space="preserve">There are many different self-reflective models, however the one I find I resonate with the most is that of the ERA cycle (Jasper et al., 2013). The ERA cycle is extremely </w:t>
      </w:r>
      <w:r w:rsidR="001D155F">
        <w:rPr>
          <w:rFonts w:ascii="Arial" w:hAnsi="Arial" w:cs="Arial"/>
          <w:sz w:val="24"/>
          <w:szCs w:val="24"/>
          <w:lang w:val="en-US"/>
        </w:rPr>
        <w:t>like</w:t>
      </w:r>
      <w:r>
        <w:rPr>
          <w:rFonts w:ascii="Arial" w:hAnsi="Arial" w:cs="Arial"/>
          <w:sz w:val="24"/>
          <w:szCs w:val="24"/>
          <w:lang w:val="en-US"/>
        </w:rPr>
        <w:t xml:space="preserve"> Kolb’s reflective cycle, but only contains three stages, Experience, Reflection and Action (Robinson, 2022). </w:t>
      </w:r>
    </w:p>
    <w:p w14:paraId="3D1F1026" w14:textId="5629B9C0" w:rsidR="007A40A0" w:rsidRDefault="007A40A0" w:rsidP="00291994">
      <w:pPr>
        <w:spacing w:line="360" w:lineRule="auto"/>
        <w:rPr>
          <w:rFonts w:ascii="Arial" w:hAnsi="Arial" w:cs="Arial"/>
          <w:sz w:val="24"/>
          <w:szCs w:val="24"/>
          <w:lang w:val="en-US"/>
        </w:rPr>
      </w:pPr>
      <w:r>
        <w:rPr>
          <w:rFonts w:ascii="Arial" w:hAnsi="Arial" w:cs="Arial"/>
          <w:sz w:val="24"/>
          <w:szCs w:val="24"/>
          <w:lang w:val="en-US"/>
        </w:rPr>
        <w:t xml:space="preserve">Experience includes any significant event which has happened recently, or even a historic event which has now become the forefront. Reflection, consists of after the event, this is where I would learn from the experience and weigh up how I might do things differently next time, lastly is the action. This means how the actions I take as a response to the reflection. During this process my knowledge and understanding of the experience may change and I am able to take this new way of thinking into the next experience I encounter. </w:t>
      </w:r>
    </w:p>
    <w:p w14:paraId="21AC5C9C" w14:textId="685ACF21" w:rsidR="007A40A0" w:rsidRDefault="007A40A0" w:rsidP="00291994">
      <w:pPr>
        <w:spacing w:line="360" w:lineRule="auto"/>
        <w:rPr>
          <w:rFonts w:ascii="Arial" w:hAnsi="Arial" w:cs="Arial"/>
          <w:sz w:val="24"/>
          <w:szCs w:val="24"/>
          <w:lang w:val="en-US"/>
        </w:rPr>
      </w:pPr>
      <w:r>
        <w:rPr>
          <w:rFonts w:ascii="Arial" w:hAnsi="Arial" w:cs="Arial"/>
          <w:sz w:val="24"/>
          <w:szCs w:val="24"/>
          <w:lang w:val="en-US"/>
        </w:rPr>
        <w:t xml:space="preserve">I personally find having the simplicity of three subheadings, helps me to reflect, I find a quiet area and will jot down what has happened, how I responded, how others responded and what the result of the situation was. The reflection section will include things such as, how I felt at the time, how the situation impacted my emotions, once the </w:t>
      </w:r>
      <w:proofErr w:type="spellStart"/>
      <w:r>
        <w:rPr>
          <w:rFonts w:ascii="Arial" w:hAnsi="Arial" w:cs="Arial"/>
          <w:sz w:val="24"/>
          <w:szCs w:val="24"/>
          <w:lang w:val="en-US"/>
        </w:rPr>
        <w:t>expereice</w:t>
      </w:r>
      <w:proofErr w:type="spellEnd"/>
      <w:r>
        <w:rPr>
          <w:rFonts w:ascii="Arial" w:hAnsi="Arial" w:cs="Arial"/>
          <w:sz w:val="24"/>
          <w:szCs w:val="24"/>
          <w:lang w:val="en-US"/>
        </w:rPr>
        <w:t xml:space="preserve"> was over how did I feel, what things went well, what things could have </w:t>
      </w:r>
      <w:r>
        <w:rPr>
          <w:rFonts w:ascii="Arial" w:hAnsi="Arial" w:cs="Arial"/>
          <w:sz w:val="24"/>
          <w:szCs w:val="24"/>
          <w:lang w:val="en-US"/>
        </w:rPr>
        <w:lastRenderedPageBreak/>
        <w:t xml:space="preserve">gone better, what else I could have done, what areas I feel I need to develop </w:t>
      </w:r>
      <w:proofErr w:type="gramStart"/>
      <w:r>
        <w:rPr>
          <w:rFonts w:ascii="Arial" w:hAnsi="Arial" w:cs="Arial"/>
          <w:sz w:val="24"/>
          <w:szCs w:val="24"/>
          <w:lang w:val="en-US"/>
        </w:rPr>
        <w:t>in order to</w:t>
      </w:r>
      <w:proofErr w:type="gramEnd"/>
      <w:r>
        <w:rPr>
          <w:rFonts w:ascii="Arial" w:hAnsi="Arial" w:cs="Arial"/>
          <w:sz w:val="24"/>
          <w:szCs w:val="24"/>
          <w:lang w:val="en-US"/>
        </w:rPr>
        <w:t xml:space="preserve"> deal with the situation better. The last section is action, so here I would write down, what I do if I was in the same situation again, what changes I would make, where and how I am able to use my knowledge and experience and how I will adapt my actions to improve my skills. My company think it is very important for us to reflect on difficult experiences as it helps us to understand and identify our strengths and weaknesses and be able to learn from both our mistakes and successes. Self-reflection is a way to reduce to stress and burnout, from learning from our mistakes it also helps build resilience. </w:t>
      </w:r>
    </w:p>
    <w:p w14:paraId="4425B1ED" w14:textId="3093094B" w:rsidR="007A40A0" w:rsidRDefault="007A40A0" w:rsidP="00291994">
      <w:pPr>
        <w:spacing w:line="360" w:lineRule="auto"/>
        <w:rPr>
          <w:rFonts w:ascii="Arial" w:hAnsi="Arial" w:cs="Arial"/>
          <w:sz w:val="24"/>
          <w:szCs w:val="24"/>
          <w:lang w:val="en-US"/>
        </w:rPr>
      </w:pPr>
      <w:r>
        <w:rPr>
          <w:rFonts w:ascii="Arial" w:hAnsi="Arial" w:cs="Arial"/>
          <w:sz w:val="24"/>
          <w:szCs w:val="24"/>
          <w:lang w:val="en-US"/>
        </w:rPr>
        <w:t xml:space="preserve">Reflective models give us a structure to follow and provides us with a starting point. I find the subheadings allows me to breakdown all levels of the situation. However as with everything there are limitations, the models imply that there must be steps to follow in a certain way. In the real world, you may not reflect on the situation in the order it happened, reflective practice is a continuous process and there is not a start and end as the models indicate. Self-reflection is not an easy process and there are always going to be barriers to why we are not able to reflect. </w:t>
      </w:r>
    </w:p>
    <w:p w14:paraId="017D0A54" w14:textId="24DF89CC" w:rsidR="007A40A0" w:rsidRDefault="000873C2" w:rsidP="00291994">
      <w:pPr>
        <w:spacing w:line="360" w:lineRule="auto"/>
        <w:rPr>
          <w:rFonts w:ascii="Arial" w:hAnsi="Arial" w:cs="Arial"/>
          <w:sz w:val="24"/>
          <w:szCs w:val="24"/>
        </w:rPr>
      </w:pPr>
      <w:r>
        <w:rPr>
          <w:rFonts w:ascii="Arial" w:hAnsi="Arial" w:cs="Arial"/>
          <w:sz w:val="24"/>
          <w:szCs w:val="24"/>
        </w:rPr>
        <w:t xml:space="preserve">It is clear to see that although when in work your main focus is to support the child like Amira, without taking time for yourself you will not be able to provide Amira with the support she requires as you are at risk of burnout. This could jeopardise the relationship you have built with Amira and could result in significant adverse outcomes for Amira resulting in her becoming more withdrawn and reluctant to participate in any interventions. </w:t>
      </w:r>
    </w:p>
    <w:p w14:paraId="7F22FCBF" w14:textId="77777777" w:rsidR="004672E6" w:rsidRDefault="004672E6" w:rsidP="00291994">
      <w:pPr>
        <w:spacing w:line="360" w:lineRule="auto"/>
        <w:rPr>
          <w:rFonts w:ascii="Arial" w:hAnsi="Arial" w:cs="Arial"/>
          <w:sz w:val="24"/>
          <w:szCs w:val="24"/>
        </w:rPr>
      </w:pPr>
    </w:p>
    <w:p w14:paraId="5123B43E" w14:textId="77777777" w:rsidR="004672E6" w:rsidRDefault="004672E6" w:rsidP="00291994">
      <w:pPr>
        <w:spacing w:line="360" w:lineRule="auto"/>
        <w:rPr>
          <w:rFonts w:ascii="Arial" w:hAnsi="Arial" w:cs="Arial"/>
          <w:sz w:val="24"/>
          <w:szCs w:val="24"/>
        </w:rPr>
      </w:pPr>
    </w:p>
    <w:p w14:paraId="19D4592A" w14:textId="77777777" w:rsidR="004672E6" w:rsidRDefault="004672E6" w:rsidP="00291994">
      <w:pPr>
        <w:spacing w:line="360" w:lineRule="auto"/>
        <w:rPr>
          <w:rFonts w:ascii="Arial" w:hAnsi="Arial" w:cs="Arial"/>
          <w:sz w:val="24"/>
          <w:szCs w:val="24"/>
        </w:rPr>
      </w:pPr>
    </w:p>
    <w:p w14:paraId="39CD06F7" w14:textId="77777777" w:rsidR="004672E6" w:rsidRDefault="004672E6" w:rsidP="00291994">
      <w:pPr>
        <w:spacing w:line="360" w:lineRule="auto"/>
        <w:rPr>
          <w:rFonts w:ascii="Arial" w:hAnsi="Arial" w:cs="Arial"/>
          <w:sz w:val="24"/>
          <w:szCs w:val="24"/>
        </w:rPr>
      </w:pPr>
    </w:p>
    <w:p w14:paraId="1CD78452" w14:textId="77777777" w:rsidR="004672E6" w:rsidRDefault="004672E6" w:rsidP="00291994">
      <w:pPr>
        <w:spacing w:line="360" w:lineRule="auto"/>
        <w:rPr>
          <w:rFonts w:ascii="Arial" w:hAnsi="Arial" w:cs="Arial"/>
          <w:sz w:val="24"/>
          <w:szCs w:val="24"/>
        </w:rPr>
      </w:pPr>
    </w:p>
    <w:p w14:paraId="66F628C7" w14:textId="77777777" w:rsidR="004672E6" w:rsidRDefault="004672E6" w:rsidP="00291994">
      <w:pPr>
        <w:spacing w:line="360" w:lineRule="auto"/>
        <w:rPr>
          <w:rFonts w:ascii="Arial" w:hAnsi="Arial" w:cs="Arial"/>
          <w:sz w:val="24"/>
          <w:szCs w:val="24"/>
        </w:rPr>
      </w:pPr>
    </w:p>
    <w:p w14:paraId="4B5851CF" w14:textId="5F965A22" w:rsidR="004672E6" w:rsidRPr="004672E6" w:rsidRDefault="004672E6" w:rsidP="004672E6">
      <w:pPr>
        <w:spacing w:after="0" w:line="480" w:lineRule="atLeast"/>
        <w:outlineLvl w:val="0"/>
        <w:rPr>
          <w:rFonts w:ascii="Times New Roman" w:eastAsia="Times New Roman" w:hAnsi="Times New Roman" w:cs="Times New Roman"/>
          <w:b/>
          <w:bCs/>
          <w:color w:val="000000"/>
          <w:kern w:val="36"/>
          <w:sz w:val="24"/>
          <w:szCs w:val="24"/>
          <w:lang w:eastAsia="en-GB"/>
          <w14:ligatures w14:val="none"/>
        </w:rPr>
      </w:pPr>
    </w:p>
    <w:p w14:paraId="164752B6"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i/>
          <w:iCs/>
          <w:color w:val="000000"/>
          <w:kern w:val="0"/>
          <w:sz w:val="24"/>
          <w:szCs w:val="24"/>
          <w:lang w:eastAsia="en-GB"/>
          <w14:ligatures w14:val="none"/>
        </w:rPr>
        <w:lastRenderedPageBreak/>
        <w:t>Adverse Childhood Experiences and their impact on health-harming behaviours in the Welsh adult population</w:t>
      </w:r>
      <w:r w:rsidRPr="004672E6">
        <w:rPr>
          <w:rFonts w:ascii="Times New Roman" w:eastAsia="Times New Roman" w:hAnsi="Times New Roman" w:cs="Times New Roman"/>
          <w:color w:val="000000"/>
          <w:kern w:val="0"/>
          <w:sz w:val="24"/>
          <w:szCs w:val="24"/>
          <w:lang w:eastAsia="en-GB"/>
          <w14:ligatures w14:val="none"/>
        </w:rPr>
        <w:t>. (2016). https://phw.nhs.wales/files/aces/aces-and-their-impact-on-health-harming-behaviours-in-the-welsh-adult-population-pdf/</w:t>
      </w:r>
    </w:p>
    <w:p w14:paraId="493CC1CB"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Anda, R. F., </w:t>
      </w:r>
      <w:proofErr w:type="spellStart"/>
      <w:r w:rsidRPr="004672E6">
        <w:rPr>
          <w:rFonts w:ascii="Times New Roman" w:eastAsia="Times New Roman" w:hAnsi="Times New Roman" w:cs="Times New Roman"/>
          <w:color w:val="000000"/>
          <w:kern w:val="0"/>
          <w:sz w:val="24"/>
          <w:szCs w:val="24"/>
          <w:lang w:eastAsia="en-GB"/>
          <w14:ligatures w14:val="none"/>
        </w:rPr>
        <w:t>Felitti</w:t>
      </w:r>
      <w:proofErr w:type="spellEnd"/>
      <w:r w:rsidRPr="004672E6">
        <w:rPr>
          <w:rFonts w:ascii="Times New Roman" w:eastAsia="Times New Roman" w:hAnsi="Times New Roman" w:cs="Times New Roman"/>
          <w:color w:val="000000"/>
          <w:kern w:val="0"/>
          <w:sz w:val="24"/>
          <w:szCs w:val="24"/>
          <w:lang w:eastAsia="en-GB"/>
          <w14:ligatures w14:val="none"/>
        </w:rPr>
        <w:t xml:space="preserve">, V. J., </w:t>
      </w:r>
      <w:proofErr w:type="spellStart"/>
      <w:r w:rsidRPr="004672E6">
        <w:rPr>
          <w:rFonts w:ascii="Times New Roman" w:eastAsia="Times New Roman" w:hAnsi="Times New Roman" w:cs="Times New Roman"/>
          <w:color w:val="000000"/>
          <w:kern w:val="0"/>
          <w:sz w:val="24"/>
          <w:szCs w:val="24"/>
          <w:lang w:eastAsia="en-GB"/>
          <w14:ligatures w14:val="none"/>
        </w:rPr>
        <w:t>Bremner</w:t>
      </w:r>
      <w:proofErr w:type="spellEnd"/>
      <w:r w:rsidRPr="004672E6">
        <w:rPr>
          <w:rFonts w:ascii="Times New Roman" w:eastAsia="Times New Roman" w:hAnsi="Times New Roman" w:cs="Times New Roman"/>
          <w:color w:val="000000"/>
          <w:kern w:val="0"/>
          <w:sz w:val="24"/>
          <w:szCs w:val="24"/>
          <w:lang w:eastAsia="en-GB"/>
          <w14:ligatures w14:val="none"/>
        </w:rPr>
        <w:t>, J. D., Walker, J. D., Whitfield, Ch., Perry, B. D., Dube, Sh. R., &amp; Giles, W. H. (2006). The enduring effects of abuse and related adverse experiences in childhood. </w:t>
      </w:r>
      <w:r w:rsidRPr="004672E6">
        <w:rPr>
          <w:rFonts w:ascii="Times New Roman" w:eastAsia="Times New Roman" w:hAnsi="Times New Roman" w:cs="Times New Roman"/>
          <w:i/>
          <w:iCs/>
          <w:color w:val="000000"/>
          <w:kern w:val="0"/>
          <w:sz w:val="24"/>
          <w:szCs w:val="24"/>
          <w:lang w:eastAsia="en-GB"/>
          <w14:ligatures w14:val="none"/>
        </w:rPr>
        <w:t>European Archives of Psychiatry and Clinical Neuroscience</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256</w:t>
      </w:r>
      <w:r w:rsidRPr="004672E6">
        <w:rPr>
          <w:rFonts w:ascii="Times New Roman" w:eastAsia="Times New Roman" w:hAnsi="Times New Roman" w:cs="Times New Roman"/>
          <w:color w:val="000000"/>
          <w:kern w:val="0"/>
          <w:sz w:val="24"/>
          <w:szCs w:val="24"/>
          <w:lang w:eastAsia="en-GB"/>
          <w14:ligatures w14:val="none"/>
        </w:rPr>
        <w:t>(3), 174–186. https://doi.org/10.1007/s00406-005-0624-4</w:t>
      </w:r>
    </w:p>
    <w:p w14:paraId="3AE372FF"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Anopa, Y., McMahon, A. D., Conway, D. I., Ball, G. E., McIntosh, E., &amp; Macpherson, L. M. D. (2015). Improving Child Oral Health: Cost Analysis of a National Nursery Toothbrushing Programme. </w:t>
      </w:r>
      <w:proofErr w:type="spellStart"/>
      <w:r w:rsidRPr="004672E6">
        <w:rPr>
          <w:rFonts w:ascii="Times New Roman" w:eastAsia="Times New Roman" w:hAnsi="Times New Roman" w:cs="Times New Roman"/>
          <w:i/>
          <w:iCs/>
          <w:color w:val="000000"/>
          <w:kern w:val="0"/>
          <w:sz w:val="24"/>
          <w:szCs w:val="24"/>
          <w:lang w:eastAsia="en-GB"/>
          <w14:ligatures w14:val="none"/>
        </w:rPr>
        <w:t>PLoS</w:t>
      </w:r>
      <w:proofErr w:type="spellEnd"/>
      <w:r w:rsidRPr="004672E6">
        <w:rPr>
          <w:rFonts w:ascii="Times New Roman" w:eastAsia="Times New Roman" w:hAnsi="Times New Roman" w:cs="Times New Roman"/>
          <w:i/>
          <w:iCs/>
          <w:color w:val="000000"/>
          <w:kern w:val="0"/>
          <w:sz w:val="24"/>
          <w:szCs w:val="24"/>
          <w:lang w:eastAsia="en-GB"/>
          <w14:ligatures w14:val="none"/>
        </w:rPr>
        <w:t xml:space="preserve"> ONE</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10</w:t>
      </w:r>
      <w:r w:rsidRPr="004672E6">
        <w:rPr>
          <w:rFonts w:ascii="Times New Roman" w:eastAsia="Times New Roman" w:hAnsi="Times New Roman" w:cs="Times New Roman"/>
          <w:color w:val="000000"/>
          <w:kern w:val="0"/>
          <w:sz w:val="24"/>
          <w:szCs w:val="24"/>
          <w:lang w:eastAsia="en-GB"/>
          <w14:ligatures w14:val="none"/>
        </w:rPr>
        <w:t>(8). https://doi.org/10.1371/journal.pone.0136211</w:t>
      </w:r>
    </w:p>
    <w:p w14:paraId="42BF69D8"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proofErr w:type="spellStart"/>
      <w:r w:rsidRPr="004672E6">
        <w:rPr>
          <w:rFonts w:ascii="Times New Roman" w:eastAsia="Times New Roman" w:hAnsi="Times New Roman" w:cs="Times New Roman"/>
          <w:color w:val="000000"/>
          <w:kern w:val="0"/>
          <w:sz w:val="24"/>
          <w:szCs w:val="24"/>
          <w:lang w:eastAsia="en-GB"/>
          <w14:ligatures w14:val="none"/>
        </w:rPr>
        <w:t>Appelqvist-Schmidlechner</w:t>
      </w:r>
      <w:proofErr w:type="spellEnd"/>
      <w:r w:rsidRPr="004672E6">
        <w:rPr>
          <w:rFonts w:ascii="Times New Roman" w:eastAsia="Times New Roman" w:hAnsi="Times New Roman" w:cs="Times New Roman"/>
          <w:color w:val="000000"/>
          <w:kern w:val="0"/>
          <w:sz w:val="24"/>
          <w:szCs w:val="24"/>
          <w:lang w:eastAsia="en-GB"/>
          <w14:ligatures w14:val="none"/>
        </w:rPr>
        <w:t xml:space="preserve">, K., Heikkinen, R., </w:t>
      </w:r>
      <w:proofErr w:type="spellStart"/>
      <w:r w:rsidRPr="004672E6">
        <w:rPr>
          <w:rFonts w:ascii="Times New Roman" w:eastAsia="Times New Roman" w:hAnsi="Times New Roman" w:cs="Times New Roman"/>
          <w:color w:val="000000"/>
          <w:kern w:val="0"/>
          <w:sz w:val="24"/>
          <w:szCs w:val="24"/>
          <w:lang w:eastAsia="en-GB"/>
          <w14:ligatures w14:val="none"/>
        </w:rPr>
        <w:t>Vasankari</w:t>
      </w:r>
      <w:proofErr w:type="spellEnd"/>
      <w:r w:rsidRPr="004672E6">
        <w:rPr>
          <w:rFonts w:ascii="Times New Roman" w:eastAsia="Times New Roman" w:hAnsi="Times New Roman" w:cs="Times New Roman"/>
          <w:color w:val="000000"/>
          <w:kern w:val="0"/>
          <w:sz w:val="24"/>
          <w:szCs w:val="24"/>
          <w:lang w:eastAsia="en-GB"/>
          <w14:ligatures w14:val="none"/>
        </w:rPr>
        <w:t xml:space="preserve">, T., Virtanen, T., </w:t>
      </w:r>
      <w:proofErr w:type="spellStart"/>
      <w:r w:rsidRPr="004672E6">
        <w:rPr>
          <w:rFonts w:ascii="Times New Roman" w:eastAsia="Times New Roman" w:hAnsi="Times New Roman" w:cs="Times New Roman"/>
          <w:color w:val="000000"/>
          <w:kern w:val="0"/>
          <w:sz w:val="24"/>
          <w:szCs w:val="24"/>
          <w:lang w:eastAsia="en-GB"/>
          <w14:ligatures w14:val="none"/>
        </w:rPr>
        <w:t>Pihlainen</w:t>
      </w:r>
      <w:proofErr w:type="spellEnd"/>
      <w:r w:rsidRPr="004672E6">
        <w:rPr>
          <w:rFonts w:ascii="Times New Roman" w:eastAsia="Times New Roman" w:hAnsi="Times New Roman" w:cs="Times New Roman"/>
          <w:color w:val="000000"/>
          <w:kern w:val="0"/>
          <w:sz w:val="24"/>
          <w:szCs w:val="24"/>
          <w:lang w:eastAsia="en-GB"/>
          <w14:ligatures w14:val="none"/>
        </w:rPr>
        <w:t xml:space="preserve">, K., </w:t>
      </w:r>
      <w:proofErr w:type="spellStart"/>
      <w:r w:rsidRPr="004672E6">
        <w:rPr>
          <w:rFonts w:ascii="Times New Roman" w:eastAsia="Times New Roman" w:hAnsi="Times New Roman" w:cs="Times New Roman"/>
          <w:color w:val="000000"/>
          <w:kern w:val="0"/>
          <w:sz w:val="24"/>
          <w:szCs w:val="24"/>
          <w:lang w:eastAsia="en-GB"/>
          <w14:ligatures w14:val="none"/>
        </w:rPr>
        <w:t>Honkanen</w:t>
      </w:r>
      <w:proofErr w:type="spellEnd"/>
      <w:r w:rsidRPr="004672E6">
        <w:rPr>
          <w:rFonts w:ascii="Times New Roman" w:eastAsia="Times New Roman" w:hAnsi="Times New Roman" w:cs="Times New Roman"/>
          <w:color w:val="000000"/>
          <w:kern w:val="0"/>
          <w:sz w:val="24"/>
          <w:szCs w:val="24"/>
          <w:lang w:eastAsia="en-GB"/>
          <w14:ligatures w14:val="none"/>
        </w:rPr>
        <w:t xml:space="preserve">, T., </w:t>
      </w:r>
      <w:proofErr w:type="spellStart"/>
      <w:r w:rsidRPr="004672E6">
        <w:rPr>
          <w:rFonts w:ascii="Times New Roman" w:eastAsia="Times New Roman" w:hAnsi="Times New Roman" w:cs="Times New Roman"/>
          <w:color w:val="000000"/>
          <w:kern w:val="0"/>
          <w:sz w:val="24"/>
          <w:szCs w:val="24"/>
          <w:lang w:eastAsia="en-GB"/>
          <w14:ligatures w14:val="none"/>
        </w:rPr>
        <w:t>Kyröläinen</w:t>
      </w:r>
      <w:proofErr w:type="spellEnd"/>
      <w:r w:rsidRPr="004672E6">
        <w:rPr>
          <w:rFonts w:ascii="Times New Roman" w:eastAsia="Times New Roman" w:hAnsi="Times New Roman" w:cs="Times New Roman"/>
          <w:color w:val="000000"/>
          <w:kern w:val="0"/>
          <w:sz w:val="24"/>
          <w:szCs w:val="24"/>
          <w:lang w:eastAsia="en-GB"/>
          <w14:ligatures w14:val="none"/>
        </w:rPr>
        <w:t xml:space="preserve">, H., &amp; </w:t>
      </w:r>
      <w:proofErr w:type="spellStart"/>
      <w:r w:rsidRPr="004672E6">
        <w:rPr>
          <w:rFonts w:ascii="Times New Roman" w:eastAsia="Times New Roman" w:hAnsi="Times New Roman" w:cs="Times New Roman"/>
          <w:color w:val="000000"/>
          <w:kern w:val="0"/>
          <w:sz w:val="24"/>
          <w:szCs w:val="24"/>
          <w:lang w:eastAsia="en-GB"/>
          <w14:ligatures w14:val="none"/>
        </w:rPr>
        <w:t>Vaara</w:t>
      </w:r>
      <w:proofErr w:type="spellEnd"/>
      <w:r w:rsidRPr="004672E6">
        <w:rPr>
          <w:rFonts w:ascii="Times New Roman" w:eastAsia="Times New Roman" w:hAnsi="Times New Roman" w:cs="Times New Roman"/>
          <w:color w:val="000000"/>
          <w:kern w:val="0"/>
          <w:sz w:val="24"/>
          <w:szCs w:val="24"/>
          <w:lang w:eastAsia="en-GB"/>
          <w14:ligatures w14:val="none"/>
        </w:rPr>
        <w:t>, J. P. (2023). Relationships between psychosocial well-being and leisure time physical activity among 160.000 young Finnish men: a cross-sectional study during 2015–2021. </w:t>
      </w:r>
      <w:r w:rsidRPr="004672E6">
        <w:rPr>
          <w:rFonts w:ascii="Times New Roman" w:eastAsia="Times New Roman" w:hAnsi="Times New Roman" w:cs="Times New Roman"/>
          <w:i/>
          <w:iCs/>
          <w:color w:val="000000"/>
          <w:kern w:val="0"/>
          <w:sz w:val="24"/>
          <w:szCs w:val="24"/>
          <w:lang w:eastAsia="en-GB"/>
          <w14:ligatures w14:val="none"/>
        </w:rPr>
        <w:t>Archives of Public Health</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81</w:t>
      </w:r>
      <w:r w:rsidRPr="004672E6">
        <w:rPr>
          <w:rFonts w:ascii="Times New Roman" w:eastAsia="Times New Roman" w:hAnsi="Times New Roman" w:cs="Times New Roman"/>
          <w:color w:val="000000"/>
          <w:kern w:val="0"/>
          <w:sz w:val="24"/>
          <w:szCs w:val="24"/>
          <w:lang w:eastAsia="en-GB"/>
          <w14:ligatures w14:val="none"/>
        </w:rPr>
        <w:t>(1). https://doi.org/10.1186/s13690-023-01040-3</w:t>
      </w:r>
    </w:p>
    <w:p w14:paraId="444C48B4"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Avdibegovi, E., &amp; Brki, M. (2020). CHILD NEGLECT -CAUSES AND CONSEQUENCES. </w:t>
      </w:r>
      <w:proofErr w:type="spellStart"/>
      <w:r w:rsidRPr="004672E6">
        <w:rPr>
          <w:rFonts w:ascii="Times New Roman" w:eastAsia="Times New Roman" w:hAnsi="Times New Roman" w:cs="Times New Roman"/>
          <w:i/>
          <w:iCs/>
          <w:color w:val="000000"/>
          <w:kern w:val="0"/>
          <w:sz w:val="24"/>
          <w:szCs w:val="24"/>
          <w:lang w:eastAsia="en-GB"/>
          <w14:ligatures w14:val="none"/>
        </w:rPr>
        <w:t>Psychiatria</w:t>
      </w:r>
      <w:proofErr w:type="spellEnd"/>
      <w:r w:rsidRPr="004672E6">
        <w:rPr>
          <w:rFonts w:ascii="Times New Roman" w:eastAsia="Times New Roman" w:hAnsi="Times New Roman" w:cs="Times New Roman"/>
          <w:i/>
          <w:iCs/>
          <w:color w:val="000000"/>
          <w:kern w:val="0"/>
          <w:sz w:val="24"/>
          <w:szCs w:val="24"/>
          <w:lang w:eastAsia="en-GB"/>
          <w14:ligatures w14:val="none"/>
        </w:rPr>
        <w:t xml:space="preserve"> </w:t>
      </w:r>
      <w:proofErr w:type="spellStart"/>
      <w:r w:rsidRPr="004672E6">
        <w:rPr>
          <w:rFonts w:ascii="Times New Roman" w:eastAsia="Times New Roman" w:hAnsi="Times New Roman" w:cs="Times New Roman"/>
          <w:i/>
          <w:iCs/>
          <w:color w:val="000000"/>
          <w:kern w:val="0"/>
          <w:sz w:val="24"/>
          <w:szCs w:val="24"/>
          <w:lang w:eastAsia="en-GB"/>
          <w14:ligatures w14:val="none"/>
        </w:rPr>
        <w:t>Danubina</w:t>
      </w:r>
      <w:proofErr w:type="spellEnd"/>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32</w:t>
      </w:r>
      <w:r w:rsidRPr="004672E6">
        <w:rPr>
          <w:rFonts w:ascii="Times New Roman" w:eastAsia="Times New Roman" w:hAnsi="Times New Roman" w:cs="Times New Roman"/>
          <w:color w:val="000000"/>
          <w:kern w:val="0"/>
          <w:sz w:val="24"/>
          <w:szCs w:val="24"/>
          <w:lang w:eastAsia="en-GB"/>
          <w14:ligatures w14:val="none"/>
        </w:rPr>
        <w:t>(3), 337–342. https://hrcak.srce.hr/file/381812</w:t>
      </w:r>
    </w:p>
    <w:p w14:paraId="3D8DF4F0"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proofErr w:type="spellStart"/>
      <w:r w:rsidRPr="004672E6">
        <w:rPr>
          <w:rFonts w:ascii="Times New Roman" w:eastAsia="Times New Roman" w:hAnsi="Times New Roman" w:cs="Times New Roman"/>
          <w:color w:val="000000"/>
          <w:kern w:val="0"/>
          <w:sz w:val="24"/>
          <w:szCs w:val="24"/>
          <w:lang w:eastAsia="en-GB"/>
          <w14:ligatures w14:val="none"/>
        </w:rPr>
        <w:t>Baylin</w:t>
      </w:r>
      <w:proofErr w:type="spellEnd"/>
      <w:r w:rsidRPr="004672E6">
        <w:rPr>
          <w:rFonts w:ascii="Times New Roman" w:eastAsia="Times New Roman" w:hAnsi="Times New Roman" w:cs="Times New Roman"/>
          <w:color w:val="000000"/>
          <w:kern w:val="0"/>
          <w:sz w:val="24"/>
          <w:szCs w:val="24"/>
          <w:lang w:eastAsia="en-GB"/>
          <w14:ligatures w14:val="none"/>
        </w:rPr>
        <w:t>, J., &amp; Hughes, D. A. (2016). </w:t>
      </w:r>
      <w:r w:rsidRPr="004672E6">
        <w:rPr>
          <w:rFonts w:ascii="Times New Roman" w:eastAsia="Times New Roman" w:hAnsi="Times New Roman" w:cs="Times New Roman"/>
          <w:i/>
          <w:iCs/>
          <w:color w:val="000000"/>
          <w:kern w:val="0"/>
          <w:sz w:val="24"/>
          <w:szCs w:val="24"/>
          <w:lang w:eastAsia="en-GB"/>
          <w14:ligatures w14:val="none"/>
        </w:rPr>
        <w:t>The Neurobiology of Attachment-Focused Therapy: Enhancing Connection &amp; Trust in the Treatment of Children &amp; Adolescents (Norton Series on Interpersonal Neurobiology)</w:t>
      </w:r>
      <w:r w:rsidRPr="004672E6">
        <w:rPr>
          <w:rFonts w:ascii="Times New Roman" w:eastAsia="Times New Roman" w:hAnsi="Times New Roman" w:cs="Times New Roman"/>
          <w:color w:val="000000"/>
          <w:kern w:val="0"/>
          <w:sz w:val="24"/>
          <w:szCs w:val="24"/>
          <w:lang w:eastAsia="en-GB"/>
          <w14:ligatures w14:val="none"/>
        </w:rPr>
        <w:t>. W. W. Norton &amp; Company.</w:t>
      </w:r>
    </w:p>
    <w:p w14:paraId="09FA62F9"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Blodgett, C., &amp; Lanigan, J. D. (2018). The association between adverse childhood experience (ACE) and school success in elementary school children. </w:t>
      </w:r>
      <w:r w:rsidRPr="004672E6">
        <w:rPr>
          <w:rFonts w:ascii="Times New Roman" w:eastAsia="Times New Roman" w:hAnsi="Times New Roman" w:cs="Times New Roman"/>
          <w:i/>
          <w:iCs/>
          <w:color w:val="000000"/>
          <w:kern w:val="0"/>
          <w:sz w:val="24"/>
          <w:szCs w:val="24"/>
          <w:lang w:eastAsia="en-GB"/>
          <w14:ligatures w14:val="none"/>
        </w:rPr>
        <w:t>School Psychology Quarterly</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33</w:t>
      </w:r>
      <w:r w:rsidRPr="004672E6">
        <w:rPr>
          <w:rFonts w:ascii="Times New Roman" w:eastAsia="Times New Roman" w:hAnsi="Times New Roman" w:cs="Times New Roman"/>
          <w:color w:val="000000"/>
          <w:kern w:val="0"/>
          <w:sz w:val="24"/>
          <w:szCs w:val="24"/>
          <w:lang w:eastAsia="en-GB"/>
          <w14:ligatures w14:val="none"/>
        </w:rPr>
        <w:t>(1), 137–146. https://doi.org/10.1037/spq0000256</w:t>
      </w:r>
    </w:p>
    <w:p w14:paraId="65B39E61"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Blumenthal, A. (2015). </w:t>
      </w:r>
      <w:r w:rsidRPr="004672E6">
        <w:rPr>
          <w:rFonts w:ascii="Times New Roman" w:eastAsia="Times New Roman" w:hAnsi="Times New Roman" w:cs="Times New Roman"/>
          <w:i/>
          <w:iCs/>
          <w:color w:val="000000"/>
          <w:kern w:val="0"/>
          <w:sz w:val="24"/>
          <w:szCs w:val="24"/>
          <w:lang w:eastAsia="en-GB"/>
          <w14:ligatures w14:val="none"/>
        </w:rPr>
        <w:t>Child Neglect I: Scope, Consequences, and Risk and Protective Factors</w:t>
      </w:r>
      <w:r w:rsidRPr="004672E6">
        <w:rPr>
          <w:rFonts w:ascii="Times New Roman" w:eastAsia="Times New Roman" w:hAnsi="Times New Roman" w:cs="Times New Roman"/>
          <w:color w:val="000000"/>
          <w:kern w:val="0"/>
          <w:sz w:val="24"/>
          <w:szCs w:val="24"/>
          <w:lang w:eastAsia="en-GB"/>
          <w14:ligatures w14:val="none"/>
        </w:rPr>
        <w:t>. https://cwrp.ca/sites/default/files/publications/Child%20Neglect%20I%20Scope%2C%20Consequences%2C%20And%20Risk%20And%20Protective%20Factors.pdf</w:t>
      </w:r>
    </w:p>
    <w:p w14:paraId="36CFEAB9"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Bruner, J. S. (1972). Nature and uses of immaturity. </w:t>
      </w:r>
      <w:r w:rsidRPr="004672E6">
        <w:rPr>
          <w:rFonts w:ascii="Times New Roman" w:eastAsia="Times New Roman" w:hAnsi="Times New Roman" w:cs="Times New Roman"/>
          <w:i/>
          <w:iCs/>
          <w:color w:val="000000"/>
          <w:kern w:val="0"/>
          <w:sz w:val="24"/>
          <w:szCs w:val="24"/>
          <w:lang w:eastAsia="en-GB"/>
          <w14:ligatures w14:val="none"/>
        </w:rPr>
        <w:t>American Psychologist</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27</w:t>
      </w:r>
      <w:r w:rsidRPr="004672E6">
        <w:rPr>
          <w:rFonts w:ascii="Times New Roman" w:eastAsia="Times New Roman" w:hAnsi="Times New Roman" w:cs="Times New Roman"/>
          <w:color w:val="000000"/>
          <w:kern w:val="0"/>
          <w:sz w:val="24"/>
          <w:szCs w:val="24"/>
          <w:lang w:eastAsia="en-GB"/>
          <w14:ligatures w14:val="none"/>
        </w:rPr>
        <w:t>(8), 687–708. https://doi.org/10.1037/h0033144</w:t>
      </w:r>
    </w:p>
    <w:p w14:paraId="616C7BDE"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lastRenderedPageBreak/>
        <w:t>CDC. (2019). </w:t>
      </w:r>
      <w:r w:rsidRPr="004672E6">
        <w:rPr>
          <w:rFonts w:ascii="Times New Roman" w:eastAsia="Times New Roman" w:hAnsi="Times New Roman" w:cs="Times New Roman"/>
          <w:i/>
          <w:iCs/>
          <w:color w:val="000000"/>
          <w:kern w:val="0"/>
          <w:sz w:val="24"/>
          <w:szCs w:val="24"/>
          <w:lang w:eastAsia="en-GB"/>
          <w14:ligatures w14:val="none"/>
        </w:rPr>
        <w:t xml:space="preserve">Child Abuse and Neglect </w:t>
      </w:r>
      <w:proofErr w:type="spellStart"/>
      <w:r w:rsidRPr="004672E6">
        <w:rPr>
          <w:rFonts w:ascii="Times New Roman" w:eastAsia="Times New Roman" w:hAnsi="Times New Roman" w:cs="Times New Roman"/>
          <w:i/>
          <w:iCs/>
          <w:color w:val="000000"/>
          <w:kern w:val="0"/>
          <w:sz w:val="24"/>
          <w:szCs w:val="24"/>
          <w:lang w:eastAsia="en-GB"/>
          <w14:ligatures w14:val="none"/>
        </w:rPr>
        <w:t>Prevention|Violence</w:t>
      </w:r>
      <w:proofErr w:type="spellEnd"/>
      <w:r w:rsidRPr="004672E6">
        <w:rPr>
          <w:rFonts w:ascii="Times New Roman" w:eastAsia="Times New Roman" w:hAnsi="Times New Roman" w:cs="Times New Roman"/>
          <w:i/>
          <w:iCs/>
          <w:color w:val="000000"/>
          <w:kern w:val="0"/>
          <w:sz w:val="24"/>
          <w:szCs w:val="24"/>
          <w:lang w:eastAsia="en-GB"/>
          <w14:ligatures w14:val="none"/>
        </w:rPr>
        <w:t xml:space="preserve"> </w:t>
      </w:r>
      <w:proofErr w:type="spellStart"/>
      <w:r w:rsidRPr="004672E6">
        <w:rPr>
          <w:rFonts w:ascii="Times New Roman" w:eastAsia="Times New Roman" w:hAnsi="Times New Roman" w:cs="Times New Roman"/>
          <w:i/>
          <w:iCs/>
          <w:color w:val="000000"/>
          <w:kern w:val="0"/>
          <w:sz w:val="24"/>
          <w:szCs w:val="24"/>
          <w:lang w:eastAsia="en-GB"/>
          <w14:ligatures w14:val="none"/>
        </w:rPr>
        <w:t>Prevention|Injury</w:t>
      </w:r>
      <w:proofErr w:type="spellEnd"/>
      <w:r w:rsidRPr="004672E6">
        <w:rPr>
          <w:rFonts w:ascii="Times New Roman" w:eastAsia="Times New Roman" w:hAnsi="Times New Roman" w:cs="Times New Roman"/>
          <w:i/>
          <w:iCs/>
          <w:color w:val="000000"/>
          <w:kern w:val="0"/>
          <w:sz w:val="24"/>
          <w:szCs w:val="24"/>
          <w:lang w:eastAsia="en-GB"/>
          <w14:ligatures w14:val="none"/>
        </w:rPr>
        <w:t xml:space="preserve"> </w:t>
      </w:r>
      <w:proofErr w:type="spellStart"/>
      <w:r w:rsidRPr="004672E6">
        <w:rPr>
          <w:rFonts w:ascii="Times New Roman" w:eastAsia="Times New Roman" w:hAnsi="Times New Roman" w:cs="Times New Roman"/>
          <w:i/>
          <w:iCs/>
          <w:color w:val="000000"/>
          <w:kern w:val="0"/>
          <w:sz w:val="24"/>
          <w:szCs w:val="24"/>
          <w:lang w:eastAsia="en-GB"/>
          <w14:ligatures w14:val="none"/>
        </w:rPr>
        <w:t>Center|CDC</w:t>
      </w:r>
      <w:proofErr w:type="spellEnd"/>
      <w:r w:rsidRPr="004672E6">
        <w:rPr>
          <w:rFonts w:ascii="Times New Roman" w:eastAsia="Times New Roman" w:hAnsi="Times New Roman" w:cs="Times New Roman"/>
          <w:color w:val="000000"/>
          <w:kern w:val="0"/>
          <w:sz w:val="24"/>
          <w:szCs w:val="24"/>
          <w:lang w:eastAsia="en-GB"/>
          <w14:ligatures w14:val="none"/>
        </w:rPr>
        <w:t>. Child Abuse and Neglect Prevention. https://www.cdc.gov/violenceprevention/childabuseandneglect/index.html</w:t>
      </w:r>
    </w:p>
    <w:p w14:paraId="19D8EA7D"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i/>
          <w:iCs/>
          <w:color w:val="000000"/>
          <w:kern w:val="0"/>
          <w:sz w:val="24"/>
          <w:szCs w:val="24"/>
          <w:lang w:eastAsia="en-GB"/>
          <w14:ligatures w14:val="none"/>
        </w:rPr>
        <w:t>Child Welfare Archives</w:t>
      </w:r>
      <w:r w:rsidRPr="004672E6">
        <w:rPr>
          <w:rFonts w:ascii="Times New Roman" w:eastAsia="Times New Roman" w:hAnsi="Times New Roman" w:cs="Times New Roman"/>
          <w:color w:val="000000"/>
          <w:kern w:val="0"/>
          <w:sz w:val="24"/>
          <w:szCs w:val="24"/>
          <w:lang w:eastAsia="en-GB"/>
          <w14:ligatures w14:val="none"/>
        </w:rPr>
        <w:t>. (2013). Child Trends. https://www.childtrends.org/research-topic/child-maltreatment-child-welfare</w:t>
      </w:r>
    </w:p>
    <w:p w14:paraId="31A87409"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Choi, J.-K., Wang, D., &amp; Jackson, A. P. (2019). Adverse experiences in early childhood and their longitudinal impact on later </w:t>
      </w:r>
      <w:proofErr w:type="spellStart"/>
      <w:r w:rsidRPr="004672E6">
        <w:rPr>
          <w:rFonts w:ascii="Times New Roman" w:eastAsia="Times New Roman" w:hAnsi="Times New Roman" w:cs="Times New Roman"/>
          <w:color w:val="000000"/>
          <w:kern w:val="0"/>
          <w:sz w:val="24"/>
          <w:szCs w:val="24"/>
          <w:lang w:eastAsia="en-GB"/>
          <w14:ligatures w14:val="none"/>
        </w:rPr>
        <w:t>behavioral</w:t>
      </w:r>
      <w:proofErr w:type="spellEnd"/>
      <w:r w:rsidRPr="004672E6">
        <w:rPr>
          <w:rFonts w:ascii="Times New Roman" w:eastAsia="Times New Roman" w:hAnsi="Times New Roman" w:cs="Times New Roman"/>
          <w:color w:val="000000"/>
          <w:kern w:val="0"/>
          <w:sz w:val="24"/>
          <w:szCs w:val="24"/>
          <w:lang w:eastAsia="en-GB"/>
          <w14:ligatures w14:val="none"/>
        </w:rPr>
        <w:t xml:space="preserve"> problems of children living in poverty. </w:t>
      </w:r>
      <w:r w:rsidRPr="004672E6">
        <w:rPr>
          <w:rFonts w:ascii="Times New Roman" w:eastAsia="Times New Roman" w:hAnsi="Times New Roman" w:cs="Times New Roman"/>
          <w:i/>
          <w:iCs/>
          <w:color w:val="000000"/>
          <w:kern w:val="0"/>
          <w:sz w:val="24"/>
          <w:szCs w:val="24"/>
          <w:lang w:eastAsia="en-GB"/>
          <w14:ligatures w14:val="none"/>
        </w:rPr>
        <w:t>Child Abuse &amp; Neglect</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98</w:t>
      </w:r>
      <w:r w:rsidRPr="004672E6">
        <w:rPr>
          <w:rFonts w:ascii="Times New Roman" w:eastAsia="Times New Roman" w:hAnsi="Times New Roman" w:cs="Times New Roman"/>
          <w:color w:val="000000"/>
          <w:kern w:val="0"/>
          <w:sz w:val="24"/>
          <w:szCs w:val="24"/>
          <w:lang w:eastAsia="en-GB"/>
          <w14:ligatures w14:val="none"/>
        </w:rPr>
        <w:t>(98), 104181. https://doi.org/10.1016/j.chiabu.2019.104181</w:t>
      </w:r>
    </w:p>
    <w:p w14:paraId="267840B5"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Clarkson Freeman, P. A. (2014). PREVALENCE AND RELATIONSHIP BETWEEN ADVERSE CHILDHOOD EXPERIENCES AND CHILD BEHAVIOR AMONG YOUNG CHILDREN. </w:t>
      </w:r>
      <w:r w:rsidRPr="004672E6">
        <w:rPr>
          <w:rFonts w:ascii="Times New Roman" w:eastAsia="Times New Roman" w:hAnsi="Times New Roman" w:cs="Times New Roman"/>
          <w:i/>
          <w:iCs/>
          <w:color w:val="000000"/>
          <w:kern w:val="0"/>
          <w:sz w:val="24"/>
          <w:szCs w:val="24"/>
          <w:lang w:eastAsia="en-GB"/>
          <w14:ligatures w14:val="none"/>
        </w:rPr>
        <w:t>Infant Mental Health Journal</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35</w:t>
      </w:r>
      <w:r w:rsidRPr="004672E6">
        <w:rPr>
          <w:rFonts w:ascii="Times New Roman" w:eastAsia="Times New Roman" w:hAnsi="Times New Roman" w:cs="Times New Roman"/>
          <w:color w:val="000000"/>
          <w:kern w:val="0"/>
          <w:sz w:val="24"/>
          <w:szCs w:val="24"/>
          <w:lang w:eastAsia="en-GB"/>
          <w14:ligatures w14:val="none"/>
        </w:rPr>
        <w:t>(6), 544–554. https://doi.org/10.1002/imhj.21460</w:t>
      </w:r>
    </w:p>
    <w:p w14:paraId="6E572582"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Colman, R. A., &amp; Widom, C. S. (2004). Childhood abuse and neglect and adult intimate relationships: a prospective study. </w:t>
      </w:r>
      <w:r w:rsidRPr="004672E6">
        <w:rPr>
          <w:rFonts w:ascii="Times New Roman" w:eastAsia="Times New Roman" w:hAnsi="Times New Roman" w:cs="Times New Roman"/>
          <w:i/>
          <w:iCs/>
          <w:color w:val="000000"/>
          <w:kern w:val="0"/>
          <w:sz w:val="24"/>
          <w:szCs w:val="24"/>
          <w:lang w:eastAsia="en-GB"/>
          <w14:ligatures w14:val="none"/>
        </w:rPr>
        <w:t>Child Abuse &amp; Neglect</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28</w:t>
      </w:r>
      <w:r w:rsidRPr="004672E6">
        <w:rPr>
          <w:rFonts w:ascii="Times New Roman" w:eastAsia="Times New Roman" w:hAnsi="Times New Roman" w:cs="Times New Roman"/>
          <w:color w:val="000000"/>
          <w:kern w:val="0"/>
          <w:sz w:val="24"/>
          <w:szCs w:val="24"/>
          <w:lang w:eastAsia="en-GB"/>
          <w14:ligatures w14:val="none"/>
        </w:rPr>
        <w:t>(11), 1133–1151. https://doi.org/10.1016/j.chiabu.2004.02.005</w:t>
      </w:r>
    </w:p>
    <w:p w14:paraId="2046F08D"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Crane, M. F., Searle, B. J., Kangas, M., &amp; </w:t>
      </w:r>
      <w:proofErr w:type="spellStart"/>
      <w:r w:rsidRPr="004672E6">
        <w:rPr>
          <w:rFonts w:ascii="Times New Roman" w:eastAsia="Times New Roman" w:hAnsi="Times New Roman" w:cs="Times New Roman"/>
          <w:color w:val="000000"/>
          <w:kern w:val="0"/>
          <w:sz w:val="24"/>
          <w:szCs w:val="24"/>
          <w:lang w:eastAsia="en-GB"/>
          <w14:ligatures w14:val="none"/>
        </w:rPr>
        <w:t>Nwiran</w:t>
      </w:r>
      <w:proofErr w:type="spellEnd"/>
      <w:r w:rsidRPr="004672E6">
        <w:rPr>
          <w:rFonts w:ascii="Times New Roman" w:eastAsia="Times New Roman" w:hAnsi="Times New Roman" w:cs="Times New Roman"/>
          <w:color w:val="000000"/>
          <w:kern w:val="0"/>
          <w:sz w:val="24"/>
          <w:szCs w:val="24"/>
          <w:lang w:eastAsia="en-GB"/>
          <w14:ligatures w14:val="none"/>
        </w:rPr>
        <w:t>, Y. (2018). How resilience is strengthened by exposure to stressors: the systematic self-reflection model of resilience strengthening. </w:t>
      </w:r>
      <w:r w:rsidRPr="004672E6">
        <w:rPr>
          <w:rFonts w:ascii="Times New Roman" w:eastAsia="Times New Roman" w:hAnsi="Times New Roman" w:cs="Times New Roman"/>
          <w:i/>
          <w:iCs/>
          <w:color w:val="000000"/>
          <w:kern w:val="0"/>
          <w:sz w:val="24"/>
          <w:szCs w:val="24"/>
          <w:lang w:eastAsia="en-GB"/>
          <w14:ligatures w14:val="none"/>
        </w:rPr>
        <w:t>Anxiety, Stress, &amp; Coping</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32</w:t>
      </w:r>
      <w:r w:rsidRPr="004672E6">
        <w:rPr>
          <w:rFonts w:ascii="Times New Roman" w:eastAsia="Times New Roman" w:hAnsi="Times New Roman" w:cs="Times New Roman"/>
          <w:color w:val="000000"/>
          <w:kern w:val="0"/>
          <w:sz w:val="24"/>
          <w:szCs w:val="24"/>
          <w:lang w:eastAsia="en-GB"/>
          <w14:ligatures w14:val="none"/>
        </w:rPr>
        <w:t>(1), 1–17. https://doi.org/10.1080/10615806.2018.1506640</w:t>
      </w:r>
    </w:p>
    <w:p w14:paraId="5C872285"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Cyr, C., </w:t>
      </w:r>
      <w:proofErr w:type="spellStart"/>
      <w:r w:rsidRPr="004672E6">
        <w:rPr>
          <w:rFonts w:ascii="Times New Roman" w:eastAsia="Times New Roman" w:hAnsi="Times New Roman" w:cs="Times New Roman"/>
          <w:color w:val="000000"/>
          <w:kern w:val="0"/>
          <w:sz w:val="24"/>
          <w:szCs w:val="24"/>
          <w:lang w:eastAsia="en-GB"/>
          <w14:ligatures w14:val="none"/>
        </w:rPr>
        <w:t>Euser</w:t>
      </w:r>
      <w:proofErr w:type="spellEnd"/>
      <w:r w:rsidRPr="004672E6">
        <w:rPr>
          <w:rFonts w:ascii="Times New Roman" w:eastAsia="Times New Roman" w:hAnsi="Times New Roman" w:cs="Times New Roman"/>
          <w:color w:val="000000"/>
          <w:kern w:val="0"/>
          <w:sz w:val="24"/>
          <w:szCs w:val="24"/>
          <w:lang w:eastAsia="en-GB"/>
          <w14:ligatures w14:val="none"/>
        </w:rPr>
        <w:t xml:space="preserve">, E. M., </w:t>
      </w:r>
      <w:proofErr w:type="spellStart"/>
      <w:r w:rsidRPr="004672E6">
        <w:rPr>
          <w:rFonts w:ascii="Times New Roman" w:eastAsia="Times New Roman" w:hAnsi="Times New Roman" w:cs="Times New Roman"/>
          <w:color w:val="000000"/>
          <w:kern w:val="0"/>
          <w:sz w:val="24"/>
          <w:szCs w:val="24"/>
          <w:lang w:eastAsia="en-GB"/>
          <w14:ligatures w14:val="none"/>
        </w:rPr>
        <w:t>Bakermans-Kranenburg</w:t>
      </w:r>
      <w:proofErr w:type="spellEnd"/>
      <w:r w:rsidRPr="004672E6">
        <w:rPr>
          <w:rFonts w:ascii="Times New Roman" w:eastAsia="Times New Roman" w:hAnsi="Times New Roman" w:cs="Times New Roman"/>
          <w:color w:val="000000"/>
          <w:kern w:val="0"/>
          <w:sz w:val="24"/>
          <w:szCs w:val="24"/>
          <w:lang w:eastAsia="en-GB"/>
          <w14:ligatures w14:val="none"/>
        </w:rPr>
        <w:t xml:space="preserve">, M. J., &amp; Van </w:t>
      </w:r>
      <w:proofErr w:type="spellStart"/>
      <w:r w:rsidRPr="004672E6">
        <w:rPr>
          <w:rFonts w:ascii="Times New Roman" w:eastAsia="Times New Roman" w:hAnsi="Times New Roman" w:cs="Times New Roman"/>
          <w:color w:val="000000"/>
          <w:kern w:val="0"/>
          <w:sz w:val="24"/>
          <w:szCs w:val="24"/>
          <w:lang w:eastAsia="en-GB"/>
          <w14:ligatures w14:val="none"/>
        </w:rPr>
        <w:t>Ijzendoorn</w:t>
      </w:r>
      <w:proofErr w:type="spellEnd"/>
      <w:r w:rsidRPr="004672E6">
        <w:rPr>
          <w:rFonts w:ascii="Times New Roman" w:eastAsia="Times New Roman" w:hAnsi="Times New Roman" w:cs="Times New Roman"/>
          <w:color w:val="000000"/>
          <w:kern w:val="0"/>
          <w:sz w:val="24"/>
          <w:szCs w:val="24"/>
          <w:lang w:eastAsia="en-GB"/>
          <w14:ligatures w14:val="none"/>
        </w:rPr>
        <w:t>, M. H. (2010). Attachment security and disorganization in maltreating and high-risk families: A series of meta-analyses. </w:t>
      </w:r>
      <w:r w:rsidRPr="004672E6">
        <w:rPr>
          <w:rFonts w:ascii="Times New Roman" w:eastAsia="Times New Roman" w:hAnsi="Times New Roman" w:cs="Times New Roman"/>
          <w:i/>
          <w:iCs/>
          <w:color w:val="000000"/>
          <w:kern w:val="0"/>
          <w:sz w:val="24"/>
          <w:szCs w:val="24"/>
          <w:lang w:eastAsia="en-GB"/>
          <w14:ligatures w14:val="none"/>
        </w:rPr>
        <w:t>Development and Psychopathology</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22</w:t>
      </w:r>
      <w:r w:rsidRPr="004672E6">
        <w:rPr>
          <w:rFonts w:ascii="Times New Roman" w:eastAsia="Times New Roman" w:hAnsi="Times New Roman" w:cs="Times New Roman"/>
          <w:color w:val="000000"/>
          <w:kern w:val="0"/>
          <w:sz w:val="24"/>
          <w:szCs w:val="24"/>
          <w:lang w:eastAsia="en-GB"/>
          <w14:ligatures w14:val="none"/>
        </w:rPr>
        <w:t>(1), 87–108. https://doi.org/10.1017/s0954579409990289</w:t>
      </w:r>
    </w:p>
    <w:p w14:paraId="4744253A"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Daniel, B., Taylor, J., &amp; Scott, J. (2011). </w:t>
      </w:r>
      <w:r w:rsidRPr="004672E6">
        <w:rPr>
          <w:rFonts w:ascii="Times New Roman" w:eastAsia="Times New Roman" w:hAnsi="Times New Roman" w:cs="Times New Roman"/>
          <w:i/>
          <w:iCs/>
          <w:color w:val="000000"/>
          <w:kern w:val="0"/>
          <w:sz w:val="24"/>
          <w:szCs w:val="24"/>
          <w:lang w:eastAsia="en-GB"/>
          <w14:ligatures w14:val="none"/>
        </w:rPr>
        <w:t xml:space="preserve">Recognizing and Helping the Neglected </w:t>
      </w:r>
      <w:proofErr w:type="gramStart"/>
      <w:r w:rsidRPr="004672E6">
        <w:rPr>
          <w:rFonts w:ascii="Times New Roman" w:eastAsia="Times New Roman" w:hAnsi="Times New Roman" w:cs="Times New Roman"/>
          <w:i/>
          <w:iCs/>
          <w:color w:val="000000"/>
          <w:kern w:val="0"/>
          <w:sz w:val="24"/>
          <w:szCs w:val="24"/>
          <w:lang w:eastAsia="en-GB"/>
          <w14:ligatures w14:val="none"/>
        </w:rPr>
        <w:t>Child :</w:t>
      </w:r>
      <w:proofErr w:type="gramEnd"/>
      <w:r w:rsidRPr="004672E6">
        <w:rPr>
          <w:rFonts w:ascii="Times New Roman" w:eastAsia="Times New Roman" w:hAnsi="Times New Roman" w:cs="Times New Roman"/>
          <w:i/>
          <w:iCs/>
          <w:color w:val="000000"/>
          <w:kern w:val="0"/>
          <w:sz w:val="24"/>
          <w:szCs w:val="24"/>
          <w:lang w:eastAsia="en-GB"/>
          <w14:ligatures w14:val="none"/>
        </w:rPr>
        <w:t xml:space="preserve"> Evidence-Based Practice for Assessment and Intervention</w:t>
      </w:r>
      <w:r w:rsidRPr="004672E6">
        <w:rPr>
          <w:rFonts w:ascii="Times New Roman" w:eastAsia="Times New Roman" w:hAnsi="Times New Roman" w:cs="Times New Roman"/>
          <w:color w:val="000000"/>
          <w:kern w:val="0"/>
          <w:sz w:val="24"/>
          <w:szCs w:val="24"/>
          <w:lang w:eastAsia="en-GB"/>
          <w14:ligatures w14:val="none"/>
        </w:rPr>
        <w:t>. Jessica Kingsley Publishers.</w:t>
      </w:r>
    </w:p>
    <w:p w14:paraId="1C5504E7"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Diamant, L. (1991). </w:t>
      </w:r>
      <w:r w:rsidRPr="004672E6">
        <w:rPr>
          <w:rFonts w:ascii="Times New Roman" w:eastAsia="Times New Roman" w:hAnsi="Times New Roman" w:cs="Times New Roman"/>
          <w:i/>
          <w:iCs/>
          <w:color w:val="000000"/>
          <w:kern w:val="0"/>
          <w:sz w:val="24"/>
          <w:szCs w:val="24"/>
          <w:lang w:eastAsia="en-GB"/>
          <w14:ligatures w14:val="none"/>
        </w:rPr>
        <w:t xml:space="preserve">Psychology of sports, exercise, and </w:t>
      </w:r>
      <w:proofErr w:type="gramStart"/>
      <w:r w:rsidRPr="004672E6">
        <w:rPr>
          <w:rFonts w:ascii="Times New Roman" w:eastAsia="Times New Roman" w:hAnsi="Times New Roman" w:cs="Times New Roman"/>
          <w:i/>
          <w:iCs/>
          <w:color w:val="000000"/>
          <w:kern w:val="0"/>
          <w:sz w:val="24"/>
          <w:szCs w:val="24"/>
          <w:lang w:eastAsia="en-GB"/>
          <w14:ligatures w14:val="none"/>
        </w:rPr>
        <w:t>fitness :</w:t>
      </w:r>
      <w:proofErr w:type="gramEnd"/>
      <w:r w:rsidRPr="004672E6">
        <w:rPr>
          <w:rFonts w:ascii="Times New Roman" w:eastAsia="Times New Roman" w:hAnsi="Times New Roman" w:cs="Times New Roman"/>
          <w:i/>
          <w:iCs/>
          <w:color w:val="000000"/>
          <w:kern w:val="0"/>
          <w:sz w:val="24"/>
          <w:szCs w:val="24"/>
          <w:lang w:eastAsia="en-GB"/>
          <w14:ligatures w14:val="none"/>
        </w:rPr>
        <w:t xml:space="preserve"> social and personal issues</w:t>
      </w:r>
      <w:r w:rsidRPr="004672E6">
        <w:rPr>
          <w:rFonts w:ascii="Times New Roman" w:eastAsia="Times New Roman" w:hAnsi="Times New Roman" w:cs="Times New Roman"/>
          <w:color w:val="000000"/>
          <w:kern w:val="0"/>
          <w:sz w:val="24"/>
          <w:szCs w:val="24"/>
          <w:lang w:eastAsia="en-GB"/>
          <w14:ligatures w14:val="none"/>
        </w:rPr>
        <w:t>. Hemisphere Publ. Corp.</w:t>
      </w:r>
    </w:p>
    <w:p w14:paraId="04A9DBCD"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Dr Jan Smith. (2021). </w:t>
      </w:r>
      <w:r w:rsidRPr="004672E6">
        <w:rPr>
          <w:rFonts w:ascii="Times New Roman" w:eastAsia="Times New Roman" w:hAnsi="Times New Roman" w:cs="Times New Roman"/>
          <w:i/>
          <w:iCs/>
          <w:color w:val="000000"/>
          <w:kern w:val="0"/>
          <w:sz w:val="24"/>
          <w:szCs w:val="24"/>
          <w:lang w:eastAsia="en-GB"/>
          <w14:ligatures w14:val="none"/>
        </w:rPr>
        <w:t xml:space="preserve">NURTURING MATERNITY </w:t>
      </w:r>
      <w:proofErr w:type="gramStart"/>
      <w:r w:rsidRPr="004672E6">
        <w:rPr>
          <w:rFonts w:ascii="Times New Roman" w:eastAsia="Times New Roman" w:hAnsi="Times New Roman" w:cs="Times New Roman"/>
          <w:i/>
          <w:iCs/>
          <w:color w:val="000000"/>
          <w:kern w:val="0"/>
          <w:sz w:val="24"/>
          <w:szCs w:val="24"/>
          <w:lang w:eastAsia="en-GB"/>
          <w14:ligatures w14:val="none"/>
        </w:rPr>
        <w:t>STAFF :</w:t>
      </w:r>
      <w:proofErr w:type="gramEnd"/>
      <w:r w:rsidRPr="004672E6">
        <w:rPr>
          <w:rFonts w:ascii="Times New Roman" w:eastAsia="Times New Roman" w:hAnsi="Times New Roman" w:cs="Times New Roman"/>
          <w:i/>
          <w:iCs/>
          <w:color w:val="000000"/>
          <w:kern w:val="0"/>
          <w:sz w:val="24"/>
          <w:szCs w:val="24"/>
          <w:lang w:eastAsia="en-GB"/>
          <w14:ligatures w14:val="none"/>
        </w:rPr>
        <w:t xml:space="preserve"> how to tackle trauma, stress and burnout to create a positive working... culture in the </w:t>
      </w:r>
      <w:proofErr w:type="spellStart"/>
      <w:r w:rsidRPr="004672E6">
        <w:rPr>
          <w:rFonts w:ascii="Times New Roman" w:eastAsia="Times New Roman" w:hAnsi="Times New Roman" w:cs="Times New Roman"/>
          <w:i/>
          <w:iCs/>
          <w:color w:val="000000"/>
          <w:kern w:val="0"/>
          <w:sz w:val="24"/>
          <w:szCs w:val="24"/>
          <w:lang w:eastAsia="en-GB"/>
          <w14:ligatures w14:val="none"/>
        </w:rPr>
        <w:t>nhs</w:t>
      </w:r>
      <w:proofErr w:type="spellEnd"/>
      <w:r w:rsidRPr="004672E6">
        <w:rPr>
          <w:rFonts w:ascii="Times New Roman" w:eastAsia="Times New Roman" w:hAnsi="Times New Roman" w:cs="Times New Roman"/>
          <w:i/>
          <w:iCs/>
          <w:color w:val="000000"/>
          <w:kern w:val="0"/>
          <w:sz w:val="24"/>
          <w:szCs w:val="24"/>
          <w:lang w:eastAsia="en-GB"/>
          <w14:ligatures w14:val="none"/>
        </w:rPr>
        <w:t>.</w:t>
      </w:r>
      <w:r w:rsidRPr="004672E6">
        <w:rPr>
          <w:rFonts w:ascii="Times New Roman" w:eastAsia="Times New Roman" w:hAnsi="Times New Roman" w:cs="Times New Roman"/>
          <w:color w:val="000000"/>
          <w:kern w:val="0"/>
          <w:sz w:val="24"/>
          <w:szCs w:val="24"/>
          <w:lang w:eastAsia="en-GB"/>
          <w14:ligatures w14:val="none"/>
        </w:rPr>
        <w:t> </w:t>
      </w:r>
      <w:proofErr w:type="spellStart"/>
      <w:r w:rsidRPr="004672E6">
        <w:rPr>
          <w:rFonts w:ascii="Times New Roman" w:eastAsia="Times New Roman" w:hAnsi="Times New Roman" w:cs="Times New Roman"/>
          <w:color w:val="000000"/>
          <w:kern w:val="0"/>
          <w:sz w:val="24"/>
          <w:szCs w:val="24"/>
          <w:lang w:eastAsia="en-GB"/>
          <w14:ligatures w14:val="none"/>
        </w:rPr>
        <w:t>Yogawords</w:t>
      </w:r>
      <w:proofErr w:type="spellEnd"/>
      <w:r w:rsidRPr="004672E6">
        <w:rPr>
          <w:rFonts w:ascii="Times New Roman" w:eastAsia="Times New Roman" w:hAnsi="Times New Roman" w:cs="Times New Roman"/>
          <w:color w:val="000000"/>
          <w:kern w:val="0"/>
          <w:sz w:val="24"/>
          <w:szCs w:val="24"/>
          <w:lang w:eastAsia="en-GB"/>
          <w14:ligatures w14:val="none"/>
        </w:rPr>
        <w:t>.</w:t>
      </w:r>
    </w:p>
    <w:p w14:paraId="0361FEB3"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lastRenderedPageBreak/>
        <w:t xml:space="preserve">Egeland, B., Yates, T., Appleyard, K., &amp; van </w:t>
      </w:r>
      <w:proofErr w:type="spellStart"/>
      <w:r w:rsidRPr="004672E6">
        <w:rPr>
          <w:rFonts w:ascii="Times New Roman" w:eastAsia="Times New Roman" w:hAnsi="Times New Roman" w:cs="Times New Roman"/>
          <w:color w:val="000000"/>
          <w:kern w:val="0"/>
          <w:sz w:val="24"/>
          <w:szCs w:val="24"/>
          <w:lang w:eastAsia="en-GB"/>
          <w14:ligatures w14:val="none"/>
        </w:rPr>
        <w:t>Dulmen</w:t>
      </w:r>
      <w:proofErr w:type="spellEnd"/>
      <w:r w:rsidRPr="004672E6">
        <w:rPr>
          <w:rFonts w:ascii="Times New Roman" w:eastAsia="Times New Roman" w:hAnsi="Times New Roman" w:cs="Times New Roman"/>
          <w:color w:val="000000"/>
          <w:kern w:val="0"/>
          <w:sz w:val="24"/>
          <w:szCs w:val="24"/>
          <w:lang w:eastAsia="en-GB"/>
          <w14:ligatures w14:val="none"/>
        </w:rPr>
        <w:t xml:space="preserve">, M. (2002). The Long-Term Consequences of Maltreatment in the Early Years: A Developmental Pathway Model to Antisocial </w:t>
      </w:r>
      <w:proofErr w:type="spellStart"/>
      <w:r w:rsidRPr="004672E6">
        <w:rPr>
          <w:rFonts w:ascii="Times New Roman" w:eastAsia="Times New Roman" w:hAnsi="Times New Roman" w:cs="Times New Roman"/>
          <w:color w:val="000000"/>
          <w:kern w:val="0"/>
          <w:sz w:val="24"/>
          <w:szCs w:val="24"/>
          <w:lang w:eastAsia="en-GB"/>
          <w14:ligatures w14:val="none"/>
        </w:rPr>
        <w:t>Behavior</w:t>
      </w:r>
      <w:proofErr w:type="spellEnd"/>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Children’s Services</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5</w:t>
      </w:r>
      <w:r w:rsidRPr="004672E6">
        <w:rPr>
          <w:rFonts w:ascii="Times New Roman" w:eastAsia="Times New Roman" w:hAnsi="Times New Roman" w:cs="Times New Roman"/>
          <w:color w:val="000000"/>
          <w:kern w:val="0"/>
          <w:sz w:val="24"/>
          <w:szCs w:val="24"/>
          <w:lang w:eastAsia="en-GB"/>
          <w14:ligatures w14:val="none"/>
        </w:rPr>
        <w:t>(4), 249–260. https://doi.org/10.1207/s15326918cs0504_2</w:t>
      </w:r>
    </w:p>
    <w:p w14:paraId="6174C77B"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Evans, T. R., Burns, C., Essex, R., Finnerty, G., Hatton, E., Clements, A. J., </w:t>
      </w:r>
      <w:proofErr w:type="spellStart"/>
      <w:r w:rsidRPr="004672E6">
        <w:rPr>
          <w:rFonts w:ascii="Times New Roman" w:eastAsia="Times New Roman" w:hAnsi="Times New Roman" w:cs="Times New Roman"/>
          <w:color w:val="000000"/>
          <w:kern w:val="0"/>
          <w:sz w:val="24"/>
          <w:szCs w:val="24"/>
          <w:lang w:eastAsia="en-GB"/>
          <w14:ligatures w14:val="none"/>
        </w:rPr>
        <w:t>Breau</w:t>
      </w:r>
      <w:proofErr w:type="spellEnd"/>
      <w:r w:rsidRPr="004672E6">
        <w:rPr>
          <w:rFonts w:ascii="Times New Roman" w:eastAsia="Times New Roman" w:hAnsi="Times New Roman" w:cs="Times New Roman"/>
          <w:color w:val="000000"/>
          <w:kern w:val="0"/>
          <w:sz w:val="24"/>
          <w:szCs w:val="24"/>
          <w:lang w:eastAsia="en-GB"/>
          <w14:ligatures w14:val="none"/>
        </w:rPr>
        <w:t xml:space="preserve">, G., Quinn, F., Elliott, H., Smith, L. D., Matthews, B., Jennings, K., Crossman, J., Williams, G., Miller, D., Harold, B., </w:t>
      </w:r>
      <w:proofErr w:type="spellStart"/>
      <w:r w:rsidRPr="004672E6">
        <w:rPr>
          <w:rFonts w:ascii="Times New Roman" w:eastAsia="Times New Roman" w:hAnsi="Times New Roman" w:cs="Times New Roman"/>
          <w:color w:val="000000"/>
          <w:kern w:val="0"/>
          <w:sz w:val="24"/>
          <w:szCs w:val="24"/>
          <w:lang w:eastAsia="en-GB"/>
          <w14:ligatures w14:val="none"/>
        </w:rPr>
        <w:t>Gurnett</w:t>
      </w:r>
      <w:proofErr w:type="spellEnd"/>
      <w:r w:rsidRPr="004672E6">
        <w:rPr>
          <w:rFonts w:ascii="Times New Roman" w:eastAsia="Times New Roman" w:hAnsi="Times New Roman" w:cs="Times New Roman"/>
          <w:color w:val="000000"/>
          <w:kern w:val="0"/>
          <w:sz w:val="24"/>
          <w:szCs w:val="24"/>
          <w:lang w:eastAsia="en-GB"/>
          <w14:ligatures w14:val="none"/>
        </w:rPr>
        <w:t>, P., Jagodzinski, L., Smith, J., &amp; Milligan, W. (2023). A systematic scoping review on the evidence behind debriefing practices for the wellbeing/emotional outcomes of healthcare workers. </w:t>
      </w:r>
      <w:r w:rsidRPr="004672E6">
        <w:rPr>
          <w:rFonts w:ascii="Times New Roman" w:eastAsia="Times New Roman" w:hAnsi="Times New Roman" w:cs="Times New Roman"/>
          <w:i/>
          <w:iCs/>
          <w:color w:val="000000"/>
          <w:kern w:val="0"/>
          <w:sz w:val="24"/>
          <w:szCs w:val="24"/>
          <w:lang w:eastAsia="en-GB"/>
          <w14:ligatures w14:val="none"/>
        </w:rPr>
        <w:t>Frontiers in Psychiatry</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14</w:t>
      </w:r>
      <w:r w:rsidRPr="004672E6">
        <w:rPr>
          <w:rFonts w:ascii="Times New Roman" w:eastAsia="Times New Roman" w:hAnsi="Times New Roman" w:cs="Times New Roman"/>
          <w:color w:val="000000"/>
          <w:kern w:val="0"/>
          <w:sz w:val="24"/>
          <w:szCs w:val="24"/>
          <w:lang w:eastAsia="en-GB"/>
          <w14:ligatures w14:val="none"/>
        </w:rPr>
        <w:t>(1). https://doi.org/10.3389/fpsyt.2023.1078797</w:t>
      </w:r>
    </w:p>
    <w:p w14:paraId="5815AB33"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Figley, C. R. (2002). Compassion fatigue: Psychotherapists’ chronic lack of </w:t>
      </w:r>
      <w:proofErr w:type="spellStart"/>
      <w:r w:rsidRPr="004672E6">
        <w:rPr>
          <w:rFonts w:ascii="Times New Roman" w:eastAsia="Times New Roman" w:hAnsi="Times New Roman" w:cs="Times New Roman"/>
          <w:color w:val="000000"/>
          <w:kern w:val="0"/>
          <w:sz w:val="24"/>
          <w:szCs w:val="24"/>
          <w:lang w:eastAsia="en-GB"/>
          <w14:ligatures w14:val="none"/>
        </w:rPr>
        <w:t>self care</w:t>
      </w:r>
      <w:proofErr w:type="spellEnd"/>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Journal of Clinical Psychology</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58</w:t>
      </w:r>
      <w:r w:rsidRPr="004672E6">
        <w:rPr>
          <w:rFonts w:ascii="Times New Roman" w:eastAsia="Times New Roman" w:hAnsi="Times New Roman" w:cs="Times New Roman"/>
          <w:color w:val="000000"/>
          <w:kern w:val="0"/>
          <w:sz w:val="24"/>
          <w:szCs w:val="24"/>
          <w:lang w:eastAsia="en-GB"/>
          <w14:ligatures w14:val="none"/>
        </w:rPr>
        <w:t>(11), 1433–1441. https://doi.org/10.1002/jclp.10090</w:t>
      </w:r>
    </w:p>
    <w:p w14:paraId="5255A47C"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Figley, C. R. (2013). </w:t>
      </w:r>
      <w:r w:rsidRPr="004672E6">
        <w:rPr>
          <w:rFonts w:ascii="Times New Roman" w:eastAsia="Times New Roman" w:hAnsi="Times New Roman" w:cs="Times New Roman"/>
          <w:i/>
          <w:iCs/>
          <w:color w:val="000000"/>
          <w:kern w:val="0"/>
          <w:sz w:val="24"/>
          <w:szCs w:val="24"/>
          <w:lang w:eastAsia="en-GB"/>
          <w14:ligatures w14:val="none"/>
        </w:rPr>
        <w:t>Compassion Fatigue</w:t>
      </w:r>
      <w:r w:rsidRPr="004672E6">
        <w:rPr>
          <w:rFonts w:ascii="Times New Roman" w:eastAsia="Times New Roman" w:hAnsi="Times New Roman" w:cs="Times New Roman"/>
          <w:color w:val="000000"/>
          <w:kern w:val="0"/>
          <w:sz w:val="24"/>
          <w:szCs w:val="24"/>
          <w:lang w:eastAsia="en-GB"/>
          <w14:ligatures w14:val="none"/>
        </w:rPr>
        <w:t>. Routledge.</w:t>
      </w:r>
    </w:p>
    <w:p w14:paraId="3A940489"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Gilbert, R., Widom, C. S., Browne, K., Fergusson, D., Webb, E., &amp; Janson, S. (2009). Burden and consequences of child maltreatment in high-income countries. </w:t>
      </w:r>
      <w:r w:rsidRPr="004672E6">
        <w:rPr>
          <w:rFonts w:ascii="Times New Roman" w:eastAsia="Times New Roman" w:hAnsi="Times New Roman" w:cs="Times New Roman"/>
          <w:i/>
          <w:iCs/>
          <w:color w:val="000000"/>
          <w:kern w:val="0"/>
          <w:sz w:val="24"/>
          <w:szCs w:val="24"/>
          <w:lang w:eastAsia="en-GB"/>
          <w14:ligatures w14:val="none"/>
        </w:rPr>
        <w:t>The Lancet</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373</w:t>
      </w:r>
      <w:r w:rsidRPr="004672E6">
        <w:rPr>
          <w:rFonts w:ascii="Times New Roman" w:eastAsia="Times New Roman" w:hAnsi="Times New Roman" w:cs="Times New Roman"/>
          <w:color w:val="000000"/>
          <w:kern w:val="0"/>
          <w:sz w:val="24"/>
          <w:szCs w:val="24"/>
          <w:lang w:eastAsia="en-GB"/>
          <w14:ligatures w14:val="none"/>
        </w:rPr>
        <w:t>(9657), 68–81. https://doi.org/10.1016/s0140-6736(08)61706-7</w:t>
      </w:r>
    </w:p>
    <w:p w14:paraId="5B7ECD4A"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Hildyard, K. L., &amp; Wolfe, D. A. (2002). Child neglect: Developmental Issues and Outcomes. </w:t>
      </w:r>
      <w:r w:rsidRPr="004672E6">
        <w:rPr>
          <w:rFonts w:ascii="Times New Roman" w:eastAsia="Times New Roman" w:hAnsi="Times New Roman" w:cs="Times New Roman"/>
          <w:i/>
          <w:iCs/>
          <w:color w:val="000000"/>
          <w:kern w:val="0"/>
          <w:sz w:val="24"/>
          <w:szCs w:val="24"/>
          <w:lang w:eastAsia="en-GB"/>
          <w14:ligatures w14:val="none"/>
        </w:rPr>
        <w:t>Child Abuse &amp; Neglect</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26</w:t>
      </w:r>
      <w:r w:rsidRPr="004672E6">
        <w:rPr>
          <w:rFonts w:ascii="Times New Roman" w:eastAsia="Times New Roman" w:hAnsi="Times New Roman" w:cs="Times New Roman"/>
          <w:color w:val="000000"/>
          <w:kern w:val="0"/>
          <w:sz w:val="24"/>
          <w:szCs w:val="24"/>
          <w:lang w:eastAsia="en-GB"/>
          <w14:ligatures w14:val="none"/>
        </w:rPr>
        <w:t>(6-7), 679–695. https://doi.org/10.1016/s0145-2134(02)00341-1</w:t>
      </w:r>
    </w:p>
    <w:p w14:paraId="2A9681B3"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HM Government. (2023). </w:t>
      </w:r>
      <w:r w:rsidRPr="004672E6">
        <w:rPr>
          <w:rFonts w:ascii="Times New Roman" w:eastAsia="Times New Roman" w:hAnsi="Times New Roman" w:cs="Times New Roman"/>
          <w:i/>
          <w:iCs/>
          <w:color w:val="000000"/>
          <w:kern w:val="0"/>
          <w:sz w:val="24"/>
          <w:szCs w:val="24"/>
          <w:lang w:eastAsia="en-GB"/>
          <w14:ligatures w14:val="none"/>
        </w:rPr>
        <w:t>Working Together to Safeguard Children 2023</w:t>
      </w:r>
      <w:r w:rsidRPr="004672E6">
        <w:rPr>
          <w:rFonts w:ascii="Times New Roman" w:eastAsia="Times New Roman" w:hAnsi="Times New Roman" w:cs="Times New Roman"/>
          <w:color w:val="000000"/>
          <w:kern w:val="0"/>
          <w:sz w:val="24"/>
          <w:szCs w:val="24"/>
          <w:lang w:eastAsia="en-GB"/>
          <w14:ligatures w14:val="none"/>
        </w:rPr>
        <w:t>. https://assets.publishing.service.gov.uk/media/65803fe31c0c2a000d18cf40/Working_together_to_safeguard_children_2023_-_statutory_guidance.pdf</w:t>
      </w:r>
    </w:p>
    <w:p w14:paraId="6AFA867E"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Jaffee, S. R. (2017). Child Maltreatment and Risk for Psychopathology in Childhood and Adulthood. </w:t>
      </w:r>
      <w:r w:rsidRPr="004672E6">
        <w:rPr>
          <w:rFonts w:ascii="Times New Roman" w:eastAsia="Times New Roman" w:hAnsi="Times New Roman" w:cs="Times New Roman"/>
          <w:i/>
          <w:iCs/>
          <w:color w:val="000000"/>
          <w:kern w:val="0"/>
          <w:sz w:val="24"/>
          <w:szCs w:val="24"/>
          <w:lang w:eastAsia="en-GB"/>
          <w14:ligatures w14:val="none"/>
        </w:rPr>
        <w:t>Annual Review of Clinical Psychology</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13</w:t>
      </w:r>
      <w:r w:rsidRPr="004672E6">
        <w:rPr>
          <w:rFonts w:ascii="Times New Roman" w:eastAsia="Times New Roman" w:hAnsi="Times New Roman" w:cs="Times New Roman"/>
          <w:color w:val="000000"/>
          <w:kern w:val="0"/>
          <w:sz w:val="24"/>
          <w:szCs w:val="24"/>
          <w:lang w:eastAsia="en-GB"/>
          <w14:ligatures w14:val="none"/>
        </w:rPr>
        <w:t>(1), 525–551. https://doi.org/10.1146/annurev-clinpsy-032816-045005</w:t>
      </w:r>
    </w:p>
    <w:p w14:paraId="28068124"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proofErr w:type="spellStart"/>
      <w:r w:rsidRPr="004672E6">
        <w:rPr>
          <w:rFonts w:ascii="Times New Roman" w:eastAsia="Times New Roman" w:hAnsi="Times New Roman" w:cs="Times New Roman"/>
          <w:color w:val="000000"/>
          <w:kern w:val="0"/>
          <w:sz w:val="24"/>
          <w:szCs w:val="24"/>
          <w:lang w:eastAsia="en-GB"/>
          <w14:ligatures w14:val="none"/>
        </w:rPr>
        <w:t>Jangalapalli</w:t>
      </w:r>
      <w:proofErr w:type="spellEnd"/>
      <w:r w:rsidRPr="004672E6">
        <w:rPr>
          <w:rFonts w:ascii="Times New Roman" w:eastAsia="Times New Roman" w:hAnsi="Times New Roman" w:cs="Times New Roman"/>
          <w:color w:val="000000"/>
          <w:kern w:val="0"/>
          <w:sz w:val="24"/>
          <w:szCs w:val="24"/>
          <w:lang w:eastAsia="en-GB"/>
          <w14:ligatures w14:val="none"/>
        </w:rPr>
        <w:t xml:space="preserve">, A., </w:t>
      </w:r>
      <w:proofErr w:type="spellStart"/>
      <w:r w:rsidRPr="004672E6">
        <w:rPr>
          <w:rFonts w:ascii="Times New Roman" w:eastAsia="Times New Roman" w:hAnsi="Times New Roman" w:cs="Times New Roman"/>
          <w:color w:val="000000"/>
          <w:kern w:val="0"/>
          <w:sz w:val="24"/>
          <w:szCs w:val="24"/>
          <w:lang w:eastAsia="en-GB"/>
          <w14:ligatures w14:val="none"/>
        </w:rPr>
        <w:t>Buu</w:t>
      </w:r>
      <w:proofErr w:type="spellEnd"/>
      <w:r w:rsidRPr="004672E6">
        <w:rPr>
          <w:rFonts w:ascii="Times New Roman" w:eastAsia="Times New Roman" w:hAnsi="Times New Roman" w:cs="Times New Roman"/>
          <w:color w:val="000000"/>
          <w:kern w:val="0"/>
          <w:sz w:val="24"/>
          <w:szCs w:val="24"/>
          <w:lang w:eastAsia="en-GB"/>
          <w14:ligatures w14:val="none"/>
        </w:rPr>
        <w:t>, A., &amp; Zucker, R. (2009). </w:t>
      </w:r>
      <w:r w:rsidRPr="004672E6">
        <w:rPr>
          <w:rFonts w:ascii="Times New Roman" w:eastAsia="Times New Roman" w:hAnsi="Times New Roman" w:cs="Times New Roman"/>
          <w:i/>
          <w:iCs/>
          <w:color w:val="000000"/>
          <w:kern w:val="0"/>
          <w:sz w:val="24"/>
          <w:szCs w:val="24"/>
          <w:lang w:eastAsia="en-GB"/>
          <w14:ligatures w14:val="none"/>
        </w:rPr>
        <w:t>Children of Alcoholics 1 Running Head: CHILDREN OF ALCOHOLICS’ PHYSICAL HEALTH OUTCOMES Children of Alcoholics’ Physical Health Outcomes in Early Childhood</w:t>
      </w:r>
      <w:r w:rsidRPr="004672E6">
        <w:rPr>
          <w:rFonts w:ascii="Times New Roman" w:eastAsia="Times New Roman" w:hAnsi="Times New Roman" w:cs="Times New Roman"/>
          <w:color w:val="000000"/>
          <w:kern w:val="0"/>
          <w:sz w:val="24"/>
          <w:szCs w:val="24"/>
          <w:lang w:eastAsia="en-GB"/>
          <w14:ligatures w14:val="none"/>
        </w:rPr>
        <w:t>. https://deepblue.lib.umich.edu/bitstream/handle/2027.42/63925/jangalapalli_avanti_2009.pdf?sequence=1</w:t>
      </w:r>
    </w:p>
    <w:p w14:paraId="1C95152D"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lastRenderedPageBreak/>
        <w:t>Jasper, M., Rosser, M., &amp; Mooney, G. (2013). </w:t>
      </w:r>
      <w:r w:rsidRPr="004672E6">
        <w:rPr>
          <w:rFonts w:ascii="Times New Roman" w:eastAsia="Times New Roman" w:hAnsi="Times New Roman" w:cs="Times New Roman"/>
          <w:i/>
          <w:iCs/>
          <w:color w:val="000000"/>
          <w:kern w:val="0"/>
          <w:sz w:val="24"/>
          <w:szCs w:val="24"/>
          <w:lang w:eastAsia="en-GB"/>
          <w14:ligatures w14:val="none"/>
        </w:rPr>
        <w:t>Professional development, reflection and decision making.</w:t>
      </w:r>
      <w:r w:rsidRPr="004672E6">
        <w:rPr>
          <w:rFonts w:ascii="Times New Roman" w:eastAsia="Times New Roman" w:hAnsi="Times New Roman" w:cs="Times New Roman"/>
          <w:color w:val="000000"/>
          <w:kern w:val="0"/>
          <w:sz w:val="24"/>
          <w:szCs w:val="24"/>
          <w:lang w:eastAsia="en-GB"/>
          <w14:ligatures w14:val="none"/>
        </w:rPr>
        <w:t> John Wiley.</w:t>
      </w:r>
    </w:p>
    <w:p w14:paraId="1E5A23AF"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Keller, P. S., Cummings, E. M., Davies, P. T., &amp; Mitchell, P. M. (2008). Longitudinal relations between parental drinking problems, family functioning, and child adjustment. </w:t>
      </w:r>
      <w:r w:rsidRPr="004672E6">
        <w:rPr>
          <w:rFonts w:ascii="Times New Roman" w:eastAsia="Times New Roman" w:hAnsi="Times New Roman" w:cs="Times New Roman"/>
          <w:i/>
          <w:iCs/>
          <w:color w:val="000000"/>
          <w:kern w:val="0"/>
          <w:sz w:val="24"/>
          <w:szCs w:val="24"/>
          <w:lang w:eastAsia="en-GB"/>
          <w14:ligatures w14:val="none"/>
        </w:rPr>
        <w:t>Development and Psychopathology</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20</w:t>
      </w:r>
      <w:r w:rsidRPr="004672E6">
        <w:rPr>
          <w:rFonts w:ascii="Times New Roman" w:eastAsia="Times New Roman" w:hAnsi="Times New Roman" w:cs="Times New Roman"/>
          <w:color w:val="000000"/>
          <w:kern w:val="0"/>
          <w:sz w:val="24"/>
          <w:szCs w:val="24"/>
          <w:lang w:eastAsia="en-GB"/>
          <w14:ligatures w14:val="none"/>
        </w:rPr>
        <w:t>(1), 195–212. https://doi.org/10.1017/s0954579408000096</w:t>
      </w:r>
    </w:p>
    <w:p w14:paraId="0317BD3B"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proofErr w:type="spellStart"/>
      <w:r w:rsidRPr="004672E6">
        <w:rPr>
          <w:rFonts w:ascii="Times New Roman" w:eastAsia="Times New Roman" w:hAnsi="Times New Roman" w:cs="Times New Roman"/>
          <w:color w:val="000000"/>
          <w:kern w:val="0"/>
          <w:sz w:val="24"/>
          <w:szCs w:val="24"/>
          <w:lang w:eastAsia="en-GB"/>
          <w14:ligatures w14:val="none"/>
        </w:rPr>
        <w:t>Krivoschekov</w:t>
      </w:r>
      <w:proofErr w:type="spellEnd"/>
      <w:r w:rsidRPr="004672E6">
        <w:rPr>
          <w:rFonts w:ascii="Times New Roman" w:eastAsia="Times New Roman" w:hAnsi="Times New Roman" w:cs="Times New Roman"/>
          <w:color w:val="000000"/>
          <w:kern w:val="0"/>
          <w:sz w:val="24"/>
          <w:szCs w:val="24"/>
          <w:lang w:eastAsia="en-GB"/>
          <w14:ligatures w14:val="none"/>
        </w:rPr>
        <w:t xml:space="preserve">, S. G., &amp; </w:t>
      </w:r>
      <w:proofErr w:type="spellStart"/>
      <w:r w:rsidRPr="004672E6">
        <w:rPr>
          <w:rFonts w:ascii="Times New Roman" w:eastAsia="Times New Roman" w:hAnsi="Times New Roman" w:cs="Times New Roman"/>
          <w:color w:val="000000"/>
          <w:kern w:val="0"/>
          <w:sz w:val="24"/>
          <w:szCs w:val="24"/>
          <w:lang w:eastAsia="en-GB"/>
          <w14:ligatures w14:val="none"/>
        </w:rPr>
        <w:t>Лушников</w:t>
      </w:r>
      <w:proofErr w:type="spellEnd"/>
      <w:r w:rsidRPr="004672E6">
        <w:rPr>
          <w:rFonts w:ascii="Times New Roman" w:eastAsia="Times New Roman" w:hAnsi="Times New Roman" w:cs="Times New Roman"/>
          <w:color w:val="000000"/>
          <w:kern w:val="0"/>
          <w:sz w:val="24"/>
          <w:szCs w:val="24"/>
          <w:lang w:eastAsia="en-GB"/>
          <w14:ligatures w14:val="none"/>
        </w:rPr>
        <w:t>, О. Н. (2011). [Psychophysiology of sports addiction (exercises addiction)]. </w:t>
      </w:r>
      <w:r w:rsidRPr="004672E6">
        <w:rPr>
          <w:rFonts w:ascii="Times New Roman" w:eastAsia="Times New Roman" w:hAnsi="Times New Roman" w:cs="Times New Roman"/>
          <w:i/>
          <w:iCs/>
          <w:color w:val="000000"/>
          <w:kern w:val="0"/>
          <w:sz w:val="24"/>
          <w:szCs w:val="24"/>
          <w:lang w:eastAsia="en-GB"/>
          <w14:ligatures w14:val="none"/>
        </w:rPr>
        <w:t>PubMed</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37</w:t>
      </w:r>
      <w:r w:rsidRPr="004672E6">
        <w:rPr>
          <w:rFonts w:ascii="Times New Roman" w:eastAsia="Times New Roman" w:hAnsi="Times New Roman" w:cs="Times New Roman"/>
          <w:color w:val="000000"/>
          <w:kern w:val="0"/>
          <w:sz w:val="24"/>
          <w:szCs w:val="24"/>
          <w:lang w:eastAsia="en-GB"/>
          <w14:ligatures w14:val="none"/>
        </w:rPr>
        <w:t>(4), 135–140.</w:t>
      </w:r>
    </w:p>
    <w:p w14:paraId="40C32CF1"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proofErr w:type="spellStart"/>
      <w:r w:rsidRPr="004672E6">
        <w:rPr>
          <w:rFonts w:ascii="Times New Roman" w:eastAsia="Times New Roman" w:hAnsi="Times New Roman" w:cs="Times New Roman"/>
          <w:color w:val="000000"/>
          <w:kern w:val="0"/>
          <w:sz w:val="24"/>
          <w:szCs w:val="24"/>
          <w:lang w:eastAsia="en-GB"/>
          <w14:ligatures w14:val="none"/>
        </w:rPr>
        <w:t>Landolfi</w:t>
      </w:r>
      <w:proofErr w:type="spellEnd"/>
      <w:r w:rsidRPr="004672E6">
        <w:rPr>
          <w:rFonts w:ascii="Times New Roman" w:eastAsia="Times New Roman" w:hAnsi="Times New Roman" w:cs="Times New Roman"/>
          <w:color w:val="000000"/>
          <w:kern w:val="0"/>
          <w:sz w:val="24"/>
          <w:szCs w:val="24"/>
          <w:lang w:eastAsia="en-GB"/>
          <w14:ligatures w14:val="none"/>
        </w:rPr>
        <w:t>, E. (2012). Exercise Addiction. </w:t>
      </w:r>
      <w:r w:rsidRPr="004672E6">
        <w:rPr>
          <w:rFonts w:ascii="Times New Roman" w:eastAsia="Times New Roman" w:hAnsi="Times New Roman" w:cs="Times New Roman"/>
          <w:i/>
          <w:iCs/>
          <w:color w:val="000000"/>
          <w:kern w:val="0"/>
          <w:sz w:val="24"/>
          <w:szCs w:val="24"/>
          <w:lang w:eastAsia="en-GB"/>
          <w14:ligatures w14:val="none"/>
        </w:rPr>
        <w:t>Sports Medicine</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43</w:t>
      </w:r>
      <w:r w:rsidRPr="004672E6">
        <w:rPr>
          <w:rFonts w:ascii="Times New Roman" w:eastAsia="Times New Roman" w:hAnsi="Times New Roman" w:cs="Times New Roman"/>
          <w:color w:val="000000"/>
          <w:kern w:val="0"/>
          <w:sz w:val="24"/>
          <w:szCs w:val="24"/>
          <w:lang w:eastAsia="en-GB"/>
          <w14:ligatures w14:val="none"/>
        </w:rPr>
        <w:t>(2), 111–119. https://doi.org/10.1007/s40279-012-0013-x</w:t>
      </w:r>
    </w:p>
    <w:p w14:paraId="1A9FEF59"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Landreth, G. L. (2012). </w:t>
      </w:r>
      <w:r w:rsidRPr="004672E6">
        <w:rPr>
          <w:rFonts w:ascii="Times New Roman" w:eastAsia="Times New Roman" w:hAnsi="Times New Roman" w:cs="Times New Roman"/>
          <w:i/>
          <w:iCs/>
          <w:color w:val="000000"/>
          <w:kern w:val="0"/>
          <w:sz w:val="24"/>
          <w:szCs w:val="24"/>
          <w:lang w:eastAsia="en-GB"/>
          <w14:ligatures w14:val="none"/>
        </w:rPr>
        <w:t>Play Therapy: The Art of the Relationship</w:t>
      </w:r>
      <w:r w:rsidRPr="004672E6">
        <w:rPr>
          <w:rFonts w:ascii="Times New Roman" w:eastAsia="Times New Roman" w:hAnsi="Times New Roman" w:cs="Times New Roman"/>
          <w:color w:val="000000"/>
          <w:kern w:val="0"/>
          <w:sz w:val="24"/>
          <w:szCs w:val="24"/>
          <w:lang w:eastAsia="en-GB"/>
          <w14:ligatures w14:val="none"/>
        </w:rPr>
        <w:t> (3rd ed.). Routledge, Cop.</w:t>
      </w:r>
    </w:p>
    <w:p w14:paraId="04ADF2FE"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Lawler, M. (2023, March 17). </w:t>
      </w:r>
      <w:r w:rsidRPr="004672E6">
        <w:rPr>
          <w:rFonts w:ascii="Times New Roman" w:eastAsia="Times New Roman" w:hAnsi="Times New Roman" w:cs="Times New Roman"/>
          <w:i/>
          <w:iCs/>
          <w:color w:val="000000"/>
          <w:kern w:val="0"/>
          <w:sz w:val="24"/>
          <w:szCs w:val="24"/>
          <w:lang w:eastAsia="en-GB"/>
          <w14:ligatures w14:val="none"/>
        </w:rPr>
        <w:t>What is self-care and why is it critical for your health?</w:t>
      </w:r>
      <w:r w:rsidRPr="004672E6">
        <w:rPr>
          <w:rFonts w:ascii="Times New Roman" w:eastAsia="Times New Roman" w:hAnsi="Times New Roman" w:cs="Times New Roman"/>
          <w:color w:val="000000"/>
          <w:kern w:val="0"/>
          <w:sz w:val="24"/>
          <w:szCs w:val="24"/>
          <w:lang w:eastAsia="en-GB"/>
          <w14:ligatures w14:val="none"/>
        </w:rPr>
        <w:t> Everyday Health. https://www.everydayhealth.com/self-care/</w:t>
      </w:r>
    </w:p>
    <w:p w14:paraId="204F9C98"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Lawson, G., &amp; Myers, J. E. (2011). Wellness, Professional Quality of Life, and Career-Sustaining </w:t>
      </w:r>
      <w:proofErr w:type="spellStart"/>
      <w:r w:rsidRPr="004672E6">
        <w:rPr>
          <w:rFonts w:ascii="Times New Roman" w:eastAsia="Times New Roman" w:hAnsi="Times New Roman" w:cs="Times New Roman"/>
          <w:color w:val="000000"/>
          <w:kern w:val="0"/>
          <w:sz w:val="24"/>
          <w:szCs w:val="24"/>
          <w:lang w:eastAsia="en-GB"/>
          <w14:ligatures w14:val="none"/>
        </w:rPr>
        <w:t>Behaviors</w:t>
      </w:r>
      <w:proofErr w:type="spellEnd"/>
      <w:r w:rsidRPr="004672E6">
        <w:rPr>
          <w:rFonts w:ascii="Times New Roman" w:eastAsia="Times New Roman" w:hAnsi="Times New Roman" w:cs="Times New Roman"/>
          <w:color w:val="000000"/>
          <w:kern w:val="0"/>
          <w:sz w:val="24"/>
          <w:szCs w:val="24"/>
          <w:lang w:eastAsia="en-GB"/>
          <w14:ligatures w14:val="none"/>
        </w:rPr>
        <w:t>: What Keeps Us Well? </w:t>
      </w:r>
      <w:r w:rsidRPr="004672E6">
        <w:rPr>
          <w:rFonts w:ascii="Times New Roman" w:eastAsia="Times New Roman" w:hAnsi="Times New Roman" w:cs="Times New Roman"/>
          <w:i/>
          <w:iCs/>
          <w:color w:val="000000"/>
          <w:kern w:val="0"/>
          <w:sz w:val="24"/>
          <w:szCs w:val="24"/>
          <w:lang w:eastAsia="en-GB"/>
          <w14:ligatures w14:val="none"/>
        </w:rPr>
        <w:t xml:space="preserve">Journal of </w:t>
      </w:r>
      <w:proofErr w:type="spellStart"/>
      <w:r w:rsidRPr="004672E6">
        <w:rPr>
          <w:rFonts w:ascii="Times New Roman" w:eastAsia="Times New Roman" w:hAnsi="Times New Roman" w:cs="Times New Roman"/>
          <w:i/>
          <w:iCs/>
          <w:color w:val="000000"/>
          <w:kern w:val="0"/>
          <w:sz w:val="24"/>
          <w:szCs w:val="24"/>
          <w:lang w:eastAsia="en-GB"/>
          <w14:ligatures w14:val="none"/>
        </w:rPr>
        <w:t>Counseling</w:t>
      </w:r>
      <w:proofErr w:type="spellEnd"/>
      <w:r w:rsidRPr="004672E6">
        <w:rPr>
          <w:rFonts w:ascii="Times New Roman" w:eastAsia="Times New Roman" w:hAnsi="Times New Roman" w:cs="Times New Roman"/>
          <w:i/>
          <w:iCs/>
          <w:color w:val="000000"/>
          <w:kern w:val="0"/>
          <w:sz w:val="24"/>
          <w:szCs w:val="24"/>
          <w:lang w:eastAsia="en-GB"/>
          <w14:ligatures w14:val="none"/>
        </w:rPr>
        <w:t xml:space="preserve"> &amp; Development</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89</w:t>
      </w:r>
      <w:r w:rsidRPr="004672E6">
        <w:rPr>
          <w:rFonts w:ascii="Times New Roman" w:eastAsia="Times New Roman" w:hAnsi="Times New Roman" w:cs="Times New Roman"/>
          <w:color w:val="000000"/>
          <w:kern w:val="0"/>
          <w:sz w:val="24"/>
          <w:szCs w:val="24"/>
          <w:lang w:eastAsia="en-GB"/>
          <w14:ligatures w14:val="none"/>
        </w:rPr>
        <w:t>(2), 163–171. https://doi.org/10.1002/j.1556-6678.2011.tb00074.x</w:t>
      </w:r>
    </w:p>
    <w:p w14:paraId="29372E0A"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Lee, S. M., Cho, S. H., Kissinger, D., &amp; Ogle, N. T. (2010). A Typology of Burnout in Professional </w:t>
      </w:r>
      <w:proofErr w:type="spellStart"/>
      <w:r w:rsidRPr="004672E6">
        <w:rPr>
          <w:rFonts w:ascii="Times New Roman" w:eastAsia="Times New Roman" w:hAnsi="Times New Roman" w:cs="Times New Roman"/>
          <w:color w:val="000000"/>
          <w:kern w:val="0"/>
          <w:sz w:val="24"/>
          <w:szCs w:val="24"/>
          <w:lang w:eastAsia="en-GB"/>
          <w14:ligatures w14:val="none"/>
        </w:rPr>
        <w:t>Counselors</w:t>
      </w:r>
      <w:proofErr w:type="spellEnd"/>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 xml:space="preserve">Journal of </w:t>
      </w:r>
      <w:proofErr w:type="spellStart"/>
      <w:r w:rsidRPr="004672E6">
        <w:rPr>
          <w:rFonts w:ascii="Times New Roman" w:eastAsia="Times New Roman" w:hAnsi="Times New Roman" w:cs="Times New Roman"/>
          <w:i/>
          <w:iCs/>
          <w:color w:val="000000"/>
          <w:kern w:val="0"/>
          <w:sz w:val="24"/>
          <w:szCs w:val="24"/>
          <w:lang w:eastAsia="en-GB"/>
          <w14:ligatures w14:val="none"/>
        </w:rPr>
        <w:t>Counseling</w:t>
      </w:r>
      <w:proofErr w:type="spellEnd"/>
      <w:r w:rsidRPr="004672E6">
        <w:rPr>
          <w:rFonts w:ascii="Times New Roman" w:eastAsia="Times New Roman" w:hAnsi="Times New Roman" w:cs="Times New Roman"/>
          <w:i/>
          <w:iCs/>
          <w:color w:val="000000"/>
          <w:kern w:val="0"/>
          <w:sz w:val="24"/>
          <w:szCs w:val="24"/>
          <w:lang w:eastAsia="en-GB"/>
          <w14:ligatures w14:val="none"/>
        </w:rPr>
        <w:t xml:space="preserve"> &amp; Development</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88</w:t>
      </w:r>
      <w:r w:rsidRPr="004672E6">
        <w:rPr>
          <w:rFonts w:ascii="Times New Roman" w:eastAsia="Times New Roman" w:hAnsi="Times New Roman" w:cs="Times New Roman"/>
          <w:color w:val="000000"/>
          <w:kern w:val="0"/>
          <w:sz w:val="24"/>
          <w:szCs w:val="24"/>
          <w:lang w:eastAsia="en-GB"/>
          <w14:ligatures w14:val="none"/>
        </w:rPr>
        <w:t>(2), 131–138. https://doi.org/10.1002/j.1556-6678.2010.tb00001.x</w:t>
      </w:r>
    </w:p>
    <w:p w14:paraId="44EDFFA9"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Lee, V., &amp; Hoaken, P. N. S. (2007). Cognition, Emotion, and Neurobiological Development: Mediating the Relation Between Maltreatment and Aggression. </w:t>
      </w:r>
      <w:r w:rsidRPr="004672E6">
        <w:rPr>
          <w:rFonts w:ascii="Times New Roman" w:eastAsia="Times New Roman" w:hAnsi="Times New Roman" w:cs="Times New Roman"/>
          <w:i/>
          <w:iCs/>
          <w:color w:val="000000"/>
          <w:kern w:val="0"/>
          <w:sz w:val="24"/>
          <w:szCs w:val="24"/>
          <w:lang w:eastAsia="en-GB"/>
          <w14:ligatures w14:val="none"/>
        </w:rPr>
        <w:t>Child Maltreatment</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12</w:t>
      </w:r>
      <w:r w:rsidRPr="004672E6">
        <w:rPr>
          <w:rFonts w:ascii="Times New Roman" w:eastAsia="Times New Roman" w:hAnsi="Times New Roman" w:cs="Times New Roman"/>
          <w:color w:val="000000"/>
          <w:kern w:val="0"/>
          <w:sz w:val="24"/>
          <w:szCs w:val="24"/>
          <w:lang w:eastAsia="en-GB"/>
          <w14:ligatures w14:val="none"/>
        </w:rPr>
        <w:t>(3), 281–298. https://doi.org/10.1177/1077559507303778</w:t>
      </w:r>
    </w:p>
    <w:p w14:paraId="7975E1EA"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proofErr w:type="spellStart"/>
      <w:r w:rsidRPr="004672E6">
        <w:rPr>
          <w:rFonts w:ascii="Times New Roman" w:eastAsia="Times New Roman" w:hAnsi="Times New Roman" w:cs="Times New Roman"/>
          <w:color w:val="000000"/>
          <w:kern w:val="0"/>
          <w:sz w:val="24"/>
          <w:szCs w:val="24"/>
          <w:lang w:eastAsia="en-GB"/>
          <w14:ligatures w14:val="none"/>
        </w:rPr>
        <w:t>Leff</w:t>
      </w:r>
      <w:proofErr w:type="spellEnd"/>
      <w:r w:rsidRPr="004672E6">
        <w:rPr>
          <w:rFonts w:ascii="Times New Roman" w:eastAsia="Times New Roman" w:hAnsi="Times New Roman" w:cs="Times New Roman"/>
          <w:color w:val="000000"/>
          <w:kern w:val="0"/>
          <w:sz w:val="24"/>
          <w:szCs w:val="24"/>
          <w:lang w:eastAsia="en-GB"/>
          <w14:ligatures w14:val="none"/>
        </w:rPr>
        <w:t>, V., &amp; Twohig, J. (2023). </w:t>
      </w:r>
      <w:r w:rsidRPr="004672E6">
        <w:rPr>
          <w:rFonts w:ascii="Times New Roman" w:eastAsia="Times New Roman" w:hAnsi="Times New Roman" w:cs="Times New Roman"/>
          <w:i/>
          <w:iCs/>
          <w:color w:val="000000"/>
          <w:kern w:val="0"/>
          <w:sz w:val="24"/>
          <w:szCs w:val="24"/>
          <w:lang w:eastAsia="en-GB"/>
          <w14:ligatures w14:val="none"/>
        </w:rPr>
        <w:t>Debriefing with Clinicians During COVID-19 | Palliative in Practice</w:t>
      </w:r>
      <w:r w:rsidRPr="004672E6">
        <w:rPr>
          <w:rFonts w:ascii="Times New Roman" w:eastAsia="Times New Roman" w:hAnsi="Times New Roman" w:cs="Times New Roman"/>
          <w:color w:val="000000"/>
          <w:kern w:val="0"/>
          <w:sz w:val="24"/>
          <w:szCs w:val="24"/>
          <w:lang w:eastAsia="en-GB"/>
          <w14:ligatures w14:val="none"/>
        </w:rPr>
        <w:t>. Www.capc.org. https://www.capc.org/blog/debriefing-with-staff-during-covid/</w:t>
      </w:r>
    </w:p>
    <w:p w14:paraId="3A68C0F3"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Liu, J. (2004). Childhood Externalizing </w:t>
      </w:r>
      <w:proofErr w:type="spellStart"/>
      <w:r w:rsidRPr="004672E6">
        <w:rPr>
          <w:rFonts w:ascii="Times New Roman" w:eastAsia="Times New Roman" w:hAnsi="Times New Roman" w:cs="Times New Roman"/>
          <w:color w:val="000000"/>
          <w:kern w:val="0"/>
          <w:sz w:val="24"/>
          <w:szCs w:val="24"/>
          <w:lang w:eastAsia="en-GB"/>
          <w14:ligatures w14:val="none"/>
        </w:rPr>
        <w:t>Behavior</w:t>
      </w:r>
      <w:proofErr w:type="spellEnd"/>
      <w:r w:rsidRPr="004672E6">
        <w:rPr>
          <w:rFonts w:ascii="Times New Roman" w:eastAsia="Times New Roman" w:hAnsi="Times New Roman" w:cs="Times New Roman"/>
          <w:color w:val="000000"/>
          <w:kern w:val="0"/>
          <w:sz w:val="24"/>
          <w:szCs w:val="24"/>
          <w:lang w:eastAsia="en-GB"/>
          <w14:ligatures w14:val="none"/>
        </w:rPr>
        <w:t>: Theory and Implications. </w:t>
      </w:r>
      <w:r w:rsidRPr="004672E6">
        <w:rPr>
          <w:rFonts w:ascii="Times New Roman" w:eastAsia="Times New Roman" w:hAnsi="Times New Roman" w:cs="Times New Roman"/>
          <w:i/>
          <w:iCs/>
          <w:color w:val="000000"/>
          <w:kern w:val="0"/>
          <w:sz w:val="24"/>
          <w:szCs w:val="24"/>
          <w:lang w:eastAsia="en-GB"/>
          <w14:ligatures w14:val="none"/>
        </w:rPr>
        <w:t>Journal of Child and Adolescent Psychiatric Nursing</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17</w:t>
      </w:r>
      <w:r w:rsidRPr="004672E6">
        <w:rPr>
          <w:rFonts w:ascii="Times New Roman" w:eastAsia="Times New Roman" w:hAnsi="Times New Roman" w:cs="Times New Roman"/>
          <w:color w:val="000000"/>
          <w:kern w:val="0"/>
          <w:sz w:val="24"/>
          <w:szCs w:val="24"/>
          <w:lang w:eastAsia="en-GB"/>
          <w14:ligatures w14:val="none"/>
        </w:rPr>
        <w:t>(3), 93–103. https://doi.org/10.1111/j.1744-6171.2004.tb00003.x</w:t>
      </w:r>
    </w:p>
    <w:p w14:paraId="5FBEF62E"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Lopez, P. (2020). Practitioner self-care: Mind–body best practice. </w:t>
      </w:r>
      <w:r w:rsidRPr="004672E6">
        <w:rPr>
          <w:rFonts w:ascii="Times New Roman" w:eastAsia="Times New Roman" w:hAnsi="Times New Roman" w:cs="Times New Roman"/>
          <w:i/>
          <w:iCs/>
          <w:color w:val="000000"/>
          <w:kern w:val="0"/>
          <w:sz w:val="24"/>
          <w:szCs w:val="24"/>
          <w:lang w:eastAsia="en-GB"/>
          <w14:ligatures w14:val="none"/>
        </w:rPr>
        <w:t>Practitioner Self-Care: Mind–Body Best Practice</w:t>
      </w:r>
      <w:r w:rsidRPr="004672E6">
        <w:rPr>
          <w:rFonts w:ascii="Times New Roman" w:eastAsia="Times New Roman" w:hAnsi="Times New Roman" w:cs="Times New Roman"/>
          <w:color w:val="000000"/>
          <w:kern w:val="0"/>
          <w:sz w:val="24"/>
          <w:szCs w:val="24"/>
          <w:lang w:eastAsia="en-GB"/>
          <w14:ligatures w14:val="none"/>
        </w:rPr>
        <w:t>, 77–92. https://doi.org/10.1037/0000157-006</w:t>
      </w:r>
    </w:p>
    <w:p w14:paraId="3BF71CA0"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lastRenderedPageBreak/>
        <w:t xml:space="preserve">M. Solis, J., M. </w:t>
      </w:r>
      <w:proofErr w:type="spellStart"/>
      <w:r w:rsidRPr="004672E6">
        <w:rPr>
          <w:rFonts w:ascii="Times New Roman" w:eastAsia="Times New Roman" w:hAnsi="Times New Roman" w:cs="Times New Roman"/>
          <w:color w:val="000000"/>
          <w:kern w:val="0"/>
          <w:sz w:val="24"/>
          <w:szCs w:val="24"/>
          <w:lang w:eastAsia="en-GB"/>
          <w14:ligatures w14:val="none"/>
        </w:rPr>
        <w:t>Shadur</w:t>
      </w:r>
      <w:proofErr w:type="spellEnd"/>
      <w:r w:rsidRPr="004672E6">
        <w:rPr>
          <w:rFonts w:ascii="Times New Roman" w:eastAsia="Times New Roman" w:hAnsi="Times New Roman" w:cs="Times New Roman"/>
          <w:color w:val="000000"/>
          <w:kern w:val="0"/>
          <w:sz w:val="24"/>
          <w:szCs w:val="24"/>
          <w:lang w:eastAsia="en-GB"/>
          <w14:ligatures w14:val="none"/>
        </w:rPr>
        <w:t xml:space="preserve">, J., R. Burns, A., &amp; M. </w:t>
      </w:r>
      <w:proofErr w:type="spellStart"/>
      <w:r w:rsidRPr="004672E6">
        <w:rPr>
          <w:rFonts w:ascii="Times New Roman" w:eastAsia="Times New Roman" w:hAnsi="Times New Roman" w:cs="Times New Roman"/>
          <w:color w:val="000000"/>
          <w:kern w:val="0"/>
          <w:sz w:val="24"/>
          <w:szCs w:val="24"/>
          <w:lang w:eastAsia="en-GB"/>
          <w14:ligatures w14:val="none"/>
        </w:rPr>
        <w:t>Hussong</w:t>
      </w:r>
      <w:proofErr w:type="spellEnd"/>
      <w:r w:rsidRPr="004672E6">
        <w:rPr>
          <w:rFonts w:ascii="Times New Roman" w:eastAsia="Times New Roman" w:hAnsi="Times New Roman" w:cs="Times New Roman"/>
          <w:color w:val="000000"/>
          <w:kern w:val="0"/>
          <w:sz w:val="24"/>
          <w:szCs w:val="24"/>
          <w:lang w:eastAsia="en-GB"/>
          <w14:ligatures w14:val="none"/>
        </w:rPr>
        <w:t>, A. (2012). Understanding the Diverse Needs of Children Whose Parents Abuse Substances. </w:t>
      </w:r>
      <w:r w:rsidRPr="004672E6">
        <w:rPr>
          <w:rFonts w:ascii="Times New Roman" w:eastAsia="Times New Roman" w:hAnsi="Times New Roman" w:cs="Times New Roman"/>
          <w:i/>
          <w:iCs/>
          <w:color w:val="000000"/>
          <w:kern w:val="0"/>
          <w:sz w:val="24"/>
          <w:szCs w:val="24"/>
          <w:lang w:eastAsia="en-GB"/>
          <w14:ligatures w14:val="none"/>
        </w:rPr>
        <w:t xml:space="preserve">Current Drug Abuse </w:t>
      </w:r>
      <w:proofErr w:type="spellStart"/>
      <w:r w:rsidRPr="004672E6">
        <w:rPr>
          <w:rFonts w:ascii="Times New Roman" w:eastAsia="Times New Roman" w:hAnsi="Times New Roman" w:cs="Times New Roman"/>
          <w:i/>
          <w:iCs/>
          <w:color w:val="000000"/>
          <w:kern w:val="0"/>
          <w:sz w:val="24"/>
          <w:szCs w:val="24"/>
          <w:lang w:eastAsia="en-GB"/>
          <w14:ligatures w14:val="none"/>
        </w:rPr>
        <w:t>Reviewse</w:t>
      </w:r>
      <w:proofErr w:type="spellEnd"/>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5</w:t>
      </w:r>
      <w:r w:rsidRPr="004672E6">
        <w:rPr>
          <w:rFonts w:ascii="Times New Roman" w:eastAsia="Times New Roman" w:hAnsi="Times New Roman" w:cs="Times New Roman"/>
          <w:color w:val="000000"/>
          <w:kern w:val="0"/>
          <w:sz w:val="24"/>
          <w:szCs w:val="24"/>
          <w:lang w:eastAsia="en-GB"/>
          <w14:ligatures w14:val="none"/>
        </w:rPr>
        <w:t>(2), 135–147. https://doi.org/10.2174/1874473711205020135</w:t>
      </w:r>
    </w:p>
    <w:p w14:paraId="1211FEC5"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McCann, I. L., &amp; Pearlman, L. A. (1990). Vicarious traumatization: A framework for understanding the psychological effects of working with victims. </w:t>
      </w:r>
      <w:r w:rsidRPr="004672E6">
        <w:rPr>
          <w:rFonts w:ascii="Times New Roman" w:eastAsia="Times New Roman" w:hAnsi="Times New Roman" w:cs="Times New Roman"/>
          <w:i/>
          <w:iCs/>
          <w:color w:val="000000"/>
          <w:kern w:val="0"/>
          <w:sz w:val="24"/>
          <w:szCs w:val="24"/>
          <w:lang w:eastAsia="en-GB"/>
          <w14:ligatures w14:val="none"/>
        </w:rPr>
        <w:t>Journal of Traumatic Stress</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3</w:t>
      </w:r>
      <w:r w:rsidRPr="004672E6">
        <w:rPr>
          <w:rFonts w:ascii="Times New Roman" w:eastAsia="Times New Roman" w:hAnsi="Times New Roman" w:cs="Times New Roman"/>
          <w:color w:val="000000"/>
          <w:kern w:val="0"/>
          <w:sz w:val="24"/>
          <w:szCs w:val="24"/>
          <w:lang w:eastAsia="en-GB"/>
          <w14:ligatures w14:val="none"/>
        </w:rPr>
        <w:t>(1), 131–149. https://doi.org/10.1007/bf00975140</w:t>
      </w:r>
    </w:p>
    <w:p w14:paraId="57677A78"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Ng, Q. X., Yong, B. Z. J., Ho, C. Y. X., Lim, D. Y., &amp; Yeo, W.-S. (2018). Early life sexual abuse is associated with increased suicide attempts: An update meta-analysis. </w:t>
      </w:r>
      <w:r w:rsidRPr="004672E6">
        <w:rPr>
          <w:rFonts w:ascii="Times New Roman" w:eastAsia="Times New Roman" w:hAnsi="Times New Roman" w:cs="Times New Roman"/>
          <w:i/>
          <w:iCs/>
          <w:color w:val="000000"/>
          <w:kern w:val="0"/>
          <w:sz w:val="24"/>
          <w:szCs w:val="24"/>
          <w:lang w:eastAsia="en-GB"/>
          <w14:ligatures w14:val="none"/>
        </w:rPr>
        <w:t>Journal of Psychiatric Research</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99</w:t>
      </w:r>
      <w:r w:rsidRPr="004672E6">
        <w:rPr>
          <w:rFonts w:ascii="Times New Roman" w:eastAsia="Times New Roman" w:hAnsi="Times New Roman" w:cs="Times New Roman"/>
          <w:color w:val="000000"/>
          <w:kern w:val="0"/>
          <w:sz w:val="24"/>
          <w:szCs w:val="24"/>
          <w:lang w:eastAsia="en-GB"/>
          <w14:ligatures w14:val="none"/>
        </w:rPr>
        <w:t>, 129–141. https://doi.org/10.1016/j.jpsychires.2018.02.001</w:t>
      </w:r>
    </w:p>
    <w:p w14:paraId="37D2428F"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Norman, R. E., </w:t>
      </w:r>
      <w:proofErr w:type="spellStart"/>
      <w:r w:rsidRPr="004672E6">
        <w:rPr>
          <w:rFonts w:ascii="Times New Roman" w:eastAsia="Times New Roman" w:hAnsi="Times New Roman" w:cs="Times New Roman"/>
          <w:color w:val="000000"/>
          <w:kern w:val="0"/>
          <w:sz w:val="24"/>
          <w:szCs w:val="24"/>
          <w:lang w:eastAsia="en-GB"/>
          <w14:ligatures w14:val="none"/>
        </w:rPr>
        <w:t>Byambaa</w:t>
      </w:r>
      <w:proofErr w:type="spellEnd"/>
      <w:r w:rsidRPr="004672E6">
        <w:rPr>
          <w:rFonts w:ascii="Times New Roman" w:eastAsia="Times New Roman" w:hAnsi="Times New Roman" w:cs="Times New Roman"/>
          <w:color w:val="000000"/>
          <w:kern w:val="0"/>
          <w:sz w:val="24"/>
          <w:szCs w:val="24"/>
          <w:lang w:eastAsia="en-GB"/>
          <w14:ligatures w14:val="none"/>
        </w:rPr>
        <w:t>, M., De, R., Butchart, A., Scott, J., &amp; Vos, T. (2012). The Long-Term Health Consequences of Child Physical Abuse, Emotional Abuse, and Neglect: A Systematic Review and Meta-Analysis. </w:t>
      </w:r>
      <w:proofErr w:type="spellStart"/>
      <w:r w:rsidRPr="004672E6">
        <w:rPr>
          <w:rFonts w:ascii="Times New Roman" w:eastAsia="Times New Roman" w:hAnsi="Times New Roman" w:cs="Times New Roman"/>
          <w:i/>
          <w:iCs/>
          <w:color w:val="000000"/>
          <w:kern w:val="0"/>
          <w:sz w:val="24"/>
          <w:szCs w:val="24"/>
          <w:lang w:eastAsia="en-GB"/>
          <w14:ligatures w14:val="none"/>
        </w:rPr>
        <w:t>PLoS</w:t>
      </w:r>
      <w:proofErr w:type="spellEnd"/>
      <w:r w:rsidRPr="004672E6">
        <w:rPr>
          <w:rFonts w:ascii="Times New Roman" w:eastAsia="Times New Roman" w:hAnsi="Times New Roman" w:cs="Times New Roman"/>
          <w:i/>
          <w:iCs/>
          <w:color w:val="000000"/>
          <w:kern w:val="0"/>
          <w:sz w:val="24"/>
          <w:szCs w:val="24"/>
          <w:lang w:eastAsia="en-GB"/>
          <w14:ligatures w14:val="none"/>
        </w:rPr>
        <w:t xml:space="preserve"> Medicine</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9</w:t>
      </w:r>
      <w:r w:rsidRPr="004672E6">
        <w:rPr>
          <w:rFonts w:ascii="Times New Roman" w:eastAsia="Times New Roman" w:hAnsi="Times New Roman" w:cs="Times New Roman"/>
          <w:color w:val="000000"/>
          <w:kern w:val="0"/>
          <w:sz w:val="24"/>
          <w:szCs w:val="24"/>
          <w:lang w:eastAsia="en-GB"/>
          <w14:ligatures w14:val="none"/>
        </w:rPr>
        <w:t>(11), e1001349. https://doi.org/10.1371/journal.pmed.1001349</w:t>
      </w:r>
    </w:p>
    <w:p w14:paraId="1850302F"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Norris, R., Carroll, D., &amp; Cochrane, R. (1992). The effects of physical activity and exercise training on psychological stress and well-being in an adolescent population. </w:t>
      </w:r>
      <w:r w:rsidRPr="004672E6">
        <w:rPr>
          <w:rFonts w:ascii="Times New Roman" w:eastAsia="Times New Roman" w:hAnsi="Times New Roman" w:cs="Times New Roman"/>
          <w:i/>
          <w:iCs/>
          <w:color w:val="000000"/>
          <w:kern w:val="0"/>
          <w:sz w:val="24"/>
          <w:szCs w:val="24"/>
          <w:lang w:eastAsia="en-GB"/>
          <w14:ligatures w14:val="none"/>
        </w:rPr>
        <w:t>Journal of Psychosomatic Research</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36</w:t>
      </w:r>
      <w:r w:rsidRPr="004672E6">
        <w:rPr>
          <w:rFonts w:ascii="Times New Roman" w:eastAsia="Times New Roman" w:hAnsi="Times New Roman" w:cs="Times New Roman"/>
          <w:color w:val="000000"/>
          <w:kern w:val="0"/>
          <w:sz w:val="24"/>
          <w:szCs w:val="24"/>
          <w:lang w:eastAsia="en-GB"/>
          <w14:ligatures w14:val="none"/>
        </w:rPr>
        <w:t>(1), 55–65. https://doi.org/10.1016/0022-3999(92)90114-h</w:t>
      </w:r>
    </w:p>
    <w:p w14:paraId="57553272"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proofErr w:type="spellStart"/>
      <w:r w:rsidRPr="004672E6">
        <w:rPr>
          <w:rFonts w:ascii="Times New Roman" w:eastAsia="Times New Roman" w:hAnsi="Times New Roman" w:cs="Times New Roman"/>
          <w:color w:val="000000"/>
          <w:kern w:val="0"/>
          <w:sz w:val="24"/>
          <w:szCs w:val="24"/>
          <w:lang w:eastAsia="en-GB"/>
          <w14:ligatures w14:val="none"/>
        </w:rPr>
        <w:t>Omkarappa</w:t>
      </w:r>
      <w:proofErr w:type="spellEnd"/>
      <w:r w:rsidRPr="004672E6">
        <w:rPr>
          <w:rFonts w:ascii="Times New Roman" w:eastAsia="Times New Roman" w:hAnsi="Times New Roman" w:cs="Times New Roman"/>
          <w:color w:val="000000"/>
          <w:kern w:val="0"/>
          <w:sz w:val="24"/>
          <w:szCs w:val="24"/>
          <w:lang w:eastAsia="en-GB"/>
          <w14:ligatures w14:val="none"/>
        </w:rPr>
        <w:t xml:space="preserve">, D. B., &amp; </w:t>
      </w:r>
      <w:proofErr w:type="spellStart"/>
      <w:r w:rsidRPr="004672E6">
        <w:rPr>
          <w:rFonts w:ascii="Times New Roman" w:eastAsia="Times New Roman" w:hAnsi="Times New Roman" w:cs="Times New Roman"/>
          <w:color w:val="000000"/>
          <w:kern w:val="0"/>
          <w:sz w:val="24"/>
          <w:szCs w:val="24"/>
          <w:lang w:eastAsia="en-GB"/>
          <w14:ligatures w14:val="none"/>
        </w:rPr>
        <w:t>Rentala</w:t>
      </w:r>
      <w:proofErr w:type="spellEnd"/>
      <w:r w:rsidRPr="004672E6">
        <w:rPr>
          <w:rFonts w:ascii="Times New Roman" w:eastAsia="Times New Roman" w:hAnsi="Times New Roman" w:cs="Times New Roman"/>
          <w:color w:val="000000"/>
          <w:kern w:val="0"/>
          <w:sz w:val="24"/>
          <w:szCs w:val="24"/>
          <w:lang w:eastAsia="en-GB"/>
          <w14:ligatures w14:val="none"/>
        </w:rPr>
        <w:t xml:space="preserve">, S. (2019). Anxiety, depression, self-esteem among children of alcoholic and </w:t>
      </w:r>
      <w:proofErr w:type="spellStart"/>
      <w:r w:rsidRPr="004672E6">
        <w:rPr>
          <w:rFonts w:ascii="Times New Roman" w:eastAsia="Times New Roman" w:hAnsi="Times New Roman" w:cs="Times New Roman"/>
          <w:color w:val="000000"/>
          <w:kern w:val="0"/>
          <w:sz w:val="24"/>
          <w:szCs w:val="24"/>
          <w:lang w:eastAsia="en-GB"/>
          <w14:ligatures w14:val="none"/>
        </w:rPr>
        <w:t>nonalcoholic</w:t>
      </w:r>
      <w:proofErr w:type="spellEnd"/>
      <w:r w:rsidRPr="004672E6">
        <w:rPr>
          <w:rFonts w:ascii="Times New Roman" w:eastAsia="Times New Roman" w:hAnsi="Times New Roman" w:cs="Times New Roman"/>
          <w:color w:val="000000"/>
          <w:kern w:val="0"/>
          <w:sz w:val="24"/>
          <w:szCs w:val="24"/>
          <w:lang w:eastAsia="en-GB"/>
          <w14:ligatures w14:val="none"/>
        </w:rPr>
        <w:t xml:space="preserve"> parents. </w:t>
      </w:r>
      <w:r w:rsidRPr="004672E6">
        <w:rPr>
          <w:rFonts w:ascii="Times New Roman" w:eastAsia="Times New Roman" w:hAnsi="Times New Roman" w:cs="Times New Roman"/>
          <w:i/>
          <w:iCs/>
          <w:color w:val="000000"/>
          <w:kern w:val="0"/>
          <w:sz w:val="24"/>
          <w:szCs w:val="24"/>
          <w:lang w:eastAsia="en-GB"/>
          <w14:ligatures w14:val="none"/>
        </w:rPr>
        <w:t>Journal of Family Medicine and Primary Care</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8</w:t>
      </w:r>
      <w:r w:rsidRPr="004672E6">
        <w:rPr>
          <w:rFonts w:ascii="Times New Roman" w:eastAsia="Times New Roman" w:hAnsi="Times New Roman" w:cs="Times New Roman"/>
          <w:color w:val="000000"/>
          <w:kern w:val="0"/>
          <w:sz w:val="24"/>
          <w:szCs w:val="24"/>
          <w:lang w:eastAsia="en-GB"/>
          <w14:ligatures w14:val="none"/>
        </w:rPr>
        <w:t>(2), 604. https://doi.org/10.4103/jfmpc.jfmpc_282_18</w:t>
      </w:r>
    </w:p>
    <w:p w14:paraId="7A7D222B"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Osborn, C. J. (2004). Seven Salutary Suggestions for </w:t>
      </w:r>
      <w:proofErr w:type="spellStart"/>
      <w:r w:rsidRPr="004672E6">
        <w:rPr>
          <w:rFonts w:ascii="Times New Roman" w:eastAsia="Times New Roman" w:hAnsi="Times New Roman" w:cs="Times New Roman"/>
          <w:color w:val="000000"/>
          <w:kern w:val="0"/>
          <w:sz w:val="24"/>
          <w:szCs w:val="24"/>
          <w:lang w:eastAsia="en-GB"/>
          <w14:ligatures w14:val="none"/>
        </w:rPr>
        <w:t>Counselor</w:t>
      </w:r>
      <w:proofErr w:type="spellEnd"/>
      <w:r w:rsidRPr="004672E6">
        <w:rPr>
          <w:rFonts w:ascii="Times New Roman" w:eastAsia="Times New Roman" w:hAnsi="Times New Roman" w:cs="Times New Roman"/>
          <w:color w:val="000000"/>
          <w:kern w:val="0"/>
          <w:sz w:val="24"/>
          <w:szCs w:val="24"/>
          <w:lang w:eastAsia="en-GB"/>
          <w14:ligatures w14:val="none"/>
        </w:rPr>
        <w:t xml:space="preserve"> Stamina. </w:t>
      </w:r>
      <w:r w:rsidRPr="004672E6">
        <w:rPr>
          <w:rFonts w:ascii="Times New Roman" w:eastAsia="Times New Roman" w:hAnsi="Times New Roman" w:cs="Times New Roman"/>
          <w:i/>
          <w:iCs/>
          <w:color w:val="000000"/>
          <w:kern w:val="0"/>
          <w:sz w:val="24"/>
          <w:szCs w:val="24"/>
          <w:lang w:eastAsia="en-GB"/>
          <w14:ligatures w14:val="none"/>
        </w:rPr>
        <w:t xml:space="preserve">Journal of </w:t>
      </w:r>
      <w:proofErr w:type="spellStart"/>
      <w:r w:rsidRPr="004672E6">
        <w:rPr>
          <w:rFonts w:ascii="Times New Roman" w:eastAsia="Times New Roman" w:hAnsi="Times New Roman" w:cs="Times New Roman"/>
          <w:i/>
          <w:iCs/>
          <w:color w:val="000000"/>
          <w:kern w:val="0"/>
          <w:sz w:val="24"/>
          <w:szCs w:val="24"/>
          <w:lang w:eastAsia="en-GB"/>
          <w14:ligatures w14:val="none"/>
        </w:rPr>
        <w:t>Counseling</w:t>
      </w:r>
      <w:proofErr w:type="spellEnd"/>
      <w:r w:rsidRPr="004672E6">
        <w:rPr>
          <w:rFonts w:ascii="Times New Roman" w:eastAsia="Times New Roman" w:hAnsi="Times New Roman" w:cs="Times New Roman"/>
          <w:i/>
          <w:iCs/>
          <w:color w:val="000000"/>
          <w:kern w:val="0"/>
          <w:sz w:val="24"/>
          <w:szCs w:val="24"/>
          <w:lang w:eastAsia="en-GB"/>
          <w14:ligatures w14:val="none"/>
        </w:rPr>
        <w:t xml:space="preserve"> &amp; Development</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82</w:t>
      </w:r>
      <w:r w:rsidRPr="004672E6">
        <w:rPr>
          <w:rFonts w:ascii="Times New Roman" w:eastAsia="Times New Roman" w:hAnsi="Times New Roman" w:cs="Times New Roman"/>
          <w:color w:val="000000"/>
          <w:kern w:val="0"/>
          <w:sz w:val="24"/>
          <w:szCs w:val="24"/>
          <w:lang w:eastAsia="en-GB"/>
          <w14:ligatures w14:val="none"/>
        </w:rPr>
        <w:t>(3), 319–328. https://doi.org/10.1002/j.1556-6678.2004.tb00317.x</w:t>
      </w:r>
    </w:p>
    <w:p w14:paraId="2D94B4E6"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Parker, M. M., </w:t>
      </w:r>
      <w:proofErr w:type="spellStart"/>
      <w:r w:rsidRPr="004672E6">
        <w:rPr>
          <w:rFonts w:ascii="Times New Roman" w:eastAsia="Times New Roman" w:hAnsi="Times New Roman" w:cs="Times New Roman"/>
          <w:color w:val="000000"/>
          <w:kern w:val="0"/>
          <w:sz w:val="24"/>
          <w:szCs w:val="24"/>
          <w:lang w:eastAsia="en-GB"/>
          <w14:ligatures w14:val="none"/>
        </w:rPr>
        <w:t>Hergenrather</w:t>
      </w:r>
      <w:proofErr w:type="spellEnd"/>
      <w:r w:rsidRPr="004672E6">
        <w:rPr>
          <w:rFonts w:ascii="Times New Roman" w:eastAsia="Times New Roman" w:hAnsi="Times New Roman" w:cs="Times New Roman"/>
          <w:color w:val="000000"/>
          <w:kern w:val="0"/>
          <w:sz w:val="24"/>
          <w:szCs w:val="24"/>
          <w:lang w:eastAsia="en-GB"/>
          <w14:ligatures w14:val="none"/>
        </w:rPr>
        <w:t>, K., Smelser, Q., &amp; Kelly, C. T. (2020). Exploring child-</w:t>
      </w:r>
      <w:proofErr w:type="spellStart"/>
      <w:r w:rsidRPr="004672E6">
        <w:rPr>
          <w:rFonts w:ascii="Times New Roman" w:eastAsia="Times New Roman" w:hAnsi="Times New Roman" w:cs="Times New Roman"/>
          <w:color w:val="000000"/>
          <w:kern w:val="0"/>
          <w:sz w:val="24"/>
          <w:szCs w:val="24"/>
          <w:lang w:eastAsia="en-GB"/>
          <w14:ligatures w14:val="none"/>
        </w:rPr>
        <w:t>centered</w:t>
      </w:r>
      <w:proofErr w:type="spellEnd"/>
      <w:r w:rsidRPr="004672E6">
        <w:rPr>
          <w:rFonts w:ascii="Times New Roman" w:eastAsia="Times New Roman" w:hAnsi="Times New Roman" w:cs="Times New Roman"/>
          <w:color w:val="000000"/>
          <w:kern w:val="0"/>
          <w:sz w:val="24"/>
          <w:szCs w:val="24"/>
          <w:lang w:eastAsia="en-GB"/>
          <w14:ligatures w14:val="none"/>
        </w:rPr>
        <w:t xml:space="preserve"> play therapy and trauma: A systematic review of literature. </w:t>
      </w:r>
      <w:r w:rsidRPr="004672E6">
        <w:rPr>
          <w:rFonts w:ascii="Times New Roman" w:eastAsia="Times New Roman" w:hAnsi="Times New Roman" w:cs="Times New Roman"/>
          <w:i/>
          <w:iCs/>
          <w:color w:val="000000"/>
          <w:kern w:val="0"/>
          <w:sz w:val="24"/>
          <w:szCs w:val="24"/>
          <w:lang w:eastAsia="en-GB"/>
          <w14:ligatures w14:val="none"/>
        </w:rPr>
        <w:t>International Journal of Play Therapy</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30</w:t>
      </w:r>
      <w:r w:rsidRPr="004672E6">
        <w:rPr>
          <w:rFonts w:ascii="Times New Roman" w:eastAsia="Times New Roman" w:hAnsi="Times New Roman" w:cs="Times New Roman"/>
          <w:color w:val="000000"/>
          <w:kern w:val="0"/>
          <w:sz w:val="24"/>
          <w:szCs w:val="24"/>
          <w:lang w:eastAsia="en-GB"/>
          <w14:ligatures w14:val="none"/>
        </w:rPr>
        <w:t>(1). https://doi.org/10.1037/pla0000136</w:t>
      </w:r>
    </w:p>
    <w:p w14:paraId="3CEC96F9"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Perry, B. D. (2002). Childhood Experience and the Expression of Genetic Potential: What Childhood Neglect Tells Us About Nature and Nurture. </w:t>
      </w:r>
      <w:r w:rsidRPr="004672E6">
        <w:rPr>
          <w:rFonts w:ascii="Times New Roman" w:eastAsia="Times New Roman" w:hAnsi="Times New Roman" w:cs="Times New Roman"/>
          <w:i/>
          <w:iCs/>
          <w:color w:val="000000"/>
          <w:kern w:val="0"/>
          <w:sz w:val="24"/>
          <w:szCs w:val="24"/>
          <w:lang w:eastAsia="en-GB"/>
          <w14:ligatures w14:val="none"/>
        </w:rPr>
        <w:t>Brain and Mind</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3</w:t>
      </w:r>
      <w:r w:rsidRPr="004672E6">
        <w:rPr>
          <w:rFonts w:ascii="Times New Roman" w:eastAsia="Times New Roman" w:hAnsi="Times New Roman" w:cs="Times New Roman"/>
          <w:color w:val="000000"/>
          <w:kern w:val="0"/>
          <w:sz w:val="24"/>
          <w:szCs w:val="24"/>
          <w:lang w:eastAsia="en-GB"/>
          <w14:ligatures w14:val="none"/>
        </w:rPr>
        <w:t>(1), 79–100. https://doi.org/10.1023/a:1016557824657</w:t>
      </w:r>
    </w:p>
    <w:p w14:paraId="5B68A9DE"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lastRenderedPageBreak/>
        <w:t>Poghosyan, L., Clarke, S. P., Finlayson, M., &amp; Aiken, L. H. (2010). Nurse burnout and quality of care: Cross-national investigation in six countries. </w:t>
      </w:r>
      <w:r w:rsidRPr="004672E6">
        <w:rPr>
          <w:rFonts w:ascii="Times New Roman" w:eastAsia="Times New Roman" w:hAnsi="Times New Roman" w:cs="Times New Roman"/>
          <w:i/>
          <w:iCs/>
          <w:color w:val="000000"/>
          <w:kern w:val="0"/>
          <w:sz w:val="24"/>
          <w:szCs w:val="24"/>
          <w:lang w:eastAsia="en-GB"/>
          <w14:ligatures w14:val="none"/>
        </w:rPr>
        <w:t>Research in Nursing &amp; Health</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33</w:t>
      </w:r>
      <w:r w:rsidRPr="004672E6">
        <w:rPr>
          <w:rFonts w:ascii="Times New Roman" w:eastAsia="Times New Roman" w:hAnsi="Times New Roman" w:cs="Times New Roman"/>
          <w:color w:val="000000"/>
          <w:kern w:val="0"/>
          <w:sz w:val="24"/>
          <w:szCs w:val="24"/>
          <w:lang w:eastAsia="en-GB"/>
          <w14:ligatures w14:val="none"/>
        </w:rPr>
        <w:t>(4), 288–298. https://doi.org/10.1002/nur.20383</w:t>
      </w:r>
    </w:p>
    <w:p w14:paraId="59499A90"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Raphael, B. (2003). </w:t>
      </w:r>
      <w:r w:rsidRPr="004672E6">
        <w:rPr>
          <w:rFonts w:ascii="Times New Roman" w:eastAsia="Times New Roman" w:hAnsi="Times New Roman" w:cs="Times New Roman"/>
          <w:i/>
          <w:iCs/>
          <w:color w:val="000000"/>
          <w:kern w:val="0"/>
          <w:sz w:val="24"/>
          <w:szCs w:val="24"/>
          <w:lang w:eastAsia="en-GB"/>
          <w14:ligatures w14:val="none"/>
        </w:rPr>
        <w:t xml:space="preserve">Psychological </w:t>
      </w:r>
      <w:proofErr w:type="gramStart"/>
      <w:r w:rsidRPr="004672E6">
        <w:rPr>
          <w:rFonts w:ascii="Times New Roman" w:eastAsia="Times New Roman" w:hAnsi="Times New Roman" w:cs="Times New Roman"/>
          <w:i/>
          <w:iCs/>
          <w:color w:val="000000"/>
          <w:kern w:val="0"/>
          <w:sz w:val="24"/>
          <w:szCs w:val="24"/>
          <w:lang w:eastAsia="en-GB"/>
          <w14:ligatures w14:val="none"/>
        </w:rPr>
        <w:t>debriefing :</w:t>
      </w:r>
      <w:proofErr w:type="gramEnd"/>
      <w:r w:rsidRPr="004672E6">
        <w:rPr>
          <w:rFonts w:ascii="Times New Roman" w:eastAsia="Times New Roman" w:hAnsi="Times New Roman" w:cs="Times New Roman"/>
          <w:i/>
          <w:iCs/>
          <w:color w:val="000000"/>
          <w:kern w:val="0"/>
          <w:sz w:val="24"/>
          <w:szCs w:val="24"/>
          <w:lang w:eastAsia="en-GB"/>
          <w14:ligatures w14:val="none"/>
        </w:rPr>
        <w:t xml:space="preserve"> theory, practice and evidence</w:t>
      </w:r>
      <w:r w:rsidRPr="004672E6">
        <w:rPr>
          <w:rFonts w:ascii="Times New Roman" w:eastAsia="Times New Roman" w:hAnsi="Times New Roman" w:cs="Times New Roman"/>
          <w:color w:val="000000"/>
          <w:kern w:val="0"/>
          <w:sz w:val="24"/>
          <w:szCs w:val="24"/>
          <w:lang w:eastAsia="en-GB"/>
          <w14:ligatures w14:val="none"/>
        </w:rPr>
        <w:t>. Cambridge Univ. Press.</w:t>
      </w:r>
    </w:p>
    <w:p w14:paraId="77BB7C3F"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Robinson, J. (2022, November 10). </w:t>
      </w:r>
      <w:r w:rsidRPr="004672E6">
        <w:rPr>
          <w:rFonts w:ascii="Times New Roman" w:eastAsia="Times New Roman" w:hAnsi="Times New Roman" w:cs="Times New Roman"/>
          <w:i/>
          <w:iCs/>
          <w:color w:val="000000"/>
          <w:kern w:val="0"/>
          <w:sz w:val="24"/>
          <w:szCs w:val="24"/>
          <w:lang w:eastAsia="en-GB"/>
          <w14:ligatures w14:val="none"/>
        </w:rPr>
        <w:t>In-depth explanation of ERA Cycle of Reflection Writing</w:t>
      </w:r>
      <w:r w:rsidRPr="004672E6">
        <w:rPr>
          <w:rFonts w:ascii="Times New Roman" w:eastAsia="Times New Roman" w:hAnsi="Times New Roman" w:cs="Times New Roman"/>
          <w:color w:val="000000"/>
          <w:kern w:val="0"/>
          <w:sz w:val="24"/>
          <w:szCs w:val="24"/>
          <w:lang w:eastAsia="en-GB"/>
          <w14:ligatures w14:val="none"/>
        </w:rPr>
        <w:t xml:space="preserve">. </w:t>
      </w:r>
      <w:proofErr w:type="spellStart"/>
      <w:r w:rsidRPr="004672E6">
        <w:rPr>
          <w:rFonts w:ascii="Times New Roman" w:eastAsia="Times New Roman" w:hAnsi="Times New Roman" w:cs="Times New Roman"/>
          <w:color w:val="000000"/>
          <w:kern w:val="0"/>
          <w:sz w:val="24"/>
          <w:szCs w:val="24"/>
          <w:lang w:eastAsia="en-GB"/>
          <w14:ligatures w14:val="none"/>
        </w:rPr>
        <w:t>Crowjack</w:t>
      </w:r>
      <w:proofErr w:type="spellEnd"/>
      <w:r w:rsidRPr="004672E6">
        <w:rPr>
          <w:rFonts w:ascii="Times New Roman" w:eastAsia="Times New Roman" w:hAnsi="Times New Roman" w:cs="Times New Roman"/>
          <w:color w:val="000000"/>
          <w:kern w:val="0"/>
          <w:sz w:val="24"/>
          <w:szCs w:val="24"/>
          <w:lang w:eastAsia="en-GB"/>
          <w14:ligatures w14:val="none"/>
        </w:rPr>
        <w:t>. https://crowjack.com/blog/strategy/reflection-models/era-cycle</w:t>
      </w:r>
    </w:p>
    <w:p w14:paraId="6E9A7957"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SEREC, M., ŠVAB, I., KOLŠEK, M., ŠVAB, V., MOESGEN, D., &amp; KLEIN, M. (2012). Health-related lifestyle, physical and mental health in children of alcoholic parents. </w:t>
      </w:r>
      <w:r w:rsidRPr="004672E6">
        <w:rPr>
          <w:rFonts w:ascii="Times New Roman" w:eastAsia="Times New Roman" w:hAnsi="Times New Roman" w:cs="Times New Roman"/>
          <w:i/>
          <w:iCs/>
          <w:color w:val="000000"/>
          <w:kern w:val="0"/>
          <w:sz w:val="24"/>
          <w:szCs w:val="24"/>
          <w:lang w:eastAsia="en-GB"/>
          <w14:ligatures w14:val="none"/>
        </w:rPr>
        <w:t>Drug and Alcohol Review</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31</w:t>
      </w:r>
      <w:r w:rsidRPr="004672E6">
        <w:rPr>
          <w:rFonts w:ascii="Times New Roman" w:eastAsia="Times New Roman" w:hAnsi="Times New Roman" w:cs="Times New Roman"/>
          <w:color w:val="000000"/>
          <w:kern w:val="0"/>
          <w:sz w:val="24"/>
          <w:szCs w:val="24"/>
          <w:lang w:eastAsia="en-GB"/>
          <w14:ligatures w14:val="none"/>
        </w:rPr>
        <w:t>(7), 861–870. https://doi.org/10.1111/j.1465-3362.2012.00424.x</w:t>
      </w:r>
    </w:p>
    <w:p w14:paraId="372DF392"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Shields, A., Ryan, R. M., &amp; Cicchetti, D. (2001). Narrative representations of caregivers and emotion dysregulation as predictors of maltreated children’s rejection by peers. </w:t>
      </w:r>
      <w:r w:rsidRPr="004672E6">
        <w:rPr>
          <w:rFonts w:ascii="Times New Roman" w:eastAsia="Times New Roman" w:hAnsi="Times New Roman" w:cs="Times New Roman"/>
          <w:i/>
          <w:iCs/>
          <w:color w:val="000000"/>
          <w:kern w:val="0"/>
          <w:sz w:val="24"/>
          <w:szCs w:val="24"/>
          <w:lang w:eastAsia="en-GB"/>
          <w14:ligatures w14:val="none"/>
        </w:rPr>
        <w:t>Developmental Psychology</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37</w:t>
      </w:r>
      <w:r w:rsidRPr="004672E6">
        <w:rPr>
          <w:rFonts w:ascii="Times New Roman" w:eastAsia="Times New Roman" w:hAnsi="Times New Roman" w:cs="Times New Roman"/>
          <w:color w:val="000000"/>
          <w:kern w:val="0"/>
          <w:sz w:val="24"/>
          <w:szCs w:val="24"/>
          <w:lang w:eastAsia="en-GB"/>
          <w14:ligatures w14:val="none"/>
        </w:rPr>
        <w:t>(3), 321–337. https://doi.org/10.1037//0012-1649.37.3.321</w:t>
      </w:r>
    </w:p>
    <w:p w14:paraId="78E5F057"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Skovholt, T. M., &amp; Trotter-Mathison, M. (2011). </w:t>
      </w:r>
      <w:r w:rsidRPr="004672E6">
        <w:rPr>
          <w:rFonts w:ascii="Times New Roman" w:eastAsia="Times New Roman" w:hAnsi="Times New Roman" w:cs="Times New Roman"/>
          <w:i/>
          <w:iCs/>
          <w:color w:val="000000"/>
          <w:kern w:val="0"/>
          <w:sz w:val="24"/>
          <w:szCs w:val="24"/>
          <w:lang w:eastAsia="en-GB"/>
          <w14:ligatures w14:val="none"/>
        </w:rPr>
        <w:t xml:space="preserve">The resilient </w:t>
      </w:r>
      <w:proofErr w:type="gramStart"/>
      <w:r w:rsidRPr="004672E6">
        <w:rPr>
          <w:rFonts w:ascii="Times New Roman" w:eastAsia="Times New Roman" w:hAnsi="Times New Roman" w:cs="Times New Roman"/>
          <w:i/>
          <w:iCs/>
          <w:color w:val="000000"/>
          <w:kern w:val="0"/>
          <w:sz w:val="24"/>
          <w:szCs w:val="24"/>
          <w:lang w:eastAsia="en-GB"/>
          <w14:ligatures w14:val="none"/>
        </w:rPr>
        <w:t>practitioner :</w:t>
      </w:r>
      <w:proofErr w:type="gramEnd"/>
      <w:r w:rsidRPr="004672E6">
        <w:rPr>
          <w:rFonts w:ascii="Times New Roman" w:eastAsia="Times New Roman" w:hAnsi="Times New Roman" w:cs="Times New Roman"/>
          <w:i/>
          <w:iCs/>
          <w:color w:val="000000"/>
          <w:kern w:val="0"/>
          <w:sz w:val="24"/>
          <w:szCs w:val="24"/>
          <w:lang w:eastAsia="en-GB"/>
          <w14:ligatures w14:val="none"/>
        </w:rPr>
        <w:t xml:space="preserve"> burnout prevention and self-care strategies for </w:t>
      </w:r>
      <w:proofErr w:type="spellStart"/>
      <w:r w:rsidRPr="004672E6">
        <w:rPr>
          <w:rFonts w:ascii="Times New Roman" w:eastAsia="Times New Roman" w:hAnsi="Times New Roman" w:cs="Times New Roman"/>
          <w:i/>
          <w:iCs/>
          <w:color w:val="000000"/>
          <w:kern w:val="0"/>
          <w:sz w:val="24"/>
          <w:szCs w:val="24"/>
          <w:lang w:eastAsia="en-GB"/>
          <w14:ligatures w14:val="none"/>
        </w:rPr>
        <w:t>counselors</w:t>
      </w:r>
      <w:proofErr w:type="spellEnd"/>
      <w:r w:rsidRPr="004672E6">
        <w:rPr>
          <w:rFonts w:ascii="Times New Roman" w:eastAsia="Times New Roman" w:hAnsi="Times New Roman" w:cs="Times New Roman"/>
          <w:i/>
          <w:iCs/>
          <w:color w:val="000000"/>
          <w:kern w:val="0"/>
          <w:sz w:val="24"/>
          <w:szCs w:val="24"/>
          <w:lang w:eastAsia="en-GB"/>
          <w14:ligatures w14:val="none"/>
        </w:rPr>
        <w:t>, therapists, teachers, and health professionals</w:t>
      </w:r>
      <w:r w:rsidRPr="004672E6">
        <w:rPr>
          <w:rFonts w:ascii="Times New Roman" w:eastAsia="Times New Roman" w:hAnsi="Times New Roman" w:cs="Times New Roman"/>
          <w:color w:val="000000"/>
          <w:kern w:val="0"/>
          <w:sz w:val="24"/>
          <w:szCs w:val="24"/>
          <w:lang w:eastAsia="en-GB"/>
          <w14:ligatures w14:val="none"/>
        </w:rPr>
        <w:t>. Routledge.</w:t>
      </w:r>
    </w:p>
    <w:p w14:paraId="284244AD"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proofErr w:type="spellStart"/>
      <w:r w:rsidRPr="004672E6">
        <w:rPr>
          <w:rFonts w:ascii="Times New Roman" w:eastAsia="Times New Roman" w:hAnsi="Times New Roman" w:cs="Times New Roman"/>
          <w:color w:val="000000"/>
          <w:kern w:val="0"/>
          <w:sz w:val="24"/>
          <w:szCs w:val="24"/>
          <w:lang w:eastAsia="en-GB"/>
          <w14:ligatures w14:val="none"/>
        </w:rPr>
        <w:t>Spicker</w:t>
      </w:r>
      <w:proofErr w:type="spellEnd"/>
      <w:r w:rsidRPr="004672E6">
        <w:rPr>
          <w:rFonts w:ascii="Times New Roman" w:eastAsia="Times New Roman" w:hAnsi="Times New Roman" w:cs="Times New Roman"/>
          <w:color w:val="000000"/>
          <w:kern w:val="0"/>
          <w:sz w:val="24"/>
          <w:szCs w:val="24"/>
          <w:lang w:eastAsia="en-GB"/>
          <w14:ligatures w14:val="none"/>
        </w:rPr>
        <w:t>, P. (2020). Poverty. </w:t>
      </w:r>
      <w:r w:rsidRPr="004672E6">
        <w:rPr>
          <w:rFonts w:ascii="Times New Roman" w:eastAsia="Times New Roman" w:hAnsi="Times New Roman" w:cs="Times New Roman"/>
          <w:i/>
          <w:iCs/>
          <w:color w:val="000000"/>
          <w:kern w:val="0"/>
          <w:sz w:val="24"/>
          <w:szCs w:val="24"/>
          <w:lang w:eastAsia="en-GB"/>
          <w14:ligatures w14:val="none"/>
        </w:rPr>
        <w:t xml:space="preserve">Policy Press </w:t>
      </w:r>
      <w:proofErr w:type="spellStart"/>
      <w:r w:rsidRPr="004672E6">
        <w:rPr>
          <w:rFonts w:ascii="Times New Roman" w:eastAsia="Times New Roman" w:hAnsi="Times New Roman" w:cs="Times New Roman"/>
          <w:i/>
          <w:iCs/>
          <w:color w:val="000000"/>
          <w:kern w:val="0"/>
          <w:sz w:val="24"/>
          <w:szCs w:val="24"/>
          <w:lang w:eastAsia="en-GB"/>
          <w14:ligatures w14:val="none"/>
        </w:rPr>
        <w:t>EBooks</w:t>
      </w:r>
      <w:proofErr w:type="spellEnd"/>
      <w:r w:rsidRPr="004672E6">
        <w:rPr>
          <w:rFonts w:ascii="Times New Roman" w:eastAsia="Times New Roman" w:hAnsi="Times New Roman" w:cs="Times New Roman"/>
          <w:color w:val="000000"/>
          <w:kern w:val="0"/>
          <w:sz w:val="24"/>
          <w:szCs w:val="24"/>
          <w:lang w:eastAsia="en-GB"/>
          <w14:ligatures w14:val="none"/>
        </w:rPr>
        <w:t>, 15–34. https://doi.org/10.51952/9781447343349.ch001</w:t>
      </w:r>
    </w:p>
    <w:p w14:paraId="1151591F"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Spratt, E. G., </w:t>
      </w:r>
      <w:proofErr w:type="spellStart"/>
      <w:r w:rsidRPr="004672E6">
        <w:rPr>
          <w:rFonts w:ascii="Times New Roman" w:eastAsia="Times New Roman" w:hAnsi="Times New Roman" w:cs="Times New Roman"/>
          <w:color w:val="000000"/>
          <w:kern w:val="0"/>
          <w:sz w:val="24"/>
          <w:szCs w:val="24"/>
          <w:lang w:eastAsia="en-GB"/>
          <w14:ligatures w14:val="none"/>
        </w:rPr>
        <w:t>Friedenberg</w:t>
      </w:r>
      <w:proofErr w:type="spellEnd"/>
      <w:r w:rsidRPr="004672E6">
        <w:rPr>
          <w:rFonts w:ascii="Times New Roman" w:eastAsia="Times New Roman" w:hAnsi="Times New Roman" w:cs="Times New Roman"/>
          <w:color w:val="000000"/>
          <w:kern w:val="0"/>
          <w:sz w:val="24"/>
          <w:szCs w:val="24"/>
          <w:lang w:eastAsia="en-GB"/>
          <w14:ligatures w14:val="none"/>
        </w:rPr>
        <w:t xml:space="preserve">, S., LaRosa, A., Bellis, M. D. D., Macias, M. M., Summer, A. P., Hulsey, T. C., Runyan, D. K., &amp; Brady, K. T. (2012). The Effects of Early Neglect on Cognitive, Language, and </w:t>
      </w:r>
      <w:proofErr w:type="spellStart"/>
      <w:r w:rsidRPr="004672E6">
        <w:rPr>
          <w:rFonts w:ascii="Times New Roman" w:eastAsia="Times New Roman" w:hAnsi="Times New Roman" w:cs="Times New Roman"/>
          <w:color w:val="000000"/>
          <w:kern w:val="0"/>
          <w:sz w:val="24"/>
          <w:szCs w:val="24"/>
          <w:lang w:eastAsia="en-GB"/>
          <w14:ligatures w14:val="none"/>
        </w:rPr>
        <w:t>Behavioral</w:t>
      </w:r>
      <w:proofErr w:type="spellEnd"/>
      <w:r w:rsidRPr="004672E6">
        <w:rPr>
          <w:rFonts w:ascii="Times New Roman" w:eastAsia="Times New Roman" w:hAnsi="Times New Roman" w:cs="Times New Roman"/>
          <w:color w:val="000000"/>
          <w:kern w:val="0"/>
          <w:sz w:val="24"/>
          <w:szCs w:val="24"/>
          <w:lang w:eastAsia="en-GB"/>
          <w14:ligatures w14:val="none"/>
        </w:rPr>
        <w:t xml:space="preserve"> Functioning in Childhood. </w:t>
      </w:r>
      <w:r w:rsidRPr="004672E6">
        <w:rPr>
          <w:rFonts w:ascii="Times New Roman" w:eastAsia="Times New Roman" w:hAnsi="Times New Roman" w:cs="Times New Roman"/>
          <w:i/>
          <w:iCs/>
          <w:color w:val="000000"/>
          <w:kern w:val="0"/>
          <w:sz w:val="24"/>
          <w:szCs w:val="24"/>
          <w:lang w:eastAsia="en-GB"/>
          <w14:ligatures w14:val="none"/>
        </w:rPr>
        <w:t>Psychology</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03</w:t>
      </w:r>
      <w:r w:rsidRPr="004672E6">
        <w:rPr>
          <w:rFonts w:ascii="Times New Roman" w:eastAsia="Times New Roman" w:hAnsi="Times New Roman" w:cs="Times New Roman"/>
          <w:color w:val="000000"/>
          <w:kern w:val="0"/>
          <w:sz w:val="24"/>
          <w:szCs w:val="24"/>
          <w:lang w:eastAsia="en-GB"/>
          <w14:ligatures w14:val="none"/>
        </w:rPr>
        <w:t>(02), 175–182. https://doi.org/10.4236/psych.2012.32026</w:t>
      </w:r>
    </w:p>
    <w:p w14:paraId="78D4BD8B"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Steele, H., Bate, J., Steele, M., Dube, S. R., </w:t>
      </w:r>
      <w:proofErr w:type="spellStart"/>
      <w:r w:rsidRPr="004672E6">
        <w:rPr>
          <w:rFonts w:ascii="Times New Roman" w:eastAsia="Times New Roman" w:hAnsi="Times New Roman" w:cs="Times New Roman"/>
          <w:color w:val="000000"/>
          <w:kern w:val="0"/>
          <w:sz w:val="24"/>
          <w:szCs w:val="24"/>
          <w:lang w:eastAsia="en-GB"/>
          <w14:ligatures w14:val="none"/>
        </w:rPr>
        <w:t>Danskin</w:t>
      </w:r>
      <w:proofErr w:type="spellEnd"/>
      <w:r w:rsidRPr="004672E6">
        <w:rPr>
          <w:rFonts w:ascii="Times New Roman" w:eastAsia="Times New Roman" w:hAnsi="Times New Roman" w:cs="Times New Roman"/>
          <w:color w:val="000000"/>
          <w:kern w:val="0"/>
          <w:sz w:val="24"/>
          <w:szCs w:val="24"/>
          <w:lang w:eastAsia="en-GB"/>
          <w14:ligatures w14:val="none"/>
        </w:rPr>
        <w:t xml:space="preserve">, K., </w:t>
      </w:r>
      <w:proofErr w:type="spellStart"/>
      <w:r w:rsidRPr="004672E6">
        <w:rPr>
          <w:rFonts w:ascii="Times New Roman" w:eastAsia="Times New Roman" w:hAnsi="Times New Roman" w:cs="Times New Roman"/>
          <w:color w:val="000000"/>
          <w:kern w:val="0"/>
          <w:sz w:val="24"/>
          <w:szCs w:val="24"/>
          <w:lang w:eastAsia="en-GB"/>
          <w14:ligatures w14:val="none"/>
        </w:rPr>
        <w:t>Knafo</w:t>
      </w:r>
      <w:proofErr w:type="spellEnd"/>
      <w:r w:rsidRPr="004672E6">
        <w:rPr>
          <w:rFonts w:ascii="Times New Roman" w:eastAsia="Times New Roman" w:hAnsi="Times New Roman" w:cs="Times New Roman"/>
          <w:color w:val="000000"/>
          <w:kern w:val="0"/>
          <w:sz w:val="24"/>
          <w:szCs w:val="24"/>
          <w:lang w:eastAsia="en-GB"/>
          <w14:ligatures w14:val="none"/>
        </w:rPr>
        <w:t xml:space="preserve">, H., </w:t>
      </w:r>
      <w:proofErr w:type="spellStart"/>
      <w:r w:rsidRPr="004672E6">
        <w:rPr>
          <w:rFonts w:ascii="Times New Roman" w:eastAsia="Times New Roman" w:hAnsi="Times New Roman" w:cs="Times New Roman"/>
          <w:color w:val="000000"/>
          <w:kern w:val="0"/>
          <w:sz w:val="24"/>
          <w:szCs w:val="24"/>
          <w:lang w:eastAsia="en-GB"/>
          <w14:ligatures w14:val="none"/>
        </w:rPr>
        <w:t>Nikitiades</w:t>
      </w:r>
      <w:proofErr w:type="spellEnd"/>
      <w:r w:rsidRPr="004672E6">
        <w:rPr>
          <w:rFonts w:ascii="Times New Roman" w:eastAsia="Times New Roman" w:hAnsi="Times New Roman" w:cs="Times New Roman"/>
          <w:color w:val="000000"/>
          <w:kern w:val="0"/>
          <w:sz w:val="24"/>
          <w:szCs w:val="24"/>
          <w:lang w:eastAsia="en-GB"/>
          <w14:ligatures w14:val="none"/>
        </w:rPr>
        <w:t xml:space="preserve">, A., </w:t>
      </w:r>
      <w:proofErr w:type="spellStart"/>
      <w:r w:rsidRPr="004672E6">
        <w:rPr>
          <w:rFonts w:ascii="Times New Roman" w:eastAsia="Times New Roman" w:hAnsi="Times New Roman" w:cs="Times New Roman"/>
          <w:color w:val="000000"/>
          <w:kern w:val="0"/>
          <w:sz w:val="24"/>
          <w:szCs w:val="24"/>
          <w:lang w:eastAsia="en-GB"/>
          <w14:ligatures w14:val="none"/>
        </w:rPr>
        <w:t>Bonuck</w:t>
      </w:r>
      <w:proofErr w:type="spellEnd"/>
      <w:r w:rsidRPr="004672E6">
        <w:rPr>
          <w:rFonts w:ascii="Times New Roman" w:eastAsia="Times New Roman" w:hAnsi="Times New Roman" w:cs="Times New Roman"/>
          <w:color w:val="000000"/>
          <w:kern w:val="0"/>
          <w:sz w:val="24"/>
          <w:szCs w:val="24"/>
          <w:lang w:eastAsia="en-GB"/>
          <w14:ligatures w14:val="none"/>
        </w:rPr>
        <w:t>, K., Meissner, P., &amp; Murphy, A. (2016). Adverse childhood experiences, poverty, and parenting stress. </w:t>
      </w:r>
      <w:r w:rsidRPr="004672E6">
        <w:rPr>
          <w:rFonts w:ascii="Times New Roman" w:eastAsia="Times New Roman" w:hAnsi="Times New Roman" w:cs="Times New Roman"/>
          <w:i/>
          <w:iCs/>
          <w:color w:val="000000"/>
          <w:kern w:val="0"/>
          <w:sz w:val="24"/>
          <w:szCs w:val="24"/>
          <w:lang w:eastAsia="en-GB"/>
          <w14:ligatures w14:val="none"/>
        </w:rPr>
        <w:t xml:space="preserve">Canadian Journal of Behavioural Science / Revue Canadienne Des Sciences Du </w:t>
      </w:r>
      <w:proofErr w:type="spellStart"/>
      <w:r w:rsidRPr="004672E6">
        <w:rPr>
          <w:rFonts w:ascii="Times New Roman" w:eastAsia="Times New Roman" w:hAnsi="Times New Roman" w:cs="Times New Roman"/>
          <w:i/>
          <w:iCs/>
          <w:color w:val="000000"/>
          <w:kern w:val="0"/>
          <w:sz w:val="24"/>
          <w:szCs w:val="24"/>
          <w:lang w:eastAsia="en-GB"/>
          <w14:ligatures w14:val="none"/>
        </w:rPr>
        <w:t>Comportement</w:t>
      </w:r>
      <w:proofErr w:type="spellEnd"/>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48</w:t>
      </w:r>
      <w:r w:rsidRPr="004672E6">
        <w:rPr>
          <w:rFonts w:ascii="Times New Roman" w:eastAsia="Times New Roman" w:hAnsi="Times New Roman" w:cs="Times New Roman"/>
          <w:color w:val="000000"/>
          <w:kern w:val="0"/>
          <w:sz w:val="24"/>
          <w:szCs w:val="24"/>
          <w:lang w:eastAsia="en-GB"/>
          <w14:ligatures w14:val="none"/>
        </w:rPr>
        <w:t>(1), 32–38. https://doi.org/10.1037/cbs0000034</w:t>
      </w:r>
    </w:p>
    <w:p w14:paraId="1478820C"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Steptoe, A., Moses, J., Edwards, S., &amp; Mathews, A. (1993). Exercise and responsivity to mental stress: discrepancies between the subjective and physiological effects of aerobic training. </w:t>
      </w:r>
      <w:r w:rsidRPr="004672E6">
        <w:rPr>
          <w:rFonts w:ascii="Times New Roman" w:eastAsia="Times New Roman" w:hAnsi="Times New Roman" w:cs="Times New Roman"/>
          <w:i/>
          <w:iCs/>
          <w:color w:val="000000"/>
          <w:kern w:val="0"/>
          <w:sz w:val="24"/>
          <w:szCs w:val="24"/>
          <w:lang w:eastAsia="en-GB"/>
          <w14:ligatures w14:val="none"/>
        </w:rPr>
        <w:t>International Journal of Sport Psychology</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24</w:t>
      </w:r>
      <w:r w:rsidRPr="004672E6">
        <w:rPr>
          <w:rFonts w:ascii="Times New Roman" w:eastAsia="Times New Roman" w:hAnsi="Times New Roman" w:cs="Times New Roman"/>
          <w:color w:val="000000"/>
          <w:kern w:val="0"/>
          <w:sz w:val="24"/>
          <w:szCs w:val="24"/>
          <w:lang w:eastAsia="en-GB"/>
          <w14:ligatures w14:val="none"/>
        </w:rPr>
        <w:t>(2), 110–129.</w:t>
      </w:r>
    </w:p>
    <w:p w14:paraId="6E21C645"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lastRenderedPageBreak/>
        <w:t xml:space="preserve">Stith, S. M., Liu, T., Davies, L. C., Boykin, E. L., Alder, M. C., Harris, J. M., </w:t>
      </w:r>
      <w:proofErr w:type="spellStart"/>
      <w:r w:rsidRPr="004672E6">
        <w:rPr>
          <w:rFonts w:ascii="Times New Roman" w:eastAsia="Times New Roman" w:hAnsi="Times New Roman" w:cs="Times New Roman"/>
          <w:color w:val="000000"/>
          <w:kern w:val="0"/>
          <w:sz w:val="24"/>
          <w:szCs w:val="24"/>
          <w:lang w:eastAsia="en-GB"/>
          <w14:ligatures w14:val="none"/>
        </w:rPr>
        <w:t>Som</w:t>
      </w:r>
      <w:proofErr w:type="spellEnd"/>
      <w:r w:rsidRPr="004672E6">
        <w:rPr>
          <w:rFonts w:ascii="Times New Roman" w:eastAsia="Times New Roman" w:hAnsi="Times New Roman" w:cs="Times New Roman"/>
          <w:color w:val="000000"/>
          <w:kern w:val="0"/>
          <w:sz w:val="24"/>
          <w:szCs w:val="24"/>
          <w:lang w:eastAsia="en-GB"/>
          <w14:ligatures w14:val="none"/>
        </w:rPr>
        <w:t>, A., McPherson, M., &amp; Dees, J. E. M. E. G. (2009). Risk factors in child maltreatment: A meta-analytic review of the literature. </w:t>
      </w:r>
      <w:r w:rsidRPr="004672E6">
        <w:rPr>
          <w:rFonts w:ascii="Times New Roman" w:eastAsia="Times New Roman" w:hAnsi="Times New Roman" w:cs="Times New Roman"/>
          <w:i/>
          <w:iCs/>
          <w:color w:val="000000"/>
          <w:kern w:val="0"/>
          <w:sz w:val="24"/>
          <w:szCs w:val="24"/>
          <w:lang w:eastAsia="en-GB"/>
          <w14:ligatures w14:val="none"/>
        </w:rPr>
        <w:t xml:space="preserve">Aggression and Violent </w:t>
      </w:r>
      <w:proofErr w:type="spellStart"/>
      <w:r w:rsidRPr="004672E6">
        <w:rPr>
          <w:rFonts w:ascii="Times New Roman" w:eastAsia="Times New Roman" w:hAnsi="Times New Roman" w:cs="Times New Roman"/>
          <w:i/>
          <w:iCs/>
          <w:color w:val="000000"/>
          <w:kern w:val="0"/>
          <w:sz w:val="24"/>
          <w:szCs w:val="24"/>
          <w:lang w:eastAsia="en-GB"/>
          <w14:ligatures w14:val="none"/>
        </w:rPr>
        <w:t>Behavior</w:t>
      </w:r>
      <w:proofErr w:type="spellEnd"/>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14</w:t>
      </w:r>
      <w:r w:rsidRPr="004672E6">
        <w:rPr>
          <w:rFonts w:ascii="Times New Roman" w:eastAsia="Times New Roman" w:hAnsi="Times New Roman" w:cs="Times New Roman"/>
          <w:color w:val="000000"/>
          <w:kern w:val="0"/>
          <w:sz w:val="24"/>
          <w:szCs w:val="24"/>
          <w:lang w:eastAsia="en-GB"/>
          <w14:ligatures w14:val="none"/>
        </w:rPr>
        <w:t>(1), 13–29. https://doi.org/10.1016/j.avb.2006.03.006</w:t>
      </w:r>
    </w:p>
    <w:p w14:paraId="20C042F3"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Strathearn, L., Giannotti, M., Mills, R., </w:t>
      </w:r>
      <w:proofErr w:type="spellStart"/>
      <w:r w:rsidRPr="004672E6">
        <w:rPr>
          <w:rFonts w:ascii="Times New Roman" w:eastAsia="Times New Roman" w:hAnsi="Times New Roman" w:cs="Times New Roman"/>
          <w:color w:val="000000"/>
          <w:kern w:val="0"/>
          <w:sz w:val="24"/>
          <w:szCs w:val="24"/>
          <w:lang w:eastAsia="en-GB"/>
          <w14:ligatures w14:val="none"/>
        </w:rPr>
        <w:t>Kisely</w:t>
      </w:r>
      <w:proofErr w:type="spellEnd"/>
      <w:r w:rsidRPr="004672E6">
        <w:rPr>
          <w:rFonts w:ascii="Times New Roman" w:eastAsia="Times New Roman" w:hAnsi="Times New Roman" w:cs="Times New Roman"/>
          <w:color w:val="000000"/>
          <w:kern w:val="0"/>
          <w:sz w:val="24"/>
          <w:szCs w:val="24"/>
          <w:lang w:eastAsia="en-GB"/>
          <w14:ligatures w14:val="none"/>
        </w:rPr>
        <w:t xml:space="preserve">, S., </w:t>
      </w:r>
      <w:proofErr w:type="spellStart"/>
      <w:r w:rsidRPr="004672E6">
        <w:rPr>
          <w:rFonts w:ascii="Times New Roman" w:eastAsia="Times New Roman" w:hAnsi="Times New Roman" w:cs="Times New Roman"/>
          <w:color w:val="000000"/>
          <w:kern w:val="0"/>
          <w:sz w:val="24"/>
          <w:szCs w:val="24"/>
          <w:lang w:eastAsia="en-GB"/>
          <w14:ligatures w14:val="none"/>
        </w:rPr>
        <w:t>Najman</w:t>
      </w:r>
      <w:proofErr w:type="spellEnd"/>
      <w:r w:rsidRPr="004672E6">
        <w:rPr>
          <w:rFonts w:ascii="Times New Roman" w:eastAsia="Times New Roman" w:hAnsi="Times New Roman" w:cs="Times New Roman"/>
          <w:color w:val="000000"/>
          <w:kern w:val="0"/>
          <w:sz w:val="24"/>
          <w:szCs w:val="24"/>
          <w:lang w:eastAsia="en-GB"/>
          <w14:ligatures w14:val="none"/>
        </w:rPr>
        <w:t xml:space="preserve">, J., &amp; </w:t>
      </w:r>
      <w:proofErr w:type="spellStart"/>
      <w:r w:rsidRPr="004672E6">
        <w:rPr>
          <w:rFonts w:ascii="Times New Roman" w:eastAsia="Times New Roman" w:hAnsi="Times New Roman" w:cs="Times New Roman"/>
          <w:color w:val="000000"/>
          <w:kern w:val="0"/>
          <w:sz w:val="24"/>
          <w:szCs w:val="24"/>
          <w:lang w:eastAsia="en-GB"/>
          <w14:ligatures w14:val="none"/>
        </w:rPr>
        <w:t>Abajobir</w:t>
      </w:r>
      <w:proofErr w:type="spellEnd"/>
      <w:r w:rsidRPr="004672E6">
        <w:rPr>
          <w:rFonts w:ascii="Times New Roman" w:eastAsia="Times New Roman" w:hAnsi="Times New Roman" w:cs="Times New Roman"/>
          <w:color w:val="000000"/>
          <w:kern w:val="0"/>
          <w:sz w:val="24"/>
          <w:szCs w:val="24"/>
          <w:lang w:eastAsia="en-GB"/>
          <w14:ligatures w14:val="none"/>
        </w:rPr>
        <w:t xml:space="preserve">, A. (2020). Long-term Cognitive, Psychological, and Health Outcomes Associated </w:t>
      </w:r>
      <w:proofErr w:type="gramStart"/>
      <w:r w:rsidRPr="004672E6">
        <w:rPr>
          <w:rFonts w:ascii="Times New Roman" w:eastAsia="Times New Roman" w:hAnsi="Times New Roman" w:cs="Times New Roman"/>
          <w:color w:val="000000"/>
          <w:kern w:val="0"/>
          <w:sz w:val="24"/>
          <w:szCs w:val="24"/>
          <w:lang w:eastAsia="en-GB"/>
          <w14:ligatures w14:val="none"/>
        </w:rPr>
        <w:t>With</w:t>
      </w:r>
      <w:proofErr w:type="gramEnd"/>
      <w:r w:rsidRPr="004672E6">
        <w:rPr>
          <w:rFonts w:ascii="Times New Roman" w:eastAsia="Times New Roman" w:hAnsi="Times New Roman" w:cs="Times New Roman"/>
          <w:color w:val="000000"/>
          <w:kern w:val="0"/>
          <w:sz w:val="24"/>
          <w:szCs w:val="24"/>
          <w:lang w:eastAsia="en-GB"/>
          <w14:ligatures w14:val="none"/>
        </w:rPr>
        <w:t xml:space="preserve"> Child Abuse and Neglect. </w:t>
      </w:r>
      <w:proofErr w:type="spellStart"/>
      <w:r w:rsidRPr="004672E6">
        <w:rPr>
          <w:rFonts w:ascii="Times New Roman" w:eastAsia="Times New Roman" w:hAnsi="Times New Roman" w:cs="Times New Roman"/>
          <w:i/>
          <w:iCs/>
          <w:color w:val="000000"/>
          <w:kern w:val="0"/>
          <w:sz w:val="24"/>
          <w:szCs w:val="24"/>
          <w:lang w:eastAsia="en-GB"/>
          <w14:ligatures w14:val="none"/>
        </w:rPr>
        <w:t>Pediatrics</w:t>
      </w:r>
      <w:proofErr w:type="spellEnd"/>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146</w:t>
      </w:r>
      <w:r w:rsidRPr="004672E6">
        <w:rPr>
          <w:rFonts w:ascii="Times New Roman" w:eastAsia="Times New Roman" w:hAnsi="Times New Roman" w:cs="Times New Roman"/>
          <w:color w:val="000000"/>
          <w:kern w:val="0"/>
          <w:sz w:val="24"/>
          <w:szCs w:val="24"/>
          <w:lang w:eastAsia="en-GB"/>
          <w14:ligatures w14:val="none"/>
        </w:rPr>
        <w:t>(4). https://doi.org/10.1542/peds.2020-0438</w:t>
      </w:r>
    </w:p>
    <w:p w14:paraId="0AD51DC0"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Valent, P. (2013). </w:t>
      </w:r>
      <w:r w:rsidRPr="004672E6">
        <w:rPr>
          <w:rFonts w:ascii="Times New Roman" w:eastAsia="Times New Roman" w:hAnsi="Times New Roman" w:cs="Times New Roman"/>
          <w:i/>
          <w:iCs/>
          <w:color w:val="000000"/>
          <w:kern w:val="0"/>
          <w:sz w:val="24"/>
          <w:szCs w:val="24"/>
          <w:lang w:eastAsia="en-GB"/>
          <w14:ligatures w14:val="none"/>
        </w:rPr>
        <w:t xml:space="preserve">Trauma and </w:t>
      </w:r>
      <w:proofErr w:type="spellStart"/>
      <w:r w:rsidRPr="004672E6">
        <w:rPr>
          <w:rFonts w:ascii="Times New Roman" w:eastAsia="Times New Roman" w:hAnsi="Times New Roman" w:cs="Times New Roman"/>
          <w:i/>
          <w:iCs/>
          <w:color w:val="000000"/>
          <w:kern w:val="0"/>
          <w:sz w:val="24"/>
          <w:szCs w:val="24"/>
          <w:lang w:eastAsia="en-GB"/>
          <w14:ligatures w14:val="none"/>
        </w:rPr>
        <w:t>Fulfillment</w:t>
      </w:r>
      <w:proofErr w:type="spellEnd"/>
      <w:r w:rsidRPr="004672E6">
        <w:rPr>
          <w:rFonts w:ascii="Times New Roman" w:eastAsia="Times New Roman" w:hAnsi="Times New Roman" w:cs="Times New Roman"/>
          <w:i/>
          <w:iCs/>
          <w:color w:val="000000"/>
          <w:kern w:val="0"/>
          <w:sz w:val="24"/>
          <w:szCs w:val="24"/>
          <w:lang w:eastAsia="en-GB"/>
          <w14:ligatures w14:val="none"/>
        </w:rPr>
        <w:t xml:space="preserve"> Therapy: A </w:t>
      </w:r>
      <w:proofErr w:type="spellStart"/>
      <w:r w:rsidRPr="004672E6">
        <w:rPr>
          <w:rFonts w:ascii="Times New Roman" w:eastAsia="Times New Roman" w:hAnsi="Times New Roman" w:cs="Times New Roman"/>
          <w:i/>
          <w:iCs/>
          <w:color w:val="000000"/>
          <w:kern w:val="0"/>
          <w:sz w:val="24"/>
          <w:szCs w:val="24"/>
          <w:lang w:eastAsia="en-GB"/>
          <w14:ligatures w14:val="none"/>
        </w:rPr>
        <w:t>Wholist</w:t>
      </w:r>
      <w:proofErr w:type="spellEnd"/>
      <w:r w:rsidRPr="004672E6">
        <w:rPr>
          <w:rFonts w:ascii="Times New Roman" w:eastAsia="Times New Roman" w:hAnsi="Times New Roman" w:cs="Times New Roman"/>
          <w:i/>
          <w:iCs/>
          <w:color w:val="000000"/>
          <w:kern w:val="0"/>
          <w:sz w:val="24"/>
          <w:szCs w:val="24"/>
          <w:lang w:eastAsia="en-GB"/>
          <w14:ligatures w14:val="none"/>
        </w:rPr>
        <w:t xml:space="preserve"> Framework</w:t>
      </w:r>
      <w:r w:rsidRPr="004672E6">
        <w:rPr>
          <w:rFonts w:ascii="Times New Roman" w:eastAsia="Times New Roman" w:hAnsi="Times New Roman" w:cs="Times New Roman"/>
          <w:color w:val="000000"/>
          <w:kern w:val="0"/>
          <w:sz w:val="24"/>
          <w:szCs w:val="24"/>
          <w:lang w:eastAsia="en-GB"/>
          <w14:ligatures w14:val="none"/>
        </w:rPr>
        <w:t>. Taylor &amp; Francis.</w:t>
      </w:r>
    </w:p>
    <w:p w14:paraId="2CE30E71"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Watson, J. (2005). </w:t>
      </w:r>
      <w:r w:rsidRPr="004672E6">
        <w:rPr>
          <w:rFonts w:ascii="Times New Roman" w:eastAsia="Times New Roman" w:hAnsi="Times New Roman" w:cs="Times New Roman"/>
          <w:i/>
          <w:iCs/>
          <w:color w:val="000000"/>
          <w:kern w:val="0"/>
          <w:sz w:val="24"/>
          <w:szCs w:val="24"/>
          <w:lang w:eastAsia="en-GB"/>
          <w14:ligatures w14:val="none"/>
        </w:rPr>
        <w:t>Literature review R E S E A R C H R E P O R T M A Y 2 0 0 5 Child neglect Child neglect Literature review Author</w:t>
      </w:r>
      <w:r w:rsidRPr="004672E6">
        <w:rPr>
          <w:rFonts w:ascii="Times New Roman" w:eastAsia="Times New Roman" w:hAnsi="Times New Roman" w:cs="Times New Roman"/>
          <w:color w:val="000000"/>
          <w:kern w:val="0"/>
          <w:sz w:val="24"/>
          <w:szCs w:val="24"/>
          <w:lang w:eastAsia="en-GB"/>
          <w14:ligatures w14:val="none"/>
        </w:rPr>
        <w:t>. http://www.community.nsw.gov.au/__data/assets/pdf_file/0003/321636/research_child_neglect.pdf</w:t>
      </w:r>
    </w:p>
    <w:p w14:paraId="1DADC7AA"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Weinstein, A., &amp; Weinstein, Y. (2014). Exercise Addiction- Diagnosis, Bio-Psychological Mechanisms and Treatment Issues. </w:t>
      </w:r>
      <w:r w:rsidRPr="004672E6">
        <w:rPr>
          <w:rFonts w:ascii="Times New Roman" w:eastAsia="Times New Roman" w:hAnsi="Times New Roman" w:cs="Times New Roman"/>
          <w:i/>
          <w:iCs/>
          <w:color w:val="000000"/>
          <w:kern w:val="0"/>
          <w:sz w:val="24"/>
          <w:szCs w:val="24"/>
          <w:lang w:eastAsia="en-GB"/>
          <w14:ligatures w14:val="none"/>
        </w:rPr>
        <w:t>Current Pharmaceutical Design</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20</w:t>
      </w:r>
      <w:r w:rsidRPr="004672E6">
        <w:rPr>
          <w:rFonts w:ascii="Times New Roman" w:eastAsia="Times New Roman" w:hAnsi="Times New Roman" w:cs="Times New Roman"/>
          <w:color w:val="000000"/>
          <w:kern w:val="0"/>
          <w:sz w:val="24"/>
          <w:szCs w:val="24"/>
          <w:lang w:eastAsia="en-GB"/>
          <w14:ligatures w14:val="none"/>
        </w:rPr>
        <w:t>(25), 4062–4069. https://doi.org/10.2174/13816128113199990614</w:t>
      </w:r>
    </w:p>
    <w:p w14:paraId="2ED18A98"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Widom, C. S., &amp; Hiller-</w:t>
      </w:r>
      <w:proofErr w:type="spellStart"/>
      <w:r w:rsidRPr="004672E6">
        <w:rPr>
          <w:rFonts w:ascii="Times New Roman" w:eastAsia="Times New Roman" w:hAnsi="Times New Roman" w:cs="Times New Roman"/>
          <w:color w:val="000000"/>
          <w:kern w:val="0"/>
          <w:sz w:val="24"/>
          <w:szCs w:val="24"/>
          <w:lang w:eastAsia="en-GB"/>
          <w14:ligatures w14:val="none"/>
        </w:rPr>
        <w:t>Sturmhöfel</w:t>
      </w:r>
      <w:proofErr w:type="spellEnd"/>
      <w:r w:rsidRPr="004672E6">
        <w:rPr>
          <w:rFonts w:ascii="Times New Roman" w:eastAsia="Times New Roman" w:hAnsi="Times New Roman" w:cs="Times New Roman"/>
          <w:color w:val="000000"/>
          <w:kern w:val="0"/>
          <w:sz w:val="24"/>
          <w:szCs w:val="24"/>
          <w:lang w:eastAsia="en-GB"/>
          <w14:ligatures w14:val="none"/>
        </w:rPr>
        <w:t>, S. (2001). Alcohol Abuse as a Risk Factor for and Consequence of Child Abuse. </w:t>
      </w:r>
      <w:r w:rsidRPr="004672E6">
        <w:rPr>
          <w:rFonts w:ascii="Times New Roman" w:eastAsia="Times New Roman" w:hAnsi="Times New Roman" w:cs="Times New Roman"/>
          <w:i/>
          <w:iCs/>
          <w:color w:val="000000"/>
          <w:kern w:val="0"/>
          <w:sz w:val="24"/>
          <w:szCs w:val="24"/>
          <w:lang w:eastAsia="en-GB"/>
          <w14:ligatures w14:val="none"/>
        </w:rPr>
        <w:t>Alcohol Research &amp; Health</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25</w:t>
      </w:r>
      <w:r w:rsidRPr="004672E6">
        <w:rPr>
          <w:rFonts w:ascii="Times New Roman" w:eastAsia="Times New Roman" w:hAnsi="Times New Roman" w:cs="Times New Roman"/>
          <w:color w:val="000000"/>
          <w:kern w:val="0"/>
          <w:sz w:val="24"/>
          <w:szCs w:val="24"/>
          <w:lang w:eastAsia="en-GB"/>
          <w14:ligatures w14:val="none"/>
        </w:rPr>
        <w:t>(1), 52–57. https://www.ncbi.nlm.nih.gov/pmc/articles/PMC6707113/</w:t>
      </w:r>
    </w:p>
    <w:p w14:paraId="37BEA7C9" w14:textId="77777777" w:rsidR="004672E6" w:rsidRPr="004672E6" w:rsidRDefault="004672E6" w:rsidP="004672E6">
      <w:pPr>
        <w:spacing w:after="0" w:line="480" w:lineRule="atLeast"/>
        <w:ind w:hanging="720"/>
        <w:rPr>
          <w:rFonts w:ascii="Times New Roman" w:eastAsia="Times New Roman" w:hAnsi="Times New Roman" w:cs="Times New Roman"/>
          <w:color w:val="000000"/>
          <w:kern w:val="0"/>
          <w:sz w:val="24"/>
          <w:szCs w:val="24"/>
          <w:lang w:eastAsia="en-GB"/>
          <w14:ligatures w14:val="none"/>
        </w:rPr>
      </w:pPr>
      <w:r w:rsidRPr="004672E6">
        <w:rPr>
          <w:rFonts w:ascii="Times New Roman" w:eastAsia="Times New Roman" w:hAnsi="Times New Roman" w:cs="Times New Roman"/>
          <w:color w:val="000000"/>
          <w:kern w:val="0"/>
          <w:sz w:val="24"/>
          <w:szCs w:val="24"/>
          <w:lang w:eastAsia="en-GB"/>
          <w14:ligatures w14:val="none"/>
        </w:rPr>
        <w:t xml:space="preserve">Wu, G., Feder, A., Cohen, H., Kim, J. J., Calderon, S., Charney, D. S., &amp; </w:t>
      </w:r>
      <w:proofErr w:type="spellStart"/>
      <w:r w:rsidRPr="004672E6">
        <w:rPr>
          <w:rFonts w:ascii="Times New Roman" w:eastAsia="Times New Roman" w:hAnsi="Times New Roman" w:cs="Times New Roman"/>
          <w:color w:val="000000"/>
          <w:kern w:val="0"/>
          <w:sz w:val="24"/>
          <w:szCs w:val="24"/>
          <w:lang w:eastAsia="en-GB"/>
          <w14:ligatures w14:val="none"/>
        </w:rPr>
        <w:t>Mathé</w:t>
      </w:r>
      <w:proofErr w:type="spellEnd"/>
      <w:r w:rsidRPr="004672E6">
        <w:rPr>
          <w:rFonts w:ascii="Times New Roman" w:eastAsia="Times New Roman" w:hAnsi="Times New Roman" w:cs="Times New Roman"/>
          <w:color w:val="000000"/>
          <w:kern w:val="0"/>
          <w:sz w:val="24"/>
          <w:szCs w:val="24"/>
          <w:lang w:eastAsia="en-GB"/>
          <w14:ligatures w14:val="none"/>
        </w:rPr>
        <w:t>, A. A. (2013). Understanding resilience. </w:t>
      </w:r>
      <w:r w:rsidRPr="004672E6">
        <w:rPr>
          <w:rFonts w:ascii="Times New Roman" w:eastAsia="Times New Roman" w:hAnsi="Times New Roman" w:cs="Times New Roman"/>
          <w:i/>
          <w:iCs/>
          <w:color w:val="000000"/>
          <w:kern w:val="0"/>
          <w:sz w:val="24"/>
          <w:szCs w:val="24"/>
          <w:lang w:eastAsia="en-GB"/>
          <w14:ligatures w14:val="none"/>
        </w:rPr>
        <w:t xml:space="preserve">Frontiers in </w:t>
      </w:r>
      <w:proofErr w:type="spellStart"/>
      <w:r w:rsidRPr="004672E6">
        <w:rPr>
          <w:rFonts w:ascii="Times New Roman" w:eastAsia="Times New Roman" w:hAnsi="Times New Roman" w:cs="Times New Roman"/>
          <w:i/>
          <w:iCs/>
          <w:color w:val="000000"/>
          <w:kern w:val="0"/>
          <w:sz w:val="24"/>
          <w:szCs w:val="24"/>
          <w:lang w:eastAsia="en-GB"/>
          <w14:ligatures w14:val="none"/>
        </w:rPr>
        <w:t>Behavioral</w:t>
      </w:r>
      <w:proofErr w:type="spellEnd"/>
      <w:r w:rsidRPr="004672E6">
        <w:rPr>
          <w:rFonts w:ascii="Times New Roman" w:eastAsia="Times New Roman" w:hAnsi="Times New Roman" w:cs="Times New Roman"/>
          <w:i/>
          <w:iCs/>
          <w:color w:val="000000"/>
          <w:kern w:val="0"/>
          <w:sz w:val="24"/>
          <w:szCs w:val="24"/>
          <w:lang w:eastAsia="en-GB"/>
          <w14:ligatures w14:val="none"/>
        </w:rPr>
        <w:t xml:space="preserve"> Neuroscience</w:t>
      </w:r>
      <w:r w:rsidRPr="004672E6">
        <w:rPr>
          <w:rFonts w:ascii="Times New Roman" w:eastAsia="Times New Roman" w:hAnsi="Times New Roman" w:cs="Times New Roman"/>
          <w:color w:val="000000"/>
          <w:kern w:val="0"/>
          <w:sz w:val="24"/>
          <w:szCs w:val="24"/>
          <w:lang w:eastAsia="en-GB"/>
          <w14:ligatures w14:val="none"/>
        </w:rPr>
        <w:t>, </w:t>
      </w:r>
      <w:r w:rsidRPr="004672E6">
        <w:rPr>
          <w:rFonts w:ascii="Times New Roman" w:eastAsia="Times New Roman" w:hAnsi="Times New Roman" w:cs="Times New Roman"/>
          <w:i/>
          <w:iCs/>
          <w:color w:val="000000"/>
          <w:kern w:val="0"/>
          <w:sz w:val="24"/>
          <w:szCs w:val="24"/>
          <w:lang w:eastAsia="en-GB"/>
          <w14:ligatures w14:val="none"/>
        </w:rPr>
        <w:t>7</w:t>
      </w:r>
      <w:r w:rsidRPr="004672E6">
        <w:rPr>
          <w:rFonts w:ascii="Times New Roman" w:eastAsia="Times New Roman" w:hAnsi="Times New Roman" w:cs="Times New Roman"/>
          <w:color w:val="000000"/>
          <w:kern w:val="0"/>
          <w:sz w:val="24"/>
          <w:szCs w:val="24"/>
          <w:lang w:eastAsia="en-GB"/>
          <w14:ligatures w14:val="none"/>
        </w:rPr>
        <w:t>(10). https://doi.org/10.3389/fnbeh.2013.00010</w:t>
      </w:r>
    </w:p>
    <w:p w14:paraId="223146EF" w14:textId="77777777" w:rsidR="004672E6" w:rsidRPr="007A40A0" w:rsidRDefault="004672E6" w:rsidP="00291994">
      <w:pPr>
        <w:spacing w:line="360" w:lineRule="auto"/>
        <w:rPr>
          <w:rFonts w:ascii="Arial" w:hAnsi="Arial" w:cs="Arial"/>
          <w:sz w:val="24"/>
          <w:szCs w:val="24"/>
        </w:rPr>
      </w:pPr>
    </w:p>
    <w:sectPr w:rsidR="004672E6" w:rsidRPr="007A40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EE7"/>
    <w:rsid w:val="00002844"/>
    <w:rsid w:val="000873C2"/>
    <w:rsid w:val="000A2E83"/>
    <w:rsid w:val="00190ABC"/>
    <w:rsid w:val="001A1666"/>
    <w:rsid w:val="001B161E"/>
    <w:rsid w:val="001D155F"/>
    <w:rsid w:val="00291994"/>
    <w:rsid w:val="00300B62"/>
    <w:rsid w:val="003F5EE7"/>
    <w:rsid w:val="004672E6"/>
    <w:rsid w:val="004851DC"/>
    <w:rsid w:val="00572AA6"/>
    <w:rsid w:val="00676E8D"/>
    <w:rsid w:val="006D2985"/>
    <w:rsid w:val="007014E6"/>
    <w:rsid w:val="00743650"/>
    <w:rsid w:val="007A40A0"/>
    <w:rsid w:val="007C314D"/>
    <w:rsid w:val="008A72A6"/>
    <w:rsid w:val="008B6DCF"/>
    <w:rsid w:val="009E4F0D"/>
    <w:rsid w:val="00A24DB5"/>
    <w:rsid w:val="00A4216C"/>
    <w:rsid w:val="00B378DB"/>
    <w:rsid w:val="00BE60BB"/>
    <w:rsid w:val="00CC0249"/>
    <w:rsid w:val="00D5763C"/>
    <w:rsid w:val="00E032F4"/>
    <w:rsid w:val="00E47EB2"/>
    <w:rsid w:val="00F16A66"/>
    <w:rsid w:val="00FB27AF"/>
    <w:rsid w:val="00FF1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AA0F8"/>
  <w15:chartTrackingRefBased/>
  <w15:docId w15:val="{A19DD0DE-2CAC-45C5-9838-787557580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EE7"/>
  </w:style>
  <w:style w:type="paragraph" w:styleId="Heading1">
    <w:name w:val="heading 1"/>
    <w:basedOn w:val="Normal"/>
    <w:link w:val="Heading1Char"/>
    <w:uiPriority w:val="9"/>
    <w:qFormat/>
    <w:rsid w:val="004672E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2E6"/>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4672E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4672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836731">
      <w:bodyDiv w:val="1"/>
      <w:marLeft w:val="0"/>
      <w:marRight w:val="0"/>
      <w:marTop w:val="0"/>
      <w:marBottom w:val="0"/>
      <w:divBdr>
        <w:top w:val="none" w:sz="0" w:space="0" w:color="auto"/>
        <w:left w:val="none" w:sz="0" w:space="0" w:color="auto"/>
        <w:bottom w:val="none" w:sz="0" w:space="0" w:color="auto"/>
        <w:right w:val="none" w:sz="0" w:space="0" w:color="auto"/>
      </w:divBdr>
      <w:divsChild>
        <w:div w:id="211755508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17</Pages>
  <Words>5685</Words>
  <Characters>32405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O'Shea</dc:creator>
  <cp:keywords/>
  <dc:description/>
  <cp:lastModifiedBy>Kayleigh O'Shea (2000277)</cp:lastModifiedBy>
  <cp:revision>21</cp:revision>
  <dcterms:created xsi:type="dcterms:W3CDTF">2023-12-30T07:15:00Z</dcterms:created>
  <dcterms:modified xsi:type="dcterms:W3CDTF">2023-12-31T09:48:00Z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495fb1-ebde-4769-8b0d-f471cbed49a1_Enabled">
    <vt:lpwstr>true</vt:lpwstr>
  </property>
  <property fmtid="{D5CDD505-2E9C-101B-9397-08002B2CF9AE}" pid="3" name="MSIP_Label_7f495fb1-ebde-4769-8b0d-f471cbed49a1_SetDate">
    <vt:lpwstr>2023-12-27T13:42:38Z</vt:lpwstr>
  </property>
  <property fmtid="{D5CDD505-2E9C-101B-9397-08002B2CF9AE}" pid="4" name="MSIP_Label_7f495fb1-ebde-4769-8b0d-f471cbed49a1_Method">
    <vt:lpwstr>Standard</vt:lpwstr>
  </property>
  <property fmtid="{D5CDD505-2E9C-101B-9397-08002B2CF9AE}" pid="5" name="MSIP_Label_7f495fb1-ebde-4769-8b0d-f471cbed49a1_Name">
    <vt:lpwstr>7f495fb1-ebde-4769-8b0d-f471cbed49a1</vt:lpwstr>
  </property>
  <property fmtid="{D5CDD505-2E9C-101B-9397-08002B2CF9AE}" pid="6" name="MSIP_Label_7f495fb1-ebde-4769-8b0d-f471cbed49a1_SiteId">
    <vt:lpwstr>195e15f0-2e33-4271-b94d-777749826d31</vt:lpwstr>
  </property>
  <property fmtid="{D5CDD505-2E9C-101B-9397-08002B2CF9AE}" pid="7" name="MSIP_Label_7f495fb1-ebde-4769-8b0d-f471cbed49a1_ActionId">
    <vt:lpwstr>4b3b0e79-2b44-41ea-93e6-4e87b90c21ff</vt:lpwstr>
  </property>
  <property fmtid="{D5CDD505-2E9C-101B-9397-08002B2CF9AE}" pid="8" name="MSIP_Label_7f495fb1-ebde-4769-8b0d-f471cbed49a1_ContentBits">
    <vt:lpwstr>0</vt:lpwstr>
  </property>
</Properties>
</file>