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7C207181" w:rsidR="00646406" w:rsidRPr="00646406" w:rsidRDefault="00646406" w:rsidP="00646406">
      <w:pPr>
        <w:jc w:val="center"/>
        <w:rPr>
          <w:rFonts w:ascii="Arial" w:hAnsi="Arial" w:cs="Arial"/>
          <w:b/>
          <w:bCs/>
        </w:rPr>
      </w:pPr>
      <w:r w:rsidRPr="00646406">
        <w:rPr>
          <w:rFonts w:ascii="Arial" w:hAnsi="Arial" w:cs="Arial"/>
          <w:b/>
          <w:bCs/>
        </w:rPr>
        <w:t>Student Name:</w:t>
      </w:r>
      <w:r w:rsidR="0052075D">
        <w:rPr>
          <w:rFonts w:ascii="Arial" w:hAnsi="Arial" w:cs="Arial"/>
          <w:b/>
          <w:bCs/>
        </w:rPr>
        <w:t xml:space="preserve"> MD </w:t>
      </w:r>
      <w:proofErr w:type="spellStart"/>
      <w:r w:rsidR="0052075D">
        <w:rPr>
          <w:rFonts w:ascii="Arial" w:hAnsi="Arial" w:cs="Arial"/>
          <w:b/>
          <w:bCs/>
        </w:rPr>
        <w:t>Natikul</w:t>
      </w:r>
      <w:proofErr w:type="spellEnd"/>
      <w:r w:rsidR="0052075D">
        <w:rPr>
          <w:rFonts w:ascii="Arial" w:hAnsi="Arial" w:cs="Arial"/>
          <w:b/>
          <w:bCs/>
        </w:rPr>
        <w:t xml:space="preserve"> Islam</w:t>
      </w:r>
    </w:p>
    <w:p w14:paraId="2AAC98E7" w14:textId="77777777" w:rsidR="00646406" w:rsidRPr="00646406" w:rsidRDefault="00646406" w:rsidP="00646406">
      <w:pPr>
        <w:jc w:val="center"/>
        <w:rPr>
          <w:rFonts w:ascii="Arial" w:hAnsi="Arial" w:cs="Arial"/>
          <w:b/>
          <w:bCs/>
        </w:rPr>
      </w:pPr>
    </w:p>
    <w:p w14:paraId="586C6996" w14:textId="7048DC33" w:rsidR="00646406" w:rsidRPr="00646406" w:rsidRDefault="00646406" w:rsidP="00646406">
      <w:pPr>
        <w:jc w:val="center"/>
        <w:rPr>
          <w:rFonts w:ascii="Arial" w:hAnsi="Arial" w:cs="Arial"/>
          <w:b/>
          <w:bCs/>
        </w:rPr>
      </w:pPr>
      <w:r w:rsidRPr="00646406">
        <w:rPr>
          <w:rFonts w:ascii="Arial" w:hAnsi="Arial" w:cs="Arial"/>
          <w:b/>
          <w:bCs/>
        </w:rPr>
        <w:t>Student ID:</w:t>
      </w:r>
      <w:r w:rsidR="0096567A">
        <w:rPr>
          <w:rFonts w:ascii="Arial" w:hAnsi="Arial" w:cs="Arial"/>
          <w:b/>
          <w:bCs/>
        </w:rPr>
        <w:t>2437633</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5CAB4857" w:rsidR="00646406" w:rsidRPr="00646406" w:rsidRDefault="00646406" w:rsidP="00646406">
      <w:pPr>
        <w:jc w:val="center"/>
        <w:rPr>
          <w:rFonts w:ascii="Arial" w:hAnsi="Arial" w:cs="Arial"/>
          <w:b/>
          <w:bCs/>
        </w:rPr>
      </w:pPr>
      <w:r w:rsidRPr="00646406">
        <w:rPr>
          <w:rFonts w:ascii="Arial" w:hAnsi="Arial" w:cs="Arial"/>
          <w:b/>
          <w:bCs/>
        </w:rPr>
        <w:t>Lecturer’s Name:</w:t>
      </w:r>
      <w:r w:rsidR="006C678F">
        <w:rPr>
          <w:rFonts w:ascii="Arial" w:hAnsi="Arial" w:cs="Arial"/>
          <w:b/>
          <w:bCs/>
        </w:rPr>
        <w:t xml:space="preserve"> Dr.Lai</w:t>
      </w:r>
      <w:r w:rsidR="00482366">
        <w:rPr>
          <w:rFonts w:ascii="Arial" w:hAnsi="Arial" w:cs="Arial"/>
          <w:b/>
          <w:bCs/>
        </w:rPr>
        <w:t xml:space="preserve">la </w:t>
      </w:r>
      <w:proofErr w:type="spellStart"/>
      <w:r w:rsidR="00482366">
        <w:rPr>
          <w:rFonts w:ascii="Arial" w:hAnsi="Arial" w:cs="Arial"/>
          <w:b/>
          <w:bCs/>
        </w:rPr>
        <w:t>Maazouz</w:t>
      </w:r>
      <w:proofErr w:type="spellEnd"/>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7B133D2C" w:rsidR="00646406" w:rsidRPr="00646406" w:rsidRDefault="00646406" w:rsidP="00646406">
      <w:pPr>
        <w:jc w:val="center"/>
        <w:rPr>
          <w:rFonts w:ascii="Arial" w:hAnsi="Arial" w:cs="Arial"/>
          <w:b/>
          <w:bCs/>
        </w:rPr>
      </w:pPr>
      <w:r w:rsidRPr="00646406">
        <w:rPr>
          <w:rFonts w:ascii="Arial" w:hAnsi="Arial" w:cs="Arial"/>
          <w:b/>
          <w:bCs/>
        </w:rPr>
        <w:t>Work Count:</w:t>
      </w:r>
      <w:r w:rsidR="00D66CF9">
        <w:rPr>
          <w:rFonts w:ascii="Arial" w:hAnsi="Arial" w:cs="Arial"/>
          <w:b/>
          <w:bCs/>
        </w:rPr>
        <w:t>28</w:t>
      </w:r>
      <w:r w:rsidR="00374A97">
        <w:rPr>
          <w:rFonts w:ascii="Arial" w:hAnsi="Arial" w:cs="Arial"/>
          <w:b/>
          <w:bCs/>
        </w:rPr>
        <w:t>42</w:t>
      </w: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177A9E47" w14:textId="680930D0" w:rsidR="00325A3E" w:rsidRDefault="00325A3E" w:rsidP="00AA5C52">
      <w:pPr>
        <w:rPr>
          <w:b/>
          <w:bCs/>
        </w:rPr>
      </w:pPr>
    </w:p>
    <w:p w14:paraId="4D925EA7" w14:textId="77777777" w:rsidR="00AA5C52" w:rsidRDefault="00AA5C52" w:rsidP="00AA5C52">
      <w:pPr>
        <w:rPr>
          <w:b/>
          <w:bCs/>
        </w:rPr>
      </w:pPr>
    </w:p>
    <w:p w14:paraId="33A4D62C" w14:textId="77777777" w:rsidR="00AA5C52" w:rsidRDefault="00AA5C52" w:rsidP="00AA5C52">
      <w:pPr>
        <w:rPr>
          <w:b/>
          <w:bCs/>
        </w:rPr>
      </w:pPr>
    </w:p>
    <w:p w14:paraId="396FFCBB" w14:textId="77777777" w:rsidR="00AA5C52" w:rsidRDefault="00AA5C52" w:rsidP="00AA5C52">
      <w:pPr>
        <w:rPr>
          <w:b/>
          <w:bCs/>
        </w:rPr>
      </w:pPr>
    </w:p>
    <w:p w14:paraId="5036A938" w14:textId="77777777" w:rsidR="00AA5C52" w:rsidRDefault="00AA5C52" w:rsidP="00AA5C52">
      <w:pPr>
        <w:rPr>
          <w:b/>
          <w:bCs/>
        </w:rPr>
      </w:pPr>
    </w:p>
    <w:p w14:paraId="05F6F084" w14:textId="77777777" w:rsidR="00AA5C52" w:rsidRDefault="00AA5C52" w:rsidP="00AA5C52">
      <w:pPr>
        <w:rPr>
          <w:b/>
          <w:bCs/>
        </w:rPr>
      </w:pPr>
    </w:p>
    <w:p w14:paraId="57FBF896" w14:textId="77777777" w:rsidR="00AA5C52" w:rsidRDefault="00AA5C52" w:rsidP="00AA5C52">
      <w:pPr>
        <w:rPr>
          <w:b/>
          <w:bCs/>
        </w:rPr>
      </w:pPr>
    </w:p>
    <w:p w14:paraId="5A48F40C" w14:textId="77777777" w:rsidR="00AA5C52" w:rsidRDefault="00AA5C52" w:rsidP="00AA5C52">
      <w:pPr>
        <w:rPr>
          <w:b/>
          <w:bCs/>
        </w:rPr>
      </w:pPr>
    </w:p>
    <w:p w14:paraId="692B448A" w14:textId="77777777" w:rsidR="00AA5C52" w:rsidRDefault="00AA5C52" w:rsidP="00AA5C52">
      <w:pPr>
        <w:rPr>
          <w:b/>
          <w:bCs/>
        </w:rPr>
      </w:pPr>
    </w:p>
    <w:p w14:paraId="3462256B" w14:textId="77777777" w:rsidR="00AA5C52" w:rsidRDefault="00AA5C52" w:rsidP="00AA5C52">
      <w:pPr>
        <w:rPr>
          <w:b/>
          <w:bCs/>
        </w:rPr>
      </w:pPr>
    </w:p>
    <w:p w14:paraId="6DBAD3FF" w14:textId="77777777" w:rsidR="00AA5C52" w:rsidRDefault="00AA5C52" w:rsidP="00AA5C52">
      <w:pPr>
        <w:rPr>
          <w:b/>
          <w:bCs/>
        </w:rPr>
      </w:pPr>
    </w:p>
    <w:p w14:paraId="16FDACFB" w14:textId="77777777" w:rsidR="00AA5C52" w:rsidRDefault="00AA5C52" w:rsidP="00AA5C52">
      <w:pPr>
        <w:rPr>
          <w:b/>
          <w:bCs/>
        </w:rPr>
      </w:pPr>
    </w:p>
    <w:p w14:paraId="006265C8" w14:textId="77777777" w:rsidR="0036178C" w:rsidRDefault="0036178C" w:rsidP="00AA5C52">
      <w:pPr>
        <w:rPr>
          <w:b/>
          <w:bCs/>
        </w:rPr>
      </w:pPr>
    </w:p>
    <w:p w14:paraId="0CCC4552" w14:textId="386A96E9" w:rsidR="00D86B35" w:rsidRDefault="00AA5C52" w:rsidP="00AA5C52">
      <w:pPr>
        <w:rPr>
          <w:rFonts w:ascii="Times New Roman" w:hAnsi="Times New Roman" w:cs="Times New Roman"/>
          <w:b/>
          <w:bCs/>
        </w:rPr>
      </w:pPr>
      <w:r w:rsidRPr="00D66CF9">
        <w:rPr>
          <w:rFonts w:ascii="Times New Roman" w:hAnsi="Times New Roman" w:cs="Times New Roman"/>
          <w:b/>
          <w:bCs/>
        </w:rPr>
        <w:lastRenderedPageBreak/>
        <w:t xml:space="preserve">Table of </w:t>
      </w:r>
      <w:r w:rsidR="00DC2BE4" w:rsidRPr="00D66CF9">
        <w:rPr>
          <w:rFonts w:ascii="Times New Roman" w:hAnsi="Times New Roman" w:cs="Times New Roman"/>
          <w:b/>
          <w:bCs/>
        </w:rPr>
        <w:t>content</w:t>
      </w:r>
    </w:p>
    <w:p w14:paraId="30EC996A" w14:textId="65CC2271" w:rsidR="00B0387C" w:rsidRPr="00B0387C" w:rsidRDefault="00B0387C" w:rsidP="00147CA5">
      <w:pPr>
        <w:numPr>
          <w:ilvl w:val="0"/>
          <w:numId w:val="30"/>
        </w:numPr>
        <w:spacing w:before="100" w:beforeAutospacing="1" w:after="100" w:afterAutospacing="1"/>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Introduction …………………………………………</w:t>
      </w:r>
      <w:r w:rsidR="00375610">
        <w:rPr>
          <w:rFonts w:ascii="Times New Roman" w:eastAsiaTheme="minorEastAsia" w:hAnsi="Times New Roman" w:cs="Times New Roman"/>
          <w:kern w:val="0"/>
          <w:lang w:eastAsia="en-GB"/>
          <w14:ligatures w14:val="none"/>
        </w:rPr>
        <w:t>…</w:t>
      </w:r>
      <w:r w:rsidR="00582D97">
        <w:rPr>
          <w:rFonts w:ascii="Times New Roman" w:eastAsiaTheme="minorEastAsia" w:hAnsi="Times New Roman" w:cs="Times New Roman"/>
          <w:kern w:val="0"/>
          <w:lang w:eastAsia="en-GB"/>
          <w14:ligatures w14:val="none"/>
        </w:rPr>
        <w:t>……</w:t>
      </w:r>
      <w:r w:rsidRPr="00B0387C">
        <w:rPr>
          <w:rFonts w:ascii="Times New Roman" w:eastAsiaTheme="minorEastAsia" w:hAnsi="Times New Roman" w:cs="Times New Roman"/>
          <w:kern w:val="0"/>
          <w:lang w:eastAsia="en-GB"/>
          <w14:ligatures w14:val="none"/>
        </w:rPr>
        <w:t xml:space="preserve"> 1</w:t>
      </w:r>
    </w:p>
    <w:p w14:paraId="11625369" w14:textId="26F8CDB1" w:rsidR="00B0387C" w:rsidRPr="00B0387C" w:rsidRDefault="00B0387C" w:rsidP="00147CA5">
      <w:pPr>
        <w:numPr>
          <w:ilvl w:val="0"/>
          <w:numId w:val="30"/>
        </w:numPr>
        <w:spacing w:before="100" w:beforeAutospacing="1" w:after="100" w:afterAutospacing="1"/>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Macro Marketing Environment ………………</w:t>
      </w:r>
      <w:r w:rsidR="00375610">
        <w:rPr>
          <w:rFonts w:ascii="Times New Roman" w:eastAsiaTheme="minorEastAsia" w:hAnsi="Times New Roman" w:cs="Times New Roman"/>
          <w:kern w:val="0"/>
          <w:lang w:eastAsia="en-GB"/>
          <w14:ligatures w14:val="none"/>
        </w:rPr>
        <w:t>………</w:t>
      </w:r>
      <w:r w:rsidR="00C04F7B">
        <w:rPr>
          <w:rFonts w:ascii="Times New Roman" w:eastAsiaTheme="minorEastAsia" w:hAnsi="Times New Roman" w:cs="Times New Roman"/>
          <w:kern w:val="0"/>
          <w:lang w:eastAsia="en-GB"/>
          <w14:ligatures w14:val="none"/>
        </w:rPr>
        <w:t>…</w:t>
      </w:r>
      <w:r w:rsidR="00582D97">
        <w:rPr>
          <w:rFonts w:ascii="Times New Roman" w:eastAsiaTheme="minorEastAsia" w:hAnsi="Times New Roman" w:cs="Times New Roman"/>
          <w:kern w:val="0"/>
          <w:lang w:eastAsia="en-GB"/>
          <w14:ligatures w14:val="none"/>
        </w:rPr>
        <w:t>……</w:t>
      </w:r>
      <w:r w:rsidR="00CE6736">
        <w:rPr>
          <w:rFonts w:ascii="Times New Roman" w:eastAsiaTheme="minorEastAsia" w:hAnsi="Times New Roman" w:cs="Times New Roman"/>
          <w:kern w:val="0"/>
          <w:lang w:eastAsia="en-GB"/>
          <w14:ligatures w14:val="none"/>
        </w:rPr>
        <w:t>4</w:t>
      </w:r>
    </w:p>
    <w:p w14:paraId="0426ACBA" w14:textId="1575ACCE" w:rsidR="00B0387C" w:rsidRPr="00B0387C" w:rsidRDefault="00A72D6C" w:rsidP="00147CA5">
      <w:pPr>
        <w:spacing w:before="100" w:beforeAutospacing="1" w:after="100" w:afterAutospacing="1"/>
        <w:ind w:left="360"/>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 xml:space="preserve">     </w:t>
      </w:r>
      <w:r w:rsidR="00B0387C" w:rsidRPr="00B0387C">
        <w:rPr>
          <w:rFonts w:ascii="Times New Roman" w:eastAsiaTheme="minorEastAsia" w:hAnsi="Times New Roman" w:cs="Times New Roman"/>
          <w:kern w:val="0"/>
          <w:lang w:eastAsia="en-GB"/>
          <w14:ligatures w14:val="none"/>
        </w:rPr>
        <w:t xml:space="preserve"> Overview of the Macro Marketing Environment</w:t>
      </w:r>
    </w:p>
    <w:p w14:paraId="5ABD1D48" w14:textId="704BCCCA"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 xml:space="preserve">Selection of Two External Macro Marketing Actors </w:t>
      </w:r>
    </w:p>
    <w:p w14:paraId="24193876" w14:textId="113DB7DC"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Technological Factors</w:t>
      </w:r>
    </w:p>
    <w:p w14:paraId="7697D085" w14:textId="6F300B6F"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Environmental Factors</w:t>
      </w:r>
    </w:p>
    <w:p w14:paraId="39276D5C" w14:textId="343E53D7" w:rsidR="00B0387C" w:rsidRPr="00B0387C" w:rsidRDefault="00B0387C" w:rsidP="00147CA5">
      <w:pPr>
        <w:numPr>
          <w:ilvl w:val="0"/>
          <w:numId w:val="30"/>
        </w:numPr>
        <w:spacing w:before="100" w:beforeAutospacing="1" w:after="100" w:afterAutospacing="1"/>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Strategic Responses of Organisations ……</w:t>
      </w:r>
      <w:r w:rsidR="00CE6736">
        <w:rPr>
          <w:rFonts w:ascii="Times New Roman" w:eastAsiaTheme="minorEastAsia" w:hAnsi="Times New Roman" w:cs="Times New Roman"/>
          <w:kern w:val="0"/>
          <w:lang w:eastAsia="en-GB"/>
          <w14:ligatures w14:val="none"/>
        </w:rPr>
        <w:t>……</w:t>
      </w:r>
      <w:r w:rsidR="003577BF">
        <w:rPr>
          <w:rFonts w:ascii="Times New Roman" w:eastAsiaTheme="minorEastAsia" w:hAnsi="Times New Roman" w:cs="Times New Roman"/>
          <w:kern w:val="0"/>
          <w:lang w:eastAsia="en-GB"/>
          <w14:ligatures w14:val="none"/>
        </w:rPr>
        <w:t>………</w:t>
      </w:r>
      <w:r w:rsidR="00340453">
        <w:rPr>
          <w:rFonts w:ascii="Times New Roman" w:eastAsiaTheme="minorEastAsia" w:hAnsi="Times New Roman" w:cs="Times New Roman"/>
          <w:kern w:val="0"/>
          <w:lang w:eastAsia="en-GB"/>
          <w14:ligatures w14:val="none"/>
        </w:rPr>
        <w:t>……..</w:t>
      </w:r>
      <w:r w:rsidRPr="00B0387C">
        <w:rPr>
          <w:rFonts w:ascii="Times New Roman" w:eastAsiaTheme="minorEastAsia" w:hAnsi="Times New Roman" w:cs="Times New Roman"/>
          <w:kern w:val="0"/>
          <w:lang w:eastAsia="en-GB"/>
          <w14:ligatures w14:val="none"/>
        </w:rPr>
        <w:t xml:space="preserve"> </w:t>
      </w:r>
      <w:r w:rsidR="003577BF">
        <w:rPr>
          <w:rFonts w:ascii="Times New Roman" w:eastAsiaTheme="minorEastAsia" w:hAnsi="Times New Roman" w:cs="Times New Roman"/>
          <w:kern w:val="0"/>
          <w:lang w:eastAsia="en-GB"/>
          <w14:ligatures w14:val="none"/>
        </w:rPr>
        <w:t>7</w:t>
      </w:r>
    </w:p>
    <w:p w14:paraId="389B439B" w14:textId="3E7EA736"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 xml:space="preserve">Pioneering Organisations’ Strategic Responses </w:t>
      </w:r>
    </w:p>
    <w:p w14:paraId="377D5B57" w14:textId="5EAF3E11"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 xml:space="preserve">Proactive Innovation and Technology Leadership </w:t>
      </w:r>
    </w:p>
    <w:p w14:paraId="5F25DDC3" w14:textId="3221AB53"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 xml:space="preserve">Competitive Positioning </w:t>
      </w:r>
    </w:p>
    <w:p w14:paraId="4AB974C8" w14:textId="564C37E3"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 xml:space="preserve"> Risk, Capability Building and Market-Shaping</w:t>
      </w:r>
    </w:p>
    <w:p w14:paraId="47C1E88F" w14:textId="1DC5D5BF"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Follower Organisations’ Strategic Responses</w:t>
      </w:r>
    </w:p>
    <w:p w14:paraId="75038FDC" w14:textId="41FC8B91"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 xml:space="preserve"> Adaptive Use of Existing Technologies </w:t>
      </w:r>
    </w:p>
    <w:p w14:paraId="24B2E9ED" w14:textId="536C6D29"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 xml:space="preserve"> Cost Leadership and Operational Efficiency </w:t>
      </w:r>
    </w:p>
    <w:p w14:paraId="7EC4FE70" w14:textId="4F724533"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 xml:space="preserve"> Strategic Partnerships and Compliance-Driven Innovation </w:t>
      </w:r>
    </w:p>
    <w:p w14:paraId="66620A9E" w14:textId="4E6E787D" w:rsidR="00B0387C" w:rsidRPr="00B0387C" w:rsidRDefault="00B0387C" w:rsidP="00147CA5">
      <w:pPr>
        <w:spacing w:before="100" w:beforeAutospacing="1" w:after="100" w:afterAutospacing="1"/>
        <w:ind w:left="720"/>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Brand Protection and Reputational Alignment</w:t>
      </w:r>
    </w:p>
    <w:p w14:paraId="5A3E39DF" w14:textId="587FB5E0" w:rsidR="00B0387C" w:rsidRPr="00B0387C" w:rsidRDefault="00B0387C" w:rsidP="00147CA5">
      <w:pPr>
        <w:numPr>
          <w:ilvl w:val="0"/>
          <w:numId w:val="30"/>
        </w:numPr>
        <w:spacing w:before="100" w:beforeAutospacing="1" w:after="100" w:afterAutospacing="1"/>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Conclusion</w:t>
      </w:r>
      <w:r w:rsidR="00B82E71">
        <w:rPr>
          <w:rFonts w:ascii="Times New Roman" w:eastAsiaTheme="minorEastAsia" w:hAnsi="Times New Roman" w:cs="Times New Roman"/>
          <w:kern w:val="0"/>
          <w:lang w:eastAsia="en-GB"/>
          <w14:ligatures w14:val="none"/>
        </w:rPr>
        <w:t xml:space="preserve"> </w:t>
      </w:r>
      <w:r w:rsidR="00340453">
        <w:rPr>
          <w:rFonts w:ascii="Times New Roman" w:eastAsiaTheme="minorEastAsia" w:hAnsi="Times New Roman" w:cs="Times New Roman"/>
          <w:kern w:val="0"/>
          <w:lang w:eastAsia="en-GB"/>
          <w14:ligatures w14:val="none"/>
        </w:rPr>
        <w:t>……</w:t>
      </w:r>
      <w:r w:rsidR="000947CC">
        <w:rPr>
          <w:rFonts w:ascii="Times New Roman" w:eastAsiaTheme="minorEastAsia" w:hAnsi="Times New Roman" w:cs="Times New Roman"/>
          <w:kern w:val="0"/>
          <w:lang w:eastAsia="en-GB"/>
          <w14:ligatures w14:val="none"/>
        </w:rPr>
        <w:t>……</w:t>
      </w:r>
      <w:r w:rsidRPr="00B0387C">
        <w:rPr>
          <w:rFonts w:ascii="Times New Roman" w:eastAsiaTheme="minorEastAsia" w:hAnsi="Times New Roman" w:cs="Times New Roman"/>
          <w:kern w:val="0"/>
          <w:lang w:eastAsia="en-GB"/>
          <w14:ligatures w14:val="none"/>
        </w:rPr>
        <w:t>………………………………………….. 1</w:t>
      </w:r>
      <w:r w:rsidR="000947CC">
        <w:rPr>
          <w:rFonts w:ascii="Times New Roman" w:eastAsiaTheme="minorEastAsia" w:hAnsi="Times New Roman" w:cs="Times New Roman"/>
          <w:kern w:val="0"/>
          <w:lang w:eastAsia="en-GB"/>
          <w14:ligatures w14:val="none"/>
        </w:rPr>
        <w:t>0</w:t>
      </w:r>
    </w:p>
    <w:p w14:paraId="203EFE20" w14:textId="15034098" w:rsidR="00B0387C" w:rsidRPr="00B0387C" w:rsidRDefault="00B0387C" w:rsidP="00147CA5">
      <w:pPr>
        <w:numPr>
          <w:ilvl w:val="0"/>
          <w:numId w:val="30"/>
        </w:numPr>
        <w:spacing w:before="100" w:beforeAutospacing="1" w:after="100" w:afterAutospacing="1"/>
        <w:rPr>
          <w:rFonts w:ascii="Times New Roman" w:eastAsiaTheme="minorEastAsia" w:hAnsi="Times New Roman" w:cs="Times New Roman"/>
          <w:kern w:val="0"/>
          <w:lang w:eastAsia="en-GB"/>
          <w14:ligatures w14:val="none"/>
        </w:rPr>
      </w:pPr>
      <w:r w:rsidRPr="00B0387C">
        <w:rPr>
          <w:rFonts w:ascii="Times New Roman" w:eastAsiaTheme="minorEastAsia" w:hAnsi="Times New Roman" w:cs="Times New Roman"/>
          <w:kern w:val="0"/>
          <w:lang w:eastAsia="en-GB"/>
          <w14:ligatures w14:val="none"/>
        </w:rPr>
        <w:t>References</w:t>
      </w:r>
      <w:r w:rsidR="000947CC">
        <w:rPr>
          <w:rFonts w:ascii="Times New Roman" w:eastAsiaTheme="minorEastAsia" w:hAnsi="Times New Roman" w:cs="Times New Roman"/>
          <w:kern w:val="0"/>
          <w:lang w:eastAsia="en-GB"/>
          <w14:ligatures w14:val="none"/>
        </w:rPr>
        <w:t xml:space="preserve"> ………….</w:t>
      </w:r>
      <w:r w:rsidRPr="00B0387C">
        <w:rPr>
          <w:rFonts w:ascii="Times New Roman" w:eastAsiaTheme="minorEastAsia" w:hAnsi="Times New Roman" w:cs="Times New Roman"/>
          <w:kern w:val="0"/>
          <w:lang w:eastAsia="en-GB"/>
          <w14:ligatures w14:val="none"/>
        </w:rPr>
        <w:t xml:space="preserve">………………………………………….. </w:t>
      </w:r>
      <w:r w:rsidR="000947CC">
        <w:rPr>
          <w:rFonts w:ascii="Times New Roman" w:eastAsiaTheme="minorEastAsia" w:hAnsi="Times New Roman" w:cs="Times New Roman"/>
          <w:kern w:val="0"/>
          <w:lang w:eastAsia="en-GB"/>
          <w14:ligatures w14:val="none"/>
        </w:rPr>
        <w:t>11</w:t>
      </w:r>
    </w:p>
    <w:p w14:paraId="61B9C8FD" w14:textId="673D904A" w:rsidR="00DE5D5B" w:rsidRPr="00D85E03" w:rsidRDefault="00CB01F0" w:rsidP="00D85E03">
      <w:pPr>
        <w:rPr>
          <w:rStyle w:val="Heading1Char"/>
          <w:rFonts w:ascii="Times New Roman" w:eastAsia="Batang" w:hAnsi="Times New Roman" w:cs="Times New Roman"/>
          <w:b/>
          <w:bCs/>
          <w:color w:val="auto"/>
          <w:sz w:val="24"/>
          <w:szCs w:val="24"/>
        </w:rPr>
      </w:pPr>
      <w:r w:rsidRPr="00C209CC">
        <w:rPr>
          <w:rFonts w:ascii="Times New Roman" w:hAnsi="Times New Roman" w:cs="Times New Roman"/>
          <w:highlight w:val="yellow"/>
        </w:rPr>
        <w:br w:type="page"/>
      </w:r>
      <w:bookmarkStart w:id="0" w:name="_Toc211437169"/>
      <w:r w:rsidR="00D85E03">
        <w:rPr>
          <w:rFonts w:ascii="Times New Roman" w:hAnsi="Times New Roman" w:cs="Times New Roman"/>
        </w:rPr>
        <w:lastRenderedPageBreak/>
        <w:t>1.</w:t>
      </w:r>
      <w:r w:rsidR="00DE5D5B" w:rsidRPr="00573DF8">
        <w:rPr>
          <w:rStyle w:val="Heading1Char"/>
          <w:rFonts w:ascii="Times New Roman" w:hAnsi="Times New Roman" w:cs="Times New Roman"/>
          <w:b/>
          <w:bCs/>
          <w:color w:val="000000" w:themeColor="text1"/>
          <w:sz w:val="24"/>
          <w:szCs w:val="24"/>
        </w:rPr>
        <w:t xml:space="preserve">Introduction </w:t>
      </w:r>
      <w:bookmarkEnd w:id="0"/>
    </w:p>
    <w:p w14:paraId="54B2F53E" w14:textId="69FEF29D" w:rsidR="000B4009" w:rsidRPr="00D97358" w:rsidRDefault="009F4C88" w:rsidP="00617EB0">
      <w:pPr>
        <w:pStyle w:val="p1"/>
        <w:spacing w:line="276" w:lineRule="auto"/>
        <w:rPr>
          <w:rStyle w:val="s1"/>
        </w:rPr>
      </w:pPr>
      <w:r w:rsidRPr="00D97358">
        <w:rPr>
          <w:rFonts w:eastAsia="Times New Roman"/>
          <w:color w:val="000000"/>
        </w:rPr>
        <w:t>This report's goal is to critically examine the macro marketing environment as a crucial component of strategic marketing management, with an emphasis on how two external macro actors—technological forces and political-legal forces—can present both opportunities and risks to organisations that are leaders and followers in the same industry. Strategic decisions must be in line with external trends that impact market structures, competition behaviour, and customer expectations, which makes an understanding of the larger marketing environment crucial.</w:t>
      </w:r>
      <w:r w:rsidR="000B4009" w:rsidRPr="00D97358">
        <w:rPr>
          <w:rStyle w:val="s1"/>
        </w:rPr>
        <w:t xml:space="preserve"> (G</w:t>
      </w:r>
      <w:r w:rsidR="00911653" w:rsidRPr="00D97358">
        <w:rPr>
          <w:rStyle w:val="s1"/>
        </w:rPr>
        <w:t>.</w:t>
      </w:r>
      <w:r w:rsidR="000B4009" w:rsidRPr="00D97358">
        <w:rPr>
          <w:rStyle w:val="s1"/>
        </w:rPr>
        <w:t xml:space="preserve"> </w:t>
      </w:r>
      <w:proofErr w:type="spellStart"/>
      <w:r w:rsidR="000B4009" w:rsidRPr="00D97358">
        <w:rPr>
          <w:rStyle w:val="s1"/>
        </w:rPr>
        <w:t>Hooley</w:t>
      </w:r>
      <w:proofErr w:type="spellEnd"/>
      <w:r w:rsidR="000B4009" w:rsidRPr="00D97358">
        <w:rPr>
          <w:rStyle w:val="s1"/>
        </w:rPr>
        <w:t xml:space="preserve">, </w:t>
      </w:r>
      <w:proofErr w:type="spellStart"/>
      <w:r w:rsidR="000B4009" w:rsidRPr="00D97358">
        <w:rPr>
          <w:rStyle w:val="s1"/>
        </w:rPr>
        <w:t>Piercy</w:t>
      </w:r>
      <w:proofErr w:type="spellEnd"/>
      <w:r w:rsidR="000B4009" w:rsidRPr="00D97358">
        <w:rPr>
          <w:rStyle w:val="s1"/>
        </w:rPr>
        <w:t>, 2020).</w:t>
      </w:r>
    </w:p>
    <w:p w14:paraId="22AB7AF8" w14:textId="48FEC002" w:rsidR="006367A2" w:rsidRPr="00D97358" w:rsidRDefault="005265B0" w:rsidP="00617EB0">
      <w:pPr>
        <w:pStyle w:val="p1"/>
        <w:spacing w:line="276" w:lineRule="auto"/>
        <w:rPr>
          <w:rStyle w:val="s1"/>
        </w:rPr>
      </w:pPr>
      <w:r w:rsidRPr="00D97358">
        <w:rPr>
          <w:rFonts w:eastAsia="Times New Roman"/>
          <w:color w:val="000000"/>
        </w:rPr>
        <w:t xml:space="preserve">A key element of strategic decision-making is the analysis of </w:t>
      </w:r>
      <w:r w:rsidR="009601CD" w:rsidRPr="00D97358">
        <w:rPr>
          <w:rFonts w:eastAsia="Times New Roman"/>
          <w:color w:val="000000"/>
        </w:rPr>
        <w:t xml:space="preserve">macro-environmental </w:t>
      </w:r>
      <w:r w:rsidRPr="00D97358">
        <w:rPr>
          <w:rFonts w:eastAsia="Times New Roman"/>
          <w:color w:val="000000"/>
        </w:rPr>
        <w:t xml:space="preserve"> influences, which helps businesses foresee external changes, respond proactively, and lower uncertainty.</w:t>
      </w:r>
      <w:r w:rsidR="00E72612" w:rsidRPr="00D97358">
        <w:rPr>
          <w:rFonts w:eastAsia="Times New Roman"/>
          <w:color w:val="000000"/>
        </w:rPr>
        <w:t xml:space="preserve"> Businesses that keep up to date on legislative and technical advancements are better able to modify their tactics and maintain a competitive edge. Depending on how these macro pressures develop, follower firms may gain from late-entry benefits or encounter more obstacles, while pioneering enterprises may benefit from changes in technology or regulations that strengthen early leadership or damage first-mover efforts.</w:t>
      </w:r>
      <w:r w:rsidR="006367A2" w:rsidRPr="00D97358">
        <w:rPr>
          <w:rFonts w:eastAsia="Times New Roman"/>
          <w:color w:val="000000"/>
        </w:rPr>
        <w:t>(</w:t>
      </w:r>
      <w:r w:rsidR="006367A2" w:rsidRPr="00D97358">
        <w:rPr>
          <w:rStyle w:val="s1"/>
        </w:rPr>
        <w:t xml:space="preserve"> </w:t>
      </w:r>
      <w:proofErr w:type="spellStart"/>
      <w:r w:rsidR="006367A2" w:rsidRPr="00D97358">
        <w:rPr>
          <w:rStyle w:val="s1"/>
        </w:rPr>
        <w:t>Kotler</w:t>
      </w:r>
      <w:proofErr w:type="spellEnd"/>
      <w:r w:rsidR="006367A2" w:rsidRPr="00D97358">
        <w:rPr>
          <w:rStyle w:val="s1"/>
        </w:rPr>
        <w:t>, P., Armstrong</w:t>
      </w:r>
      <w:r w:rsidR="00327363" w:rsidRPr="00D97358">
        <w:rPr>
          <w:rStyle w:val="s1"/>
        </w:rPr>
        <w:t>,2020)</w:t>
      </w:r>
    </w:p>
    <w:p w14:paraId="058BC346" w14:textId="2BD3FA34" w:rsidR="00327363" w:rsidRPr="00D97358" w:rsidRDefault="00F552A1" w:rsidP="00617EB0">
      <w:pPr>
        <w:pStyle w:val="p1"/>
        <w:spacing w:line="276" w:lineRule="auto"/>
        <w:rPr>
          <w:rFonts w:eastAsia="Times New Roman"/>
          <w:color w:val="000000"/>
        </w:rPr>
      </w:pPr>
      <w:r w:rsidRPr="00D97358">
        <w:rPr>
          <w:rFonts w:eastAsia="Times New Roman"/>
          <w:color w:val="000000"/>
        </w:rPr>
        <w:t xml:space="preserve">Two macro actors will be the focus of this report. It will first look at technological aspects, evaluating how technological disruption, automation, and digital innovation change the competitive landscape for leaders and followers. Second, it will examine how </w:t>
      </w:r>
      <w:r w:rsidR="00F7217B" w:rsidRPr="00D97358">
        <w:rPr>
          <w:rFonts w:eastAsia="Times New Roman"/>
          <w:color w:val="000000"/>
        </w:rPr>
        <w:t>environmental</w:t>
      </w:r>
      <w:r w:rsidRPr="00D97358">
        <w:rPr>
          <w:rFonts w:eastAsia="Times New Roman"/>
          <w:color w:val="000000"/>
        </w:rPr>
        <w:t xml:space="preserve"> issues, including as policy interventions, industry standards, and regulatory changes, influence strategic possibilities and hazards. In order to illustrate the significance of continuous environmental scanning for successful strategic marketing management, the paper will describe how these pressures affect early participants and later participants differently.</w:t>
      </w:r>
    </w:p>
    <w:p w14:paraId="64C9886B" w14:textId="77777777" w:rsidR="00CA21F2" w:rsidRPr="00D97358" w:rsidRDefault="00CA21F2" w:rsidP="00617EB0">
      <w:pPr>
        <w:pStyle w:val="p1"/>
        <w:spacing w:line="276" w:lineRule="auto"/>
      </w:pPr>
    </w:p>
    <w:p w14:paraId="20F2071B" w14:textId="62DB1A20" w:rsidR="009948B7" w:rsidRPr="00D66CF9" w:rsidRDefault="009948B7" w:rsidP="00617EB0">
      <w:pPr>
        <w:pStyle w:val="p1"/>
        <w:spacing w:line="276" w:lineRule="auto"/>
        <w:rPr>
          <w:sz w:val="22"/>
          <w:szCs w:val="22"/>
        </w:rPr>
      </w:pPr>
    </w:p>
    <w:p w14:paraId="12013FD1" w14:textId="77777777" w:rsidR="00232DC9" w:rsidRPr="00D66CF9" w:rsidRDefault="00232DC9" w:rsidP="00617EB0">
      <w:pPr>
        <w:pStyle w:val="p1"/>
        <w:spacing w:line="276" w:lineRule="auto"/>
        <w:rPr>
          <w:sz w:val="22"/>
          <w:szCs w:val="22"/>
        </w:rPr>
      </w:pPr>
    </w:p>
    <w:p w14:paraId="13B15972" w14:textId="77777777" w:rsidR="00232DC9" w:rsidRPr="00D66CF9" w:rsidRDefault="00232DC9" w:rsidP="00617EB0">
      <w:pPr>
        <w:pStyle w:val="p1"/>
        <w:spacing w:line="276" w:lineRule="auto"/>
        <w:rPr>
          <w:sz w:val="22"/>
          <w:szCs w:val="22"/>
        </w:rPr>
      </w:pPr>
    </w:p>
    <w:p w14:paraId="2C962626" w14:textId="77777777" w:rsidR="00232DC9" w:rsidRPr="00D66CF9" w:rsidRDefault="00232DC9" w:rsidP="00617EB0">
      <w:pPr>
        <w:pStyle w:val="p1"/>
        <w:spacing w:line="276" w:lineRule="auto"/>
        <w:rPr>
          <w:sz w:val="22"/>
          <w:szCs w:val="22"/>
        </w:rPr>
      </w:pPr>
    </w:p>
    <w:p w14:paraId="64BB600A" w14:textId="77777777" w:rsidR="00232DC9" w:rsidRPr="00D66CF9" w:rsidRDefault="00232DC9" w:rsidP="00617EB0">
      <w:pPr>
        <w:pStyle w:val="p1"/>
        <w:spacing w:line="276" w:lineRule="auto"/>
        <w:rPr>
          <w:sz w:val="22"/>
          <w:szCs w:val="22"/>
        </w:rPr>
      </w:pPr>
    </w:p>
    <w:p w14:paraId="42BBACDF" w14:textId="27993F02" w:rsidR="005265B0" w:rsidRDefault="005265B0" w:rsidP="00617EB0">
      <w:pPr>
        <w:pStyle w:val="p1"/>
        <w:spacing w:line="276" w:lineRule="auto"/>
        <w:rPr>
          <w:sz w:val="22"/>
          <w:szCs w:val="22"/>
        </w:rPr>
      </w:pPr>
    </w:p>
    <w:p w14:paraId="2535B34C" w14:textId="77777777" w:rsidR="00D66CF9" w:rsidRDefault="00D66CF9" w:rsidP="00617EB0">
      <w:pPr>
        <w:pStyle w:val="p1"/>
        <w:spacing w:line="276" w:lineRule="auto"/>
        <w:rPr>
          <w:sz w:val="22"/>
          <w:szCs w:val="22"/>
        </w:rPr>
      </w:pPr>
    </w:p>
    <w:p w14:paraId="70401B84" w14:textId="77777777" w:rsidR="00D66CF9" w:rsidRDefault="00D66CF9" w:rsidP="00617EB0">
      <w:pPr>
        <w:pStyle w:val="p1"/>
        <w:spacing w:line="276" w:lineRule="auto"/>
        <w:rPr>
          <w:sz w:val="22"/>
          <w:szCs w:val="22"/>
        </w:rPr>
      </w:pPr>
    </w:p>
    <w:p w14:paraId="6A74BECD" w14:textId="77777777" w:rsidR="00D66CF9" w:rsidRDefault="00D66CF9" w:rsidP="00617EB0">
      <w:pPr>
        <w:pStyle w:val="p1"/>
        <w:spacing w:line="276" w:lineRule="auto"/>
        <w:rPr>
          <w:sz w:val="22"/>
          <w:szCs w:val="22"/>
        </w:rPr>
      </w:pPr>
    </w:p>
    <w:p w14:paraId="7E6A6E79" w14:textId="77777777" w:rsidR="00D66CF9" w:rsidRDefault="00D66CF9" w:rsidP="00617EB0">
      <w:pPr>
        <w:pStyle w:val="p1"/>
        <w:spacing w:line="276" w:lineRule="auto"/>
        <w:rPr>
          <w:sz w:val="22"/>
          <w:szCs w:val="22"/>
        </w:rPr>
      </w:pPr>
    </w:p>
    <w:p w14:paraId="7CB2FD5D" w14:textId="77777777" w:rsidR="00D66CF9" w:rsidRDefault="00D66CF9" w:rsidP="00617EB0">
      <w:pPr>
        <w:pStyle w:val="p1"/>
        <w:spacing w:line="276" w:lineRule="auto"/>
        <w:rPr>
          <w:sz w:val="22"/>
          <w:szCs w:val="22"/>
        </w:rPr>
      </w:pPr>
    </w:p>
    <w:p w14:paraId="420F675E" w14:textId="77777777" w:rsidR="00D66CF9" w:rsidRPr="00D66CF9" w:rsidRDefault="00D66CF9" w:rsidP="00617EB0">
      <w:pPr>
        <w:pStyle w:val="p1"/>
        <w:spacing w:line="276" w:lineRule="auto"/>
        <w:rPr>
          <w:sz w:val="22"/>
          <w:szCs w:val="22"/>
        </w:rPr>
      </w:pPr>
    </w:p>
    <w:p w14:paraId="193801E3" w14:textId="70772908" w:rsidR="009F4C88" w:rsidRPr="00D66CF9" w:rsidRDefault="009F4C88" w:rsidP="00617EB0">
      <w:pPr>
        <w:spacing w:line="276" w:lineRule="auto"/>
        <w:rPr>
          <w:rFonts w:ascii="Times New Roman" w:hAnsi="Times New Roman" w:cs="Times New Roman"/>
          <w:sz w:val="22"/>
          <w:szCs w:val="22"/>
        </w:rPr>
      </w:pPr>
    </w:p>
    <w:p w14:paraId="2F6078B7" w14:textId="412FE6BA" w:rsidR="00DE5D5B" w:rsidRPr="00D66CF9" w:rsidRDefault="00DE5D5B" w:rsidP="00617EB0">
      <w:pPr>
        <w:spacing w:line="276" w:lineRule="auto"/>
        <w:rPr>
          <w:rStyle w:val="Heading1Char"/>
          <w:rFonts w:ascii="Times New Roman" w:hAnsi="Times New Roman" w:cs="Times New Roman"/>
          <w:b/>
          <w:bCs/>
          <w:color w:val="000000" w:themeColor="text1"/>
          <w:sz w:val="24"/>
          <w:szCs w:val="24"/>
        </w:rPr>
      </w:pPr>
      <w:bookmarkStart w:id="1" w:name="_Toc211437170"/>
      <w:r w:rsidRPr="00D66CF9">
        <w:rPr>
          <w:rStyle w:val="Heading1Char"/>
          <w:rFonts w:ascii="Times New Roman" w:hAnsi="Times New Roman" w:cs="Times New Roman"/>
          <w:b/>
          <w:bCs/>
          <w:color w:val="000000" w:themeColor="text1"/>
          <w:sz w:val="24"/>
          <w:szCs w:val="24"/>
        </w:rPr>
        <w:t xml:space="preserve">2. Task 1:Macro Marketing Environment </w:t>
      </w:r>
      <w:bookmarkEnd w:id="1"/>
    </w:p>
    <w:p w14:paraId="2303C00D" w14:textId="6C3ED40B" w:rsidR="00DE5D5B" w:rsidRPr="00D66CF9" w:rsidRDefault="00DE5D5B" w:rsidP="00617EB0">
      <w:pPr>
        <w:pStyle w:val="Heading2"/>
        <w:spacing w:line="276" w:lineRule="auto"/>
        <w:rPr>
          <w:rFonts w:ascii="Times New Roman" w:hAnsi="Times New Roman" w:cs="Times New Roman"/>
          <w:b/>
          <w:bCs/>
          <w:color w:val="000000" w:themeColor="text1"/>
          <w:sz w:val="22"/>
          <w:szCs w:val="22"/>
        </w:rPr>
      </w:pPr>
      <w:bookmarkStart w:id="2" w:name="_Toc211437171"/>
      <w:r w:rsidRPr="00D66CF9">
        <w:rPr>
          <w:rFonts w:ascii="Times New Roman" w:hAnsi="Times New Roman" w:cs="Times New Roman"/>
          <w:b/>
          <w:bCs/>
          <w:color w:val="000000" w:themeColor="text1"/>
          <w:sz w:val="22"/>
          <w:szCs w:val="22"/>
        </w:rPr>
        <w:t>Overview of the Macro Marketing Environment</w:t>
      </w:r>
      <w:bookmarkEnd w:id="2"/>
    </w:p>
    <w:p w14:paraId="6608CB12" w14:textId="5C0DDC62" w:rsidR="009A1C80" w:rsidRPr="007F1FD1" w:rsidRDefault="00DA08EB" w:rsidP="00617EB0">
      <w:pPr>
        <w:pStyle w:val="p1"/>
        <w:spacing w:line="276" w:lineRule="auto"/>
        <w:rPr>
          <w:color w:val="000000" w:themeColor="text1"/>
        </w:rPr>
      </w:pPr>
      <w:r w:rsidRPr="007F1FD1">
        <w:rPr>
          <w:rFonts w:eastAsia="Times New Roman"/>
          <w:color w:val="000000" w:themeColor="text1"/>
        </w:rPr>
        <w:t>The broad external factors that influence consumer behaviour, market conditions, and strategic choices but are not directly under the firm's control make up the macro marketing environment. Macro influences, which are frequently categorised under the PESTEL umbrella (Political, Economic, Social, Technological, Environmental, and Legal), influence demand trends, cost structures, reputational limitations, and the regulatory environment that marketing managers have to deal with.</w:t>
      </w:r>
      <w:r w:rsidR="009A1C80" w:rsidRPr="007F1FD1">
        <w:rPr>
          <w:rFonts w:eastAsia="Times New Roman"/>
          <w:color w:val="000000" w:themeColor="text1"/>
        </w:rPr>
        <w:t>(</w:t>
      </w:r>
      <w:r w:rsidR="009A1C80" w:rsidRPr="007F1FD1">
        <w:rPr>
          <w:rStyle w:val="s1"/>
          <w:color w:val="000000" w:themeColor="text1"/>
        </w:rPr>
        <w:t xml:space="preserve"> Professional Academy, 2024)</w:t>
      </w:r>
    </w:p>
    <w:p w14:paraId="63BFE351" w14:textId="1B21E21B" w:rsidR="009E6B63" w:rsidRPr="007F1FD1" w:rsidRDefault="0012252E" w:rsidP="00617EB0">
      <w:pPr>
        <w:pStyle w:val="p1"/>
        <w:spacing w:line="276" w:lineRule="auto"/>
        <w:rPr>
          <w:rFonts w:eastAsia="Times New Roman"/>
          <w:color w:val="000000" w:themeColor="text1"/>
        </w:rPr>
      </w:pPr>
      <w:r w:rsidRPr="007F1FD1">
        <w:rPr>
          <w:rFonts w:eastAsia="Times New Roman"/>
          <w:color w:val="000000" w:themeColor="text1"/>
        </w:rPr>
        <w:t xml:space="preserve">Strict macro-environmental scanning converts environmental signals into strategic options for strategic marketing management, such as whether to invest in </w:t>
      </w:r>
      <w:r w:rsidR="006E7600" w:rsidRPr="007F1FD1">
        <w:rPr>
          <w:rFonts w:eastAsia="Times New Roman"/>
          <w:color w:val="000000" w:themeColor="text1"/>
        </w:rPr>
        <w:t>eco-labelling</w:t>
      </w:r>
      <w:r w:rsidRPr="007F1FD1">
        <w:rPr>
          <w:rFonts w:eastAsia="Times New Roman"/>
          <w:color w:val="000000" w:themeColor="text1"/>
        </w:rPr>
        <w:t>, redesign packaging, reprice items, or seek collaborations with waste management companies. Because it requires systematic attention to several domains, PESTEL is beneficial. Technological forces alter product capabilities and value-delivery systems; political and legal forces create incentives and constraints (subsidies, bans, extended producer responsibility); economic forces impact purchasing power and input costs; social forces shape preferences (sustainability, convenience); and environmental forces (climate, pollution) modify stakeholder pressures and resource availability.</w:t>
      </w:r>
      <w:r w:rsidR="009E6B63" w:rsidRPr="007F1FD1">
        <w:rPr>
          <w:rFonts w:eastAsia="Times New Roman"/>
          <w:color w:val="000000" w:themeColor="text1"/>
        </w:rPr>
        <w:t>(</w:t>
      </w:r>
      <w:r w:rsidR="009E6B63" w:rsidRPr="007F1FD1">
        <w:rPr>
          <w:rStyle w:val="s1"/>
          <w:color w:val="000000" w:themeColor="text1"/>
        </w:rPr>
        <w:t xml:space="preserve"> CIPD, 2025</w:t>
      </w:r>
      <w:r w:rsidR="00146460" w:rsidRPr="007F1FD1">
        <w:rPr>
          <w:rStyle w:val="s1"/>
          <w:color w:val="000000" w:themeColor="text1"/>
        </w:rPr>
        <w:t>)</w:t>
      </w:r>
      <w:r w:rsidR="00DE0F46" w:rsidRPr="007F1FD1">
        <w:rPr>
          <w:rFonts w:eastAsia="Times New Roman"/>
          <w:color w:val="000000" w:themeColor="text1"/>
        </w:rPr>
        <w:t xml:space="preserve"> PESTEL analysis identifies marketing strategy leverage points, such as product positioning on recyclability, partnerships with downstream waste collectors, investment in innovative recycling technologies, or lobbying on regulatory design, for plastics manufacturers like Dow Inc. and recycling technology companies like TOMRA.</w:t>
      </w:r>
    </w:p>
    <w:p w14:paraId="567B08D5" w14:textId="77777777" w:rsidR="004D098E" w:rsidRPr="007F1FD1" w:rsidRDefault="004D098E" w:rsidP="00617EB0">
      <w:pPr>
        <w:pStyle w:val="p1"/>
        <w:spacing w:line="276" w:lineRule="auto"/>
        <w:rPr>
          <w:rStyle w:val="s1"/>
          <w:color w:val="000000" w:themeColor="text1"/>
        </w:rPr>
      </w:pPr>
      <w:r w:rsidRPr="007F1FD1">
        <w:rPr>
          <w:rFonts w:eastAsia="Times New Roman"/>
          <w:color w:val="000000" w:themeColor="text1"/>
        </w:rPr>
        <w:t>The macro environment is dynamic, which is crucial. According to recent research, the world's plastic manufacturing and trash flows are still substantial, geographically dispersed, and have poor rates of recycled material.(Q.</w:t>
      </w:r>
      <w:r w:rsidRPr="007F1FD1">
        <w:rPr>
          <w:rStyle w:val="s1"/>
          <w:color w:val="000000" w:themeColor="text1"/>
        </w:rPr>
        <w:t>Tan, 2025)</w:t>
      </w:r>
      <w:r w:rsidRPr="007F1FD1">
        <w:rPr>
          <w:rFonts w:eastAsia="Times New Roman"/>
          <w:color w:val="000000" w:themeColor="text1"/>
        </w:rPr>
        <w:t xml:space="preserve"> Both strategic opportunities (new markets for products with recycled material, premium pricing for circular packaging) and risks (regulatory penalties, reputational risk, volatile feedstock costs) are created by these shifting macro conditions. In order to control risk and take advantage of possibilities, strategic marketing must include PESTEL data into decisions about segmentation, positioning, innovation, and channels.</w:t>
      </w:r>
    </w:p>
    <w:p w14:paraId="2489D347" w14:textId="77777777" w:rsidR="004D098E" w:rsidRPr="00743569" w:rsidRDefault="004D098E" w:rsidP="00617EB0">
      <w:pPr>
        <w:pStyle w:val="p1"/>
        <w:spacing w:line="276" w:lineRule="auto"/>
        <w:rPr>
          <w:sz w:val="22"/>
          <w:szCs w:val="22"/>
        </w:rPr>
      </w:pPr>
    </w:p>
    <w:p w14:paraId="557881A8" w14:textId="53808772" w:rsidR="00DA08EB" w:rsidRPr="00743569" w:rsidRDefault="00DA08EB" w:rsidP="00617EB0">
      <w:pPr>
        <w:spacing w:line="276" w:lineRule="auto"/>
        <w:rPr>
          <w:rFonts w:ascii="Times New Roman" w:hAnsi="Times New Roman" w:cs="Times New Roman"/>
          <w:sz w:val="22"/>
          <w:szCs w:val="22"/>
        </w:rPr>
      </w:pPr>
    </w:p>
    <w:p w14:paraId="1E10C28E" w14:textId="77777777" w:rsidR="00232DC9" w:rsidRPr="00743569" w:rsidRDefault="00232DC9" w:rsidP="00617EB0">
      <w:pPr>
        <w:spacing w:line="276" w:lineRule="auto"/>
        <w:rPr>
          <w:rFonts w:ascii="Times New Roman" w:hAnsi="Times New Roman" w:cs="Times New Roman"/>
          <w:sz w:val="22"/>
          <w:szCs w:val="22"/>
        </w:rPr>
      </w:pPr>
    </w:p>
    <w:p w14:paraId="6C181148" w14:textId="4DA4C1DA" w:rsidR="00DE5D5B" w:rsidRPr="007F1FD1" w:rsidRDefault="00DE5D5B" w:rsidP="00617EB0">
      <w:pPr>
        <w:pStyle w:val="Heading2"/>
        <w:spacing w:line="276" w:lineRule="auto"/>
        <w:rPr>
          <w:rFonts w:ascii="Times New Roman" w:hAnsi="Times New Roman" w:cs="Times New Roman"/>
          <w:b/>
          <w:bCs/>
          <w:color w:val="000000" w:themeColor="text1"/>
          <w:sz w:val="24"/>
          <w:szCs w:val="24"/>
        </w:rPr>
      </w:pPr>
      <w:bookmarkStart w:id="3" w:name="_Toc211437172"/>
      <w:r w:rsidRPr="007F1FD1">
        <w:rPr>
          <w:rFonts w:ascii="Times New Roman" w:hAnsi="Times New Roman" w:cs="Times New Roman"/>
          <w:b/>
          <w:bCs/>
          <w:color w:val="000000" w:themeColor="text1"/>
          <w:sz w:val="24"/>
          <w:szCs w:val="24"/>
        </w:rPr>
        <w:lastRenderedPageBreak/>
        <w:t>Selection of Two External Macro Marketing Actors</w:t>
      </w:r>
      <w:bookmarkEnd w:id="3"/>
    </w:p>
    <w:p w14:paraId="344839BC" w14:textId="77777777" w:rsidR="00097CAB" w:rsidRPr="007F1FD1" w:rsidRDefault="00B64124" w:rsidP="00617EB0">
      <w:pPr>
        <w:spacing w:line="276" w:lineRule="auto"/>
        <w:rPr>
          <w:rFonts w:ascii="Times New Roman" w:eastAsia="Times New Roman" w:hAnsi="Times New Roman" w:cs="Times New Roman"/>
          <w:color w:val="000000"/>
        </w:rPr>
      </w:pPr>
      <w:r w:rsidRPr="007F1FD1">
        <w:rPr>
          <w:rFonts w:ascii="Times New Roman" w:eastAsia="Times New Roman" w:hAnsi="Times New Roman" w:cs="Times New Roman"/>
          <w:color w:val="000000"/>
        </w:rPr>
        <w:t>The two macro actors chosen for in-depth analysis in the plastics sector are:</w:t>
      </w:r>
    </w:p>
    <w:p w14:paraId="21419A33" w14:textId="77777777" w:rsidR="001B3D9F" w:rsidRPr="007F1FD1" w:rsidRDefault="001B3D9F" w:rsidP="00617EB0">
      <w:pPr>
        <w:spacing w:line="276" w:lineRule="auto"/>
        <w:rPr>
          <w:rFonts w:ascii="Times New Roman" w:eastAsia="Times New Roman" w:hAnsi="Times New Roman" w:cs="Times New Roman"/>
          <w:color w:val="000000"/>
        </w:rPr>
      </w:pPr>
    </w:p>
    <w:p w14:paraId="0120A7C6" w14:textId="5CD10A54" w:rsidR="009B09E8" w:rsidRPr="007F1FD1" w:rsidRDefault="00B64124" w:rsidP="00617EB0">
      <w:pPr>
        <w:spacing w:line="276" w:lineRule="auto"/>
        <w:rPr>
          <w:rFonts w:ascii="Times New Roman" w:eastAsia="Times New Roman" w:hAnsi="Times New Roman" w:cs="Times New Roman"/>
          <w:color w:val="000000"/>
        </w:rPr>
      </w:pPr>
      <w:r w:rsidRPr="007F1FD1">
        <w:rPr>
          <w:rFonts w:ascii="Times New Roman" w:eastAsia="Times New Roman" w:hAnsi="Times New Roman" w:cs="Times New Roman"/>
          <w:color w:val="000000"/>
        </w:rPr>
        <w:t>Technological factors: improvements in sorting automation, polymer design, and mechanical and advanced (chemical) recycling significantly alter what is practical for manufacturers and recyclers. Product cost, recycled material quality, and material loop closure ease are all influenced by technology (McKinsey, 2025; TOMRA, 2024).</w:t>
      </w:r>
    </w:p>
    <w:p w14:paraId="0FB56B4F" w14:textId="68E6A61E" w:rsidR="00097CAB" w:rsidRPr="007F1FD1" w:rsidRDefault="00B64124" w:rsidP="00617EB0">
      <w:pPr>
        <w:spacing w:line="276" w:lineRule="auto"/>
        <w:ind w:left="60"/>
        <w:rPr>
          <w:rFonts w:ascii="Times New Roman" w:eastAsia="Times New Roman" w:hAnsi="Times New Roman" w:cs="Times New Roman"/>
          <w:color w:val="000000"/>
        </w:rPr>
      </w:pPr>
      <w:r w:rsidRPr="007F1FD1">
        <w:rPr>
          <w:rFonts w:ascii="Times New Roman" w:eastAsia="Times New Roman" w:hAnsi="Times New Roman" w:cs="Times New Roman"/>
          <w:color w:val="000000"/>
        </w:rPr>
        <w:t xml:space="preserve"> </w:t>
      </w:r>
    </w:p>
    <w:p w14:paraId="513A487C" w14:textId="4356E22F" w:rsidR="00B64124" w:rsidRPr="00743569" w:rsidRDefault="00B64124"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 xml:space="preserve"> Environmental factors: regulations, business obligations, and consumer preferences are directly impacted by climate policy, marine pollution concerns, and pressure from the circular economy. Packaging goals, voluntary brand commitments, and extended producer responsibility (EPR) are all motivated by environmental imperatives (Ellen MacArthur Foundation, 2022; OECD, 2022).</w:t>
      </w:r>
    </w:p>
    <w:p w14:paraId="0F469326" w14:textId="77777777" w:rsidR="001B3D9F" w:rsidRPr="00743569" w:rsidRDefault="001B3D9F" w:rsidP="00617EB0">
      <w:pPr>
        <w:spacing w:line="276" w:lineRule="auto"/>
        <w:rPr>
          <w:rFonts w:ascii="Times New Roman" w:eastAsia="Times New Roman" w:hAnsi="Times New Roman" w:cs="Times New Roman"/>
          <w:color w:val="000000"/>
          <w:sz w:val="22"/>
          <w:szCs w:val="22"/>
        </w:rPr>
      </w:pPr>
    </w:p>
    <w:p w14:paraId="51696855" w14:textId="1C28EC72" w:rsidR="00DF7562" w:rsidRPr="00743569" w:rsidRDefault="00DF7562"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Environmental pressures generate demand for technological solutions (better sorting, chemical recycling), while technology generates supply-side capability to meet environmental criteria (greater recycled-content resins). These two elements interact closely. TOMRA Systems, a provider of sensor-based sorting and recycling equipment, and Dow Inc., a multinational plastics and chemical corporation, are used to demonstrate how these macro actors function throughout the value chain.</w:t>
      </w:r>
    </w:p>
    <w:p w14:paraId="5A9B6B2C" w14:textId="77777777" w:rsidR="00F526B7" w:rsidRPr="00743569" w:rsidRDefault="00F526B7" w:rsidP="00617EB0">
      <w:pPr>
        <w:spacing w:line="276" w:lineRule="auto"/>
        <w:rPr>
          <w:rFonts w:ascii="Times New Roman" w:hAnsi="Times New Roman" w:cs="Times New Roman"/>
          <w:sz w:val="22"/>
          <w:szCs w:val="22"/>
        </w:rPr>
      </w:pPr>
    </w:p>
    <w:p w14:paraId="57B3FFCC" w14:textId="26AD0657" w:rsidR="00DE5D5B" w:rsidRPr="00743569" w:rsidRDefault="00DE5D5B" w:rsidP="00617EB0">
      <w:pPr>
        <w:spacing w:line="276" w:lineRule="auto"/>
        <w:rPr>
          <w:rFonts w:ascii="Times New Roman" w:hAnsi="Times New Roman" w:cs="Times New Roman"/>
          <w:b/>
          <w:bCs/>
          <w:color w:val="000000" w:themeColor="text1"/>
          <w:sz w:val="22"/>
          <w:szCs w:val="22"/>
        </w:rPr>
      </w:pPr>
      <w:bookmarkStart w:id="4" w:name="_Toc211437173"/>
      <w:r w:rsidRPr="00743569">
        <w:rPr>
          <w:rFonts w:ascii="Times New Roman" w:hAnsi="Times New Roman" w:cs="Times New Roman"/>
          <w:b/>
          <w:bCs/>
          <w:color w:val="000000" w:themeColor="text1"/>
          <w:sz w:val="22"/>
          <w:szCs w:val="22"/>
        </w:rPr>
        <w:t xml:space="preserve"> Critical Analysis of Each Actor</w:t>
      </w:r>
      <w:bookmarkEnd w:id="4"/>
    </w:p>
    <w:p w14:paraId="0DE29F7B" w14:textId="0C7C2983" w:rsidR="00F526B7" w:rsidRPr="00743569" w:rsidRDefault="00F526B7"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The competitive environment is shifting due to technological advancements in sorting, sensor-based separation, and chemical recycling. Leading supplier of automated sorting and collection systems, TOMRA, claimed record profits and highlighted its contribution to "shaping markets and creating new ones" by providing recyclers and brand owners with higher-quality feedstock (TOMRA, 2025). Recycled-content resin becomes more competitive with virgin polymer when sorting is improved, increasing the production and value of post-consumer plastics.</w:t>
      </w:r>
    </w:p>
    <w:p w14:paraId="48770F9C" w14:textId="625C2DEA" w:rsidR="00C5734E" w:rsidRPr="00743569" w:rsidRDefault="003F5508"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In terms of producers, Dow's latest reports demonstrate clear R&amp;D alignment with sustainability goals and investment in circular solutions and recycled feedstocks; the firm also highlights collaborations to scale recycled content and lower lifecycle emissions (Dow Inc., 2025). According to industry studies, assuming technologies and collection systems develop, the market for premium recycled plastics might reach millions of tonnes by 2030 (McKinsey, 2025). If businesses can obtain certified recycled input streams, these technology advancements offer marketing opportunity to differentiate on confirmed recycled content, offer premium "circular" product lines, and communicate legitimate sustainability claims.</w:t>
      </w:r>
    </w:p>
    <w:p w14:paraId="39D48D78" w14:textId="43AC12DF" w:rsidR="00F01A18" w:rsidRPr="00743569" w:rsidRDefault="00F01A18"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But there are risks associated with technological advancement. The economics and carbon performance of new recycling techniques, such as chemical recycling and pyrolysis, are still up for debate; initial expenditures can be costly and unpredictable. If claims are later refuted, producers who wager on less-than-ideal technology risk having their assets stranded or having their reputations damaged. Lack of access to certified recycled feedstock or proprietary sorting technology could push followers (smaller compounders or converters) out of premium "sustainable" markets.</w:t>
      </w:r>
    </w:p>
    <w:p w14:paraId="0886D811" w14:textId="4B6ABB81" w:rsidR="00212903" w:rsidRPr="00743569" w:rsidRDefault="00212903"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Environmental factors: relevance and present influence</w:t>
      </w:r>
    </w:p>
    <w:p w14:paraId="7F260AAF" w14:textId="5C199A4E" w:rsidR="00463858" w:rsidRPr="00743569" w:rsidRDefault="003239EA"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Strategy is changing due to environmental factors, such as increased regulatory activism and mounting evidence of low recycling uptake. Only about 9.5% of plastics produced in 2022 were generated from recycled materials, according to recent research. Recycling rates are still persistently low, which is generating political push for more drastic measures (</w:t>
      </w:r>
      <w:r w:rsidR="003158EE" w:rsidRPr="00743569">
        <w:rPr>
          <w:rFonts w:ascii="Times New Roman" w:eastAsia="Times New Roman" w:hAnsi="Times New Roman" w:cs="Times New Roman"/>
          <w:color w:val="000000"/>
          <w:sz w:val="22"/>
          <w:szCs w:val="22"/>
        </w:rPr>
        <w:t>G.</w:t>
      </w:r>
      <w:r w:rsidRPr="00743569">
        <w:rPr>
          <w:rFonts w:ascii="Times New Roman" w:eastAsia="Times New Roman" w:hAnsi="Times New Roman" w:cs="Times New Roman"/>
          <w:color w:val="000000"/>
          <w:sz w:val="22"/>
          <w:szCs w:val="22"/>
        </w:rPr>
        <w:t xml:space="preserve">Tan </w:t>
      </w:r>
      <w:r w:rsidR="003158EE" w:rsidRPr="00743569">
        <w:rPr>
          <w:rFonts w:ascii="Times New Roman" w:eastAsia="Times New Roman" w:hAnsi="Times New Roman" w:cs="Times New Roman"/>
          <w:color w:val="000000"/>
          <w:sz w:val="22"/>
          <w:szCs w:val="22"/>
        </w:rPr>
        <w:t>,</w:t>
      </w:r>
      <w:r w:rsidRPr="00743569">
        <w:rPr>
          <w:rFonts w:ascii="Times New Roman" w:eastAsia="Times New Roman" w:hAnsi="Times New Roman" w:cs="Times New Roman"/>
          <w:color w:val="000000"/>
          <w:sz w:val="22"/>
          <w:szCs w:val="22"/>
        </w:rPr>
        <w:t xml:space="preserve"> 2025; The Guardian, 2025). Growing awareness of the plastics lifecycle and policy solutions to reduce pollution is documented by the OECD and PlasticsEurope (OECD, 2022; PlasticsEurope, 2024). Upstream producers are under </w:t>
      </w:r>
      <w:r w:rsidRPr="00743569">
        <w:rPr>
          <w:rFonts w:ascii="Times New Roman" w:eastAsia="Times New Roman" w:hAnsi="Times New Roman" w:cs="Times New Roman"/>
          <w:color w:val="000000"/>
          <w:sz w:val="22"/>
          <w:szCs w:val="22"/>
        </w:rPr>
        <w:lastRenderedPageBreak/>
        <w:t>pressure from the Ellen MacArthur Foundation's Global Commitment, which highlights brand-owner goals for recyclability and recycled content (Ellen MacArthur Foundation, 2022).</w:t>
      </w:r>
    </w:p>
    <w:p w14:paraId="2FC82E8E" w14:textId="52F429D8" w:rsidR="001E6650" w:rsidRPr="00743569" w:rsidRDefault="001E6650"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Mandates (EPR, recycled-content targets) can guarantee demand for recycled feedstock and justify investment in circular polymer lines; on the other hand, stricter limits on single-use plastics or higher carbon pricing increase compliance costs. For Dow, environmental regulations and brand commitments create both obligations and market opportunities (Dow Inc., 2025; McKinsey, 2025). Environmental pressure increases addressable markets for TOMRA and other recyclers: brands and municipalities are demanding higher-quality sorting and traceability, which benefits service providers and equipment suppliers (TOMRA, 2025).</w:t>
      </w:r>
    </w:p>
    <w:p w14:paraId="0B89544D" w14:textId="1D78195D" w:rsidR="00B97432" w:rsidRPr="00743569" w:rsidRDefault="001F54C0" w:rsidP="00617EB0">
      <w:pPr>
        <w:spacing w:line="276" w:lineRule="auto"/>
        <w:rPr>
          <w:rFonts w:ascii="Times New Roman" w:eastAsia="Times New Roman" w:hAnsi="Times New Roman" w:cs="Times New Roman"/>
          <w:color w:val="000000"/>
          <w:sz w:val="22"/>
          <w:szCs w:val="22"/>
        </w:rPr>
      </w:pPr>
      <w:r w:rsidRPr="00743569">
        <w:rPr>
          <w:rFonts w:ascii="Times New Roman" w:eastAsia="Times New Roman" w:hAnsi="Times New Roman" w:cs="Times New Roman"/>
          <w:color w:val="000000"/>
          <w:sz w:val="22"/>
          <w:szCs w:val="22"/>
        </w:rPr>
        <w:t xml:space="preserve">Even so, environmental uncertainty poses a risk to businesses because to varied policies across jurisdictions, possible incentive rollbacks, and sluggish collection scale. Public studies that link brand owners to plastic pollution have sparked consumer outrage and governmental attention, demonstrating the importance of reputational risk (Science Advances research; </w:t>
      </w:r>
      <w:proofErr w:type="spellStart"/>
      <w:r w:rsidRPr="00743569">
        <w:rPr>
          <w:rFonts w:ascii="Times New Roman" w:eastAsia="Times New Roman" w:hAnsi="Times New Roman" w:cs="Times New Roman"/>
          <w:color w:val="000000"/>
          <w:sz w:val="22"/>
          <w:szCs w:val="22"/>
        </w:rPr>
        <w:t>Axios</w:t>
      </w:r>
      <w:proofErr w:type="spellEnd"/>
      <w:r w:rsidRPr="00743569">
        <w:rPr>
          <w:rFonts w:ascii="Times New Roman" w:eastAsia="Times New Roman" w:hAnsi="Times New Roman" w:cs="Times New Roman"/>
          <w:color w:val="000000"/>
          <w:sz w:val="22"/>
          <w:szCs w:val="22"/>
        </w:rPr>
        <w:t>, 2024). As a result, marketing managers need to create plans that clearly connect product claims to proven circularity measures and use a variety of feedstocks and geographical locations to protect against regulatory volatility.</w:t>
      </w:r>
    </w:p>
    <w:p w14:paraId="7E0BBA21" w14:textId="77777777" w:rsidR="00B97432" w:rsidRPr="00743569" w:rsidRDefault="00B97432" w:rsidP="00617EB0">
      <w:pPr>
        <w:spacing w:line="276" w:lineRule="auto"/>
        <w:rPr>
          <w:rFonts w:ascii="Times New Roman" w:hAnsi="Times New Roman" w:cs="Times New Roman"/>
          <w:color w:val="000000" w:themeColor="text1"/>
          <w:sz w:val="22"/>
          <w:szCs w:val="22"/>
        </w:rPr>
      </w:pPr>
    </w:p>
    <w:p w14:paraId="66EE0FC1" w14:textId="77777777" w:rsidR="00232DC9" w:rsidRPr="00743569" w:rsidRDefault="00232DC9" w:rsidP="00617EB0">
      <w:pPr>
        <w:spacing w:line="276" w:lineRule="auto"/>
        <w:rPr>
          <w:rStyle w:val="Heading1Char"/>
          <w:rFonts w:ascii="Times New Roman" w:hAnsi="Times New Roman" w:cs="Times New Roman"/>
          <w:color w:val="000000" w:themeColor="text1"/>
          <w:sz w:val="22"/>
          <w:szCs w:val="22"/>
        </w:rPr>
      </w:pPr>
      <w:bookmarkStart w:id="5" w:name="_Toc211437174"/>
    </w:p>
    <w:p w14:paraId="6FDDB735" w14:textId="77777777" w:rsidR="00232DC9" w:rsidRPr="00743569" w:rsidRDefault="00232DC9" w:rsidP="00617EB0">
      <w:pPr>
        <w:spacing w:line="276" w:lineRule="auto"/>
        <w:rPr>
          <w:rStyle w:val="Heading1Char"/>
          <w:rFonts w:ascii="Times New Roman" w:hAnsi="Times New Roman" w:cs="Times New Roman"/>
          <w:color w:val="000000" w:themeColor="text1"/>
          <w:sz w:val="22"/>
          <w:szCs w:val="22"/>
        </w:rPr>
      </w:pPr>
    </w:p>
    <w:p w14:paraId="184B7D4F" w14:textId="2BB93EB8" w:rsidR="00232DC9" w:rsidRPr="00743569" w:rsidRDefault="00232DC9" w:rsidP="00617EB0">
      <w:pPr>
        <w:spacing w:line="276" w:lineRule="auto"/>
        <w:rPr>
          <w:rStyle w:val="Heading1Char"/>
          <w:rFonts w:ascii="Times New Roman" w:hAnsi="Times New Roman" w:cs="Times New Roman"/>
          <w:color w:val="000000" w:themeColor="text1"/>
          <w:sz w:val="22"/>
          <w:szCs w:val="22"/>
        </w:rPr>
      </w:pPr>
    </w:p>
    <w:p w14:paraId="2C8B8E8B" w14:textId="56BC4F5A" w:rsidR="00232DC9" w:rsidRPr="00743569" w:rsidRDefault="00232DC9" w:rsidP="00617EB0">
      <w:pPr>
        <w:spacing w:line="276" w:lineRule="auto"/>
        <w:rPr>
          <w:rStyle w:val="Heading1Char"/>
          <w:rFonts w:ascii="Times New Roman" w:hAnsi="Times New Roman" w:cs="Times New Roman"/>
          <w:color w:val="000000" w:themeColor="text1"/>
          <w:sz w:val="22"/>
          <w:szCs w:val="22"/>
        </w:rPr>
      </w:pPr>
    </w:p>
    <w:p w14:paraId="65EC32F1" w14:textId="3EF18777" w:rsidR="00232DC9" w:rsidRPr="00743569" w:rsidRDefault="00FB089A" w:rsidP="00617EB0">
      <w:pPr>
        <w:spacing w:line="276" w:lineRule="auto"/>
        <w:rPr>
          <w:rStyle w:val="Heading1Char"/>
          <w:rFonts w:ascii="Times New Roman" w:hAnsi="Times New Roman" w:cs="Times New Roman"/>
          <w:color w:val="000000" w:themeColor="text1"/>
          <w:sz w:val="22"/>
          <w:szCs w:val="22"/>
        </w:rPr>
      </w:pPr>
      <w:r w:rsidRPr="00743569">
        <w:rPr>
          <w:rFonts w:ascii="Times New Roman" w:eastAsiaTheme="majorEastAsia" w:hAnsi="Times New Roman" w:cs="Times New Roman"/>
          <w:noProof/>
          <w:color w:val="000000" w:themeColor="text1"/>
          <w:sz w:val="22"/>
          <w:szCs w:val="22"/>
        </w:rPr>
        <w:drawing>
          <wp:anchor distT="0" distB="0" distL="114300" distR="114300" simplePos="0" relativeHeight="251660288" behindDoc="0" locked="0" layoutInCell="1" allowOverlap="1" wp14:anchorId="413AC5C1" wp14:editId="24E53FD7">
            <wp:simplePos x="0" y="0"/>
            <wp:positionH relativeFrom="column">
              <wp:posOffset>2756535</wp:posOffset>
            </wp:positionH>
            <wp:positionV relativeFrom="paragraph">
              <wp:posOffset>988695</wp:posOffset>
            </wp:positionV>
            <wp:extent cx="3305175" cy="2240915"/>
            <wp:effectExtent l="0" t="0" r="0" b="0"/>
            <wp:wrapTopAndBottom/>
            <wp:docPr id="13302314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31441" name="Picture 1330231441"/>
                    <pic:cNvPicPr/>
                  </pic:nvPicPr>
                  <pic:blipFill>
                    <a:blip r:embed="rId9">
                      <a:extLst>
                        <a:ext uri="{28A0092B-C50C-407E-A947-70E740481C1C}">
                          <a14:useLocalDpi xmlns:a14="http://schemas.microsoft.com/office/drawing/2010/main" val="0"/>
                        </a:ext>
                      </a:extLst>
                    </a:blip>
                    <a:stretch>
                      <a:fillRect/>
                    </a:stretch>
                  </pic:blipFill>
                  <pic:spPr>
                    <a:xfrm>
                      <a:off x="0" y="0"/>
                      <a:ext cx="3305175" cy="2240915"/>
                    </a:xfrm>
                    <a:prstGeom prst="rect">
                      <a:avLst/>
                    </a:prstGeom>
                  </pic:spPr>
                </pic:pic>
              </a:graphicData>
            </a:graphic>
            <wp14:sizeRelH relativeFrom="margin">
              <wp14:pctWidth>0</wp14:pctWidth>
            </wp14:sizeRelH>
            <wp14:sizeRelV relativeFrom="margin">
              <wp14:pctHeight>0</wp14:pctHeight>
            </wp14:sizeRelV>
          </wp:anchor>
        </w:drawing>
      </w:r>
    </w:p>
    <w:p w14:paraId="7B19FAD7" w14:textId="22F7EC98" w:rsidR="00232DC9" w:rsidRPr="00743569" w:rsidRDefault="00232DC9" w:rsidP="00232DC9">
      <w:pPr>
        <w:spacing w:line="360" w:lineRule="auto"/>
        <w:rPr>
          <w:rStyle w:val="Heading1Char"/>
          <w:rFonts w:ascii="Times New Roman" w:hAnsi="Times New Roman" w:cs="Times New Roman"/>
          <w:color w:val="000000" w:themeColor="text1"/>
          <w:sz w:val="22"/>
          <w:szCs w:val="22"/>
        </w:rPr>
      </w:pPr>
    </w:p>
    <w:p w14:paraId="0D48B961" w14:textId="77777777" w:rsidR="00232DC9" w:rsidRPr="00743569" w:rsidRDefault="00232DC9" w:rsidP="00232DC9">
      <w:pPr>
        <w:spacing w:line="360" w:lineRule="auto"/>
        <w:rPr>
          <w:rStyle w:val="Heading1Char"/>
          <w:rFonts w:ascii="Times New Roman" w:hAnsi="Times New Roman" w:cs="Times New Roman"/>
          <w:color w:val="000000" w:themeColor="text1"/>
          <w:sz w:val="22"/>
          <w:szCs w:val="22"/>
        </w:rPr>
      </w:pPr>
    </w:p>
    <w:p w14:paraId="2494EBCD" w14:textId="52E6AE4E" w:rsidR="00232DC9" w:rsidRPr="00743569" w:rsidRDefault="008725BB" w:rsidP="00232DC9">
      <w:pPr>
        <w:spacing w:line="360" w:lineRule="auto"/>
        <w:rPr>
          <w:rStyle w:val="Heading1Char"/>
          <w:rFonts w:ascii="Times New Roman" w:hAnsi="Times New Roman" w:cs="Times New Roman"/>
          <w:color w:val="000000" w:themeColor="text1"/>
          <w:sz w:val="22"/>
          <w:szCs w:val="22"/>
        </w:rPr>
      </w:pPr>
      <w:r w:rsidRPr="00743569">
        <w:rPr>
          <w:rFonts w:ascii="Times New Roman" w:eastAsiaTheme="majorEastAsia" w:hAnsi="Times New Roman" w:cs="Times New Roman"/>
          <w:noProof/>
          <w:color w:val="000000" w:themeColor="text1"/>
          <w:sz w:val="22"/>
          <w:szCs w:val="22"/>
        </w:rPr>
        <w:drawing>
          <wp:anchor distT="0" distB="0" distL="114300" distR="114300" simplePos="0" relativeHeight="251659264" behindDoc="0" locked="0" layoutInCell="1" allowOverlap="1" wp14:anchorId="3C698B24" wp14:editId="4329FBC1">
            <wp:simplePos x="0" y="0"/>
            <wp:positionH relativeFrom="column">
              <wp:posOffset>-141605</wp:posOffset>
            </wp:positionH>
            <wp:positionV relativeFrom="paragraph">
              <wp:posOffset>762635</wp:posOffset>
            </wp:positionV>
            <wp:extent cx="2312670" cy="1348740"/>
            <wp:effectExtent l="0" t="0" r="0" b="0"/>
            <wp:wrapTopAndBottom/>
            <wp:docPr id="15056794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79469" name="Picture 150567946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12670" cy="1348740"/>
                    </a:xfrm>
                    <a:prstGeom prst="rect">
                      <a:avLst/>
                    </a:prstGeom>
                  </pic:spPr>
                </pic:pic>
              </a:graphicData>
            </a:graphic>
            <wp14:sizeRelH relativeFrom="margin">
              <wp14:pctWidth>0</wp14:pctWidth>
            </wp14:sizeRelH>
            <wp14:sizeRelV relativeFrom="margin">
              <wp14:pctHeight>0</wp14:pctHeight>
            </wp14:sizeRelV>
          </wp:anchor>
        </w:drawing>
      </w:r>
    </w:p>
    <w:p w14:paraId="0C0B1164" w14:textId="77777777" w:rsidR="00D66CF9" w:rsidRPr="00743569" w:rsidRDefault="00D66CF9" w:rsidP="00232DC9">
      <w:pPr>
        <w:spacing w:line="360" w:lineRule="auto"/>
        <w:rPr>
          <w:rStyle w:val="Heading1Char"/>
          <w:rFonts w:ascii="Times New Roman" w:hAnsi="Times New Roman" w:cs="Times New Roman"/>
          <w:color w:val="000000" w:themeColor="text1"/>
          <w:sz w:val="22"/>
          <w:szCs w:val="22"/>
        </w:rPr>
      </w:pPr>
    </w:p>
    <w:p w14:paraId="62B8F6BE" w14:textId="77777777" w:rsidR="00D66CF9" w:rsidRPr="00743569" w:rsidRDefault="00D66CF9" w:rsidP="00232DC9">
      <w:pPr>
        <w:spacing w:line="360" w:lineRule="auto"/>
        <w:rPr>
          <w:rStyle w:val="Heading1Char"/>
          <w:rFonts w:ascii="Times New Roman" w:hAnsi="Times New Roman" w:cs="Times New Roman"/>
          <w:color w:val="000000" w:themeColor="text1"/>
          <w:sz w:val="22"/>
          <w:szCs w:val="22"/>
        </w:rPr>
      </w:pPr>
    </w:p>
    <w:p w14:paraId="39C5F6D5" w14:textId="77777777" w:rsidR="00D66CF9" w:rsidRPr="00743569" w:rsidRDefault="00D66CF9" w:rsidP="00232DC9">
      <w:pPr>
        <w:spacing w:line="360" w:lineRule="auto"/>
        <w:rPr>
          <w:rStyle w:val="Heading1Char"/>
          <w:rFonts w:ascii="Times New Roman" w:hAnsi="Times New Roman" w:cs="Times New Roman"/>
          <w:color w:val="000000" w:themeColor="text1"/>
          <w:sz w:val="22"/>
          <w:szCs w:val="22"/>
        </w:rPr>
      </w:pPr>
    </w:p>
    <w:p w14:paraId="2BA5F866" w14:textId="77777777" w:rsidR="00D66CF9" w:rsidRPr="00743569" w:rsidRDefault="00D66CF9" w:rsidP="00232DC9">
      <w:pPr>
        <w:spacing w:line="360" w:lineRule="auto"/>
        <w:rPr>
          <w:rStyle w:val="Heading1Char"/>
          <w:rFonts w:ascii="Times New Roman" w:hAnsi="Times New Roman" w:cs="Times New Roman"/>
          <w:color w:val="000000" w:themeColor="text1"/>
          <w:sz w:val="22"/>
          <w:szCs w:val="22"/>
        </w:rPr>
      </w:pPr>
    </w:p>
    <w:p w14:paraId="73A519D9" w14:textId="49F8756E" w:rsidR="00D66CF9" w:rsidRPr="00743569" w:rsidRDefault="00A34723" w:rsidP="002A2735">
      <w:pPr>
        <w:spacing w:line="360" w:lineRule="auto"/>
        <w:jc w:val="center"/>
        <w:rPr>
          <w:rStyle w:val="Heading1Char"/>
          <w:rFonts w:ascii="Times New Roman" w:hAnsi="Times New Roman" w:cs="Times New Roman"/>
          <w:color w:val="000000" w:themeColor="text1"/>
          <w:sz w:val="20"/>
          <w:szCs w:val="20"/>
        </w:rPr>
      </w:pPr>
      <w:r w:rsidRPr="00743569">
        <w:rPr>
          <w:rStyle w:val="Heading1Char"/>
          <w:rFonts w:ascii="Times New Roman" w:hAnsi="Times New Roman" w:cs="Times New Roman"/>
          <w:color w:val="000000" w:themeColor="text1"/>
          <w:sz w:val="20"/>
          <w:szCs w:val="20"/>
        </w:rPr>
        <w:t xml:space="preserve">Source:Dow.com </w:t>
      </w:r>
      <w:r w:rsidR="00C362F8" w:rsidRPr="00743569">
        <w:rPr>
          <w:rStyle w:val="Heading1Char"/>
          <w:rFonts w:ascii="Times New Roman" w:hAnsi="Times New Roman" w:cs="Times New Roman"/>
          <w:color w:val="000000" w:themeColor="text1"/>
          <w:sz w:val="20"/>
          <w:szCs w:val="20"/>
        </w:rPr>
        <w:t>and TOMRA.com</w:t>
      </w:r>
    </w:p>
    <w:p w14:paraId="11C1B029" w14:textId="77777777" w:rsidR="00D66CF9" w:rsidRPr="00743569" w:rsidRDefault="00D66CF9" w:rsidP="00232DC9">
      <w:pPr>
        <w:spacing w:line="360" w:lineRule="auto"/>
        <w:rPr>
          <w:rStyle w:val="Heading1Char"/>
          <w:rFonts w:ascii="Times New Roman" w:hAnsi="Times New Roman" w:cs="Times New Roman"/>
          <w:color w:val="000000" w:themeColor="text1"/>
          <w:sz w:val="22"/>
          <w:szCs w:val="22"/>
        </w:rPr>
      </w:pPr>
    </w:p>
    <w:p w14:paraId="7D6B51A7" w14:textId="77777777" w:rsidR="00D66CF9" w:rsidRPr="00743569" w:rsidRDefault="00D66CF9" w:rsidP="00232DC9">
      <w:pPr>
        <w:spacing w:line="360" w:lineRule="auto"/>
        <w:rPr>
          <w:rStyle w:val="Heading1Char"/>
          <w:rFonts w:ascii="Times New Roman" w:hAnsi="Times New Roman" w:cs="Times New Roman"/>
          <w:color w:val="000000" w:themeColor="text1"/>
          <w:sz w:val="22"/>
          <w:szCs w:val="22"/>
        </w:rPr>
      </w:pPr>
    </w:p>
    <w:p w14:paraId="125CEB60" w14:textId="77777777" w:rsidR="00232DC9" w:rsidRPr="00743569" w:rsidRDefault="00232DC9" w:rsidP="00232DC9">
      <w:pPr>
        <w:spacing w:line="360" w:lineRule="auto"/>
        <w:rPr>
          <w:rStyle w:val="Heading1Char"/>
          <w:rFonts w:ascii="Times New Roman" w:hAnsi="Times New Roman" w:cs="Times New Roman"/>
          <w:color w:val="000000" w:themeColor="text1"/>
          <w:sz w:val="22"/>
          <w:szCs w:val="22"/>
        </w:rPr>
      </w:pPr>
    </w:p>
    <w:p w14:paraId="5E5E68D9" w14:textId="5C88FCDB" w:rsidR="00C85004" w:rsidRPr="003A7F1E" w:rsidRDefault="00C04F7B" w:rsidP="003A7F1E">
      <w:pPr>
        <w:spacing w:line="276" w:lineRule="auto"/>
        <w:rPr>
          <w:rStyle w:val="Heading1Char"/>
          <w:rFonts w:ascii="Times New Roman" w:hAnsi="Times New Roman" w:cs="Times New Roman"/>
          <w:b/>
          <w:bCs/>
          <w:color w:val="000000" w:themeColor="text1"/>
          <w:sz w:val="24"/>
          <w:szCs w:val="24"/>
        </w:rPr>
      </w:pPr>
      <w:r w:rsidRPr="00743569">
        <w:rPr>
          <w:rStyle w:val="Heading1Char"/>
          <w:rFonts w:ascii="Times New Roman" w:hAnsi="Times New Roman" w:cs="Times New Roman"/>
          <w:b/>
          <w:bCs/>
          <w:color w:val="000000" w:themeColor="text1"/>
          <w:sz w:val="24"/>
          <w:szCs w:val="24"/>
        </w:rPr>
        <w:lastRenderedPageBreak/>
        <w:t>3.</w:t>
      </w:r>
      <w:r w:rsidR="00DE5D5B" w:rsidRPr="003A7F1E">
        <w:rPr>
          <w:rStyle w:val="Heading1Char"/>
          <w:rFonts w:ascii="Times New Roman" w:hAnsi="Times New Roman" w:cs="Times New Roman"/>
          <w:b/>
          <w:bCs/>
          <w:color w:val="000000" w:themeColor="text1"/>
          <w:sz w:val="24"/>
          <w:szCs w:val="24"/>
        </w:rPr>
        <w:t>Task 2: Strategic Responses of Pioneering and Follower Organisations</w:t>
      </w:r>
    </w:p>
    <w:p w14:paraId="51CE2C8E" w14:textId="2FE00392" w:rsidR="00C85004" w:rsidRPr="003A7F1E" w:rsidRDefault="00C85004" w:rsidP="003A7F1E">
      <w:pPr>
        <w:spacing w:line="276" w:lineRule="auto"/>
        <w:rPr>
          <w:rFonts w:ascii="Times New Roman" w:eastAsia="Times New Roman" w:hAnsi="Times New Roman" w:cs="Times New Roman"/>
          <w:color w:val="000000"/>
        </w:rPr>
      </w:pPr>
      <w:r w:rsidRPr="003A7F1E">
        <w:rPr>
          <w:rFonts w:ascii="Times New Roman" w:eastAsia="Times New Roman" w:hAnsi="Times New Roman" w:cs="Times New Roman"/>
          <w:color w:val="000000"/>
        </w:rPr>
        <w:t>Organisations that launch ideas, technologies, or new market practices ahead of their rivals are known as pioneers, and they typically react proactively to changes in environmental and technical macro factors. Companies like Dow Inc. and TOMRA Systems are prime examples of how early adopters in the plastics and recycling industry gain an edge through strategic alignment with sustainability pressures and technological innovation.</w:t>
      </w:r>
    </w:p>
    <w:p w14:paraId="0E212C74" w14:textId="77777777" w:rsidR="00C66228" w:rsidRPr="003A7F1E" w:rsidRDefault="00C66228" w:rsidP="003A7F1E">
      <w:pPr>
        <w:spacing w:before="100" w:beforeAutospacing="1" w:after="100" w:afterAutospacing="1" w:line="276" w:lineRule="auto"/>
        <w:outlineLvl w:val="2"/>
        <w:rPr>
          <w:rFonts w:ascii="Times New Roman" w:eastAsia="Times New Roman" w:hAnsi="Times New Roman" w:cs="Times New Roman"/>
          <w:b/>
          <w:bCs/>
          <w:kern w:val="0"/>
          <w:lang w:eastAsia="en-GB"/>
          <w14:ligatures w14:val="none"/>
        </w:rPr>
      </w:pPr>
      <w:r w:rsidRPr="003A7F1E">
        <w:rPr>
          <w:rFonts w:ascii="Times New Roman" w:eastAsia="Times New Roman" w:hAnsi="Times New Roman" w:cs="Times New Roman"/>
          <w:b/>
          <w:bCs/>
          <w:kern w:val="0"/>
          <w:lang w:eastAsia="en-GB"/>
          <w14:ligatures w14:val="none"/>
        </w:rPr>
        <w:t>Proactive Innovation and Technology Leadership (</w:t>
      </w:r>
      <w:proofErr w:type="spellStart"/>
      <w:r w:rsidRPr="003A7F1E">
        <w:rPr>
          <w:rFonts w:ascii="Times New Roman" w:eastAsia="Times New Roman" w:hAnsi="Times New Roman" w:cs="Times New Roman"/>
          <w:b/>
          <w:bCs/>
          <w:kern w:val="0"/>
          <w:lang w:eastAsia="en-GB"/>
          <w14:ligatures w14:val="none"/>
        </w:rPr>
        <w:t>Ansoff’s</w:t>
      </w:r>
      <w:proofErr w:type="spellEnd"/>
      <w:r w:rsidRPr="003A7F1E">
        <w:rPr>
          <w:rFonts w:ascii="Times New Roman" w:eastAsia="Times New Roman" w:hAnsi="Times New Roman" w:cs="Times New Roman"/>
          <w:b/>
          <w:bCs/>
          <w:kern w:val="0"/>
          <w:lang w:eastAsia="en-GB"/>
          <w14:ligatures w14:val="none"/>
        </w:rPr>
        <w:t xml:space="preserve"> Growth Matrix)</w:t>
      </w:r>
    </w:p>
    <w:p w14:paraId="07D71487" w14:textId="6915F719" w:rsidR="00C66228" w:rsidRPr="003A7F1E" w:rsidRDefault="009E31A1" w:rsidP="003A7F1E">
      <w:pPr>
        <w:spacing w:line="276" w:lineRule="auto"/>
        <w:rPr>
          <w:rFonts w:ascii="Times New Roman" w:eastAsia="Times New Roman" w:hAnsi="Times New Roman" w:cs="Times New Roman"/>
          <w:color w:val="000000"/>
        </w:rPr>
      </w:pPr>
      <w:r w:rsidRPr="003A7F1E">
        <w:rPr>
          <w:rFonts w:ascii="Times New Roman" w:eastAsia="Times New Roman" w:hAnsi="Times New Roman" w:cs="Times New Roman"/>
          <w:color w:val="000000"/>
        </w:rPr>
        <w:t xml:space="preserve">Pioneers usually use product development and diversification techniques to take advantage of new technological opportunities, according to </w:t>
      </w:r>
      <w:proofErr w:type="spellStart"/>
      <w:r w:rsidRPr="003A7F1E">
        <w:rPr>
          <w:rFonts w:ascii="Times New Roman" w:eastAsia="Times New Roman" w:hAnsi="Times New Roman" w:cs="Times New Roman"/>
          <w:color w:val="000000"/>
        </w:rPr>
        <w:t>Ansoff's</w:t>
      </w:r>
      <w:proofErr w:type="spellEnd"/>
      <w:r w:rsidRPr="003A7F1E">
        <w:rPr>
          <w:rFonts w:ascii="Times New Roman" w:eastAsia="Times New Roman" w:hAnsi="Times New Roman" w:cs="Times New Roman"/>
          <w:color w:val="000000"/>
        </w:rPr>
        <w:t xml:space="preserve"> Growth Matrix. For instance, Dow has invested extensively in advanced recycling technology and high-performance resins designed for circularity, as described in its 2024 sustainability paperwork (Dow, 2025). This represents product development targeting both existing and emerging markets needing recyclable and low-carbon plastics. In a similar vein, TOMRA uses market development by extending its deposit-return and automated sorting technology into additional regions motivated by environmental regulations (TOMRA, 2025). Given the low global rates of recycled-content plastics, their sensor-based sorting platforms enable high-quality recycled feedstock, which the environmental study in Task 1 noted as becoming increasingly important (Tan ., 2025).</w:t>
      </w:r>
      <w:r w:rsidR="00C3056C" w:rsidRPr="003A7F1E">
        <w:rPr>
          <w:rFonts w:ascii="Times New Roman" w:eastAsia="Times New Roman" w:hAnsi="Times New Roman" w:cs="Times New Roman"/>
          <w:color w:val="000000"/>
        </w:rPr>
        <w:t xml:space="preserve"> By using these tactics, innovative companies create technology ecosystems where their skills become industry norms, creating obstacles for followers.</w:t>
      </w:r>
    </w:p>
    <w:p w14:paraId="3F9AB65B" w14:textId="77777777" w:rsidR="00B93FE2" w:rsidRPr="003A7F1E" w:rsidRDefault="00B93FE2" w:rsidP="003A7F1E">
      <w:pPr>
        <w:spacing w:before="100" w:beforeAutospacing="1" w:after="100" w:afterAutospacing="1" w:line="276" w:lineRule="auto"/>
        <w:outlineLvl w:val="2"/>
        <w:rPr>
          <w:rFonts w:ascii="Times New Roman" w:eastAsia="Times New Roman" w:hAnsi="Times New Roman" w:cs="Times New Roman"/>
          <w:b/>
          <w:bCs/>
          <w:kern w:val="0"/>
          <w:lang w:eastAsia="en-GB"/>
          <w14:ligatures w14:val="none"/>
        </w:rPr>
      </w:pPr>
      <w:r w:rsidRPr="003A7F1E">
        <w:rPr>
          <w:rFonts w:ascii="Times New Roman" w:eastAsia="Times New Roman" w:hAnsi="Times New Roman" w:cs="Times New Roman"/>
          <w:b/>
          <w:bCs/>
          <w:kern w:val="0"/>
          <w:lang w:eastAsia="en-GB"/>
          <w14:ligatures w14:val="none"/>
        </w:rPr>
        <w:t>Competitive Positioning (Porter’s Generic Strategies)</w:t>
      </w:r>
    </w:p>
    <w:p w14:paraId="6DB31EEB" w14:textId="45AFF3D6" w:rsidR="00847D8D" w:rsidRPr="003A7F1E" w:rsidRDefault="002747DE" w:rsidP="003A7F1E">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 xml:space="preserve">Pioneers often use differentiation tactics, highlighting their special technological prowess or sustainability credentials. Verified low-carbon polymer solutions, innovative recycling partnerships, and patented materials are how Dow sets itself apart. TOMRA sets itself apart by providing solutions that significantly increase recovery rates, which are in line with the environmental pressures reported in studies by the Ellen MacArthur Foundation (2022) and the OECD (2022). These differentiation tactics address: Environmental risks, such as stringent laws governing plastic waste and consumer demands for circular materialsTechnological prospects include increased </w:t>
      </w:r>
      <w:proofErr w:type="spellStart"/>
      <w:r w:rsidRPr="003A7F1E">
        <w:rPr>
          <w:rFonts w:ascii="Times New Roman" w:eastAsia="Times New Roman" w:hAnsi="Times New Roman" w:cs="Times New Roman"/>
          <w:color w:val="000000"/>
        </w:rPr>
        <w:t>recyclate</w:t>
      </w:r>
      <w:proofErr w:type="spellEnd"/>
      <w:r w:rsidRPr="003A7F1E">
        <w:rPr>
          <w:rFonts w:ascii="Times New Roman" w:eastAsia="Times New Roman" w:hAnsi="Times New Roman" w:cs="Times New Roman"/>
          <w:color w:val="000000"/>
        </w:rPr>
        <w:t xml:space="preserve"> production and precise sorting.</w:t>
      </w:r>
    </w:p>
    <w:p w14:paraId="20286110" w14:textId="71BB3C08" w:rsidR="001D618D" w:rsidRPr="003A7F1E" w:rsidRDefault="00D67F5A" w:rsidP="003A7F1E">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In order to customise solutions for particular regulatory situations, pioneers also mix differentiation with targeted differentiation. For instance, TOMRA capitalises on differences in environmental policy by tailoring deposit-return systems to local legal frameworks (TOMRA, 2025).</w:t>
      </w:r>
    </w:p>
    <w:p w14:paraId="7AE7A322" w14:textId="77777777" w:rsidR="00803ED9" w:rsidRPr="0008644E" w:rsidRDefault="00803ED9" w:rsidP="003A7F1E">
      <w:pPr>
        <w:spacing w:before="100" w:beforeAutospacing="1" w:after="100" w:afterAutospacing="1" w:line="276" w:lineRule="auto"/>
        <w:outlineLvl w:val="2"/>
        <w:rPr>
          <w:rFonts w:ascii="Times New Roman" w:eastAsia="Times New Roman" w:hAnsi="Times New Roman" w:cs="Times New Roman"/>
          <w:b/>
          <w:bCs/>
          <w:kern w:val="0"/>
          <w:lang w:eastAsia="en-GB"/>
          <w14:ligatures w14:val="none"/>
        </w:rPr>
      </w:pPr>
      <w:r w:rsidRPr="0008644E">
        <w:rPr>
          <w:rFonts w:ascii="Times New Roman" w:eastAsia="Times New Roman" w:hAnsi="Times New Roman" w:cs="Times New Roman"/>
          <w:b/>
          <w:bCs/>
          <w:kern w:val="0"/>
          <w:lang w:eastAsia="en-GB"/>
          <w14:ligatures w14:val="none"/>
        </w:rPr>
        <w:t>Risk, Capability Building and Market-Shaping</w:t>
      </w:r>
    </w:p>
    <w:p w14:paraId="3FEFC8EF" w14:textId="77777777" w:rsidR="002C1DD8" w:rsidRPr="003A7F1E" w:rsidRDefault="006358E4" w:rsidP="003A7F1E">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Reputational risk is increased by environmental concerns, such as increased attention to plastic pollution (</w:t>
      </w:r>
      <w:proofErr w:type="spellStart"/>
      <w:r w:rsidRPr="003A7F1E">
        <w:rPr>
          <w:rFonts w:ascii="Times New Roman" w:eastAsia="Times New Roman" w:hAnsi="Times New Roman" w:cs="Times New Roman"/>
          <w:color w:val="000000"/>
        </w:rPr>
        <w:t>Cowger</w:t>
      </w:r>
      <w:proofErr w:type="spellEnd"/>
      <w:r w:rsidRPr="003A7F1E">
        <w:rPr>
          <w:rFonts w:ascii="Times New Roman" w:eastAsia="Times New Roman" w:hAnsi="Times New Roman" w:cs="Times New Roman"/>
          <w:color w:val="000000"/>
        </w:rPr>
        <w:t xml:space="preserve"> et al., 2024), which forces pioneers to make voluntary pledges that influence market norms. In addition to addressing regulatory demands, Dow has set aggressive recycling-content targets that will increase brand credibility in a market that is </w:t>
      </w:r>
      <w:r w:rsidRPr="003A7F1E">
        <w:rPr>
          <w:rFonts w:ascii="Times New Roman" w:eastAsia="Times New Roman" w:hAnsi="Times New Roman" w:cs="Times New Roman"/>
          <w:color w:val="000000"/>
        </w:rPr>
        <w:lastRenderedPageBreak/>
        <w:t>becoming more and more focused on sustainability (PlasticsEurope, 2024). Additionally, innovative solutions frequently entail vertically integrated collaborations. While TOMRA works with governments and brand owners to improve waste-collection systems, Dow works with recyclers to get feedstocks. These initiatives are in line with McKinsey's (2025) findings, which highlight the importance of cooperation throughout the plastics value chain for decarbonisation and circularity.</w:t>
      </w:r>
    </w:p>
    <w:p w14:paraId="2B8E84B4" w14:textId="51518889" w:rsidR="002C1DD8" w:rsidRPr="003A7F1E" w:rsidRDefault="002C1DD8" w:rsidP="00374A97">
      <w:pPr>
        <w:spacing w:before="100" w:beforeAutospacing="1" w:after="100" w:afterAutospacing="1" w:line="276" w:lineRule="auto"/>
        <w:outlineLvl w:val="2"/>
        <w:rPr>
          <w:rFonts w:ascii="Times New Roman" w:eastAsia="Times New Roman" w:hAnsi="Times New Roman" w:cs="Times New Roman"/>
          <w:b/>
          <w:bCs/>
          <w:color w:val="000000"/>
        </w:rPr>
      </w:pPr>
      <w:r w:rsidRPr="00743569">
        <w:rPr>
          <w:rFonts w:ascii="Times New Roman" w:eastAsia="Times New Roman" w:hAnsi="Times New Roman" w:cs="Times New Roman"/>
          <w:b/>
          <w:bCs/>
          <w:kern w:val="36"/>
          <w:sz w:val="22"/>
          <w:szCs w:val="22"/>
          <w:lang w:eastAsia="en-GB"/>
          <w14:ligatures w14:val="none"/>
        </w:rPr>
        <w:t xml:space="preserve"> </w:t>
      </w:r>
      <w:r w:rsidRPr="003A7F1E">
        <w:rPr>
          <w:rFonts w:ascii="Times New Roman" w:eastAsia="Times New Roman" w:hAnsi="Times New Roman" w:cs="Times New Roman"/>
          <w:b/>
          <w:bCs/>
          <w:kern w:val="36"/>
          <w:lang w:eastAsia="en-GB"/>
          <w14:ligatures w14:val="none"/>
        </w:rPr>
        <w:t>Follower Organisations’ Strategic Responses</w:t>
      </w:r>
    </w:p>
    <w:p w14:paraId="4C7BD787" w14:textId="787458A7" w:rsidR="006A7876" w:rsidRPr="003A7F1E" w:rsidRDefault="00EB1DE4" w:rsidP="00374A97">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In reaction to the same technical and environmental forces, follower firms—such as plastics converters, smaller recyclers, or local waste management companies—tend to implement adaptive and risk-mitigating techniques. Because they must negotiate marketplaces that have already been moulded by early movers and typically lack the R&amp;D resources of pioneers, their reactions are different.</w:t>
      </w:r>
    </w:p>
    <w:p w14:paraId="1BA9E3F7" w14:textId="3F326636" w:rsidR="00A1624B" w:rsidRPr="003A7F1E" w:rsidRDefault="00A1624B" w:rsidP="00374A97">
      <w:pPr>
        <w:spacing w:before="100" w:beforeAutospacing="1" w:after="100" w:afterAutospacing="1" w:line="276" w:lineRule="auto"/>
        <w:outlineLvl w:val="2"/>
        <w:rPr>
          <w:rFonts w:ascii="Times New Roman" w:eastAsia="Times New Roman" w:hAnsi="Times New Roman" w:cs="Times New Roman"/>
          <w:b/>
          <w:bCs/>
          <w:kern w:val="0"/>
          <w:lang w:eastAsia="en-GB"/>
          <w14:ligatures w14:val="none"/>
        </w:rPr>
      </w:pPr>
      <w:r w:rsidRPr="003A7F1E">
        <w:rPr>
          <w:rFonts w:ascii="Times New Roman" w:eastAsia="Times New Roman" w:hAnsi="Times New Roman" w:cs="Times New Roman"/>
          <w:b/>
          <w:bCs/>
          <w:kern w:val="0"/>
          <w:lang w:eastAsia="en-GB"/>
          <w14:ligatures w14:val="none"/>
        </w:rPr>
        <w:t>Adaptive Use of Existing Technologies</w:t>
      </w:r>
    </w:p>
    <w:p w14:paraId="7BB3596C" w14:textId="033E3091" w:rsidR="00A1624B" w:rsidRPr="003A7F1E" w:rsidRDefault="00E0702F" w:rsidP="00374A97">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Instead of developing novel technology, followers frequently place a higher priority on market penetration and growth. Once costs decline or standards stable, they usually implement tried-and-true recycling or sorting methods. This strategy lowers risk while taking advantage of changes in regulations that raise the market for recycled materials. For instance, smaller recyclers are increasingly using TOMRA's well-established sorting systems—not to innovate, but to meet stricter environmental regulations or to land deals with global companies that want certified recycled content (TOMRA, 2025). Once innovators have shown the technology's worth, followers profit from its spread, reducing obstacles to competitive involvement.</w:t>
      </w:r>
      <w:r w:rsidR="006C6295" w:rsidRPr="003A7F1E">
        <w:rPr>
          <w:rFonts w:ascii="Times New Roman" w:eastAsia="Times New Roman" w:hAnsi="Times New Roman" w:cs="Times New Roman"/>
          <w:color w:val="000000"/>
        </w:rPr>
        <w:t xml:space="preserve"> In order to satisfy recyclability requirements set by authorities or consumers, followers also use product adaptation techniques, altering current plastic formulas or package formats. This is consistent with data from the Global Commitment (Ellen MacArthur Foundation, 2022), which demonstrates a broad industry shift towards standards for recyclable packaging.</w:t>
      </w:r>
    </w:p>
    <w:p w14:paraId="045C3F0A" w14:textId="77777777" w:rsidR="00991C30" w:rsidRPr="003A7F1E" w:rsidRDefault="00991C30" w:rsidP="00374A97">
      <w:pPr>
        <w:spacing w:before="100" w:beforeAutospacing="1" w:after="100" w:afterAutospacing="1" w:line="276" w:lineRule="auto"/>
        <w:outlineLvl w:val="2"/>
        <w:rPr>
          <w:rFonts w:ascii="Times New Roman" w:eastAsia="Times New Roman" w:hAnsi="Times New Roman" w:cs="Times New Roman"/>
          <w:b/>
          <w:bCs/>
          <w:kern w:val="0"/>
          <w:lang w:eastAsia="en-GB"/>
          <w14:ligatures w14:val="none"/>
        </w:rPr>
      </w:pPr>
      <w:r w:rsidRPr="003A7F1E">
        <w:rPr>
          <w:rFonts w:ascii="Times New Roman" w:eastAsia="Times New Roman" w:hAnsi="Times New Roman" w:cs="Times New Roman"/>
          <w:b/>
          <w:bCs/>
          <w:kern w:val="0"/>
          <w:lang w:eastAsia="en-GB"/>
          <w14:ligatures w14:val="none"/>
        </w:rPr>
        <w:t>Cost Leadership and Operational Efficiency </w:t>
      </w:r>
    </w:p>
    <w:p w14:paraId="763360AE" w14:textId="77777777" w:rsidR="0043355D" w:rsidRPr="003A7F1E" w:rsidRDefault="00E74331" w:rsidP="00374A97">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 xml:space="preserve">Particularly in commodity polymer markets, followers frequently choose cost leadership or focus strategies while pioneers strive for differentiation. Followers reduce operations and rely on standardised, scaled-up recycling or manufacturing techniques in response to pressure from high regulatory compliance costs and the need to maintain price competitiveness. </w:t>
      </w:r>
    </w:p>
    <w:p w14:paraId="59010645" w14:textId="4C1C569B" w:rsidR="006C6295" w:rsidRPr="003A7F1E" w:rsidRDefault="00E74331" w:rsidP="00374A97">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For example:In markets where sustainability premiums are low, regional plastics makers may compete on price.Small recyclers frequently use a focus approach to specialise in particular polymer streams, catering to niche regional markets that are unappealing to larger pioneers. These answers are in line with the environmental pressures outlined in Task 1: as laws become more stringent, adherents must attain compliance at the lowest possible cost or risk losing market access.</w:t>
      </w:r>
    </w:p>
    <w:p w14:paraId="0673B2CD" w14:textId="77777777" w:rsidR="00A6230B" w:rsidRPr="003A7F1E" w:rsidRDefault="00A6230B" w:rsidP="00374A97">
      <w:pPr>
        <w:spacing w:before="100" w:beforeAutospacing="1" w:after="100" w:afterAutospacing="1" w:line="276" w:lineRule="auto"/>
        <w:outlineLvl w:val="2"/>
        <w:rPr>
          <w:rFonts w:ascii="Times New Roman" w:eastAsia="Times New Roman" w:hAnsi="Times New Roman" w:cs="Times New Roman"/>
          <w:b/>
          <w:bCs/>
          <w:kern w:val="0"/>
          <w:lang w:eastAsia="en-GB"/>
          <w14:ligatures w14:val="none"/>
        </w:rPr>
      </w:pPr>
      <w:r w:rsidRPr="003A7F1E">
        <w:rPr>
          <w:rFonts w:ascii="Times New Roman" w:eastAsia="Times New Roman" w:hAnsi="Times New Roman" w:cs="Times New Roman"/>
          <w:b/>
          <w:bCs/>
          <w:kern w:val="0"/>
          <w:lang w:eastAsia="en-GB"/>
          <w14:ligatures w14:val="none"/>
        </w:rPr>
        <w:lastRenderedPageBreak/>
        <w:t>Strategic Partnerships and Compliance-Driven Innovation</w:t>
      </w:r>
    </w:p>
    <w:p w14:paraId="1A0136F5" w14:textId="250C8BEC" w:rsidR="00A6230B" w:rsidRPr="003A7F1E" w:rsidRDefault="00276843" w:rsidP="00374A97">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In order to gain access to technology that they are unable to develop internally, followers often work with innovative companies. Followers fulfil their environmental responsibilities without taking on undue R&amp;D risk through supplier alliances, license agreements, or involvement in circular supply chains. For instance:To assure stable feedstock markets, smaller recyclers may collaborate with chemical recyclers that Dow has piloted.  In order to comply with the OECD's EPR (Extended Producer Responsibility) regulations, packaging converters may form consortiums (2022). Through these collaborations, followers can reach new client segments, share risk, and expedite compliance.</w:t>
      </w:r>
    </w:p>
    <w:p w14:paraId="078E05EE" w14:textId="77777777" w:rsidR="00F615C6" w:rsidRPr="003A7F1E" w:rsidRDefault="00F615C6" w:rsidP="00374A97">
      <w:pPr>
        <w:spacing w:before="100" w:beforeAutospacing="1" w:after="100" w:afterAutospacing="1" w:line="276" w:lineRule="auto"/>
        <w:outlineLvl w:val="2"/>
        <w:rPr>
          <w:rFonts w:ascii="Times New Roman" w:eastAsia="Times New Roman" w:hAnsi="Times New Roman" w:cs="Times New Roman"/>
          <w:b/>
          <w:bCs/>
          <w:kern w:val="0"/>
          <w:lang w:eastAsia="en-GB"/>
          <w14:ligatures w14:val="none"/>
        </w:rPr>
      </w:pPr>
      <w:r w:rsidRPr="003A7F1E">
        <w:rPr>
          <w:rFonts w:ascii="Times New Roman" w:eastAsia="Times New Roman" w:hAnsi="Times New Roman" w:cs="Times New Roman"/>
          <w:b/>
          <w:bCs/>
          <w:kern w:val="0"/>
          <w:lang w:eastAsia="en-GB"/>
          <w14:ligatures w14:val="none"/>
        </w:rPr>
        <w:t>Brand Protection and Reputational Alignment</w:t>
      </w:r>
    </w:p>
    <w:p w14:paraId="023B8D37" w14:textId="0414F0C8" w:rsidR="00276843" w:rsidRPr="003A7F1E" w:rsidRDefault="007D7284" w:rsidP="00374A97">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 xml:space="preserve">Due to increased public scrutiny, as seen by the extensive mapping of pollution in </w:t>
      </w:r>
      <w:proofErr w:type="spellStart"/>
      <w:r w:rsidRPr="003A7F1E">
        <w:rPr>
          <w:rFonts w:ascii="Times New Roman" w:eastAsia="Times New Roman" w:hAnsi="Times New Roman" w:cs="Times New Roman"/>
          <w:color w:val="000000"/>
        </w:rPr>
        <w:t>Cowger</w:t>
      </w:r>
      <w:proofErr w:type="spellEnd"/>
      <w:r w:rsidRPr="003A7F1E">
        <w:rPr>
          <w:rFonts w:ascii="Times New Roman" w:eastAsia="Times New Roman" w:hAnsi="Times New Roman" w:cs="Times New Roman"/>
          <w:color w:val="000000"/>
        </w:rPr>
        <w:t xml:space="preserve"> (2024), followers also use defensive marketing tactics to preserve the credibility of their brands. To stay competitive with sustainability-driven pioneers, many emphasise recycled content, adherence to environmental standards, or cooperation with certified recyclers.</w:t>
      </w:r>
    </w:p>
    <w:p w14:paraId="337E377A" w14:textId="7F43720D" w:rsidR="003137C5" w:rsidRPr="003A7F1E" w:rsidRDefault="003137C5" w:rsidP="00374A97">
      <w:pPr>
        <w:spacing w:before="100" w:beforeAutospacing="1" w:after="100" w:afterAutospacing="1" w:line="276" w:lineRule="auto"/>
        <w:outlineLvl w:val="2"/>
        <w:rPr>
          <w:rFonts w:ascii="Times New Roman" w:eastAsia="Times New Roman" w:hAnsi="Times New Roman" w:cs="Times New Roman"/>
          <w:b/>
          <w:bCs/>
          <w:kern w:val="0"/>
          <w:lang w:eastAsia="en-GB"/>
          <w14:ligatures w14:val="none"/>
        </w:rPr>
      </w:pPr>
      <w:r w:rsidRPr="003A7F1E">
        <w:rPr>
          <w:rFonts w:ascii="Times New Roman" w:eastAsia="Times New Roman" w:hAnsi="Times New Roman" w:cs="Times New Roman"/>
          <w:b/>
          <w:bCs/>
          <w:kern w:val="0"/>
          <w:lang w:eastAsia="en-GB"/>
          <w14:ligatures w14:val="none"/>
        </w:rPr>
        <w:t>Evaluation</w:t>
      </w:r>
    </w:p>
    <w:p w14:paraId="536AC427" w14:textId="5D99465B" w:rsidR="00944C36" w:rsidRPr="003A7F1E" w:rsidRDefault="00944C36" w:rsidP="00374A97">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 xml:space="preserve">Flexible adaptation, reduced financial and technological risk, and the capacity to enter markets once uncertainty subsides are all advantages for followers. Nevertheless, they continue to be susceptible to:more stringent regulations; a lack of high-quality recycled feedstock; </w:t>
      </w:r>
      <w:proofErr w:type="spellStart"/>
      <w:r w:rsidRPr="003A7F1E">
        <w:rPr>
          <w:rFonts w:ascii="Times New Roman" w:eastAsia="Times New Roman" w:hAnsi="Times New Roman" w:cs="Times New Roman"/>
          <w:color w:val="000000"/>
        </w:rPr>
        <w:t>andcompetitive</w:t>
      </w:r>
      <w:proofErr w:type="spellEnd"/>
      <w:r w:rsidRPr="003A7F1E">
        <w:rPr>
          <w:rFonts w:ascii="Times New Roman" w:eastAsia="Times New Roman" w:hAnsi="Times New Roman" w:cs="Times New Roman"/>
          <w:color w:val="000000"/>
        </w:rPr>
        <w:t xml:space="preserve"> displacement by innovative technologies. </w:t>
      </w:r>
    </w:p>
    <w:p w14:paraId="60EE3C79" w14:textId="1ACD5CB8" w:rsidR="00635DF1" w:rsidRPr="003A7F1E" w:rsidRDefault="00944C36" w:rsidP="00374A97">
      <w:pPr>
        <w:spacing w:before="100" w:beforeAutospacing="1" w:after="100" w:afterAutospacing="1" w:line="276" w:lineRule="auto"/>
        <w:outlineLvl w:val="2"/>
        <w:rPr>
          <w:rFonts w:ascii="Times New Roman" w:eastAsia="Times New Roman" w:hAnsi="Times New Roman" w:cs="Times New Roman"/>
          <w:color w:val="000000"/>
        </w:rPr>
      </w:pPr>
      <w:r w:rsidRPr="003A7F1E">
        <w:rPr>
          <w:rFonts w:ascii="Times New Roman" w:eastAsia="Times New Roman" w:hAnsi="Times New Roman" w:cs="Times New Roman"/>
          <w:color w:val="000000"/>
        </w:rPr>
        <w:t>As a result, while cost leadership and niche positioning can help followers succeed, their long-term competitiveness depends on closely following the environmental and technological trends set by pioneers.</w:t>
      </w:r>
    </w:p>
    <w:p w14:paraId="30BD210A" w14:textId="77777777" w:rsidR="00EE3D01" w:rsidRPr="003A7F1E" w:rsidRDefault="00EE3D01" w:rsidP="00374A97">
      <w:pPr>
        <w:spacing w:before="100" w:beforeAutospacing="1" w:after="100" w:afterAutospacing="1" w:line="276" w:lineRule="auto"/>
        <w:outlineLvl w:val="2"/>
        <w:rPr>
          <w:rFonts w:ascii="Times New Roman" w:eastAsia="Times New Roman" w:hAnsi="Times New Roman" w:cs="Times New Roman"/>
          <w:kern w:val="0"/>
          <w:lang w:eastAsia="en-GB"/>
          <w14:ligatures w14:val="none"/>
        </w:rPr>
      </w:pPr>
    </w:p>
    <w:p w14:paraId="6656720B" w14:textId="77777777" w:rsidR="00A1624B" w:rsidRPr="003A7F1E" w:rsidRDefault="00A1624B" w:rsidP="00374A97">
      <w:pPr>
        <w:spacing w:before="100" w:beforeAutospacing="1" w:after="100" w:afterAutospacing="1" w:line="276" w:lineRule="auto"/>
        <w:outlineLvl w:val="2"/>
        <w:rPr>
          <w:rFonts w:ascii="Times New Roman" w:eastAsia="Times New Roman" w:hAnsi="Times New Roman" w:cs="Times New Roman"/>
          <w:kern w:val="0"/>
          <w:lang w:eastAsia="en-GB"/>
          <w14:ligatures w14:val="none"/>
        </w:rPr>
      </w:pPr>
    </w:p>
    <w:p w14:paraId="42808FD5" w14:textId="77777777" w:rsidR="00803ED9" w:rsidRPr="003A7F1E" w:rsidRDefault="00803ED9" w:rsidP="00374A97">
      <w:pPr>
        <w:spacing w:before="100" w:beforeAutospacing="1" w:after="100" w:afterAutospacing="1" w:line="276" w:lineRule="auto"/>
        <w:outlineLvl w:val="2"/>
        <w:rPr>
          <w:rFonts w:ascii="Times New Roman" w:eastAsia="Times New Roman" w:hAnsi="Times New Roman" w:cs="Times New Roman"/>
          <w:kern w:val="0"/>
          <w:lang w:eastAsia="en-GB"/>
          <w14:ligatures w14:val="none"/>
        </w:rPr>
      </w:pPr>
    </w:p>
    <w:p w14:paraId="59E7643D" w14:textId="77777777" w:rsidR="00B93FE2" w:rsidRPr="003A7F1E" w:rsidRDefault="00B93FE2" w:rsidP="00374A97">
      <w:pPr>
        <w:spacing w:line="276" w:lineRule="auto"/>
        <w:rPr>
          <w:rFonts w:ascii="Times New Roman" w:eastAsia="Times New Roman" w:hAnsi="Times New Roman" w:cs="Times New Roman"/>
          <w:color w:val="000000"/>
        </w:rPr>
      </w:pPr>
    </w:p>
    <w:p w14:paraId="67AF1C29" w14:textId="77777777" w:rsidR="00D66CF9" w:rsidRPr="003A7F1E" w:rsidRDefault="00D66CF9" w:rsidP="00374A97">
      <w:pPr>
        <w:spacing w:line="276" w:lineRule="auto"/>
        <w:rPr>
          <w:rFonts w:ascii="Times New Roman" w:eastAsia="Times New Roman" w:hAnsi="Times New Roman" w:cs="Times New Roman"/>
          <w:color w:val="000000"/>
        </w:rPr>
      </w:pPr>
    </w:p>
    <w:p w14:paraId="5B86CAF2" w14:textId="77777777" w:rsidR="00D66CF9" w:rsidRPr="003A7F1E" w:rsidRDefault="00D66CF9" w:rsidP="00374A97">
      <w:pPr>
        <w:spacing w:line="276" w:lineRule="auto"/>
        <w:rPr>
          <w:rFonts w:ascii="Times New Roman" w:eastAsia="Times New Roman" w:hAnsi="Times New Roman" w:cs="Times New Roman"/>
          <w:color w:val="000000"/>
        </w:rPr>
      </w:pPr>
    </w:p>
    <w:p w14:paraId="5BF56468" w14:textId="77777777" w:rsidR="00D66CF9" w:rsidRPr="003A7F1E" w:rsidRDefault="00D66CF9" w:rsidP="00374A97">
      <w:pPr>
        <w:spacing w:line="276" w:lineRule="auto"/>
        <w:rPr>
          <w:rFonts w:ascii="Times New Roman" w:eastAsia="Times New Roman" w:hAnsi="Times New Roman" w:cs="Times New Roman"/>
          <w:color w:val="000000"/>
        </w:rPr>
      </w:pPr>
    </w:p>
    <w:p w14:paraId="276CBCB2" w14:textId="77777777" w:rsidR="00D66CF9" w:rsidRPr="003A7F1E" w:rsidRDefault="00D66CF9" w:rsidP="00374A97">
      <w:pPr>
        <w:spacing w:line="276" w:lineRule="auto"/>
        <w:rPr>
          <w:rFonts w:ascii="Times New Roman" w:eastAsia="Times New Roman" w:hAnsi="Times New Roman" w:cs="Times New Roman"/>
          <w:color w:val="000000"/>
        </w:rPr>
      </w:pPr>
    </w:p>
    <w:p w14:paraId="50F6A54D" w14:textId="77777777" w:rsidR="00D66CF9" w:rsidRPr="003A7F1E" w:rsidRDefault="00D66CF9" w:rsidP="00374A97">
      <w:pPr>
        <w:spacing w:line="276" w:lineRule="auto"/>
        <w:rPr>
          <w:rFonts w:ascii="Times New Roman" w:eastAsia="Times New Roman" w:hAnsi="Times New Roman" w:cs="Times New Roman"/>
          <w:color w:val="000000"/>
        </w:rPr>
      </w:pPr>
    </w:p>
    <w:p w14:paraId="55244D64" w14:textId="77777777" w:rsidR="00D66CF9" w:rsidRPr="003A7F1E" w:rsidRDefault="00D66CF9" w:rsidP="00374A97">
      <w:pPr>
        <w:spacing w:line="276" w:lineRule="auto"/>
        <w:rPr>
          <w:rFonts w:ascii="Times New Roman" w:eastAsia="Times New Roman" w:hAnsi="Times New Roman" w:cs="Times New Roman"/>
          <w:color w:val="000000"/>
        </w:rPr>
      </w:pPr>
    </w:p>
    <w:p w14:paraId="2FCBF09B" w14:textId="77777777" w:rsidR="00D66CF9" w:rsidRPr="003A7F1E" w:rsidRDefault="00D66CF9" w:rsidP="00374A97">
      <w:pPr>
        <w:spacing w:line="276" w:lineRule="auto"/>
        <w:rPr>
          <w:rFonts w:ascii="Times New Roman" w:eastAsia="Times New Roman" w:hAnsi="Times New Roman" w:cs="Times New Roman"/>
          <w:color w:val="000000"/>
        </w:rPr>
      </w:pPr>
    </w:p>
    <w:p w14:paraId="6E23E7F4" w14:textId="77777777" w:rsidR="00571954" w:rsidRPr="003A7F1E" w:rsidRDefault="00571954" w:rsidP="00374A97">
      <w:pPr>
        <w:spacing w:line="276" w:lineRule="auto"/>
        <w:rPr>
          <w:rFonts w:ascii="Times New Roman" w:eastAsia="Times New Roman" w:hAnsi="Times New Roman" w:cs="Times New Roman"/>
          <w:color w:val="000000"/>
        </w:rPr>
      </w:pPr>
    </w:p>
    <w:p w14:paraId="53D36788" w14:textId="77777777" w:rsidR="009E31A1" w:rsidRPr="003A7F1E" w:rsidRDefault="009E31A1" w:rsidP="00374A97">
      <w:pPr>
        <w:spacing w:line="276" w:lineRule="auto"/>
        <w:rPr>
          <w:rFonts w:ascii="Times New Roman" w:eastAsia="Times New Roman" w:hAnsi="Times New Roman" w:cs="Times New Roman"/>
          <w:color w:val="000000"/>
        </w:rPr>
      </w:pPr>
    </w:p>
    <w:p w14:paraId="7BEEFB1F" w14:textId="77777777" w:rsidR="009E31A1" w:rsidRPr="003A7F1E" w:rsidRDefault="009E31A1" w:rsidP="00374A97">
      <w:pPr>
        <w:spacing w:line="276" w:lineRule="auto"/>
        <w:rPr>
          <w:rStyle w:val="Heading1Char"/>
          <w:rFonts w:ascii="Times New Roman" w:hAnsi="Times New Roman" w:cs="Times New Roman"/>
          <w:color w:val="000000" w:themeColor="text1"/>
          <w:sz w:val="24"/>
          <w:szCs w:val="24"/>
        </w:rPr>
      </w:pPr>
    </w:p>
    <w:p w14:paraId="79A80A99" w14:textId="51AFBFD0" w:rsidR="00DE5D5B" w:rsidRPr="003A7F1E" w:rsidRDefault="00DE5D5B" w:rsidP="00374A97">
      <w:pPr>
        <w:spacing w:line="276" w:lineRule="auto"/>
        <w:ind w:left="360"/>
        <w:rPr>
          <w:rStyle w:val="Heading1Char"/>
          <w:rFonts w:ascii="Times New Roman" w:hAnsi="Times New Roman" w:cs="Times New Roman"/>
          <w:color w:val="000000" w:themeColor="text1"/>
          <w:sz w:val="24"/>
          <w:szCs w:val="24"/>
        </w:rPr>
      </w:pPr>
      <w:r w:rsidRPr="003A7F1E">
        <w:rPr>
          <w:rStyle w:val="Heading1Char"/>
          <w:rFonts w:ascii="Times New Roman" w:hAnsi="Times New Roman" w:cs="Times New Roman"/>
          <w:color w:val="000000" w:themeColor="text1"/>
          <w:sz w:val="24"/>
          <w:szCs w:val="24"/>
        </w:rPr>
        <w:t xml:space="preserve"> </w:t>
      </w:r>
      <w:bookmarkEnd w:id="5"/>
    </w:p>
    <w:p w14:paraId="08D9FCE9" w14:textId="111E47A8" w:rsidR="00DE5D5B" w:rsidRPr="003A7F1E" w:rsidRDefault="00DE5D5B" w:rsidP="00374A97">
      <w:pPr>
        <w:pStyle w:val="Heading1"/>
        <w:spacing w:line="276" w:lineRule="auto"/>
        <w:rPr>
          <w:rFonts w:ascii="Times New Roman" w:hAnsi="Times New Roman" w:cs="Times New Roman"/>
          <w:b/>
          <w:bCs/>
          <w:color w:val="000000" w:themeColor="text1"/>
          <w:sz w:val="24"/>
          <w:szCs w:val="24"/>
        </w:rPr>
      </w:pPr>
      <w:bookmarkStart w:id="6" w:name="_Toc211437177"/>
      <w:r w:rsidRPr="003A7F1E">
        <w:rPr>
          <w:rFonts w:ascii="Times New Roman" w:hAnsi="Times New Roman" w:cs="Times New Roman"/>
          <w:b/>
          <w:bCs/>
          <w:color w:val="000000" w:themeColor="text1"/>
          <w:sz w:val="24"/>
          <w:szCs w:val="24"/>
        </w:rPr>
        <w:t xml:space="preserve">4. Conclusion </w:t>
      </w:r>
      <w:bookmarkEnd w:id="6"/>
    </w:p>
    <w:p w14:paraId="1805CCF9" w14:textId="77777777" w:rsidR="00983876" w:rsidRPr="003A7F1E" w:rsidRDefault="00B35F7E" w:rsidP="00374A97">
      <w:pPr>
        <w:spacing w:line="276" w:lineRule="auto"/>
        <w:rPr>
          <w:rFonts w:ascii="Times New Roman" w:eastAsia="Times New Roman" w:hAnsi="Times New Roman" w:cs="Times New Roman"/>
          <w:color w:val="000000"/>
        </w:rPr>
      </w:pPr>
      <w:r w:rsidRPr="003A7F1E">
        <w:rPr>
          <w:rFonts w:ascii="Times New Roman" w:eastAsia="Times New Roman" w:hAnsi="Times New Roman" w:cs="Times New Roman"/>
          <w:color w:val="000000"/>
        </w:rPr>
        <w:t>The analysis shows how environmental and technological macro factors are changing the plastics and recycling sector, impacting both pioneers and followers in different but related ways. In response, forward-thinking companies like Dow and TOMRA make proactive investments in cutting-edge technologies, implement differentiating tactics, and work on product development, market expansion, and diversification. Their tactics enable them to create market standards, influence legal requirements, and forge powerful competitive positions based on sustainability. However, they also face significant R&amp;D and reputational risks, especially as technological landscapes change and environmental standards rise.</w:t>
      </w:r>
    </w:p>
    <w:p w14:paraId="5FB6AEC7" w14:textId="160B3A63" w:rsidR="00DE5D5B" w:rsidRPr="003A7F1E" w:rsidRDefault="00983876" w:rsidP="00374A97">
      <w:pPr>
        <w:spacing w:line="276" w:lineRule="auto"/>
        <w:rPr>
          <w:rFonts w:ascii="Times New Roman" w:eastAsia="Times New Roman" w:hAnsi="Times New Roman" w:cs="Times New Roman"/>
          <w:color w:val="000000"/>
        </w:rPr>
      </w:pPr>
      <w:r w:rsidRPr="003A7F1E">
        <w:rPr>
          <w:rFonts w:ascii="Times New Roman" w:eastAsia="Times New Roman" w:hAnsi="Times New Roman" w:cs="Times New Roman"/>
          <w:color w:val="000000"/>
        </w:rPr>
        <w:t xml:space="preserve">As uncertainty declines, follower firms, on the other hand, use more flexible strategies that emphasise cost effectiveness, incremental innovation, and technology adoption. Porter's cost leadership and focus methods assist followers stay competitive, while </w:t>
      </w:r>
      <w:proofErr w:type="spellStart"/>
      <w:r w:rsidRPr="003A7F1E">
        <w:rPr>
          <w:rFonts w:ascii="Times New Roman" w:eastAsia="Times New Roman" w:hAnsi="Times New Roman" w:cs="Times New Roman"/>
          <w:color w:val="000000"/>
        </w:rPr>
        <w:t>Ansoff's</w:t>
      </w:r>
      <w:proofErr w:type="spellEnd"/>
      <w:r w:rsidRPr="003A7F1E">
        <w:rPr>
          <w:rFonts w:ascii="Times New Roman" w:eastAsia="Times New Roman" w:hAnsi="Times New Roman" w:cs="Times New Roman"/>
          <w:color w:val="000000"/>
        </w:rPr>
        <w:t xml:space="preserve"> framework tends to rely on market penetration and market development. Followers may satisfy growing sustainability expectations without undue financial risk through partnerships with pioneers, compliance-driven innovation, and focused market specialisation.</w:t>
      </w:r>
    </w:p>
    <w:p w14:paraId="20009B40" w14:textId="591B55F9" w:rsidR="009303F0" w:rsidRPr="003A7F1E" w:rsidRDefault="009303F0" w:rsidP="00374A97">
      <w:pPr>
        <w:spacing w:line="276" w:lineRule="auto"/>
        <w:rPr>
          <w:rFonts w:ascii="Times New Roman" w:eastAsia="Times New Roman" w:hAnsi="Times New Roman" w:cs="Times New Roman"/>
          <w:color w:val="000000"/>
        </w:rPr>
      </w:pPr>
      <w:r w:rsidRPr="003A7F1E">
        <w:rPr>
          <w:rFonts w:ascii="Times New Roman" w:eastAsia="Times New Roman" w:hAnsi="Times New Roman" w:cs="Times New Roman"/>
          <w:color w:val="000000"/>
        </w:rPr>
        <w:t>The results confirm the strategic importance of macro-environmental monitoring for both types of organisations. Because environmental and technological forces are constantly changing, businesses that keep an eye on them can predict disruptions, match policy trends with marketing strategies, and develop appealing sustainability value propositions. In the end, strategic agility—whether by proactive innovation or effective adaptation—and the ability to incorporate environmental realities into every aspect of marketing strategy are essential for long-term success in the plastics and recycling industry.</w:t>
      </w:r>
    </w:p>
    <w:p w14:paraId="577E62D5" w14:textId="77777777" w:rsidR="00FD4673" w:rsidRPr="003A7F1E" w:rsidRDefault="00FD4673" w:rsidP="00374A97">
      <w:pPr>
        <w:spacing w:line="276" w:lineRule="auto"/>
        <w:rPr>
          <w:rFonts w:ascii="Times New Roman" w:eastAsiaTheme="majorEastAsia" w:hAnsi="Times New Roman" w:cs="Times New Roman"/>
        </w:rPr>
      </w:pPr>
    </w:p>
    <w:p w14:paraId="7536A85C" w14:textId="77777777" w:rsidR="00D66CF9" w:rsidRPr="003A7F1E" w:rsidRDefault="00D66CF9" w:rsidP="00374A97">
      <w:pPr>
        <w:spacing w:line="276" w:lineRule="auto"/>
        <w:rPr>
          <w:rFonts w:ascii="Times New Roman" w:eastAsiaTheme="majorEastAsia" w:hAnsi="Times New Roman" w:cs="Times New Roman"/>
        </w:rPr>
      </w:pPr>
    </w:p>
    <w:p w14:paraId="2551D3C6" w14:textId="77777777" w:rsidR="00D66CF9" w:rsidRDefault="00D66CF9" w:rsidP="00B35F7E">
      <w:pPr>
        <w:spacing w:line="360" w:lineRule="auto"/>
        <w:rPr>
          <w:rFonts w:ascii="Times New Roman" w:eastAsiaTheme="majorEastAsia" w:hAnsi="Times New Roman" w:cs="Times New Roman"/>
          <w:sz w:val="22"/>
          <w:szCs w:val="22"/>
        </w:rPr>
      </w:pPr>
    </w:p>
    <w:p w14:paraId="02D2FFAF" w14:textId="77777777" w:rsidR="00D66CF9" w:rsidRDefault="00D66CF9" w:rsidP="00B35F7E">
      <w:pPr>
        <w:spacing w:line="360" w:lineRule="auto"/>
        <w:rPr>
          <w:rFonts w:ascii="Times New Roman" w:eastAsiaTheme="majorEastAsia" w:hAnsi="Times New Roman" w:cs="Times New Roman"/>
          <w:sz w:val="22"/>
          <w:szCs w:val="22"/>
        </w:rPr>
      </w:pPr>
    </w:p>
    <w:p w14:paraId="4317DAF7" w14:textId="77777777" w:rsidR="00D66CF9" w:rsidRDefault="00D66CF9" w:rsidP="00B35F7E">
      <w:pPr>
        <w:spacing w:line="360" w:lineRule="auto"/>
        <w:rPr>
          <w:rFonts w:ascii="Times New Roman" w:eastAsiaTheme="majorEastAsia" w:hAnsi="Times New Roman" w:cs="Times New Roman"/>
          <w:sz w:val="22"/>
          <w:szCs w:val="22"/>
        </w:rPr>
      </w:pPr>
    </w:p>
    <w:p w14:paraId="54A0491A" w14:textId="77777777" w:rsidR="00D66CF9" w:rsidRDefault="00D66CF9" w:rsidP="00B35F7E">
      <w:pPr>
        <w:spacing w:line="360" w:lineRule="auto"/>
        <w:rPr>
          <w:rFonts w:ascii="Times New Roman" w:eastAsiaTheme="majorEastAsia" w:hAnsi="Times New Roman" w:cs="Times New Roman"/>
          <w:sz w:val="22"/>
          <w:szCs w:val="22"/>
        </w:rPr>
      </w:pPr>
    </w:p>
    <w:p w14:paraId="3FA00B07" w14:textId="77777777" w:rsidR="00D66CF9" w:rsidRDefault="00D66CF9" w:rsidP="00B35F7E">
      <w:pPr>
        <w:spacing w:line="360" w:lineRule="auto"/>
        <w:rPr>
          <w:rFonts w:ascii="Times New Roman" w:eastAsiaTheme="majorEastAsia" w:hAnsi="Times New Roman" w:cs="Times New Roman"/>
          <w:sz w:val="22"/>
          <w:szCs w:val="22"/>
        </w:rPr>
      </w:pPr>
    </w:p>
    <w:p w14:paraId="65565642" w14:textId="77777777" w:rsidR="00D66CF9" w:rsidRDefault="00D66CF9" w:rsidP="00B35F7E">
      <w:pPr>
        <w:spacing w:line="360" w:lineRule="auto"/>
        <w:rPr>
          <w:rFonts w:ascii="Times New Roman" w:eastAsiaTheme="majorEastAsia" w:hAnsi="Times New Roman" w:cs="Times New Roman"/>
          <w:sz w:val="22"/>
          <w:szCs w:val="22"/>
        </w:rPr>
      </w:pPr>
    </w:p>
    <w:p w14:paraId="52175A1F" w14:textId="77777777" w:rsidR="00D66CF9" w:rsidRDefault="00D66CF9" w:rsidP="00B35F7E">
      <w:pPr>
        <w:spacing w:line="360" w:lineRule="auto"/>
        <w:rPr>
          <w:rFonts w:ascii="Times New Roman" w:eastAsiaTheme="majorEastAsia" w:hAnsi="Times New Roman" w:cs="Times New Roman"/>
          <w:sz w:val="22"/>
          <w:szCs w:val="22"/>
        </w:rPr>
      </w:pPr>
    </w:p>
    <w:p w14:paraId="73314064" w14:textId="77777777" w:rsidR="00374A97" w:rsidRDefault="00374A97" w:rsidP="00B35F7E">
      <w:pPr>
        <w:spacing w:line="360" w:lineRule="auto"/>
        <w:rPr>
          <w:rFonts w:ascii="Times New Roman" w:eastAsiaTheme="majorEastAsia" w:hAnsi="Times New Roman" w:cs="Times New Roman"/>
          <w:sz w:val="22"/>
          <w:szCs w:val="22"/>
        </w:rPr>
      </w:pPr>
    </w:p>
    <w:p w14:paraId="28826BE2" w14:textId="77777777" w:rsidR="00374A97" w:rsidRDefault="00374A97" w:rsidP="00B35F7E">
      <w:pPr>
        <w:spacing w:line="360" w:lineRule="auto"/>
        <w:rPr>
          <w:rFonts w:ascii="Times New Roman" w:eastAsiaTheme="majorEastAsia" w:hAnsi="Times New Roman" w:cs="Times New Roman"/>
          <w:sz w:val="22"/>
          <w:szCs w:val="22"/>
        </w:rPr>
      </w:pPr>
    </w:p>
    <w:p w14:paraId="548DA62E" w14:textId="77777777" w:rsidR="00374A97" w:rsidRDefault="00374A97" w:rsidP="00B35F7E">
      <w:pPr>
        <w:spacing w:line="360" w:lineRule="auto"/>
        <w:rPr>
          <w:rFonts w:ascii="Times New Roman" w:eastAsiaTheme="majorEastAsia" w:hAnsi="Times New Roman" w:cs="Times New Roman"/>
          <w:sz w:val="22"/>
          <w:szCs w:val="22"/>
        </w:rPr>
      </w:pPr>
    </w:p>
    <w:p w14:paraId="6A6C6CF8" w14:textId="77777777" w:rsidR="00D66CF9" w:rsidRDefault="00D66CF9" w:rsidP="00B35F7E">
      <w:pPr>
        <w:spacing w:line="360" w:lineRule="auto"/>
        <w:rPr>
          <w:rFonts w:ascii="Times New Roman" w:eastAsiaTheme="majorEastAsia" w:hAnsi="Times New Roman" w:cs="Times New Roman"/>
          <w:sz w:val="22"/>
          <w:szCs w:val="22"/>
        </w:rPr>
      </w:pPr>
    </w:p>
    <w:p w14:paraId="06527980" w14:textId="77777777" w:rsidR="00D66CF9" w:rsidRDefault="00D66CF9" w:rsidP="00B35F7E">
      <w:pPr>
        <w:spacing w:line="360" w:lineRule="auto"/>
        <w:rPr>
          <w:rFonts w:ascii="Times New Roman" w:eastAsiaTheme="majorEastAsia" w:hAnsi="Times New Roman" w:cs="Times New Roman"/>
          <w:sz w:val="22"/>
          <w:szCs w:val="22"/>
        </w:rPr>
      </w:pPr>
    </w:p>
    <w:p w14:paraId="04A5FADA" w14:textId="77777777" w:rsidR="00D66CF9" w:rsidRPr="00D66CF9" w:rsidRDefault="00D66CF9" w:rsidP="00B35F7E">
      <w:pPr>
        <w:spacing w:line="360" w:lineRule="auto"/>
        <w:rPr>
          <w:rFonts w:ascii="Times New Roman" w:eastAsiaTheme="majorEastAsia" w:hAnsi="Times New Roman" w:cs="Times New Roman"/>
          <w:sz w:val="22"/>
          <w:szCs w:val="22"/>
        </w:rPr>
      </w:pPr>
    </w:p>
    <w:p w14:paraId="19F51C65" w14:textId="6B4F138D" w:rsidR="008F0209" w:rsidRPr="00D66CF9" w:rsidRDefault="00DE5D5B" w:rsidP="008F0209">
      <w:pPr>
        <w:pStyle w:val="Heading1"/>
        <w:rPr>
          <w:rFonts w:ascii="Times New Roman" w:hAnsi="Times New Roman" w:cs="Times New Roman"/>
          <w:b/>
          <w:bCs/>
          <w:color w:val="000000" w:themeColor="text1"/>
          <w:sz w:val="22"/>
          <w:szCs w:val="22"/>
        </w:rPr>
      </w:pPr>
      <w:bookmarkStart w:id="7" w:name="_Toc211437178"/>
      <w:r w:rsidRPr="00D66CF9">
        <w:rPr>
          <w:rFonts w:ascii="Times New Roman" w:hAnsi="Times New Roman" w:cs="Times New Roman"/>
          <w:b/>
          <w:bCs/>
          <w:color w:val="000000" w:themeColor="text1"/>
          <w:sz w:val="22"/>
          <w:szCs w:val="22"/>
        </w:rPr>
        <w:lastRenderedPageBreak/>
        <w:t>5. References</w:t>
      </w:r>
      <w:bookmarkEnd w:id="7"/>
    </w:p>
    <w:p w14:paraId="52153274" w14:textId="77777777" w:rsidR="008F0209" w:rsidRPr="00C209CC" w:rsidRDefault="008F0209" w:rsidP="008F0209">
      <w:pPr>
        <w:rPr>
          <w:rFonts w:ascii="Times New Roman" w:hAnsi="Times New Roman" w:cs="Times New Roman"/>
        </w:rPr>
      </w:pPr>
    </w:p>
    <w:p w14:paraId="3BF086FA" w14:textId="77777777" w:rsidR="00EE1E25" w:rsidRPr="00C209CC" w:rsidRDefault="00EE1E25" w:rsidP="008F0209">
      <w:pPr>
        <w:rPr>
          <w:rFonts w:ascii="Times New Roman" w:hAnsi="Times New Roman" w:cs="Times New Roman"/>
        </w:rPr>
      </w:pPr>
    </w:p>
    <w:p w14:paraId="3950EDFD" w14:textId="77777777" w:rsidR="00EE1E25" w:rsidRPr="00EE1E25" w:rsidRDefault="00EE1E25" w:rsidP="00EE1E25">
      <w:pPr>
        <w:rPr>
          <w:rFonts w:ascii="Times New Roman" w:eastAsiaTheme="minorEastAsia" w:hAnsi="Times New Roman" w:cs="Times New Roman"/>
          <w:kern w:val="0"/>
          <w:lang w:eastAsia="en-GB"/>
          <w14:ligatures w14:val="none"/>
        </w:rPr>
      </w:pPr>
    </w:p>
    <w:p w14:paraId="70C6C897" w14:textId="77777777" w:rsidR="00EE1E25" w:rsidRPr="00EE1E25" w:rsidRDefault="00EE1E25" w:rsidP="00EE1E25">
      <w:pPr>
        <w:rPr>
          <w:rFonts w:ascii="Times New Roman" w:eastAsiaTheme="minorEastAsia" w:hAnsi="Times New Roman" w:cs="Times New Roman"/>
          <w:kern w:val="0"/>
          <w:lang w:eastAsia="en-GB"/>
          <w14:ligatures w14:val="none"/>
        </w:rPr>
      </w:pPr>
      <w:proofErr w:type="spellStart"/>
      <w:r w:rsidRPr="00EE1E25">
        <w:rPr>
          <w:rFonts w:ascii="Times New Roman" w:eastAsiaTheme="minorEastAsia" w:hAnsi="Times New Roman" w:cs="Times New Roman"/>
          <w:kern w:val="0"/>
          <w:lang w:eastAsia="en-GB"/>
          <w14:ligatures w14:val="none"/>
        </w:rPr>
        <w:t>Axios</w:t>
      </w:r>
      <w:proofErr w:type="spellEnd"/>
      <w:r w:rsidRPr="00EE1E25">
        <w:rPr>
          <w:rFonts w:ascii="Times New Roman" w:eastAsiaTheme="minorEastAsia" w:hAnsi="Times New Roman" w:cs="Times New Roman"/>
          <w:kern w:val="0"/>
          <w:lang w:eastAsia="en-GB"/>
          <w14:ligatures w14:val="none"/>
        </w:rPr>
        <w:t xml:space="preserve"> (2024) Coca-Cola is largest known contributor of branded plastic waste, global study finds. Available at: https://www.axios.com (Accessed: 2025).</w:t>
      </w:r>
    </w:p>
    <w:p w14:paraId="150A4637" w14:textId="77777777" w:rsidR="00EE1E25" w:rsidRPr="00EE1E25" w:rsidRDefault="00EE1E25" w:rsidP="00EE1E25">
      <w:pPr>
        <w:rPr>
          <w:rFonts w:ascii="Times New Roman" w:eastAsiaTheme="minorEastAsia" w:hAnsi="Times New Roman" w:cs="Times New Roman"/>
          <w:kern w:val="0"/>
          <w:lang w:eastAsia="en-GB"/>
          <w14:ligatures w14:val="none"/>
        </w:rPr>
      </w:pPr>
    </w:p>
    <w:p w14:paraId="46345B1C"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Chartered Institute of Personnel and Development (CIPD) (2025) PESTLE Analysis Factsheet. London: CIPD.</w:t>
      </w:r>
    </w:p>
    <w:p w14:paraId="619824AD" w14:textId="77777777" w:rsidR="00EE1E25" w:rsidRPr="00EE1E25" w:rsidRDefault="00EE1E25" w:rsidP="00EE1E25">
      <w:pPr>
        <w:rPr>
          <w:rFonts w:ascii="Times New Roman" w:eastAsiaTheme="minorEastAsia" w:hAnsi="Times New Roman" w:cs="Times New Roman"/>
          <w:kern w:val="0"/>
          <w:lang w:eastAsia="en-GB"/>
          <w14:ligatures w14:val="none"/>
        </w:rPr>
      </w:pPr>
    </w:p>
    <w:p w14:paraId="24C3E315" w14:textId="77777777" w:rsidR="00EE1E25" w:rsidRPr="00EE1E25" w:rsidRDefault="00EE1E25" w:rsidP="00EE1E25">
      <w:pPr>
        <w:rPr>
          <w:rFonts w:ascii="Times New Roman" w:eastAsiaTheme="minorEastAsia" w:hAnsi="Times New Roman" w:cs="Times New Roman"/>
          <w:kern w:val="0"/>
          <w:lang w:eastAsia="en-GB"/>
          <w14:ligatures w14:val="none"/>
        </w:rPr>
      </w:pPr>
      <w:proofErr w:type="spellStart"/>
      <w:r w:rsidRPr="00EE1E25">
        <w:rPr>
          <w:rFonts w:ascii="Times New Roman" w:eastAsiaTheme="minorEastAsia" w:hAnsi="Times New Roman" w:cs="Times New Roman"/>
          <w:kern w:val="0"/>
          <w:lang w:eastAsia="en-GB"/>
          <w14:ligatures w14:val="none"/>
        </w:rPr>
        <w:t>Cowger</w:t>
      </w:r>
      <w:proofErr w:type="spellEnd"/>
      <w:r w:rsidRPr="00EE1E25">
        <w:rPr>
          <w:rFonts w:ascii="Times New Roman" w:eastAsiaTheme="minorEastAsia" w:hAnsi="Times New Roman" w:cs="Times New Roman"/>
          <w:kern w:val="0"/>
          <w:lang w:eastAsia="en-GB"/>
          <w14:ligatures w14:val="none"/>
        </w:rPr>
        <w:t xml:space="preserve">, W., Willis, K.A., Bullock, S., </w:t>
      </w:r>
      <w:proofErr w:type="spellStart"/>
      <w:r w:rsidRPr="00EE1E25">
        <w:rPr>
          <w:rFonts w:ascii="Times New Roman" w:eastAsiaTheme="minorEastAsia" w:hAnsi="Times New Roman" w:cs="Times New Roman"/>
          <w:kern w:val="0"/>
          <w:lang w:eastAsia="en-GB"/>
          <w14:ligatures w14:val="none"/>
        </w:rPr>
        <w:t>Conlon</w:t>
      </w:r>
      <w:proofErr w:type="spellEnd"/>
      <w:r w:rsidRPr="00EE1E25">
        <w:rPr>
          <w:rFonts w:ascii="Times New Roman" w:eastAsiaTheme="minorEastAsia" w:hAnsi="Times New Roman" w:cs="Times New Roman"/>
          <w:kern w:val="0"/>
          <w:lang w:eastAsia="en-GB"/>
          <w14:ligatures w14:val="none"/>
        </w:rPr>
        <w:t xml:space="preserve">, K., Emmanuel, J., </w:t>
      </w:r>
      <w:proofErr w:type="spellStart"/>
      <w:r w:rsidRPr="00EE1E25">
        <w:rPr>
          <w:rFonts w:ascii="Times New Roman" w:eastAsiaTheme="minorEastAsia" w:hAnsi="Times New Roman" w:cs="Times New Roman"/>
          <w:kern w:val="0"/>
          <w:lang w:eastAsia="en-GB"/>
          <w14:ligatures w14:val="none"/>
        </w:rPr>
        <w:t>Erdle</w:t>
      </w:r>
      <w:proofErr w:type="spellEnd"/>
      <w:r w:rsidRPr="00EE1E25">
        <w:rPr>
          <w:rFonts w:ascii="Times New Roman" w:eastAsiaTheme="minorEastAsia" w:hAnsi="Times New Roman" w:cs="Times New Roman"/>
          <w:kern w:val="0"/>
          <w:lang w:eastAsia="en-GB"/>
          <w14:ligatures w14:val="none"/>
        </w:rPr>
        <w:t xml:space="preserve">, L.M., </w:t>
      </w:r>
      <w:proofErr w:type="spellStart"/>
      <w:r w:rsidRPr="00EE1E25">
        <w:rPr>
          <w:rFonts w:ascii="Times New Roman" w:eastAsiaTheme="minorEastAsia" w:hAnsi="Times New Roman" w:cs="Times New Roman"/>
          <w:kern w:val="0"/>
          <w:lang w:eastAsia="en-GB"/>
          <w14:ligatures w14:val="none"/>
        </w:rPr>
        <w:t>Eriksen</w:t>
      </w:r>
      <w:proofErr w:type="spellEnd"/>
      <w:r w:rsidRPr="00EE1E25">
        <w:rPr>
          <w:rFonts w:ascii="Times New Roman" w:eastAsiaTheme="minorEastAsia" w:hAnsi="Times New Roman" w:cs="Times New Roman"/>
          <w:kern w:val="0"/>
          <w:lang w:eastAsia="en-GB"/>
          <w14:ligatures w14:val="none"/>
        </w:rPr>
        <w:t xml:space="preserve">, M., Hurley, R., Jiang, Q., Li, Z., Ross, P.S. and </w:t>
      </w:r>
      <w:proofErr w:type="spellStart"/>
      <w:r w:rsidRPr="00EE1E25">
        <w:rPr>
          <w:rFonts w:ascii="Times New Roman" w:eastAsiaTheme="minorEastAsia" w:hAnsi="Times New Roman" w:cs="Times New Roman"/>
          <w:kern w:val="0"/>
          <w:lang w:eastAsia="en-GB"/>
          <w14:ligatures w14:val="none"/>
        </w:rPr>
        <w:t>Rochman</w:t>
      </w:r>
      <w:proofErr w:type="spellEnd"/>
      <w:r w:rsidRPr="00EE1E25">
        <w:rPr>
          <w:rFonts w:ascii="Times New Roman" w:eastAsiaTheme="minorEastAsia" w:hAnsi="Times New Roman" w:cs="Times New Roman"/>
          <w:kern w:val="0"/>
          <w:lang w:eastAsia="en-GB"/>
          <w14:ligatures w14:val="none"/>
        </w:rPr>
        <w:t>, C.M. (2024) ‘Global producer responsibility for plastic pollution’, Science Advances, 10(4).</w:t>
      </w:r>
    </w:p>
    <w:p w14:paraId="09EB5521" w14:textId="77777777" w:rsidR="00EE1E25" w:rsidRPr="00EE1E25" w:rsidRDefault="00EE1E25" w:rsidP="00EE1E25">
      <w:pPr>
        <w:rPr>
          <w:rFonts w:ascii="Times New Roman" w:eastAsiaTheme="minorEastAsia" w:hAnsi="Times New Roman" w:cs="Times New Roman"/>
          <w:kern w:val="0"/>
          <w:lang w:eastAsia="en-GB"/>
          <w14:ligatures w14:val="none"/>
        </w:rPr>
      </w:pPr>
    </w:p>
    <w:p w14:paraId="242D84D1"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Dow Inc. (2025) Dow 2024 Annual Report. Midland, MI: Dow.</w:t>
      </w:r>
    </w:p>
    <w:p w14:paraId="014D17C0" w14:textId="77777777" w:rsidR="00EE1E25" w:rsidRPr="00EE1E25" w:rsidRDefault="00EE1E25" w:rsidP="00EE1E25">
      <w:pPr>
        <w:rPr>
          <w:rFonts w:ascii="Times New Roman" w:eastAsiaTheme="minorEastAsia" w:hAnsi="Times New Roman" w:cs="Times New Roman"/>
          <w:kern w:val="0"/>
          <w:lang w:eastAsia="en-GB"/>
          <w14:ligatures w14:val="none"/>
        </w:rPr>
      </w:pPr>
    </w:p>
    <w:p w14:paraId="0594E1B7"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 xml:space="preserve">Dow Inc. (2025) </w:t>
      </w:r>
      <w:proofErr w:type="spellStart"/>
      <w:r w:rsidRPr="00EE1E25">
        <w:rPr>
          <w:rFonts w:ascii="Times New Roman" w:eastAsiaTheme="minorEastAsia" w:hAnsi="Times New Roman" w:cs="Times New Roman"/>
          <w:kern w:val="0"/>
          <w:lang w:eastAsia="en-GB"/>
          <w14:ligatures w14:val="none"/>
        </w:rPr>
        <w:t>INtersections</w:t>
      </w:r>
      <w:proofErr w:type="spellEnd"/>
      <w:r w:rsidRPr="00EE1E25">
        <w:rPr>
          <w:rFonts w:ascii="Times New Roman" w:eastAsiaTheme="minorEastAsia" w:hAnsi="Times New Roman" w:cs="Times New Roman"/>
          <w:kern w:val="0"/>
          <w:lang w:eastAsia="en-GB"/>
          <w14:ligatures w14:val="none"/>
        </w:rPr>
        <w:t xml:space="preserve"> Progress Report 2024. Available at: https://www.dow.com.</w:t>
      </w:r>
    </w:p>
    <w:p w14:paraId="3BA3EF77" w14:textId="77777777" w:rsidR="00EE1E25" w:rsidRPr="00EE1E25" w:rsidRDefault="00EE1E25" w:rsidP="00EE1E25">
      <w:pPr>
        <w:rPr>
          <w:rFonts w:ascii="Times New Roman" w:eastAsiaTheme="minorEastAsia" w:hAnsi="Times New Roman" w:cs="Times New Roman"/>
          <w:kern w:val="0"/>
          <w:lang w:eastAsia="en-GB"/>
          <w14:ligatures w14:val="none"/>
        </w:rPr>
      </w:pPr>
    </w:p>
    <w:p w14:paraId="1B26803C"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Ellen MacArthur Foundation (2022) Global Commitment 2022 Progress Report. Cowes: Ellen MacArthur Foundation.</w:t>
      </w:r>
    </w:p>
    <w:p w14:paraId="2F12516B" w14:textId="77777777" w:rsidR="00EE1E25" w:rsidRPr="00EE1E25" w:rsidRDefault="00EE1E25" w:rsidP="00EE1E25">
      <w:pPr>
        <w:rPr>
          <w:rFonts w:ascii="Times New Roman" w:eastAsiaTheme="minorEastAsia" w:hAnsi="Times New Roman" w:cs="Times New Roman"/>
          <w:kern w:val="0"/>
          <w:lang w:eastAsia="en-GB"/>
          <w14:ligatures w14:val="none"/>
        </w:rPr>
      </w:pPr>
    </w:p>
    <w:p w14:paraId="6CCA449E"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European Commission (2024) Packaging and Packaging Waste Regulation (PPWR) Proposal. Brussels: EU Publications.</w:t>
      </w:r>
    </w:p>
    <w:p w14:paraId="26B75DEE" w14:textId="77777777" w:rsidR="00EE1E25" w:rsidRPr="00EE1E25" w:rsidRDefault="00EE1E25" w:rsidP="00EE1E25">
      <w:pPr>
        <w:rPr>
          <w:rFonts w:ascii="Times New Roman" w:eastAsiaTheme="minorEastAsia" w:hAnsi="Times New Roman" w:cs="Times New Roman"/>
          <w:kern w:val="0"/>
          <w:lang w:eastAsia="en-GB"/>
          <w14:ligatures w14:val="none"/>
        </w:rPr>
      </w:pPr>
    </w:p>
    <w:p w14:paraId="639B48F4"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Financial Times (2024) ‘European plastics makers shut plants as production declines sharply.’ Financial Times. Available at: https://www.ft.com.</w:t>
      </w:r>
    </w:p>
    <w:p w14:paraId="574A9C25" w14:textId="77777777" w:rsidR="00EE1E25" w:rsidRPr="00EE1E25" w:rsidRDefault="00EE1E25" w:rsidP="00EE1E25">
      <w:pPr>
        <w:rPr>
          <w:rFonts w:ascii="Times New Roman" w:eastAsiaTheme="minorEastAsia" w:hAnsi="Times New Roman" w:cs="Times New Roman"/>
          <w:kern w:val="0"/>
          <w:lang w:eastAsia="en-GB"/>
          <w14:ligatures w14:val="none"/>
        </w:rPr>
      </w:pPr>
    </w:p>
    <w:p w14:paraId="645519AC"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 xml:space="preserve">McKinsey &amp; Company (2025) </w:t>
      </w:r>
      <w:proofErr w:type="spellStart"/>
      <w:r w:rsidRPr="00EE1E25">
        <w:rPr>
          <w:rFonts w:ascii="Times New Roman" w:eastAsiaTheme="minorEastAsia" w:hAnsi="Times New Roman" w:cs="Times New Roman"/>
          <w:kern w:val="0"/>
          <w:lang w:eastAsia="en-GB"/>
          <w14:ligatures w14:val="none"/>
        </w:rPr>
        <w:t>Witte</w:t>
      </w:r>
      <w:proofErr w:type="spellEnd"/>
      <w:r w:rsidRPr="00EE1E25">
        <w:rPr>
          <w:rFonts w:ascii="Times New Roman" w:eastAsiaTheme="minorEastAsia" w:hAnsi="Times New Roman" w:cs="Times New Roman"/>
          <w:kern w:val="0"/>
          <w:lang w:eastAsia="en-GB"/>
          <w14:ligatures w14:val="none"/>
        </w:rPr>
        <w:t xml:space="preserve">, C., Winkler, G., </w:t>
      </w:r>
      <w:proofErr w:type="spellStart"/>
      <w:r w:rsidRPr="00EE1E25">
        <w:rPr>
          <w:rFonts w:ascii="Times New Roman" w:eastAsiaTheme="minorEastAsia" w:hAnsi="Times New Roman" w:cs="Times New Roman"/>
          <w:kern w:val="0"/>
          <w:lang w:eastAsia="en-GB"/>
          <w14:ligatures w14:val="none"/>
        </w:rPr>
        <w:t>Göke</w:t>
      </w:r>
      <w:proofErr w:type="spellEnd"/>
      <w:r w:rsidRPr="00EE1E25">
        <w:rPr>
          <w:rFonts w:ascii="Times New Roman" w:eastAsiaTheme="minorEastAsia" w:hAnsi="Times New Roman" w:cs="Times New Roman"/>
          <w:kern w:val="0"/>
          <w:lang w:eastAsia="en-GB"/>
          <w14:ligatures w14:val="none"/>
        </w:rPr>
        <w:t xml:space="preserve">, S. and </w:t>
      </w:r>
      <w:proofErr w:type="spellStart"/>
      <w:r w:rsidRPr="00EE1E25">
        <w:rPr>
          <w:rFonts w:ascii="Times New Roman" w:eastAsiaTheme="minorEastAsia" w:hAnsi="Times New Roman" w:cs="Times New Roman"/>
          <w:kern w:val="0"/>
          <w:lang w:eastAsia="en-GB"/>
          <w14:ligatures w14:val="none"/>
        </w:rPr>
        <w:t>Vasilenko</w:t>
      </w:r>
      <w:proofErr w:type="spellEnd"/>
      <w:r w:rsidRPr="00EE1E25">
        <w:rPr>
          <w:rFonts w:ascii="Times New Roman" w:eastAsiaTheme="minorEastAsia" w:hAnsi="Times New Roman" w:cs="Times New Roman"/>
          <w:kern w:val="0"/>
          <w:lang w:eastAsia="en-GB"/>
          <w14:ligatures w14:val="none"/>
        </w:rPr>
        <w:t xml:space="preserve">, V. (2025) ‘Aligning the value chain to </w:t>
      </w:r>
      <w:proofErr w:type="spellStart"/>
      <w:r w:rsidRPr="00EE1E25">
        <w:rPr>
          <w:rFonts w:ascii="Times New Roman" w:eastAsiaTheme="minorEastAsia" w:hAnsi="Times New Roman" w:cs="Times New Roman"/>
          <w:kern w:val="0"/>
          <w:lang w:eastAsia="en-GB"/>
          <w14:ligatures w14:val="none"/>
        </w:rPr>
        <w:t>decarbonize</w:t>
      </w:r>
      <w:proofErr w:type="spellEnd"/>
      <w:r w:rsidRPr="00EE1E25">
        <w:rPr>
          <w:rFonts w:ascii="Times New Roman" w:eastAsiaTheme="minorEastAsia" w:hAnsi="Times New Roman" w:cs="Times New Roman"/>
          <w:kern w:val="0"/>
          <w:lang w:eastAsia="en-GB"/>
          <w14:ligatures w14:val="none"/>
        </w:rPr>
        <w:t xml:space="preserve"> plastics’, McKinsey &amp; Company Insights, 3 June 2025.</w:t>
      </w:r>
    </w:p>
    <w:p w14:paraId="2FC6BA58" w14:textId="77777777" w:rsidR="00EE1E25" w:rsidRPr="00EE1E25" w:rsidRDefault="00EE1E25" w:rsidP="00EE1E25">
      <w:pPr>
        <w:rPr>
          <w:rFonts w:ascii="Times New Roman" w:eastAsiaTheme="minorEastAsia" w:hAnsi="Times New Roman" w:cs="Times New Roman"/>
          <w:kern w:val="0"/>
          <w:lang w:eastAsia="en-GB"/>
          <w14:ligatures w14:val="none"/>
        </w:rPr>
      </w:pPr>
    </w:p>
    <w:p w14:paraId="75E79A28"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OECD (2022) Global Plastics Outlook: Economic Drivers, Environmental Impacts and Policy Options. Paris: OECD Publishing.</w:t>
      </w:r>
    </w:p>
    <w:p w14:paraId="5111E8B7" w14:textId="77777777" w:rsidR="00EE1E25" w:rsidRPr="00EE1E25" w:rsidRDefault="00EE1E25" w:rsidP="00EE1E25">
      <w:pPr>
        <w:rPr>
          <w:rFonts w:ascii="Times New Roman" w:eastAsiaTheme="minorEastAsia" w:hAnsi="Times New Roman" w:cs="Times New Roman"/>
          <w:kern w:val="0"/>
          <w:lang w:eastAsia="en-GB"/>
          <w14:ligatures w14:val="none"/>
        </w:rPr>
      </w:pPr>
    </w:p>
    <w:p w14:paraId="37199BCF"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PlasticsEurope (2024) Plastics – The Fast Facts 2024. Brussels: PlasticsEurope.</w:t>
      </w:r>
    </w:p>
    <w:p w14:paraId="6C7B1A2E" w14:textId="77777777" w:rsidR="00EE1E25" w:rsidRPr="00EE1E25" w:rsidRDefault="00EE1E25" w:rsidP="00EE1E25">
      <w:pPr>
        <w:rPr>
          <w:rFonts w:ascii="Times New Roman" w:eastAsiaTheme="minorEastAsia" w:hAnsi="Times New Roman" w:cs="Times New Roman"/>
          <w:kern w:val="0"/>
          <w:lang w:eastAsia="en-GB"/>
          <w14:ligatures w14:val="none"/>
        </w:rPr>
      </w:pPr>
    </w:p>
    <w:p w14:paraId="49A84993"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Professional Academy (2024) Marketing Theories – PESTEL Analysis. Available at: https://www.professionalacademy.com.</w:t>
      </w:r>
    </w:p>
    <w:p w14:paraId="581B77C6" w14:textId="77777777" w:rsidR="00EE1E25" w:rsidRPr="00EE1E25" w:rsidRDefault="00EE1E25" w:rsidP="00EE1E25">
      <w:pPr>
        <w:rPr>
          <w:rFonts w:ascii="Times New Roman" w:eastAsiaTheme="minorEastAsia" w:hAnsi="Times New Roman" w:cs="Times New Roman"/>
          <w:kern w:val="0"/>
          <w:lang w:eastAsia="en-GB"/>
          <w14:ligatures w14:val="none"/>
        </w:rPr>
      </w:pPr>
    </w:p>
    <w:p w14:paraId="30CECBEF"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Tan, Q., Zhang, C., Liu, Z., Wu, X., Zheng, J., Li, J. and Wang, H. (2025) ‘Complexities of the global plastics supply chain revealed in a trade-linked material flow analysis’, Communications Earth &amp; Environment, 6(1).</w:t>
      </w:r>
    </w:p>
    <w:p w14:paraId="087263F9" w14:textId="77777777" w:rsidR="00EE1E25" w:rsidRPr="00EE1E25" w:rsidRDefault="00EE1E25" w:rsidP="00EE1E25">
      <w:pPr>
        <w:rPr>
          <w:rFonts w:ascii="Times New Roman" w:eastAsiaTheme="minorEastAsia" w:hAnsi="Times New Roman" w:cs="Times New Roman"/>
          <w:kern w:val="0"/>
          <w:lang w:eastAsia="en-GB"/>
          <w14:ligatures w14:val="none"/>
        </w:rPr>
      </w:pPr>
    </w:p>
    <w:p w14:paraId="2771FA43"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TOMRA Systems ASA (2025) Annual Report 2024. Asker, Norway: TOMRA.</w:t>
      </w:r>
    </w:p>
    <w:p w14:paraId="5A9A95A9" w14:textId="77777777" w:rsidR="00EE1E25" w:rsidRPr="00EE1E25" w:rsidRDefault="00EE1E25" w:rsidP="00EE1E25">
      <w:pPr>
        <w:rPr>
          <w:rFonts w:ascii="Times New Roman" w:eastAsiaTheme="minorEastAsia" w:hAnsi="Times New Roman" w:cs="Times New Roman"/>
          <w:kern w:val="0"/>
          <w:lang w:eastAsia="en-GB"/>
          <w14:ligatures w14:val="none"/>
        </w:rPr>
      </w:pPr>
    </w:p>
    <w:p w14:paraId="776C4C82" w14:textId="77777777" w:rsidR="00EE1E25" w:rsidRPr="00EE1E25" w:rsidRDefault="00EE1E25" w:rsidP="00EE1E25">
      <w:pPr>
        <w:rPr>
          <w:rFonts w:ascii="Times New Roman" w:eastAsiaTheme="minorEastAsia" w:hAnsi="Times New Roman" w:cs="Times New Roman"/>
          <w:kern w:val="0"/>
          <w:lang w:eastAsia="en-GB"/>
          <w14:ligatures w14:val="none"/>
        </w:rPr>
      </w:pPr>
      <w:r w:rsidRPr="00EE1E25">
        <w:rPr>
          <w:rFonts w:ascii="Times New Roman" w:eastAsiaTheme="minorEastAsia" w:hAnsi="Times New Roman" w:cs="Times New Roman"/>
          <w:kern w:val="0"/>
          <w:lang w:eastAsia="en-GB"/>
          <w14:ligatures w14:val="none"/>
        </w:rPr>
        <w:t>The Guardian (2025) ‘Only 9.5% of plastics are made from recycled material, major study finds.’ The Guardian. Available at: https://www.theguardian.com.</w:t>
      </w:r>
    </w:p>
    <w:p w14:paraId="7D18DBD4" w14:textId="34F3885E" w:rsidR="00646406" w:rsidRPr="00617CF1" w:rsidRDefault="00646406" w:rsidP="00DE5D5B">
      <w:pPr>
        <w:spacing w:line="360" w:lineRule="auto"/>
        <w:rPr>
          <w:rFonts w:asciiTheme="minorBidi" w:hAnsiTheme="minorBidi"/>
        </w:rPr>
      </w:pPr>
    </w:p>
    <w:sectPr w:rsidR="00646406" w:rsidRPr="00617CF1">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FC0F0" w14:textId="77777777" w:rsidR="00373426" w:rsidRDefault="00373426" w:rsidP="00C209CC">
      <w:r>
        <w:separator/>
      </w:r>
    </w:p>
  </w:endnote>
  <w:endnote w:type="continuationSeparator" w:id="0">
    <w:p w14:paraId="6342DF21" w14:textId="77777777" w:rsidR="00373426" w:rsidRDefault="00373426" w:rsidP="00C20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89711124"/>
      <w:docPartObj>
        <w:docPartGallery w:val="Page Numbers (Bottom of Page)"/>
        <w:docPartUnique/>
      </w:docPartObj>
    </w:sdtPr>
    <w:sdtEndPr>
      <w:rPr>
        <w:rStyle w:val="PageNumber"/>
      </w:rPr>
    </w:sdtEndPr>
    <w:sdtContent>
      <w:p w14:paraId="625CD1B9" w14:textId="3199BDB3" w:rsidR="00573DF8" w:rsidRDefault="00573DF8" w:rsidP="00E0627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C36439" w14:textId="77777777" w:rsidR="00573DF8" w:rsidRDefault="00573D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5993279"/>
      <w:docPartObj>
        <w:docPartGallery w:val="Page Numbers (Bottom of Page)"/>
        <w:docPartUnique/>
      </w:docPartObj>
    </w:sdtPr>
    <w:sdtEndPr>
      <w:rPr>
        <w:rStyle w:val="PageNumber"/>
      </w:rPr>
    </w:sdtEndPr>
    <w:sdtContent>
      <w:p w14:paraId="78767F22" w14:textId="4574FFB1" w:rsidR="00573DF8" w:rsidRDefault="00573DF8" w:rsidP="00E0627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24C72DF" w14:textId="77777777" w:rsidR="00573DF8" w:rsidRDefault="00573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CDE17" w14:textId="77777777" w:rsidR="00373426" w:rsidRDefault="00373426" w:rsidP="00C209CC">
      <w:r>
        <w:separator/>
      </w:r>
    </w:p>
  </w:footnote>
  <w:footnote w:type="continuationSeparator" w:id="0">
    <w:p w14:paraId="1C0DE907" w14:textId="77777777" w:rsidR="00373426" w:rsidRDefault="00373426" w:rsidP="00C209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78212F"/>
    <w:multiLevelType w:val="hybridMultilevel"/>
    <w:tmpl w:val="5F746AD0"/>
    <w:lvl w:ilvl="0" w:tplc="FFFFFFFF">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677DE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0662DD"/>
    <w:multiLevelType w:val="hybridMultilevel"/>
    <w:tmpl w:val="6F6E5C4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7"/>
  </w:num>
  <w:num w:numId="2" w16cid:durableId="966158073">
    <w:abstractNumId w:val="12"/>
  </w:num>
  <w:num w:numId="3" w16cid:durableId="877475478">
    <w:abstractNumId w:val="25"/>
  </w:num>
  <w:num w:numId="4" w16cid:durableId="1865439684">
    <w:abstractNumId w:val="26"/>
  </w:num>
  <w:num w:numId="5" w16cid:durableId="296037109">
    <w:abstractNumId w:val="27"/>
  </w:num>
  <w:num w:numId="6" w16cid:durableId="1857650049">
    <w:abstractNumId w:val="15"/>
  </w:num>
  <w:num w:numId="7" w16cid:durableId="1295714836">
    <w:abstractNumId w:val="0"/>
  </w:num>
  <w:num w:numId="8" w16cid:durableId="1104423434">
    <w:abstractNumId w:val="20"/>
  </w:num>
  <w:num w:numId="9" w16cid:durableId="785196607">
    <w:abstractNumId w:val="29"/>
  </w:num>
  <w:num w:numId="10" w16cid:durableId="1805731991">
    <w:abstractNumId w:val="28"/>
  </w:num>
  <w:num w:numId="11" w16cid:durableId="508838147">
    <w:abstractNumId w:val="3"/>
  </w:num>
  <w:num w:numId="12" w16cid:durableId="477303180">
    <w:abstractNumId w:val="22"/>
  </w:num>
  <w:num w:numId="13" w16cid:durableId="1043408458">
    <w:abstractNumId w:val="21"/>
  </w:num>
  <w:num w:numId="14" w16cid:durableId="453400969">
    <w:abstractNumId w:val="1"/>
  </w:num>
  <w:num w:numId="15" w16cid:durableId="1524706236">
    <w:abstractNumId w:val="30"/>
  </w:num>
  <w:num w:numId="16" w16cid:durableId="1474368624">
    <w:abstractNumId w:val="17"/>
  </w:num>
  <w:num w:numId="17" w16cid:durableId="1082482068">
    <w:abstractNumId w:val="13"/>
  </w:num>
  <w:num w:numId="18" w16cid:durableId="356203542">
    <w:abstractNumId w:val="23"/>
  </w:num>
  <w:num w:numId="19" w16cid:durableId="207844578">
    <w:abstractNumId w:val="5"/>
  </w:num>
  <w:num w:numId="20" w16cid:durableId="1398867505">
    <w:abstractNumId w:val="24"/>
  </w:num>
  <w:num w:numId="21" w16cid:durableId="780687429">
    <w:abstractNumId w:val="11"/>
  </w:num>
  <w:num w:numId="22" w16cid:durableId="1166899088">
    <w:abstractNumId w:val="9"/>
  </w:num>
  <w:num w:numId="23" w16cid:durableId="455174308">
    <w:abstractNumId w:val="6"/>
  </w:num>
  <w:num w:numId="24" w16cid:durableId="603149070">
    <w:abstractNumId w:val="8"/>
  </w:num>
  <w:num w:numId="25" w16cid:durableId="390542811">
    <w:abstractNumId w:val="2"/>
  </w:num>
  <w:num w:numId="26" w16cid:durableId="562985041">
    <w:abstractNumId w:val="18"/>
  </w:num>
  <w:num w:numId="27" w16cid:durableId="590622514">
    <w:abstractNumId w:val="4"/>
  </w:num>
  <w:num w:numId="28" w16cid:durableId="413863525">
    <w:abstractNumId w:val="19"/>
  </w:num>
  <w:num w:numId="29" w16cid:durableId="332687758">
    <w:abstractNumId w:val="16"/>
  </w:num>
  <w:num w:numId="30" w16cid:durableId="1119104431">
    <w:abstractNumId w:val="14"/>
  </w:num>
  <w:num w:numId="31" w16cid:durableId="10986008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4009"/>
    <w:rsid w:val="000554C7"/>
    <w:rsid w:val="0008644E"/>
    <w:rsid w:val="000947CC"/>
    <w:rsid w:val="00097CAB"/>
    <w:rsid w:val="000B4009"/>
    <w:rsid w:val="001003E8"/>
    <w:rsid w:val="0012252E"/>
    <w:rsid w:val="00136289"/>
    <w:rsid w:val="00146460"/>
    <w:rsid w:val="00147CA5"/>
    <w:rsid w:val="00191A63"/>
    <w:rsid w:val="001B3D9F"/>
    <w:rsid w:val="001C3BD1"/>
    <w:rsid w:val="001C7D2E"/>
    <w:rsid w:val="001D618D"/>
    <w:rsid w:val="001E6650"/>
    <w:rsid w:val="001F54C0"/>
    <w:rsid w:val="00211FC4"/>
    <w:rsid w:val="00212903"/>
    <w:rsid w:val="00232DC9"/>
    <w:rsid w:val="002747DE"/>
    <w:rsid w:val="00276843"/>
    <w:rsid w:val="002A2735"/>
    <w:rsid w:val="002C1DD8"/>
    <w:rsid w:val="003137C5"/>
    <w:rsid w:val="003158EE"/>
    <w:rsid w:val="003239EA"/>
    <w:rsid w:val="00325A3E"/>
    <w:rsid w:val="00327363"/>
    <w:rsid w:val="00340453"/>
    <w:rsid w:val="003577BF"/>
    <w:rsid w:val="0036178C"/>
    <w:rsid w:val="00373426"/>
    <w:rsid w:val="00374A97"/>
    <w:rsid w:val="00375610"/>
    <w:rsid w:val="003A7F1E"/>
    <w:rsid w:val="003D3CDE"/>
    <w:rsid w:val="003F5508"/>
    <w:rsid w:val="0043355D"/>
    <w:rsid w:val="00463858"/>
    <w:rsid w:val="00482366"/>
    <w:rsid w:val="004D098E"/>
    <w:rsid w:val="004F2663"/>
    <w:rsid w:val="0052075D"/>
    <w:rsid w:val="005265B0"/>
    <w:rsid w:val="00571954"/>
    <w:rsid w:val="00573DF8"/>
    <w:rsid w:val="00582D97"/>
    <w:rsid w:val="00594DF8"/>
    <w:rsid w:val="005A504E"/>
    <w:rsid w:val="005A570C"/>
    <w:rsid w:val="00617CF1"/>
    <w:rsid w:val="00617EB0"/>
    <w:rsid w:val="006358E4"/>
    <w:rsid w:val="00635DF1"/>
    <w:rsid w:val="006367A2"/>
    <w:rsid w:val="00637DE6"/>
    <w:rsid w:val="00646406"/>
    <w:rsid w:val="00665401"/>
    <w:rsid w:val="00675F02"/>
    <w:rsid w:val="006A7876"/>
    <w:rsid w:val="006C6295"/>
    <w:rsid w:val="006C678F"/>
    <w:rsid w:val="006E7600"/>
    <w:rsid w:val="0073681E"/>
    <w:rsid w:val="00743569"/>
    <w:rsid w:val="00747176"/>
    <w:rsid w:val="007A689B"/>
    <w:rsid w:val="007B56CF"/>
    <w:rsid w:val="007D7284"/>
    <w:rsid w:val="007F1FD1"/>
    <w:rsid w:val="00803ED9"/>
    <w:rsid w:val="00847D8D"/>
    <w:rsid w:val="00856A62"/>
    <w:rsid w:val="008725BB"/>
    <w:rsid w:val="008F0209"/>
    <w:rsid w:val="008F3286"/>
    <w:rsid w:val="00911653"/>
    <w:rsid w:val="00926E7E"/>
    <w:rsid w:val="009303F0"/>
    <w:rsid w:val="00944C36"/>
    <w:rsid w:val="009601CD"/>
    <w:rsid w:val="0096567A"/>
    <w:rsid w:val="009775B0"/>
    <w:rsid w:val="00983876"/>
    <w:rsid w:val="0098497F"/>
    <w:rsid w:val="00991C30"/>
    <w:rsid w:val="009948B7"/>
    <w:rsid w:val="009A1C80"/>
    <w:rsid w:val="009B09E8"/>
    <w:rsid w:val="009E31A1"/>
    <w:rsid w:val="009E58AF"/>
    <w:rsid w:val="009E6B63"/>
    <w:rsid w:val="009F4C88"/>
    <w:rsid w:val="009F7B30"/>
    <w:rsid w:val="00A1624B"/>
    <w:rsid w:val="00A34723"/>
    <w:rsid w:val="00A6230B"/>
    <w:rsid w:val="00A72D6C"/>
    <w:rsid w:val="00AA5C52"/>
    <w:rsid w:val="00B0387C"/>
    <w:rsid w:val="00B35F7E"/>
    <w:rsid w:val="00B64124"/>
    <w:rsid w:val="00B74C28"/>
    <w:rsid w:val="00B82E71"/>
    <w:rsid w:val="00B93FE2"/>
    <w:rsid w:val="00B97432"/>
    <w:rsid w:val="00BA1288"/>
    <w:rsid w:val="00BD2289"/>
    <w:rsid w:val="00C04F7B"/>
    <w:rsid w:val="00C209CC"/>
    <w:rsid w:val="00C3056C"/>
    <w:rsid w:val="00C362F8"/>
    <w:rsid w:val="00C5734E"/>
    <w:rsid w:val="00C57D61"/>
    <w:rsid w:val="00C66228"/>
    <w:rsid w:val="00C85004"/>
    <w:rsid w:val="00CA21F2"/>
    <w:rsid w:val="00CB01F0"/>
    <w:rsid w:val="00CB78FD"/>
    <w:rsid w:val="00CE6736"/>
    <w:rsid w:val="00CF536A"/>
    <w:rsid w:val="00D62988"/>
    <w:rsid w:val="00D66CF9"/>
    <w:rsid w:val="00D67F5A"/>
    <w:rsid w:val="00D85E03"/>
    <w:rsid w:val="00D86B35"/>
    <w:rsid w:val="00D97358"/>
    <w:rsid w:val="00DA08EB"/>
    <w:rsid w:val="00DC2BE4"/>
    <w:rsid w:val="00DE0F46"/>
    <w:rsid w:val="00DE5D5B"/>
    <w:rsid w:val="00DF35B8"/>
    <w:rsid w:val="00DF7562"/>
    <w:rsid w:val="00E0702F"/>
    <w:rsid w:val="00E72612"/>
    <w:rsid w:val="00E74331"/>
    <w:rsid w:val="00E819EC"/>
    <w:rsid w:val="00EB1DE4"/>
    <w:rsid w:val="00EC6978"/>
    <w:rsid w:val="00EE1E25"/>
    <w:rsid w:val="00EE3D01"/>
    <w:rsid w:val="00F01A18"/>
    <w:rsid w:val="00F05CFD"/>
    <w:rsid w:val="00F526B7"/>
    <w:rsid w:val="00F552A1"/>
    <w:rsid w:val="00F615C6"/>
    <w:rsid w:val="00F7217B"/>
    <w:rsid w:val="00F92D66"/>
    <w:rsid w:val="00F97658"/>
    <w:rsid w:val="00FB089A"/>
    <w:rsid w:val="00FD46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Batang"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customStyle="1" w:styleId="p1">
    <w:name w:val="p1"/>
    <w:basedOn w:val="Normal"/>
    <w:rsid w:val="000B4009"/>
    <w:pPr>
      <w:spacing w:before="100" w:beforeAutospacing="1" w:after="100" w:afterAutospacing="1"/>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0B4009"/>
  </w:style>
  <w:style w:type="character" w:customStyle="1" w:styleId="apple-converted-space">
    <w:name w:val="apple-converted-space"/>
    <w:basedOn w:val="DefaultParagraphFont"/>
    <w:rsid w:val="006367A2"/>
  </w:style>
  <w:style w:type="paragraph" w:customStyle="1" w:styleId="p2">
    <w:name w:val="p2"/>
    <w:basedOn w:val="Normal"/>
    <w:rsid w:val="00EE1E25"/>
    <w:rPr>
      <w:rFonts w:ascii=".AppleSystemUIFont" w:eastAsiaTheme="minorEastAsia" w:hAnsi=".AppleSystemUIFont" w:cs="Times New Roman"/>
      <w:kern w:val="0"/>
      <w:sz w:val="26"/>
      <w:szCs w:val="26"/>
      <w:lang w:eastAsia="en-GB"/>
      <w14:ligatures w14:val="none"/>
    </w:rPr>
  </w:style>
  <w:style w:type="character" w:customStyle="1" w:styleId="s2">
    <w:name w:val="s2"/>
    <w:basedOn w:val="DefaultParagraphFont"/>
    <w:rsid w:val="00EE1E25"/>
    <w:rPr>
      <w:rFonts w:ascii="UICTFontTextStyleEmphasizedBody" w:hAnsi="UICTFontTextStyleEmphasizedBody" w:hint="default"/>
      <w:b/>
      <w:bCs/>
      <w:i w:val="0"/>
      <w:iCs w:val="0"/>
      <w:sz w:val="26"/>
      <w:szCs w:val="26"/>
    </w:rPr>
  </w:style>
  <w:style w:type="character" w:customStyle="1" w:styleId="s3">
    <w:name w:val="s3"/>
    <w:basedOn w:val="DefaultParagraphFont"/>
    <w:rsid w:val="00EE1E25"/>
    <w:rPr>
      <w:rFonts w:ascii="UICTFontTextStyleItalicBody" w:hAnsi="UICTFontTextStyleItalicBody" w:hint="default"/>
      <w:b w:val="0"/>
      <w:bCs w:val="0"/>
      <w:i/>
      <w:iCs/>
      <w:sz w:val="26"/>
      <w:szCs w:val="26"/>
    </w:rPr>
  </w:style>
  <w:style w:type="paragraph" w:styleId="Header">
    <w:name w:val="header"/>
    <w:basedOn w:val="Normal"/>
    <w:link w:val="HeaderChar"/>
    <w:uiPriority w:val="99"/>
    <w:unhideWhenUsed/>
    <w:rsid w:val="00C209CC"/>
    <w:pPr>
      <w:tabs>
        <w:tab w:val="center" w:pos="4513"/>
        <w:tab w:val="right" w:pos="9026"/>
      </w:tabs>
    </w:pPr>
  </w:style>
  <w:style w:type="character" w:customStyle="1" w:styleId="HeaderChar">
    <w:name w:val="Header Char"/>
    <w:basedOn w:val="DefaultParagraphFont"/>
    <w:link w:val="Header"/>
    <w:uiPriority w:val="99"/>
    <w:rsid w:val="00C209CC"/>
  </w:style>
  <w:style w:type="paragraph" w:styleId="Footer">
    <w:name w:val="footer"/>
    <w:basedOn w:val="Normal"/>
    <w:link w:val="FooterChar"/>
    <w:uiPriority w:val="99"/>
    <w:unhideWhenUsed/>
    <w:rsid w:val="00C209CC"/>
    <w:pPr>
      <w:tabs>
        <w:tab w:val="center" w:pos="4513"/>
        <w:tab w:val="right" w:pos="9026"/>
      </w:tabs>
    </w:pPr>
  </w:style>
  <w:style w:type="character" w:customStyle="1" w:styleId="FooterChar">
    <w:name w:val="Footer Char"/>
    <w:basedOn w:val="DefaultParagraphFont"/>
    <w:link w:val="Footer"/>
    <w:uiPriority w:val="99"/>
    <w:rsid w:val="00C209CC"/>
  </w:style>
  <w:style w:type="character" w:styleId="PageNumber">
    <w:name w:val="page number"/>
    <w:basedOn w:val="DefaultParagraphFont"/>
    <w:uiPriority w:val="99"/>
    <w:semiHidden/>
    <w:unhideWhenUsed/>
    <w:rsid w:val="00573D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3315</Words>
  <Characters>18899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natik natik</cp:lastModifiedBy>
  <cp:revision>2</cp:revision>
  <dcterms:created xsi:type="dcterms:W3CDTF">2025-11-20T03:24:00Z</dcterms:created>
  <dcterms:modified xsi:type="dcterms:W3CDTF">2025-11-20T03:24:00Z</dcterms:modified>
</cp:coreProperties>
</file>