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92A857" w14:textId="77777777" w:rsidR="00973CE9" w:rsidRDefault="00973CE9"/>
    <w:p w14:paraId="1794D3C4" w14:textId="77777777" w:rsidR="00937765" w:rsidRDefault="00937765"/>
    <w:p w14:paraId="1BD81E5E" w14:textId="77777777" w:rsidR="00895554" w:rsidRPr="00342F36" w:rsidRDefault="00895554">
      <w:pPr>
        <w:rPr>
          <w:rFonts w:ascii="Times New Roman" w:hAnsi="Times New Roman" w:cs="Times New Roman"/>
        </w:rPr>
      </w:pPr>
    </w:p>
    <w:p w14:paraId="30D0E905" w14:textId="77777777" w:rsidR="00895554" w:rsidRPr="00342F36" w:rsidRDefault="00895554" w:rsidP="00895554">
      <w:pPr>
        <w:ind w:left="-567"/>
        <w:jc w:val="center"/>
        <w:rPr>
          <w:rFonts w:ascii="Times New Roman" w:hAnsi="Times New Roman" w:cs="Times New Roman"/>
          <w:b/>
          <w:bCs/>
          <w:u w:val="single"/>
        </w:rPr>
      </w:pPr>
      <w:r w:rsidRPr="00342F36">
        <w:rPr>
          <w:rFonts w:ascii="Times New Roman" w:hAnsi="Times New Roman" w:cs="Times New Roman"/>
          <w:b/>
          <w:bCs/>
          <w:u w:val="single"/>
        </w:rPr>
        <w:t>Organisational Performance and Culture in Practice</w:t>
      </w:r>
    </w:p>
    <w:p w14:paraId="3B65D4F8" w14:textId="77777777" w:rsidR="00895554" w:rsidRPr="00342F36" w:rsidRDefault="00895554" w:rsidP="00895554">
      <w:pPr>
        <w:jc w:val="center"/>
        <w:rPr>
          <w:rFonts w:ascii="Times New Roman" w:hAnsi="Times New Roman" w:cs="Times New Roman"/>
        </w:rPr>
      </w:pPr>
    </w:p>
    <w:p w14:paraId="4CDF9EE3" w14:textId="77777777" w:rsidR="00937765" w:rsidRPr="000B1EBC" w:rsidRDefault="00937765" w:rsidP="00937765">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r w:rsidRPr="000B1EBC">
        <w:rPr>
          <w:rFonts w:ascii="Times New Roman" w:eastAsia="Times New Roman" w:hAnsi="Times New Roman" w:cs="Times New Roman"/>
          <w:b/>
          <w:bCs/>
          <w:kern w:val="0"/>
          <w:sz w:val="24"/>
          <w:szCs w:val="24"/>
          <w:lang w:eastAsia="en-GB"/>
          <w14:ligatures w14:val="none"/>
        </w:rPr>
        <w:t>1. Evaluate the advantages and disadvantages of both a divisional structure and a matrix structure. Within the evaluation, you should include the reasons underpinning each structure. (AC 1.1)</w:t>
      </w:r>
    </w:p>
    <w:p w14:paraId="6E8A4BAC" w14:textId="77777777" w:rsidR="00E93DD6" w:rsidRPr="00342F36"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A divisional structure is usually used by organisations with different product lines or if they are operating in multiple areas. The divisions are usually split based on products, services, or geographic locations allowing each division to manage its own resources and make their own decisions. The divisional approach does suggest that each division focuses on its specific markets to enhance performance and better meet customer needs. However, this structure can lead to confusion, as functions such as sales, marketing, and finance may be duplicated, becoming more expensive and having an impact on overall efficiency (Taylor &amp; Woodhams, 2016).</w:t>
      </w:r>
      <w:r w:rsidR="00803FBF" w:rsidRPr="00342F36">
        <w:rPr>
          <w:rFonts w:ascii="Times New Roman" w:eastAsia="Times New Roman" w:hAnsi="Times New Roman" w:cs="Times New Roman"/>
          <w:kern w:val="0"/>
          <w:sz w:val="24"/>
          <w:szCs w:val="24"/>
          <w:lang w:eastAsia="en-GB"/>
          <w14:ligatures w14:val="none"/>
        </w:rPr>
        <w:t xml:space="preserve"> </w:t>
      </w:r>
      <w:r w:rsidRPr="000B1EBC">
        <w:rPr>
          <w:rFonts w:ascii="Times New Roman" w:eastAsia="Times New Roman" w:hAnsi="Times New Roman" w:cs="Times New Roman"/>
          <w:kern w:val="0"/>
          <w:sz w:val="24"/>
          <w:szCs w:val="24"/>
          <w:lang w:eastAsia="en-GB"/>
          <w14:ligatures w14:val="none"/>
        </w:rPr>
        <w:br/>
        <w:t xml:space="preserve">To look at examples, my previous employer Friday Media Group, an advertising company, used a divisional structure separating its operations into different divisions </w:t>
      </w:r>
      <w:r w:rsidR="00280CD7" w:rsidRPr="00342F36">
        <w:rPr>
          <w:rFonts w:ascii="Times New Roman" w:eastAsia="Times New Roman" w:hAnsi="Times New Roman" w:cs="Times New Roman"/>
          <w:kern w:val="0"/>
          <w:sz w:val="24"/>
          <w:szCs w:val="24"/>
          <w:lang w:eastAsia="en-GB"/>
          <w14:ligatures w14:val="none"/>
        </w:rPr>
        <w:t>for</w:t>
      </w:r>
      <w:r w:rsidRPr="000B1EBC">
        <w:rPr>
          <w:rFonts w:ascii="Times New Roman" w:eastAsia="Times New Roman" w:hAnsi="Times New Roman" w:cs="Times New Roman"/>
          <w:kern w:val="0"/>
          <w:sz w:val="24"/>
          <w:szCs w:val="24"/>
          <w:lang w:eastAsia="en-GB"/>
          <w14:ligatures w14:val="none"/>
        </w:rPr>
        <w:t xml:space="preserve"> online and offline advertising and based on geographic location. It had many offices around the world, each working towards their own individual targets but for the same overall goal.</w:t>
      </w:r>
      <w:r w:rsidR="00E93DD6" w:rsidRPr="00342F36">
        <w:rPr>
          <w:rFonts w:ascii="Times New Roman" w:eastAsia="Times New Roman" w:hAnsi="Times New Roman" w:cs="Times New Roman"/>
          <w:kern w:val="0"/>
          <w:sz w:val="24"/>
          <w:szCs w:val="24"/>
          <w:lang w:eastAsia="en-GB"/>
          <w14:ligatures w14:val="none"/>
        </w:rPr>
        <w:t xml:space="preserve"> While this approach was effective in meeting specific regional needs, it often led to redundant activities across divisions, which increased costs and reduced overall efficiency in some areas.</w:t>
      </w:r>
    </w:p>
    <w:p w14:paraId="75D2B102" w14:textId="2EDD89E5" w:rsidR="00E93DD6" w:rsidRPr="00342F36"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A matrix structure is when an employee can have 2 or more managers, such as HR and sales. This structure encourages teamwork across departments and effective to be able to share information and ideas, which is helpful in fast-paced environments needing flexibility. However, this structure can create confusion and conflict as employees report to multiple supervisors, which can also slow decision-making. It may also increase the risk of managerial power struggles, impacting overall workflow and employee satisfaction (Taylor &amp; Woodhams, 2016).</w:t>
      </w:r>
      <w:r w:rsidR="00E93DD6" w:rsidRPr="00342F36">
        <w:rPr>
          <w:rFonts w:ascii="Times New Roman" w:eastAsia="Times New Roman" w:hAnsi="Times New Roman" w:cs="Times New Roman"/>
          <w:kern w:val="0"/>
          <w:sz w:val="24"/>
          <w:szCs w:val="24"/>
          <w:lang w:eastAsia="en-GB"/>
          <w14:ligatures w14:val="none"/>
        </w:rPr>
        <w:t xml:space="preserve"> The balance of authority between managers can sometimes complicate priorities, as employees may find it challenging to please multiple supervisors with conflicting demands.</w:t>
      </w:r>
    </w:p>
    <w:p w14:paraId="39DF51CB" w14:textId="03FFECE3" w:rsidR="00937765" w:rsidRPr="00342F36"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Pembrokeshire College, as an educational institution, would implement a matrix structure for managing various courses and projects, with staff reporting both to academic departments and specific course or training programs.</w:t>
      </w:r>
      <w:r w:rsidRPr="000B1EBC">
        <w:rPr>
          <w:rFonts w:ascii="Times New Roman" w:eastAsia="Times New Roman" w:hAnsi="Times New Roman" w:cs="Times New Roman"/>
          <w:kern w:val="0"/>
          <w:sz w:val="24"/>
          <w:szCs w:val="24"/>
          <w:lang w:eastAsia="en-GB"/>
          <w14:ligatures w14:val="none"/>
        </w:rPr>
        <w:br/>
        <w:t>When looking at both structures, divisional structures suit companies focused on market segments or geographic areas, while matrix structures are best for organisations needing flexibility and collaboration. The choice depends on the company’s goals, size, and industry needs, showing how important it is to match the structure with the purpose for effective and flexible operations.</w:t>
      </w:r>
    </w:p>
    <w:p w14:paraId="24AD5B6C"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1433870" w14:textId="125637BD" w:rsidR="00937765" w:rsidRPr="00342F36" w:rsidRDefault="00937765" w:rsidP="00937765">
      <w:pPr>
        <w:spacing w:after="0" w:line="240" w:lineRule="auto"/>
        <w:rPr>
          <w:rFonts w:ascii="Times New Roman" w:eastAsia="Times New Roman" w:hAnsi="Times New Roman" w:cs="Times New Roman"/>
          <w:b/>
          <w:bCs/>
          <w:kern w:val="0"/>
          <w:sz w:val="24"/>
          <w:szCs w:val="24"/>
          <w:lang w:eastAsia="en-GB"/>
          <w14:ligatures w14:val="none"/>
        </w:rPr>
      </w:pPr>
      <w:r w:rsidRPr="000B1EBC">
        <w:rPr>
          <w:rFonts w:ascii="Times New Roman" w:eastAsia="Times New Roman" w:hAnsi="Times New Roman" w:cs="Times New Roman"/>
          <w:b/>
          <w:bCs/>
          <w:kern w:val="0"/>
          <w:sz w:val="24"/>
          <w:szCs w:val="24"/>
          <w:lang w:eastAsia="en-GB"/>
          <w14:ligatures w14:val="none"/>
        </w:rPr>
        <w:lastRenderedPageBreak/>
        <w:t>2. Analyse the extent to which the organisational strategy in your organisation (or an organisation with which you are familiar) helps to ensure products or services meet customers’ needs. (AC 1.2)</w:t>
      </w:r>
    </w:p>
    <w:p w14:paraId="1E3ADB1B" w14:textId="77777777" w:rsidR="006E5011" w:rsidRPr="00342F36" w:rsidRDefault="006E5011" w:rsidP="006E5011">
      <w:pPr>
        <w:pStyle w:val="NormalWeb"/>
      </w:pPr>
      <w:r w:rsidRPr="00342F36">
        <w:t>Pembrokeshire County Council provides vital services in education, health and social care, infrastructure, and environmental management. Its strategy aims to make services accessible, efficient, and responsive to the community's needs. The council uses tools like PESTLE analysis to evaluate political, economic, social, technological, legal, and environmental factors that affect service delivery. Political influences, such as government policies and local governance, impact service management. Economic factors, including budget constraints and employment rates, affect the council’s ability to provide services. Social changes, such as demographic trends and public expectations, require continuous adjustment in services like healthcare and education. Technological advances provide opportunities for more efficient service delivery, although they may also raise challenges for certain groups with limited access. Legal factors ensure that the council complies with regulations, while environmental factors, including sustainability goals, shape infrastructure decisions.</w:t>
      </w:r>
    </w:p>
    <w:p w14:paraId="52F4606B" w14:textId="379DBC1B" w:rsidR="006E5011" w:rsidRPr="00342F36" w:rsidRDefault="006E5011" w:rsidP="006E5011">
      <w:pPr>
        <w:pStyle w:val="NormalWeb"/>
      </w:pPr>
      <w:r w:rsidRPr="00342F36">
        <w:t>While PESTLE analysis helps the council address external factors, it often overlooks internal issues that can hinder responsiveness</w:t>
      </w:r>
      <w:r w:rsidR="00D25B58">
        <w:t>. T</w:t>
      </w:r>
      <w:r w:rsidR="0082725C" w:rsidRPr="00342F36">
        <w:t xml:space="preserve">he </w:t>
      </w:r>
      <w:r w:rsidRPr="00342F36">
        <w:t xml:space="preserve">council’s </w:t>
      </w:r>
      <w:proofErr w:type="gramStart"/>
      <w:r w:rsidRPr="00342F36">
        <w:t>decision</w:t>
      </w:r>
      <w:r w:rsidR="0082725C" w:rsidRPr="00342F36">
        <w:t xml:space="preserve"> </w:t>
      </w:r>
      <w:r w:rsidRPr="00342F36">
        <w:t>making</w:t>
      </w:r>
      <w:proofErr w:type="gramEnd"/>
      <w:r w:rsidRPr="00342F36">
        <w:t xml:space="preserve"> process can be slow and </w:t>
      </w:r>
      <w:r w:rsidR="0082725C" w:rsidRPr="00342F36">
        <w:t>procedural</w:t>
      </w:r>
      <w:r w:rsidRPr="00342F36">
        <w:t xml:space="preserve">, making it difficult to adapt quickly to urgent community needs. </w:t>
      </w:r>
      <w:r w:rsidR="005D7A9F" w:rsidRPr="00342F36">
        <w:t>Additionally, managing multiple services can lead to departments working separately, which reduces overall efficiency.</w:t>
      </w:r>
      <w:r w:rsidR="00D25B58">
        <w:t xml:space="preserve"> This can have a negative impact on the relationship between the council and the residents of Pembrokeshire and the public can </w:t>
      </w:r>
      <w:proofErr w:type="spellStart"/>
      <w:proofErr w:type="gramStart"/>
      <w:r w:rsidR="00D25B58">
        <w:t>loose</w:t>
      </w:r>
      <w:proofErr w:type="spellEnd"/>
      <w:proofErr w:type="gramEnd"/>
      <w:r w:rsidR="00D25B58">
        <w:t xml:space="preserve"> faith.</w:t>
      </w:r>
    </w:p>
    <w:p w14:paraId="697902BA" w14:textId="1CC529A9" w:rsidR="006E5011" w:rsidRPr="00342F36" w:rsidRDefault="006E5011" w:rsidP="006E5011">
      <w:pPr>
        <w:pStyle w:val="NormalWeb"/>
      </w:pPr>
      <w:r w:rsidRPr="00342F36">
        <w:t xml:space="preserve">The council places a strong emphasis on </w:t>
      </w:r>
      <w:r w:rsidR="005D7A9F" w:rsidRPr="00342F36">
        <w:t>trying to bring the community together</w:t>
      </w:r>
      <w:r w:rsidRPr="00342F36">
        <w:t xml:space="preserve"> during strategy development. It uses surveys and consultations to gather feedback from residents, ensuring services align with community priorities. </w:t>
      </w:r>
      <w:r w:rsidRPr="00342F36">
        <w:rPr>
          <w:rStyle w:val="Strong"/>
          <w:rFonts w:eastAsiaTheme="majorEastAsia"/>
          <w:b w:val="0"/>
          <w:bCs w:val="0"/>
        </w:rPr>
        <w:t xml:space="preserve">Local community councillors also act as </w:t>
      </w:r>
      <w:r w:rsidR="005D7A9F" w:rsidRPr="00342F36">
        <w:rPr>
          <w:rStyle w:val="Strong"/>
          <w:rFonts w:eastAsiaTheme="majorEastAsia"/>
          <w:b w:val="0"/>
          <w:bCs w:val="0"/>
        </w:rPr>
        <w:t>go-betweens</w:t>
      </w:r>
      <w:r w:rsidRPr="00342F36">
        <w:rPr>
          <w:rStyle w:val="Strong"/>
          <w:rFonts w:eastAsiaTheme="majorEastAsia"/>
          <w:b w:val="0"/>
          <w:bCs w:val="0"/>
        </w:rPr>
        <w:t xml:space="preserve">, helping represent </w:t>
      </w:r>
      <w:r w:rsidR="005D7A9F" w:rsidRPr="00342F36">
        <w:rPr>
          <w:rStyle w:val="Strong"/>
          <w:rFonts w:eastAsiaTheme="majorEastAsia"/>
          <w:b w:val="0"/>
          <w:bCs w:val="0"/>
        </w:rPr>
        <w:t>residents’</w:t>
      </w:r>
      <w:r w:rsidRPr="00342F36">
        <w:rPr>
          <w:rStyle w:val="Strong"/>
          <w:rFonts w:eastAsiaTheme="majorEastAsia"/>
          <w:b w:val="0"/>
          <w:bCs w:val="0"/>
        </w:rPr>
        <w:t xml:space="preserve"> concerns.</w:t>
      </w:r>
      <w:r w:rsidRPr="00342F36">
        <w:t xml:space="preserve"> This approach helps ensure the council’s strategy reflects local needs, such as improving social care and education outcomes (Buchanan &amp; Huczynski, 2017).</w:t>
      </w:r>
      <w:r w:rsidR="007C2CB1" w:rsidRPr="00342F36">
        <w:t xml:space="preserve"> </w:t>
      </w:r>
      <w:r w:rsidR="005D7A9F" w:rsidRPr="00342F36">
        <w:t>C</w:t>
      </w:r>
      <w:r w:rsidRPr="00342F36">
        <w:t xml:space="preserve">onsultations may not fully capture the views of all residents. Some may lack the time, resources, or digital skills to participate in surveys, meaning their needs could be overlooked. </w:t>
      </w:r>
      <w:r w:rsidR="005D7A9F" w:rsidRPr="00342F36">
        <w:t>The</w:t>
      </w:r>
      <w:r w:rsidRPr="00342F36">
        <w:t xml:space="preserve"> council sometimes faces tension between short-term demands from the community and long-term strategic goals, leading to difficult decisions on resource allocation.</w:t>
      </w:r>
    </w:p>
    <w:p w14:paraId="2EF32E98" w14:textId="386AE7D9" w:rsidR="006E5011" w:rsidRPr="00342F36" w:rsidRDefault="007C2CB1" w:rsidP="006E5011">
      <w:pPr>
        <w:pStyle w:val="NormalWeb"/>
        <w:rPr>
          <w:b/>
          <w:bCs/>
        </w:rPr>
      </w:pPr>
      <w:r w:rsidRPr="00342F36">
        <w:t>Digital</w:t>
      </w:r>
      <w:r w:rsidR="006E5011" w:rsidRPr="00342F36">
        <w:t xml:space="preserve"> transformation strategy also plays a key role in meeting customer needs. Online services, such as the ‘My Account’ portal, enable residents to access services like council tax payments and report issues like potholes. </w:t>
      </w:r>
      <w:r w:rsidR="006E5011" w:rsidRPr="00342F36">
        <w:rPr>
          <w:rStyle w:val="Strong"/>
          <w:rFonts w:eastAsiaTheme="majorEastAsia"/>
          <w:b w:val="0"/>
          <w:bCs w:val="0"/>
        </w:rPr>
        <w:t>This improves convenience and responsiveness, leading to higher satisfaction (Buchanan &amp; Huczynski, 2017).</w:t>
      </w:r>
      <w:r w:rsidRPr="00342F36">
        <w:rPr>
          <w:rStyle w:val="Strong"/>
          <w:rFonts w:eastAsiaTheme="majorEastAsia"/>
          <w:b w:val="0"/>
          <w:bCs w:val="0"/>
        </w:rPr>
        <w:t xml:space="preserve"> </w:t>
      </w:r>
      <w:r w:rsidR="00D25B58">
        <w:t>While t</w:t>
      </w:r>
      <w:r w:rsidRPr="00342F36">
        <w:t>he</w:t>
      </w:r>
      <w:r w:rsidR="006E5011" w:rsidRPr="00342F36">
        <w:t xml:space="preserve"> shift to digital services may </w:t>
      </w:r>
      <w:r w:rsidRPr="00342F36">
        <w:t xml:space="preserve">be a good thing, they can </w:t>
      </w:r>
      <w:r w:rsidR="006E5011" w:rsidRPr="00342F36">
        <w:t>exclude certain groups, particularly older or less tech</w:t>
      </w:r>
      <w:r w:rsidRPr="00342F36">
        <w:t xml:space="preserve"> s</w:t>
      </w:r>
      <w:r w:rsidR="006E5011" w:rsidRPr="00342F36">
        <w:t>avvy residents. The council must ensure that offline services remain available to avoid leaving these groups behind.</w:t>
      </w:r>
    </w:p>
    <w:p w14:paraId="131A46D4" w14:textId="77777777" w:rsidR="006E5011" w:rsidRPr="000B1EBC" w:rsidRDefault="006E5011" w:rsidP="00937765">
      <w:pPr>
        <w:spacing w:after="0" w:line="240" w:lineRule="auto"/>
        <w:rPr>
          <w:rFonts w:ascii="Times New Roman" w:eastAsia="Times New Roman" w:hAnsi="Times New Roman" w:cs="Times New Roman"/>
          <w:kern w:val="0"/>
          <w:sz w:val="24"/>
          <w:szCs w:val="24"/>
          <w:lang w:eastAsia="en-GB"/>
          <w14:ligatures w14:val="none"/>
        </w:rPr>
      </w:pPr>
    </w:p>
    <w:p w14:paraId="0A228461" w14:textId="21959C87" w:rsidR="00937765" w:rsidRPr="000B1EBC" w:rsidRDefault="00937765" w:rsidP="00937765">
      <w:pPr>
        <w:spacing w:after="0"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b/>
          <w:bCs/>
          <w:kern w:val="0"/>
          <w:sz w:val="24"/>
          <w:szCs w:val="24"/>
          <w:lang w:eastAsia="en-GB"/>
          <w14:ligatures w14:val="none"/>
        </w:rPr>
        <w:t>3. Analyse the current impact of interest rates, inflation and one other external factor on your organisation (or one with which you are familiar). Identify organisational priorities arising from your analysis. (AC 1.3)</w:t>
      </w:r>
    </w:p>
    <w:p w14:paraId="349F93FB" w14:textId="77777777" w:rsidR="002F41E1"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 xml:space="preserve">As of 2024, interest rates have been rising in response to economic conditions aimed at controlling inflation. Currently, the interest rate in the UK set by the Bank of England is </w:t>
      </w:r>
      <w:r w:rsidRPr="000B1EBC">
        <w:rPr>
          <w:rFonts w:ascii="Times New Roman" w:eastAsia="Times New Roman" w:hAnsi="Times New Roman" w:cs="Times New Roman"/>
          <w:kern w:val="0"/>
          <w:sz w:val="24"/>
          <w:szCs w:val="24"/>
          <w:lang w:eastAsia="en-GB"/>
          <w14:ligatures w14:val="none"/>
        </w:rPr>
        <w:lastRenderedPageBreak/>
        <w:t>5.25% (Bank of England, 2024). Rising rates affect Pembrokeshire County Council as increased interest rates mean higher borrowing costs. This impacts the financing of projects, such as infrastructure improvements and community services. A high percentage of funding the council have is from loans, so higher rates have led to tightening of budgets as more services are allocated to take on the existing debt. Higher interest payments will also lead to budget reallocations, affecting services such as social services or community programs (Kew &amp; Stredwick, 2013).</w:t>
      </w:r>
      <w:r w:rsidRPr="000B1EBC">
        <w:rPr>
          <w:rFonts w:ascii="Times New Roman" w:eastAsia="Times New Roman" w:hAnsi="Times New Roman" w:cs="Times New Roman"/>
          <w:kern w:val="0"/>
          <w:sz w:val="24"/>
          <w:szCs w:val="24"/>
          <w:lang w:eastAsia="en-GB"/>
          <w14:ligatures w14:val="none"/>
        </w:rPr>
        <w:br/>
        <w:t>Inflation is also an ongoing concern for Pembrokeshire County Council, leading to increased costs for goods and services essential for council operations. This affects everything from construction materials for public projects to the costs with providing community services (Marchington et al., 2016). If funding does not keep up with the cost of inflation, then the council will struggle. Wage pressures again this year will put even more strain on budget allocations as staff seek to match the rising living costs and pay is backdated. As well as this, the National insurance for businesses increase.</w:t>
      </w:r>
    </w:p>
    <w:p w14:paraId="693D2FAA" w14:textId="48AD548A" w:rsidR="00937765" w:rsidRPr="00342F36"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br/>
        <w:t>Government policies, especially those affecting funding for the public sector</w:t>
      </w:r>
      <w:r w:rsidR="002F41E1">
        <w:rPr>
          <w:rFonts w:ascii="Times New Roman" w:eastAsia="Times New Roman" w:hAnsi="Times New Roman" w:cs="Times New Roman"/>
          <w:kern w:val="0"/>
          <w:sz w:val="24"/>
          <w:szCs w:val="24"/>
          <w:lang w:eastAsia="en-GB"/>
          <w14:ligatures w14:val="none"/>
        </w:rPr>
        <w:t xml:space="preserve"> </w:t>
      </w:r>
      <w:r w:rsidRPr="000B1EBC">
        <w:rPr>
          <w:rFonts w:ascii="Times New Roman" w:eastAsia="Times New Roman" w:hAnsi="Times New Roman" w:cs="Times New Roman"/>
          <w:kern w:val="0"/>
          <w:sz w:val="24"/>
          <w:szCs w:val="24"/>
          <w:lang w:eastAsia="en-GB"/>
          <w14:ligatures w14:val="none"/>
        </w:rPr>
        <w:t>are essential for Pembrokeshire local authority. These policies affect how the council allocates its budgets and makes decisions, helping its ability to meet the needs of the community (Kew &amp; Stredwick, 2013). Changes to these policies will determine how the council manages and responds to local issues. The 2024 local government settlement has led to a decrease in funding, which means there will need to be a review of spending priorities. Services such as education and social care are at risk of facing cuts, with the council making sure it doesn’t burden the public sector. There is also a funding gap of £33.6m for 2025-26, and this will lead to budget savings across the authority depending on what the settlement will be from Welsh Government (The Pembrokeshire Herald, 2024).</w:t>
      </w:r>
      <w:r w:rsidRPr="000B1EBC">
        <w:rPr>
          <w:rFonts w:ascii="Times New Roman" w:eastAsia="Times New Roman" w:hAnsi="Times New Roman" w:cs="Times New Roman"/>
          <w:kern w:val="0"/>
          <w:sz w:val="24"/>
          <w:szCs w:val="24"/>
          <w:lang w:eastAsia="en-GB"/>
          <w14:ligatures w14:val="none"/>
        </w:rPr>
        <w:br/>
        <w:t>New funding options are always being looked into (Pembrokeshire County Council, 2024</w:t>
      </w:r>
      <w:proofErr w:type="gramStart"/>
      <w:r w:rsidRPr="000B1EBC">
        <w:rPr>
          <w:rFonts w:ascii="Times New Roman" w:eastAsia="Times New Roman" w:hAnsi="Times New Roman" w:cs="Times New Roman"/>
          <w:kern w:val="0"/>
          <w:sz w:val="24"/>
          <w:szCs w:val="24"/>
          <w:lang w:eastAsia="en-GB"/>
          <w14:ligatures w14:val="none"/>
        </w:rPr>
        <w:t>), and</w:t>
      </w:r>
      <w:proofErr w:type="gramEnd"/>
      <w:r w:rsidRPr="000B1EBC">
        <w:rPr>
          <w:rFonts w:ascii="Times New Roman" w:eastAsia="Times New Roman" w:hAnsi="Times New Roman" w:cs="Times New Roman"/>
          <w:kern w:val="0"/>
          <w:sz w:val="24"/>
          <w:szCs w:val="24"/>
          <w:lang w:eastAsia="en-GB"/>
          <w14:ligatures w14:val="none"/>
        </w:rPr>
        <w:t xml:space="preserve"> increasing community involvement to ensure services meet local needs. The council might also seek to form partnerships with other organisations to provide essential services more effectively while dealing with the impacts of high interest rates and inflation (Kew &amp; Stredwick, 2013; Mullins, 2016). Council tax rises for residents are inevitable to increase money, which will have an impact on the relationship between residents and the council, as this increase will be the second rise in 12 months.</w:t>
      </w:r>
    </w:p>
    <w:p w14:paraId="4F9BD3A1"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7861D18" w14:textId="04C140CF" w:rsidR="00937765" w:rsidRPr="000B1EBC" w:rsidRDefault="00937765" w:rsidP="00937765">
      <w:pPr>
        <w:spacing w:after="0"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b/>
          <w:bCs/>
          <w:kern w:val="0"/>
          <w:sz w:val="24"/>
          <w:szCs w:val="24"/>
          <w:lang w:eastAsia="en-GB"/>
          <w14:ligatures w14:val="none"/>
        </w:rPr>
        <w:t>4. In February 2024, Peter Cheese, current CEO of CIPD stated, “AI is transforming jobs, careers and workplaces. People professionals have a key role to play in encouraging safe experimentation and rapid learning, so that we can reap the benefits and mitigate the risks.” Assess the extent that AI is, or could be, used in your organisation (or an organisation with which you are familiar) and assess how AI impacts work. (AC 1.4)</w:t>
      </w:r>
    </w:p>
    <w:p w14:paraId="3F16C469" w14:textId="3C9115B7" w:rsidR="00937765" w:rsidRPr="00342F36"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Artificial Intelligence (AI) holds significant potential for improving operations within Pembrokeshire County Council. While the council currently employs various technologies, the integration of AI is still developing. AI can improve efficiency, improve decision-making, and better serve the community</w:t>
      </w:r>
      <w:r w:rsidR="00D25B58">
        <w:rPr>
          <w:rFonts w:ascii="Times New Roman" w:eastAsia="Times New Roman" w:hAnsi="Times New Roman" w:cs="Times New Roman"/>
          <w:kern w:val="0"/>
          <w:sz w:val="24"/>
          <w:szCs w:val="24"/>
          <w:lang w:eastAsia="en-GB"/>
          <w14:ligatures w14:val="none"/>
        </w:rPr>
        <w:t>.</w:t>
      </w:r>
      <w:r w:rsidRPr="000B1EBC">
        <w:rPr>
          <w:rFonts w:ascii="Times New Roman" w:eastAsia="Times New Roman" w:hAnsi="Times New Roman" w:cs="Times New Roman"/>
          <w:kern w:val="0"/>
          <w:sz w:val="24"/>
          <w:szCs w:val="24"/>
          <w:lang w:eastAsia="en-GB"/>
          <w14:ligatures w14:val="none"/>
        </w:rPr>
        <w:br/>
      </w:r>
      <w:r w:rsidR="003A5B9B" w:rsidRPr="00342F36">
        <w:rPr>
          <w:rFonts w:ascii="Times New Roman" w:eastAsia="Times New Roman" w:hAnsi="Times New Roman" w:cs="Times New Roman"/>
          <w:kern w:val="0"/>
          <w:sz w:val="24"/>
          <w:szCs w:val="24"/>
          <w:lang w:eastAsia="en-GB"/>
          <w14:ligatures w14:val="none"/>
        </w:rPr>
        <w:t>The</w:t>
      </w:r>
      <w:r w:rsidRPr="000B1EBC">
        <w:rPr>
          <w:rFonts w:ascii="Times New Roman" w:eastAsia="Times New Roman" w:hAnsi="Times New Roman" w:cs="Times New Roman"/>
          <w:kern w:val="0"/>
          <w:sz w:val="24"/>
          <w:szCs w:val="24"/>
          <w:lang w:eastAsia="en-GB"/>
          <w14:ligatures w14:val="none"/>
        </w:rPr>
        <w:t xml:space="preserve"> Council utilises a range of systems to manage its services. However, many of these systems may not be updated regularly or equipped with the latest AI capabilities. As noted by Kew &amp; Stredwick (2013), effective technology is essential for maximising efficiency. By </w:t>
      </w:r>
      <w:r w:rsidRPr="000B1EBC">
        <w:rPr>
          <w:rFonts w:ascii="Times New Roman" w:eastAsia="Times New Roman" w:hAnsi="Times New Roman" w:cs="Times New Roman"/>
          <w:kern w:val="0"/>
          <w:sz w:val="24"/>
          <w:szCs w:val="24"/>
          <w:lang w:eastAsia="en-GB"/>
          <w14:ligatures w14:val="none"/>
        </w:rPr>
        <w:lastRenderedPageBreak/>
        <w:t>investing in AI solutions, the council can streamline processes like resource management and customer service. For example, AI can automate routine administrative tasks, allowing staff to focus on more complex issues (CIPD, 2024).</w:t>
      </w:r>
      <w:r w:rsidRPr="000B1EBC">
        <w:rPr>
          <w:rFonts w:ascii="Times New Roman" w:eastAsia="Times New Roman" w:hAnsi="Times New Roman" w:cs="Times New Roman"/>
          <w:kern w:val="0"/>
          <w:sz w:val="24"/>
          <w:szCs w:val="24"/>
          <w:lang w:eastAsia="en-GB"/>
          <w14:ligatures w14:val="none"/>
        </w:rPr>
        <w:br/>
        <w:t>Pembrokeshire local authorities’ technology spending must also be strategic to avoid waste on systems that will not be long-term. Mullins (2016) emphasises that thoughtful investments in technology will help long-term benefits. By assessing current technology expenditures and directing funds toward effective AI systems, the council can ensure better outcomes for its investments. However, the cost of investing in new technology can be excessive, and the council needs to be careful that it’s not spending the public’s money on new creations that people don’t understand or might not be a necessity.</w:t>
      </w:r>
      <w:r w:rsidRPr="000B1EBC">
        <w:rPr>
          <w:rFonts w:ascii="Times New Roman" w:eastAsia="Times New Roman" w:hAnsi="Times New Roman" w:cs="Times New Roman"/>
          <w:kern w:val="0"/>
          <w:sz w:val="24"/>
          <w:szCs w:val="24"/>
          <w:lang w:eastAsia="en-GB"/>
          <w14:ligatures w14:val="none"/>
        </w:rPr>
        <w:br/>
        <w:t xml:space="preserve">AI can influence various functions within the council. </w:t>
      </w:r>
      <w:r w:rsidR="003A5B9B" w:rsidRPr="00342F36">
        <w:rPr>
          <w:rFonts w:ascii="Times New Roman" w:eastAsia="Times New Roman" w:hAnsi="Times New Roman" w:cs="Times New Roman"/>
          <w:kern w:val="0"/>
          <w:sz w:val="24"/>
          <w:szCs w:val="24"/>
          <w:lang w:eastAsia="en-GB"/>
          <w14:ligatures w14:val="none"/>
        </w:rPr>
        <w:t>Having</w:t>
      </w:r>
      <w:r w:rsidRPr="000B1EBC">
        <w:rPr>
          <w:rFonts w:ascii="Times New Roman" w:eastAsia="Times New Roman" w:hAnsi="Times New Roman" w:cs="Times New Roman"/>
          <w:kern w:val="0"/>
          <w:sz w:val="24"/>
          <w:szCs w:val="24"/>
          <w:lang w:eastAsia="en-GB"/>
          <w14:ligatures w14:val="none"/>
        </w:rPr>
        <w:t xml:space="preserve"> AI chatbots for customer service that can handle basic inquiries, freeing employees to tackle more complicated matters. This should not only enhance efficiency but also boost job satisfaction as staff will be doing more meaningful work (CIPD, 2024).</w:t>
      </w:r>
      <w:r w:rsidRPr="000B1EBC">
        <w:rPr>
          <w:rFonts w:ascii="Times New Roman" w:eastAsia="Times New Roman" w:hAnsi="Times New Roman" w:cs="Times New Roman"/>
          <w:kern w:val="0"/>
          <w:sz w:val="24"/>
          <w:szCs w:val="24"/>
          <w:lang w:eastAsia="en-GB"/>
          <w14:ligatures w14:val="none"/>
        </w:rPr>
        <w:br/>
        <w:t xml:space="preserve">The adoption of AI also raises concerns about employee wellbeing. While automation can ease workloads, it may create fears about job security. The rise of technology may contribute to an ‘always-on’ culture, which can increase stress and disrupt work-life balance (Buchanan &amp; Huczynski, 2017). To help these challenges, the council should create an environment where AI complements human </w:t>
      </w:r>
      <w:r w:rsidR="003A5B9B" w:rsidRPr="00342F36">
        <w:rPr>
          <w:rFonts w:ascii="Times New Roman" w:eastAsia="Times New Roman" w:hAnsi="Times New Roman" w:cs="Times New Roman"/>
          <w:kern w:val="0"/>
          <w:sz w:val="24"/>
          <w:szCs w:val="24"/>
          <w:lang w:eastAsia="en-GB"/>
          <w14:ligatures w14:val="none"/>
        </w:rPr>
        <w:t>roles and</w:t>
      </w:r>
      <w:r w:rsidRPr="000B1EBC">
        <w:rPr>
          <w:rFonts w:ascii="Times New Roman" w:eastAsia="Times New Roman" w:hAnsi="Times New Roman" w:cs="Times New Roman"/>
          <w:kern w:val="0"/>
          <w:sz w:val="24"/>
          <w:szCs w:val="24"/>
          <w:lang w:eastAsia="en-GB"/>
          <w14:ligatures w14:val="none"/>
        </w:rPr>
        <w:t xml:space="preserve"> providing supportive training in delivering these new systems is a must. Clear communication about the role of AI can ease concerns and make a smooth transition (CIPD, 2024).</w:t>
      </w:r>
    </w:p>
    <w:p w14:paraId="69AEACA5"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824D809" w14:textId="77777777" w:rsidR="00937765" w:rsidRPr="00342F36" w:rsidRDefault="00937765" w:rsidP="00937765">
      <w:pPr>
        <w:spacing w:after="0" w:line="240" w:lineRule="auto"/>
        <w:rPr>
          <w:rFonts w:ascii="Times New Roman" w:eastAsia="Times New Roman" w:hAnsi="Times New Roman" w:cs="Times New Roman"/>
          <w:b/>
          <w:bCs/>
          <w:kern w:val="0"/>
          <w:sz w:val="24"/>
          <w:szCs w:val="24"/>
          <w:lang w:eastAsia="en-GB"/>
          <w14:ligatures w14:val="none"/>
        </w:rPr>
      </w:pPr>
      <w:r w:rsidRPr="000B1EBC">
        <w:rPr>
          <w:rFonts w:ascii="Times New Roman" w:eastAsia="Times New Roman" w:hAnsi="Times New Roman" w:cs="Times New Roman"/>
          <w:b/>
          <w:bCs/>
          <w:kern w:val="0"/>
          <w:sz w:val="24"/>
          <w:szCs w:val="24"/>
          <w:lang w:eastAsia="en-GB"/>
          <w14:ligatures w14:val="none"/>
        </w:rPr>
        <w:t>5. Explain Charles Handy’s model of organisational culture and explain David Rock’s SCARF theory. (AC 2.1)</w:t>
      </w:r>
    </w:p>
    <w:p w14:paraId="5542B2E2" w14:textId="24FAD052" w:rsidR="008C084F" w:rsidRPr="00342F36" w:rsidRDefault="00937765" w:rsidP="00937765">
      <w:pPr>
        <w:spacing w:after="0"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Charles Handy’s model of organisational culture identifies four main types,</w:t>
      </w:r>
      <w:r w:rsidR="002F41E1">
        <w:rPr>
          <w:rFonts w:ascii="Times New Roman" w:eastAsia="Times New Roman" w:hAnsi="Times New Roman" w:cs="Times New Roman"/>
          <w:kern w:val="0"/>
          <w:sz w:val="24"/>
          <w:szCs w:val="24"/>
          <w:lang w:eastAsia="en-GB"/>
          <w14:ligatures w14:val="none"/>
        </w:rPr>
        <w:t xml:space="preserve"> </w:t>
      </w:r>
      <w:r w:rsidR="008C084F" w:rsidRPr="00342F36">
        <w:rPr>
          <w:rFonts w:ascii="Times New Roman" w:eastAsia="Times New Roman" w:hAnsi="Times New Roman" w:cs="Times New Roman"/>
          <w:kern w:val="0"/>
          <w:sz w:val="24"/>
          <w:szCs w:val="24"/>
          <w:lang w:eastAsia="en-GB"/>
          <w14:ligatures w14:val="none"/>
        </w:rPr>
        <w:t>(Power, Role, Task and Person)</w:t>
      </w:r>
      <w:r w:rsidRPr="000B1EBC">
        <w:rPr>
          <w:rFonts w:ascii="Times New Roman" w:eastAsia="Times New Roman" w:hAnsi="Times New Roman" w:cs="Times New Roman"/>
          <w:kern w:val="0"/>
          <w:sz w:val="24"/>
          <w:szCs w:val="24"/>
          <w:lang w:eastAsia="en-GB"/>
          <w14:ligatures w14:val="none"/>
        </w:rPr>
        <w:t xml:space="preserve"> each describing a different way organisations operate and affect employees. The Power Culture is where one central figure or group makes decisions. This is efficient for quick decisions but limits freedom for employees (Rees &amp; French, 2016). The Role Culture relies on hierarchy, with clear roles and responsibilities, creating stability but slowing responses to change (Armstrong, 2021). In Task Culture, work is organised around projects, and power is based on expertise. This encourages teamwork and flexibility, but it can lead to conflicts if team goals don’t align (Taylor &amp; Woodhams, 2022). Lastly, Person Culture is focused on individuals, often seen in professional environments with highly skilled workers. This setup offers a lot of independence, but it may struggle with clear direction if not managed carefully (Armstrong, 2021).</w:t>
      </w:r>
    </w:p>
    <w:p w14:paraId="159E4829" w14:textId="1920600D" w:rsidR="00937765" w:rsidRPr="00342F36" w:rsidRDefault="00937765" w:rsidP="00937765">
      <w:pPr>
        <w:spacing w:after="0" w:line="240" w:lineRule="auto"/>
        <w:rPr>
          <w:rFonts w:ascii="Times New Roman" w:eastAsia="Times New Roman" w:hAnsi="Times New Roman" w:cs="Times New Roman"/>
          <w:b/>
          <w:bCs/>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br/>
        <w:t xml:space="preserve">David Rock’s SCARF model explains five areas that affect social interactions and motivation at work. </w:t>
      </w:r>
      <w:r w:rsidR="008C084F" w:rsidRPr="00342F36">
        <w:rPr>
          <w:rFonts w:ascii="Times New Roman" w:eastAsia="Times New Roman" w:hAnsi="Times New Roman" w:cs="Times New Roman"/>
          <w:kern w:val="0"/>
          <w:sz w:val="24"/>
          <w:szCs w:val="24"/>
          <w:lang w:eastAsia="en-GB"/>
          <w14:ligatures w14:val="none"/>
        </w:rPr>
        <w:t xml:space="preserve">helping organisations create more supportive environments. </w:t>
      </w:r>
      <w:r w:rsidRPr="000B1EBC">
        <w:rPr>
          <w:rFonts w:ascii="Times New Roman" w:eastAsia="Times New Roman" w:hAnsi="Times New Roman" w:cs="Times New Roman"/>
          <w:kern w:val="0"/>
          <w:sz w:val="24"/>
          <w:szCs w:val="24"/>
          <w:lang w:eastAsia="en-GB"/>
          <w14:ligatures w14:val="none"/>
        </w:rPr>
        <w:t>Status is about how important someone feels compared to others, and recognising achievements can increase motivation. Certainty helps reduce stress by creating clear expectations and predictability (Horn, 2016). Autonomy allows employees to feel in control, which improves job satisfaction. Relatedness reflects a sense of connection to others and encourages teamwork. Finally, Fairness focuses on being treated justly, which builds trust and loyalty (CIPD, 2024). Rock’s SCARF model is a helpful guide for creating positive workplace environments that keep employees motivated and engaged (Armstrong, 2021).</w:t>
      </w:r>
      <w:r w:rsidRPr="000B1EBC">
        <w:rPr>
          <w:rFonts w:ascii="Times New Roman" w:eastAsia="Times New Roman" w:hAnsi="Times New Roman" w:cs="Times New Roman"/>
          <w:kern w:val="0"/>
          <w:sz w:val="24"/>
          <w:szCs w:val="24"/>
          <w:lang w:eastAsia="en-GB"/>
          <w14:ligatures w14:val="none"/>
        </w:rPr>
        <w:br/>
        <w:t xml:space="preserve">Both Handy’s and Rock’s models offer valuable insights into the ways in which organisational culture and individual motivations interact to shape a workplace. When organisations create environments that address these needs, they can enhance employee </w:t>
      </w:r>
      <w:r w:rsidRPr="000B1EBC">
        <w:rPr>
          <w:rFonts w:ascii="Times New Roman" w:eastAsia="Times New Roman" w:hAnsi="Times New Roman" w:cs="Times New Roman"/>
          <w:kern w:val="0"/>
          <w:sz w:val="24"/>
          <w:szCs w:val="24"/>
          <w:lang w:eastAsia="en-GB"/>
          <w14:ligatures w14:val="none"/>
        </w:rPr>
        <w:lastRenderedPageBreak/>
        <w:t>wellbeing, engagement, and overall performance (CIPD, 2024; Armstrong, 2020). Understanding the link between organisational culture, human motivation, and behaviour is essential for leaders aiming to create a productive and supportive work environment (Rees &amp; French, 2016).</w:t>
      </w:r>
      <w:r w:rsidR="00BB7248" w:rsidRPr="00342F36">
        <w:rPr>
          <w:rFonts w:ascii="Times New Roman" w:eastAsia="Times New Roman" w:hAnsi="Times New Roman" w:cs="Times New Roman"/>
          <w:kern w:val="0"/>
          <w:sz w:val="24"/>
          <w:szCs w:val="24"/>
          <w:lang w:eastAsia="en-GB"/>
          <w14:ligatures w14:val="none"/>
        </w:rPr>
        <w:t xml:space="preserve"> Flexibility is essential when applying as each organisation is different and are always changing. (VQ Solutions)</w:t>
      </w:r>
    </w:p>
    <w:p w14:paraId="7781D678"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A918140" w14:textId="503039F6" w:rsidR="00937765" w:rsidRPr="000B1EBC" w:rsidRDefault="00937765" w:rsidP="00937765">
      <w:pPr>
        <w:spacing w:after="0"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b/>
          <w:bCs/>
          <w:kern w:val="0"/>
          <w:sz w:val="24"/>
          <w:szCs w:val="24"/>
          <w:lang w:eastAsia="en-GB"/>
          <w14:ligatures w14:val="none"/>
        </w:rPr>
        <w:t>6. Assess how employee selection or employee development impacts organisational culture and behaviour in your organisation (or one with which you are familiar). (AC 2.2)</w:t>
      </w:r>
    </w:p>
    <w:p w14:paraId="1FC9DE58" w14:textId="77777777" w:rsidR="002C2039" w:rsidRPr="00342F36"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 xml:space="preserve">Employee development plays a crucial role in shaping the culture and behaviour within Pembrokeshire County Council. By prioritising training, career progression, and learning, the council fosters an environment of continuous improvement, essential for </w:t>
      </w:r>
      <w:r w:rsidR="00D351FD" w:rsidRPr="00342F36">
        <w:rPr>
          <w:rFonts w:ascii="Times New Roman" w:eastAsia="Times New Roman" w:hAnsi="Times New Roman" w:cs="Times New Roman"/>
          <w:kern w:val="0"/>
          <w:sz w:val="24"/>
          <w:szCs w:val="24"/>
          <w:lang w:eastAsia="en-GB"/>
          <w14:ligatures w14:val="none"/>
        </w:rPr>
        <w:t xml:space="preserve">the </w:t>
      </w:r>
      <w:r w:rsidRPr="000B1EBC">
        <w:rPr>
          <w:rFonts w:ascii="Times New Roman" w:eastAsia="Times New Roman" w:hAnsi="Times New Roman" w:cs="Times New Roman"/>
          <w:kern w:val="0"/>
          <w:sz w:val="24"/>
          <w:szCs w:val="24"/>
          <w:lang w:eastAsia="en-GB"/>
          <w14:ligatures w14:val="none"/>
        </w:rPr>
        <w:t xml:space="preserve">changing demands of the community (Armstrong, 2021). This focus on growth enhances employee motivation and commitment, aligning staff with the council’s strategic goals </w:t>
      </w:r>
      <w:r w:rsidR="00D351FD" w:rsidRPr="00342F36">
        <w:rPr>
          <w:rFonts w:ascii="Times New Roman" w:eastAsia="Times New Roman" w:hAnsi="Times New Roman" w:cs="Times New Roman"/>
          <w:kern w:val="0"/>
          <w:sz w:val="24"/>
          <w:szCs w:val="24"/>
          <w:lang w:eastAsia="en-GB"/>
          <w14:ligatures w14:val="none"/>
        </w:rPr>
        <w:t xml:space="preserve">and creates a sense of purpose. </w:t>
      </w:r>
      <w:r w:rsidRPr="000B1EBC">
        <w:rPr>
          <w:rFonts w:ascii="Times New Roman" w:eastAsia="Times New Roman" w:hAnsi="Times New Roman" w:cs="Times New Roman"/>
          <w:kern w:val="0"/>
          <w:sz w:val="24"/>
          <w:szCs w:val="24"/>
          <w:lang w:eastAsia="en-GB"/>
          <w14:ligatures w14:val="none"/>
        </w:rPr>
        <w:t>(Rees &amp; French, 2016).</w:t>
      </w:r>
      <w:r w:rsidRPr="000B1EBC">
        <w:rPr>
          <w:rFonts w:ascii="Times New Roman" w:eastAsia="Times New Roman" w:hAnsi="Times New Roman" w:cs="Times New Roman"/>
          <w:kern w:val="0"/>
          <w:sz w:val="24"/>
          <w:szCs w:val="24"/>
          <w:lang w:eastAsia="en-GB"/>
          <w14:ligatures w14:val="none"/>
        </w:rPr>
        <w:br/>
        <w:t>As an example, I am currently undertaking an apprenticeship for my CIPD, an opportunity made possible through the council's focus on employee development. This personal experience highlights the effectiveness of the council’s approach in encouraging development at all levels.</w:t>
      </w:r>
    </w:p>
    <w:p w14:paraId="72E5917F" w14:textId="305447AE" w:rsidR="002C2039" w:rsidRPr="00342F36" w:rsidRDefault="00D351FD"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42F36">
        <w:rPr>
          <w:rFonts w:ascii="Times New Roman" w:eastAsia="Times New Roman" w:hAnsi="Times New Roman" w:cs="Times New Roman"/>
          <w:kern w:val="0"/>
          <w:sz w:val="24"/>
          <w:szCs w:val="24"/>
          <w:lang w:eastAsia="en-GB"/>
          <w14:ligatures w14:val="none"/>
        </w:rPr>
        <w:t>The council’s easy access to</w:t>
      </w:r>
      <w:r w:rsidR="00937765" w:rsidRPr="000B1EBC">
        <w:rPr>
          <w:rFonts w:ascii="Times New Roman" w:eastAsia="Times New Roman" w:hAnsi="Times New Roman" w:cs="Times New Roman"/>
          <w:kern w:val="0"/>
          <w:sz w:val="24"/>
          <w:szCs w:val="24"/>
          <w:lang w:eastAsia="en-GB"/>
          <w14:ligatures w14:val="none"/>
        </w:rPr>
        <w:t xml:space="preserve"> learning and development </w:t>
      </w:r>
      <w:r w:rsidRPr="00342F36">
        <w:rPr>
          <w:rFonts w:ascii="Times New Roman" w:eastAsia="Times New Roman" w:hAnsi="Times New Roman" w:cs="Times New Roman"/>
          <w:kern w:val="0"/>
          <w:sz w:val="24"/>
          <w:szCs w:val="24"/>
          <w:lang w:eastAsia="en-GB"/>
          <w14:ligatures w14:val="none"/>
        </w:rPr>
        <w:t>resources</w:t>
      </w:r>
      <w:r w:rsidR="00937765" w:rsidRPr="000B1EBC">
        <w:rPr>
          <w:rFonts w:ascii="Times New Roman" w:eastAsia="Times New Roman" w:hAnsi="Times New Roman" w:cs="Times New Roman"/>
          <w:kern w:val="0"/>
          <w:sz w:val="24"/>
          <w:szCs w:val="24"/>
          <w:lang w:eastAsia="en-GB"/>
          <w14:ligatures w14:val="none"/>
        </w:rPr>
        <w:t xml:space="preserve"> via email or the intranet, </w:t>
      </w:r>
      <w:r w:rsidR="002C2039" w:rsidRPr="00342F36">
        <w:rPr>
          <w:rFonts w:ascii="Times New Roman" w:eastAsia="Times New Roman" w:hAnsi="Times New Roman" w:cs="Times New Roman"/>
          <w:kern w:val="0"/>
          <w:sz w:val="24"/>
          <w:szCs w:val="24"/>
          <w:lang w:eastAsia="en-GB"/>
          <w14:ligatures w14:val="none"/>
        </w:rPr>
        <w:t xml:space="preserve">helps employees build new skills </w:t>
      </w:r>
      <w:r w:rsidR="00937765" w:rsidRPr="000B1EBC">
        <w:rPr>
          <w:rFonts w:ascii="Times New Roman" w:eastAsia="Times New Roman" w:hAnsi="Times New Roman" w:cs="Times New Roman"/>
          <w:kern w:val="0"/>
          <w:sz w:val="24"/>
          <w:szCs w:val="24"/>
          <w:lang w:eastAsia="en-GB"/>
          <w14:ligatures w14:val="none"/>
        </w:rPr>
        <w:t>ensur</w:t>
      </w:r>
      <w:r w:rsidRPr="00342F36">
        <w:rPr>
          <w:rFonts w:ascii="Times New Roman" w:eastAsia="Times New Roman" w:hAnsi="Times New Roman" w:cs="Times New Roman"/>
          <w:kern w:val="0"/>
          <w:sz w:val="24"/>
          <w:szCs w:val="24"/>
          <w:lang w:eastAsia="en-GB"/>
          <w14:ligatures w14:val="none"/>
        </w:rPr>
        <w:t>es</w:t>
      </w:r>
      <w:r w:rsidR="00937765" w:rsidRPr="000B1EBC">
        <w:rPr>
          <w:rFonts w:ascii="Times New Roman" w:eastAsia="Times New Roman" w:hAnsi="Times New Roman" w:cs="Times New Roman"/>
          <w:kern w:val="0"/>
          <w:sz w:val="24"/>
          <w:szCs w:val="24"/>
          <w:lang w:eastAsia="en-GB"/>
          <w14:ligatures w14:val="none"/>
        </w:rPr>
        <w:t xml:space="preserve"> everyone has equal opportunities for growth</w:t>
      </w:r>
      <w:r w:rsidRPr="00342F36">
        <w:rPr>
          <w:rFonts w:ascii="Times New Roman" w:eastAsia="Times New Roman" w:hAnsi="Times New Roman" w:cs="Times New Roman"/>
          <w:kern w:val="0"/>
          <w:sz w:val="24"/>
          <w:szCs w:val="24"/>
          <w:lang w:eastAsia="en-GB"/>
          <w14:ligatures w14:val="none"/>
        </w:rPr>
        <w:t xml:space="preserve">, which contributes to a more adaptable organisation. </w:t>
      </w:r>
      <w:r w:rsidR="00937765" w:rsidRPr="000B1EBC">
        <w:rPr>
          <w:rFonts w:ascii="Times New Roman" w:eastAsia="Times New Roman" w:hAnsi="Times New Roman" w:cs="Times New Roman"/>
          <w:kern w:val="0"/>
          <w:sz w:val="24"/>
          <w:szCs w:val="24"/>
          <w:lang w:eastAsia="en-GB"/>
          <w14:ligatures w14:val="none"/>
        </w:rPr>
        <w:t xml:space="preserve"> By doing this, it shows that it’s promoting a culture of development </w:t>
      </w:r>
      <w:r w:rsidRPr="00342F36">
        <w:rPr>
          <w:rFonts w:ascii="Times New Roman" w:eastAsia="Times New Roman" w:hAnsi="Times New Roman" w:cs="Times New Roman"/>
          <w:kern w:val="0"/>
          <w:sz w:val="24"/>
          <w:szCs w:val="24"/>
          <w:lang w:eastAsia="en-GB"/>
          <w14:ligatures w14:val="none"/>
        </w:rPr>
        <w:t>and</w:t>
      </w:r>
      <w:r w:rsidR="00937765" w:rsidRPr="000B1EBC">
        <w:rPr>
          <w:rFonts w:ascii="Times New Roman" w:eastAsia="Times New Roman" w:hAnsi="Times New Roman" w:cs="Times New Roman"/>
          <w:kern w:val="0"/>
          <w:sz w:val="24"/>
          <w:szCs w:val="24"/>
          <w:lang w:eastAsia="en-GB"/>
          <w14:ligatures w14:val="none"/>
        </w:rPr>
        <w:t xml:space="preserve"> makes the council more adaptable. Well-trained employees can better handle shifts in community needs or public policy.</w:t>
      </w:r>
      <w:r w:rsidR="002C2039" w:rsidRPr="00342F36">
        <w:rPr>
          <w:rFonts w:ascii="Times New Roman" w:eastAsia="Times New Roman" w:hAnsi="Times New Roman" w:cs="Times New Roman"/>
          <w:kern w:val="0"/>
          <w:sz w:val="24"/>
          <w:szCs w:val="24"/>
          <w:lang w:eastAsia="en-GB"/>
          <w14:ligatures w14:val="none"/>
        </w:rPr>
        <w:t xml:space="preserve"> The focus on development brings a sense of belonging and trust among staff which</w:t>
      </w:r>
      <w:r w:rsidR="00535890" w:rsidRPr="00342F36">
        <w:rPr>
          <w:rFonts w:ascii="Times New Roman" w:eastAsia="Times New Roman" w:hAnsi="Times New Roman" w:cs="Times New Roman"/>
          <w:kern w:val="0"/>
          <w:sz w:val="24"/>
          <w:szCs w:val="24"/>
          <w:lang w:eastAsia="en-GB"/>
          <w14:ligatures w14:val="none"/>
        </w:rPr>
        <w:t xml:space="preserve"> stren</w:t>
      </w:r>
      <w:r w:rsidR="00412AFD" w:rsidRPr="00342F36">
        <w:rPr>
          <w:rFonts w:ascii="Times New Roman" w:eastAsia="Times New Roman" w:hAnsi="Times New Roman" w:cs="Times New Roman"/>
          <w:kern w:val="0"/>
          <w:sz w:val="24"/>
          <w:szCs w:val="24"/>
          <w:lang w:eastAsia="en-GB"/>
          <w14:ligatures w14:val="none"/>
        </w:rPr>
        <w:t>gthens team dynamics.</w:t>
      </w:r>
      <w:r w:rsidR="00937765" w:rsidRPr="000B1EBC">
        <w:rPr>
          <w:rFonts w:ascii="Times New Roman" w:eastAsia="Times New Roman" w:hAnsi="Times New Roman" w:cs="Times New Roman"/>
          <w:kern w:val="0"/>
          <w:sz w:val="24"/>
          <w:szCs w:val="24"/>
          <w:lang w:eastAsia="en-GB"/>
          <w14:ligatures w14:val="none"/>
        </w:rPr>
        <w:t xml:space="preserve"> This is key to delivering effective public services, and </w:t>
      </w:r>
      <w:r w:rsidRPr="00342F36">
        <w:rPr>
          <w:rFonts w:ascii="Times New Roman" w:eastAsia="Times New Roman" w:hAnsi="Times New Roman" w:cs="Times New Roman"/>
          <w:kern w:val="0"/>
          <w:sz w:val="24"/>
          <w:szCs w:val="24"/>
          <w:lang w:eastAsia="en-GB"/>
          <w14:ligatures w14:val="none"/>
        </w:rPr>
        <w:t xml:space="preserve">by focusing </w:t>
      </w:r>
      <w:r w:rsidR="00937765" w:rsidRPr="000B1EBC">
        <w:rPr>
          <w:rFonts w:ascii="Times New Roman" w:eastAsia="Times New Roman" w:hAnsi="Times New Roman" w:cs="Times New Roman"/>
          <w:kern w:val="0"/>
          <w:sz w:val="24"/>
          <w:szCs w:val="24"/>
          <w:lang w:eastAsia="en-GB"/>
          <w14:ligatures w14:val="none"/>
        </w:rPr>
        <w:t xml:space="preserve">on learning </w:t>
      </w:r>
      <w:r w:rsidRPr="00342F36">
        <w:rPr>
          <w:rFonts w:ascii="Times New Roman" w:eastAsia="Times New Roman" w:hAnsi="Times New Roman" w:cs="Times New Roman"/>
          <w:kern w:val="0"/>
          <w:sz w:val="24"/>
          <w:szCs w:val="24"/>
          <w:lang w:eastAsia="en-GB"/>
          <w14:ligatures w14:val="none"/>
        </w:rPr>
        <w:t xml:space="preserve">and development they </w:t>
      </w:r>
      <w:r w:rsidR="00937765" w:rsidRPr="000B1EBC">
        <w:rPr>
          <w:rFonts w:ascii="Times New Roman" w:eastAsia="Times New Roman" w:hAnsi="Times New Roman" w:cs="Times New Roman"/>
          <w:kern w:val="0"/>
          <w:sz w:val="24"/>
          <w:szCs w:val="24"/>
          <w:lang w:eastAsia="en-GB"/>
          <w14:ligatures w14:val="none"/>
        </w:rPr>
        <w:t xml:space="preserve">tend to be more resilient and innovative (Taylor &amp; Woodhams, 2022). </w:t>
      </w:r>
    </w:p>
    <w:p w14:paraId="0D659C03" w14:textId="2FC656B4" w:rsidR="00937765" w:rsidRPr="00342F36"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By investing in employees’ future, the council reduces turnover and fosters a culture of innovation, ensuring its ongoing effectiveness in serving the public. (Built in, 2024) tells us that approximately 30% of workers left their jobs in 2021 due to not having career opportunities. If you show there are opportunities for staff, then employees will be committed back.</w:t>
      </w:r>
    </w:p>
    <w:p w14:paraId="6482FAC7" w14:textId="77777777" w:rsidR="00937765" w:rsidRPr="00342F36"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967B980" w14:textId="77777777" w:rsidR="00937765" w:rsidRPr="00342F36"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b/>
          <w:bCs/>
          <w:kern w:val="0"/>
          <w:sz w:val="24"/>
          <w:szCs w:val="24"/>
          <w:lang w:eastAsia="en-GB"/>
          <w14:ligatures w14:val="none"/>
        </w:rPr>
        <w:t>7. 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61C5D414" w14:textId="67880D00"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Kotter’s eight step model of change provides a clear framework that can help organisations transition from remote work to hybrid working. This approach is especially relevant for an organisation which seeks to bring employees back to the office for at least 2 days per week after experiencing homeworking during COVID.</w:t>
      </w:r>
    </w:p>
    <w:p w14:paraId="7D65DF93"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lastRenderedPageBreak/>
        <w:t>The first step, creating a sense of urgency, involves communicating the reasons behind the change, such as improving teamwork, maintaining organisational culture, and enhancing productivity. Leaders within the organisation could present evidence that supports the benefits of working in the office, such as better communication, sharing ideas and quicker decision making, while still offering flexibility (Rees &amp; French, 2016).</w:t>
      </w:r>
    </w:p>
    <w:p w14:paraId="483F0236"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Next, showing a sense of togetherness is necessary. A group of leaders should deliver the change as one. This group must include key decision makers who can influence and motivate other employees, helping to drive the shift toward hybrid working (Armstrong, 2021).</w:t>
      </w:r>
    </w:p>
    <w:p w14:paraId="3444BC8A"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 xml:space="preserve">The third step, creating a vision for change, involves showing how hybrid working aligns with the business long term goals. A clear vision will highlight how employees can balance office and remote work while making sure there is still </w:t>
      </w:r>
      <w:proofErr w:type="gramStart"/>
      <w:r w:rsidRPr="000B1EBC">
        <w:rPr>
          <w:rFonts w:ascii="Times New Roman" w:eastAsia="Times New Roman" w:hAnsi="Times New Roman" w:cs="Times New Roman"/>
          <w:kern w:val="0"/>
          <w:sz w:val="24"/>
          <w:szCs w:val="24"/>
          <w:lang w:eastAsia="en-GB"/>
          <w14:ligatures w14:val="none"/>
        </w:rPr>
        <w:t>high quality</w:t>
      </w:r>
      <w:proofErr w:type="gramEnd"/>
      <w:r w:rsidRPr="000B1EBC">
        <w:rPr>
          <w:rFonts w:ascii="Times New Roman" w:eastAsia="Times New Roman" w:hAnsi="Times New Roman" w:cs="Times New Roman"/>
          <w:kern w:val="0"/>
          <w:sz w:val="24"/>
          <w:szCs w:val="24"/>
          <w:lang w:eastAsia="en-GB"/>
          <w14:ligatures w14:val="none"/>
        </w:rPr>
        <w:t xml:space="preserve"> service. (Taylor &amp; Woodhams, 2022).</w:t>
      </w:r>
    </w:p>
    <w:p w14:paraId="4C01DBB0"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Once the vision is clear, the next step is communicating the vision to all employees. This could be in the way of emails, meetings, and internal newsletters to ensure that everyone understands the reasons for the change and how it will be implemented. This communication needs to be frequent, open, and transparent to prevent misunderstandings and encourage buy in from all levels (CIPD, 2024).</w:t>
      </w:r>
    </w:p>
    <w:p w14:paraId="7E55DBCE"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In step five, removing obstacles, any barriers to the successful implementation of hybrid working should be identified. This could include providing employees with necessary resources like technology or addressing concerns about remote work policies (Horn, 2022).</w:t>
      </w:r>
    </w:p>
    <w:p w14:paraId="3EDE6B1E"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Following this, focus on creating short-term wins, such as pilot programs or positive feedback from the first few weeks of hybrid working, to help build momentum for further adoption (Armstrong, 2021).</w:t>
      </w:r>
    </w:p>
    <w:p w14:paraId="75C02C58"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 xml:space="preserve">Step seven, building on the change, shows reinforcing the benefits of hybrid working and adjusting policies to ensure its </w:t>
      </w:r>
      <w:proofErr w:type="gramStart"/>
      <w:r w:rsidRPr="000B1EBC">
        <w:rPr>
          <w:rFonts w:ascii="Times New Roman" w:eastAsia="Times New Roman" w:hAnsi="Times New Roman" w:cs="Times New Roman"/>
          <w:kern w:val="0"/>
          <w:sz w:val="24"/>
          <w:szCs w:val="24"/>
          <w:lang w:eastAsia="en-GB"/>
          <w14:ligatures w14:val="none"/>
        </w:rPr>
        <w:t>long term</w:t>
      </w:r>
      <w:proofErr w:type="gramEnd"/>
      <w:r w:rsidRPr="000B1EBC">
        <w:rPr>
          <w:rFonts w:ascii="Times New Roman" w:eastAsia="Times New Roman" w:hAnsi="Times New Roman" w:cs="Times New Roman"/>
          <w:kern w:val="0"/>
          <w:sz w:val="24"/>
          <w:szCs w:val="24"/>
          <w:lang w:eastAsia="en-GB"/>
          <w14:ligatures w14:val="none"/>
        </w:rPr>
        <w:t xml:space="preserve"> success. This may include offering ongoing support and continuous improvements based on employee feedback (Rees &amp; French, 2016).</w:t>
      </w:r>
    </w:p>
    <w:p w14:paraId="687232FD"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Finally, anchoring the changes in the culture of the organisation will ensure that hybrid working becomes a sustainable part of the working practices. This could involve integrating hybrid work policies into employee handbooks, offering training for managers, and celebrating successes (CIPD, 2024).</w:t>
      </w:r>
    </w:p>
    <w:p w14:paraId="38FACF7E" w14:textId="77777777" w:rsidR="00937765" w:rsidRPr="00342F36"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By implementing all of this, it will hopefully ensure that the change is successful and sustainable.</w:t>
      </w:r>
    </w:p>
    <w:p w14:paraId="7E62825D" w14:textId="77777777" w:rsidR="00937765" w:rsidRPr="00342F36"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5F71B37" w14:textId="542F6321"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b/>
          <w:bCs/>
          <w:kern w:val="0"/>
          <w:sz w:val="24"/>
          <w:szCs w:val="24"/>
          <w:lang w:eastAsia="en-GB"/>
          <w14:ligatures w14:val="none"/>
        </w:rPr>
        <w:t>8. Using the Kubler-Ross change curve, discuss how change is experienced. (AC 2.4)</w:t>
      </w:r>
    </w:p>
    <w:p w14:paraId="13DBCEB2"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The Kubler-Ross change curve is a model that explains the emotional stages people go through when facing significant change. It was originally created to describe the responses of people facing terminal illness, but it has since been applied to organisational change. This model is important for understanding how employees experience and respond to change in the workplace.</w:t>
      </w:r>
    </w:p>
    <w:p w14:paraId="72954FFD" w14:textId="1DFC4A89"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lastRenderedPageBreak/>
        <w:t xml:space="preserve">The first stage is denial, where people may refuse to accept the change, believing it won’t affect them or that it’s temporary (Rees &amp; French, 2016). </w:t>
      </w:r>
      <w:r w:rsidR="00412AFD" w:rsidRPr="00342F36">
        <w:rPr>
          <w:rFonts w:ascii="Times New Roman" w:eastAsia="Times New Roman" w:hAnsi="Times New Roman" w:cs="Times New Roman"/>
          <w:kern w:val="0"/>
          <w:sz w:val="24"/>
          <w:szCs w:val="24"/>
          <w:lang w:eastAsia="en-GB"/>
          <w14:ligatures w14:val="none"/>
        </w:rPr>
        <w:t xml:space="preserve">In my experience, this stage can be especially challenging for employees who have been with a company for a long time, as they may feel a sense of loyalty to the old ways of working. </w:t>
      </w:r>
      <w:r w:rsidRPr="000B1EBC">
        <w:rPr>
          <w:rFonts w:ascii="Times New Roman" w:eastAsia="Times New Roman" w:hAnsi="Times New Roman" w:cs="Times New Roman"/>
          <w:kern w:val="0"/>
          <w:sz w:val="24"/>
          <w:szCs w:val="24"/>
          <w:lang w:eastAsia="en-GB"/>
          <w14:ligatures w14:val="none"/>
        </w:rPr>
        <w:t xml:space="preserve">Next is anger, when employees may feel frustrated or upset, often blaming the change or those driving it (Horn, 2022). After this comes bargaining, where individuals may try to negotiate, hoping to reduce or delay the change (Armstrong, 2021). </w:t>
      </w:r>
      <w:r w:rsidR="00412AFD" w:rsidRPr="00342F36">
        <w:rPr>
          <w:rFonts w:ascii="Times New Roman" w:eastAsia="Times New Roman" w:hAnsi="Times New Roman" w:cs="Times New Roman"/>
          <w:kern w:val="0"/>
          <w:sz w:val="24"/>
          <w:szCs w:val="24"/>
          <w:lang w:eastAsia="en-GB"/>
          <w14:ligatures w14:val="none"/>
        </w:rPr>
        <w:t xml:space="preserve">I’ve seen employees in this stage often ask for more time or alternative solutions, believing they can avoid or change the impact. </w:t>
      </w:r>
      <w:r w:rsidRPr="000B1EBC">
        <w:rPr>
          <w:rFonts w:ascii="Times New Roman" w:eastAsia="Times New Roman" w:hAnsi="Times New Roman" w:cs="Times New Roman"/>
          <w:kern w:val="0"/>
          <w:sz w:val="24"/>
          <w:szCs w:val="24"/>
          <w:lang w:eastAsia="en-GB"/>
          <w14:ligatures w14:val="none"/>
        </w:rPr>
        <w:t>The depression stage follows, where people feel overwhelmed, anxious, or sad about the impact of the change (Taylor &amp; Woodhams, 2022).</w:t>
      </w:r>
      <w:r w:rsidR="00412AFD" w:rsidRPr="00342F36">
        <w:rPr>
          <w:rFonts w:ascii="Times New Roman" w:hAnsi="Times New Roman" w:cs="Times New Roman"/>
        </w:rPr>
        <w:t xml:space="preserve"> </w:t>
      </w:r>
      <w:r w:rsidR="00412AFD" w:rsidRPr="00342F36">
        <w:rPr>
          <w:rFonts w:ascii="Times New Roman" w:eastAsia="Times New Roman" w:hAnsi="Times New Roman" w:cs="Times New Roman"/>
          <w:kern w:val="0"/>
          <w:sz w:val="24"/>
          <w:szCs w:val="24"/>
          <w:lang w:eastAsia="en-GB"/>
          <w14:ligatures w14:val="none"/>
        </w:rPr>
        <w:t xml:space="preserve">This can be a particularly difficult stage as people may struggle to see how things could improve, which can affect their morale and productivity. </w:t>
      </w:r>
      <w:r w:rsidRPr="000B1EBC">
        <w:rPr>
          <w:rFonts w:ascii="Times New Roman" w:eastAsia="Times New Roman" w:hAnsi="Times New Roman" w:cs="Times New Roman"/>
          <w:kern w:val="0"/>
          <w:sz w:val="24"/>
          <w:szCs w:val="24"/>
          <w:lang w:eastAsia="en-GB"/>
          <w14:ligatures w14:val="none"/>
        </w:rPr>
        <w:t xml:space="preserve"> Finally, acceptance occurs when employees begin to adjust, understand, and embrace the change (Rees &amp; French, 2016). As CIPD states, this stage concludes with the individuals fully embrace the change and adapt to the new way of working.</w:t>
      </w:r>
    </w:p>
    <w:p w14:paraId="652A8821"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Not everyone will go through these stages in the same way, and they may not be in a fixed order. Some people may skip stages or revisit them. For leaders managing change, it’s crucial to recognise where employees are in the curve and offer support accordingly, such as through clear communication or training, to help them reach the acceptance stage (Taylor &amp; Woodhams, 2022).</w:t>
      </w:r>
    </w:p>
    <w:p w14:paraId="7AE2496E" w14:textId="32ECD167" w:rsidR="00937765" w:rsidRPr="00342F36"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 xml:space="preserve">The curve helps managers identify the </w:t>
      </w:r>
      <w:proofErr w:type="gramStart"/>
      <w:r w:rsidRPr="000B1EBC">
        <w:rPr>
          <w:rFonts w:ascii="Times New Roman" w:eastAsia="Times New Roman" w:hAnsi="Times New Roman" w:cs="Times New Roman"/>
          <w:kern w:val="0"/>
          <w:sz w:val="24"/>
          <w:szCs w:val="24"/>
          <w:lang w:eastAsia="en-GB"/>
          <w14:ligatures w14:val="none"/>
        </w:rPr>
        <w:t>stages</w:t>
      </w:r>
      <w:proofErr w:type="gramEnd"/>
      <w:r w:rsidRPr="000B1EBC">
        <w:rPr>
          <w:rFonts w:ascii="Times New Roman" w:eastAsia="Times New Roman" w:hAnsi="Times New Roman" w:cs="Times New Roman"/>
          <w:kern w:val="0"/>
          <w:sz w:val="24"/>
          <w:szCs w:val="24"/>
          <w:lang w:eastAsia="en-GB"/>
          <w14:ligatures w14:val="none"/>
        </w:rPr>
        <w:t xml:space="preserve"> so they are prepared of what is going on and the stages that follow</w:t>
      </w:r>
      <w:r w:rsidR="00412AFD" w:rsidRPr="00342F36">
        <w:rPr>
          <w:rFonts w:ascii="Times New Roman" w:eastAsia="Times New Roman" w:hAnsi="Times New Roman" w:cs="Times New Roman"/>
          <w:kern w:val="0"/>
          <w:sz w:val="24"/>
          <w:szCs w:val="24"/>
          <w:lang w:eastAsia="en-GB"/>
          <w14:ligatures w14:val="none"/>
        </w:rPr>
        <w:t>,</w:t>
      </w:r>
      <w:r w:rsidR="00412AFD" w:rsidRPr="00342F36">
        <w:rPr>
          <w:rFonts w:ascii="Times New Roman" w:hAnsi="Times New Roman" w:cs="Times New Roman"/>
        </w:rPr>
        <w:t xml:space="preserve"> </w:t>
      </w:r>
      <w:r w:rsidR="00412AFD" w:rsidRPr="00342F36">
        <w:rPr>
          <w:rFonts w:ascii="Times New Roman" w:eastAsia="Times New Roman" w:hAnsi="Times New Roman" w:cs="Times New Roman"/>
          <w:kern w:val="0"/>
          <w:sz w:val="24"/>
          <w:szCs w:val="24"/>
          <w:lang w:eastAsia="en-GB"/>
          <w14:ligatures w14:val="none"/>
        </w:rPr>
        <w:t xml:space="preserve">allowing for a more empathetic approach to managing change. </w:t>
      </w:r>
      <w:r w:rsidRPr="000B1EBC">
        <w:rPr>
          <w:rFonts w:ascii="Times New Roman" w:eastAsia="Times New Roman" w:hAnsi="Times New Roman" w:cs="Times New Roman"/>
          <w:kern w:val="0"/>
          <w:sz w:val="24"/>
          <w:szCs w:val="24"/>
          <w:lang w:eastAsia="en-GB"/>
          <w14:ligatures w14:val="none"/>
        </w:rPr>
        <w:t xml:space="preserve"> </w:t>
      </w:r>
      <w:r w:rsidR="00412AFD" w:rsidRPr="00342F36">
        <w:rPr>
          <w:rFonts w:ascii="Times New Roman" w:eastAsia="Times New Roman" w:hAnsi="Times New Roman" w:cs="Times New Roman"/>
          <w:kern w:val="0"/>
          <w:sz w:val="24"/>
          <w:szCs w:val="24"/>
          <w:lang w:eastAsia="en-GB"/>
          <w14:ligatures w14:val="none"/>
        </w:rPr>
        <w:t>B</w:t>
      </w:r>
      <w:r w:rsidRPr="000B1EBC">
        <w:rPr>
          <w:rFonts w:ascii="Times New Roman" w:eastAsia="Times New Roman" w:hAnsi="Times New Roman" w:cs="Times New Roman"/>
          <w:kern w:val="0"/>
          <w:sz w:val="24"/>
          <w:szCs w:val="24"/>
          <w:lang w:eastAsia="en-GB"/>
          <w14:ligatures w14:val="none"/>
        </w:rPr>
        <w:t>ut there also needs to be recognition that not all people will go through the same processes or even accept the change in the end, and it must be remembered that the outcome is the important part, not the change process. (CIPD, 2024)</w:t>
      </w:r>
    </w:p>
    <w:p w14:paraId="2408E0E1" w14:textId="77777777" w:rsidR="00937765" w:rsidRPr="00342F36"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6EA6020" w14:textId="7CCA606E"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b/>
          <w:bCs/>
          <w:kern w:val="0"/>
          <w:sz w:val="24"/>
          <w:szCs w:val="24"/>
          <w:lang w:eastAsia="en-GB"/>
          <w14:ligatures w14:val="none"/>
        </w:rPr>
        <w:t>9. 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189EB315" w14:textId="77C2A373" w:rsidR="00844A92" w:rsidRPr="00342F36" w:rsidRDefault="00844A92" w:rsidP="00844A9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42F36">
        <w:rPr>
          <w:rFonts w:ascii="Times New Roman" w:eastAsia="Times New Roman" w:hAnsi="Times New Roman" w:cs="Times New Roman"/>
          <w:kern w:val="0"/>
          <w:sz w:val="24"/>
          <w:szCs w:val="24"/>
          <w:lang w:eastAsia="en-GB"/>
          <w14:ligatures w14:val="none"/>
        </w:rPr>
        <w:t>Wellbeing at work is increasingly recognised as a key factor influencing both employee performance and organisational success. The CIPD’s Health and Wellbeing at Work Survey (2023) highlights that employees who feel supported in their physical and mental health are more engaged, motivated, and satisfied with their jobs (Armstrong, 2021). This results in a more resilient, productive, and committed workforce. A focus on wellbeing promotes positive relationships between employees and employers, creating a more positive work environment and reducing workplace conflicts.</w:t>
      </w:r>
    </w:p>
    <w:p w14:paraId="1B48E581" w14:textId="68891E06" w:rsidR="00844A92" w:rsidRPr="00342F36" w:rsidRDefault="00844A92" w:rsidP="00844A9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42F36">
        <w:rPr>
          <w:rFonts w:ascii="Times New Roman" w:eastAsia="Times New Roman" w:hAnsi="Times New Roman" w:cs="Times New Roman"/>
          <w:kern w:val="0"/>
          <w:sz w:val="24"/>
          <w:szCs w:val="24"/>
          <w:lang w:eastAsia="en-GB"/>
          <w14:ligatures w14:val="none"/>
        </w:rPr>
        <w:t xml:space="preserve">Good work, as defined by the CIPD, includes factors such as fair pay, work/life balance, and development opportunities (CIPD, 2023). These factors are key to reducing stress, improving job satisfaction, and achieving a better performance. Supporting employees through mental health resources and offering flexibility helps ensure they are not only productive but also more likely to stay with the organisation long term. Furthermore, wellbeing initiatives can help prevent workplace injuries and illnesses, resulting in fewer absences and a safer, more supportive environment. Encouraging social connections through team-building activities can </w:t>
      </w:r>
      <w:r w:rsidRPr="00342F36">
        <w:rPr>
          <w:rFonts w:ascii="Times New Roman" w:eastAsia="Times New Roman" w:hAnsi="Times New Roman" w:cs="Times New Roman"/>
          <w:kern w:val="0"/>
          <w:sz w:val="24"/>
          <w:szCs w:val="24"/>
          <w:lang w:eastAsia="en-GB"/>
          <w14:ligatures w14:val="none"/>
        </w:rPr>
        <w:lastRenderedPageBreak/>
        <w:t>also help employee engagement, promoting a sense of belonging especially in remote or hybrid work settings.</w:t>
      </w:r>
    </w:p>
    <w:p w14:paraId="4E733933" w14:textId="11E3C693" w:rsidR="00844A92" w:rsidRPr="00342F36" w:rsidRDefault="00844A92" w:rsidP="00844A9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42F36">
        <w:rPr>
          <w:rFonts w:ascii="Times New Roman" w:eastAsia="Times New Roman" w:hAnsi="Times New Roman" w:cs="Times New Roman"/>
          <w:kern w:val="0"/>
          <w:sz w:val="24"/>
          <w:szCs w:val="24"/>
          <w:lang w:eastAsia="en-GB"/>
          <w14:ligatures w14:val="none"/>
        </w:rPr>
        <w:t>From an employer’s perspective, having a focus on wellbeing can reduce costs related to sickness, low productivity, and turnover. A wellbeing strategy helps mitigate stress-related issues and prevent burnout (Kew &amp; Stredwick, 2013). Organisations with a strong wellbeing culture are better positioned to attract top talent and improve overall job satisfaction, which strengthens retention.</w:t>
      </w:r>
    </w:p>
    <w:p w14:paraId="578AAA62" w14:textId="17CA0BF7" w:rsidR="00937765" w:rsidRPr="00342F36" w:rsidRDefault="00844A92" w:rsidP="00844A9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42F36">
        <w:rPr>
          <w:rFonts w:ascii="Times New Roman" w:eastAsia="Times New Roman" w:hAnsi="Times New Roman" w:cs="Times New Roman"/>
          <w:kern w:val="0"/>
          <w:sz w:val="24"/>
          <w:szCs w:val="24"/>
          <w:lang w:eastAsia="en-GB"/>
          <w14:ligatures w14:val="none"/>
        </w:rPr>
        <w:t xml:space="preserve">Neglecting employee wellbeing can result in negative outcomes such as increased stress, burnout, and high turnover rates. Companies that overlook this risk damaging their reputation and hindering growth (Marchington et al., 2016). </w:t>
      </w:r>
      <w:r w:rsidR="00107651" w:rsidRPr="00342F36">
        <w:rPr>
          <w:rFonts w:ascii="Times New Roman" w:eastAsia="Times New Roman" w:hAnsi="Times New Roman" w:cs="Times New Roman"/>
          <w:kern w:val="0"/>
          <w:sz w:val="24"/>
          <w:szCs w:val="24"/>
          <w:lang w:eastAsia="en-GB"/>
          <w14:ligatures w14:val="none"/>
        </w:rPr>
        <w:t>Investing</w:t>
      </w:r>
      <w:r w:rsidRPr="00342F36">
        <w:rPr>
          <w:rFonts w:ascii="Times New Roman" w:eastAsia="Times New Roman" w:hAnsi="Times New Roman" w:cs="Times New Roman"/>
          <w:kern w:val="0"/>
          <w:sz w:val="24"/>
          <w:szCs w:val="24"/>
          <w:lang w:eastAsia="en-GB"/>
          <w14:ligatures w14:val="none"/>
        </w:rPr>
        <w:t xml:space="preserve"> in employee wellbeing not only improves individual satisfaction but also </w:t>
      </w:r>
      <w:r w:rsidR="00107651" w:rsidRPr="00342F36">
        <w:rPr>
          <w:rFonts w:ascii="Times New Roman" w:eastAsia="Times New Roman" w:hAnsi="Times New Roman" w:cs="Times New Roman"/>
          <w:kern w:val="0"/>
          <w:sz w:val="24"/>
          <w:szCs w:val="24"/>
          <w:lang w:eastAsia="en-GB"/>
          <w14:ligatures w14:val="none"/>
        </w:rPr>
        <w:t>builds a positive reputation of the organisation</w:t>
      </w:r>
      <w:r w:rsidRPr="00342F36">
        <w:rPr>
          <w:rFonts w:ascii="Times New Roman" w:eastAsia="Times New Roman" w:hAnsi="Times New Roman" w:cs="Times New Roman"/>
          <w:kern w:val="0"/>
          <w:sz w:val="24"/>
          <w:szCs w:val="24"/>
          <w:lang w:eastAsia="en-GB"/>
          <w14:ligatures w14:val="none"/>
        </w:rPr>
        <w:t>. By prioritising health and wellbeing, businesses can enhance employee engagement, boost morale, and drive productivity (CIPD, 2023).</w:t>
      </w:r>
    </w:p>
    <w:p w14:paraId="625AA178" w14:textId="7F48AACC"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b/>
          <w:bCs/>
          <w:kern w:val="0"/>
          <w:sz w:val="24"/>
          <w:szCs w:val="24"/>
          <w:lang w:eastAsia="en-GB"/>
          <w14:ligatures w14:val="none"/>
        </w:rPr>
        <w:t>10. Provide a brief overview of the employee lifecycle and discuss people practice roles at the recruitment, development and separation stages of the lifecycle. (AC 3.1)</w:t>
      </w:r>
    </w:p>
    <w:p w14:paraId="49F16132"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An employee lifecycle is the stages of an employee’s journey with an organisation, from their first involvement with the company through to their departure. It includes attraction, recruitment, onboarding, development, retention, and exit. Each stage of the cycle requires involvement from HR, Learning and Development, and Organisational Development teams to support employee engagement and productivity (Taylor &amp; Woodhams, 2022, CIPD, 2024).</w:t>
      </w:r>
    </w:p>
    <w:p w14:paraId="4C2A8485"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In the recruitment stage, HR plays a key role by creating job descriptions, sourcing candidates, and promoting the organisation to attract the right talent. Organisational Development supports this by ensuring job roles align with the company’s goals, while Learning and Development may help assess any specialised skills needed. Effective recruitment sets a foundation for future engagement by attracting individuals who align with the same values (Armstrong, 2023). HR teams often implement recruitment strategies that include employer branding and diversity initiatives to appeal to a broad range of candidates, ensuring inclusivity.</w:t>
      </w:r>
    </w:p>
    <w:p w14:paraId="162AB57D"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During the development phase, people practices work together to provide growth opportunities, performance feedback, and training. This phase helps employees progress in their careers while aligning their growth with the organisation’s needs. HR and Learning and Development contribute by providing career development programs and reward systems, which help job satisfaction and retention (Rees &amp; French, 2021). Organisational Development works to establish leadership development frameworks, promoting both individual and collective growth. This approach ensures that employees are not only gaining skills but also developing long term career paths within the organisation.</w:t>
      </w:r>
    </w:p>
    <w:p w14:paraId="7F8147B6"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 xml:space="preserve">In the separation stage, HR, along with the department managers, oversee the exit process, including exit interviews to gather feedback and ensure a smooth transition. Positive interactions during this phase can leave employees feeling valued and respected, contributing to the organisation’s reputation as a good employer. Organisational Development may also focus on succession planning to prepare for continuity in important roles (Horn, 2021). Additionally, HR may maintain relationships with former employees through ongoing </w:t>
      </w:r>
      <w:r w:rsidRPr="000B1EBC">
        <w:rPr>
          <w:rFonts w:ascii="Times New Roman" w:eastAsia="Times New Roman" w:hAnsi="Times New Roman" w:cs="Times New Roman"/>
          <w:kern w:val="0"/>
          <w:sz w:val="24"/>
          <w:szCs w:val="24"/>
          <w:lang w:eastAsia="en-GB"/>
          <w14:ligatures w14:val="none"/>
        </w:rPr>
        <w:lastRenderedPageBreak/>
        <w:t>communication channels, ensuring the company stays connected to valuable talent and looks after long term relationships.</w:t>
      </w:r>
    </w:p>
    <w:p w14:paraId="77724655" w14:textId="077D3708" w:rsidR="00937765" w:rsidRDefault="00937765" w:rsidP="00937765">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0B1EBC">
        <w:rPr>
          <w:rFonts w:ascii="Times New Roman" w:eastAsia="Times New Roman" w:hAnsi="Times New Roman" w:cs="Times New Roman"/>
          <w:b/>
          <w:bCs/>
          <w:kern w:val="0"/>
          <w:sz w:val="24"/>
          <w:szCs w:val="24"/>
          <w:lang w:eastAsia="en-GB"/>
          <w14:ligatures w14:val="none"/>
        </w:rPr>
        <w:t>11. Analyse how people practice supports organisational strategy through vertical integration and how people practice supports wider people strategies through horizontal integration. (AC 3.2)</w:t>
      </w:r>
    </w:p>
    <w:p w14:paraId="27EA5AFF" w14:textId="3BFEED69" w:rsidR="003A2798" w:rsidRPr="003A2798" w:rsidRDefault="003A2798" w:rsidP="003A279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798">
        <w:rPr>
          <w:rFonts w:ascii="Times New Roman" w:eastAsia="Times New Roman" w:hAnsi="Times New Roman" w:cs="Times New Roman"/>
          <w:kern w:val="0"/>
          <w:sz w:val="24"/>
          <w:szCs w:val="24"/>
          <w:lang w:eastAsia="en-GB"/>
          <w14:ligatures w14:val="none"/>
        </w:rPr>
        <w:t xml:space="preserve">People practices are key to helping organisations achieve their goals by aligning HR activities with overall business strategies and ensuring consistency across HR functions. This can be achieved through vertical integration, which focuses on linking HR with the organisation’s objectives, and horizontal integration, which ensures that HR practices work together. These approaches are crucial in making good people great managers by </w:t>
      </w:r>
      <w:r>
        <w:rPr>
          <w:rFonts w:ascii="Times New Roman" w:eastAsia="Times New Roman" w:hAnsi="Times New Roman" w:cs="Times New Roman"/>
          <w:kern w:val="0"/>
          <w:sz w:val="24"/>
          <w:szCs w:val="24"/>
          <w:lang w:eastAsia="en-GB"/>
          <w14:ligatures w14:val="none"/>
        </w:rPr>
        <w:t>giving</w:t>
      </w:r>
      <w:r w:rsidRPr="003A2798">
        <w:rPr>
          <w:rFonts w:ascii="Times New Roman" w:eastAsia="Times New Roman" w:hAnsi="Times New Roman" w:cs="Times New Roman"/>
          <w:kern w:val="0"/>
          <w:sz w:val="24"/>
          <w:szCs w:val="24"/>
          <w:lang w:eastAsia="en-GB"/>
          <w14:ligatures w14:val="none"/>
        </w:rPr>
        <w:t xml:space="preserve"> them the support and resources needed to succeed.</w:t>
      </w:r>
    </w:p>
    <w:p w14:paraId="7416B277" w14:textId="22190D3C" w:rsidR="003A2798" w:rsidRPr="003A2798" w:rsidRDefault="003A2798" w:rsidP="003A279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798">
        <w:rPr>
          <w:rFonts w:ascii="Times New Roman" w:eastAsia="Times New Roman" w:hAnsi="Times New Roman" w:cs="Times New Roman"/>
          <w:kern w:val="0"/>
          <w:sz w:val="24"/>
          <w:szCs w:val="24"/>
          <w:lang w:eastAsia="en-GB"/>
          <w14:ligatures w14:val="none"/>
        </w:rPr>
        <w:t xml:space="preserve">Vertical integration is about connecting HR activities directly to the organisation’s strategy. The CIPD (2024) explains that HR should work closely with senior leaders to </w:t>
      </w:r>
      <w:r w:rsidR="00815CAA">
        <w:rPr>
          <w:rFonts w:ascii="Times New Roman" w:eastAsia="Times New Roman" w:hAnsi="Times New Roman" w:cs="Times New Roman"/>
          <w:kern w:val="0"/>
          <w:sz w:val="24"/>
          <w:szCs w:val="24"/>
          <w:lang w:eastAsia="en-GB"/>
          <w14:ligatures w14:val="none"/>
        </w:rPr>
        <w:t xml:space="preserve">look at </w:t>
      </w:r>
      <w:r w:rsidRPr="003A2798">
        <w:rPr>
          <w:rFonts w:ascii="Times New Roman" w:eastAsia="Times New Roman" w:hAnsi="Times New Roman" w:cs="Times New Roman"/>
          <w:kern w:val="0"/>
          <w:sz w:val="24"/>
          <w:szCs w:val="24"/>
          <w:lang w:eastAsia="en-GB"/>
          <w14:ligatures w14:val="none"/>
        </w:rPr>
        <w:t>practices that support key priorities. For example, if an organisation wants to improve customer experience, HR might focus on hiring employees with strong communication skills, offering customer service training, and rewarding behaviour that enhances customer satisfaction.</w:t>
      </w:r>
    </w:p>
    <w:p w14:paraId="3AAC9F38" w14:textId="7E468E36" w:rsidR="003A2798" w:rsidRPr="003A2798" w:rsidRDefault="003A2798" w:rsidP="003A279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798">
        <w:rPr>
          <w:rFonts w:ascii="Times New Roman" w:eastAsia="Times New Roman" w:hAnsi="Times New Roman" w:cs="Times New Roman"/>
          <w:kern w:val="0"/>
          <w:sz w:val="24"/>
          <w:szCs w:val="24"/>
          <w:lang w:eastAsia="en-GB"/>
          <w14:ligatures w14:val="none"/>
        </w:rPr>
        <w:t xml:space="preserve">Making good managers great managers requires this alignment to ensure managers understand their role in achieving strategic objectives. Armstrong (2023) notes that vertical integration enables managers to see how their teams contribute to the organisation’s success. </w:t>
      </w:r>
      <w:r>
        <w:rPr>
          <w:rFonts w:ascii="Times New Roman" w:eastAsia="Times New Roman" w:hAnsi="Times New Roman" w:cs="Times New Roman"/>
          <w:kern w:val="0"/>
          <w:sz w:val="24"/>
          <w:szCs w:val="24"/>
          <w:lang w:eastAsia="en-GB"/>
          <w14:ligatures w14:val="none"/>
        </w:rPr>
        <w:t>If</w:t>
      </w:r>
      <w:r w:rsidRPr="003A2798">
        <w:rPr>
          <w:rFonts w:ascii="Times New Roman" w:eastAsia="Times New Roman" w:hAnsi="Times New Roman" w:cs="Times New Roman"/>
          <w:kern w:val="0"/>
          <w:sz w:val="24"/>
          <w:szCs w:val="24"/>
          <w:lang w:eastAsia="en-GB"/>
          <w14:ligatures w14:val="none"/>
        </w:rPr>
        <w:t xml:space="preserve"> innovation is a priority, HR can provide managers with the tools and training needed to promote creativity in their teams. This alignment helps managers focus on achieving goals while building motivated and effective teams.</w:t>
      </w:r>
    </w:p>
    <w:p w14:paraId="0C155D91" w14:textId="685AE489" w:rsidR="003A2798" w:rsidRPr="003A2798" w:rsidRDefault="003A2798" w:rsidP="003A279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798">
        <w:rPr>
          <w:rFonts w:ascii="Times New Roman" w:eastAsia="Times New Roman" w:hAnsi="Times New Roman" w:cs="Times New Roman"/>
          <w:kern w:val="0"/>
          <w:sz w:val="24"/>
          <w:szCs w:val="24"/>
          <w:lang w:eastAsia="en-GB"/>
          <w14:ligatures w14:val="none"/>
        </w:rPr>
        <w:t>While vertical integration focuses on alignment with strategy, horizontal integration ensures all HR practices are connected. Recruitment, performance management, learning and development, and succession planning should work together to create a</w:t>
      </w:r>
      <w:r>
        <w:rPr>
          <w:rFonts w:ascii="Times New Roman" w:eastAsia="Times New Roman" w:hAnsi="Times New Roman" w:cs="Times New Roman"/>
          <w:kern w:val="0"/>
          <w:sz w:val="24"/>
          <w:szCs w:val="24"/>
          <w:lang w:eastAsia="en-GB"/>
          <w14:ligatures w14:val="none"/>
        </w:rPr>
        <w:t xml:space="preserve">n </w:t>
      </w:r>
      <w:r w:rsidRPr="003A2798">
        <w:rPr>
          <w:rFonts w:ascii="Times New Roman" w:eastAsia="Times New Roman" w:hAnsi="Times New Roman" w:cs="Times New Roman"/>
          <w:kern w:val="0"/>
          <w:sz w:val="24"/>
          <w:szCs w:val="24"/>
          <w:lang w:eastAsia="en-GB"/>
          <w14:ligatures w14:val="none"/>
        </w:rPr>
        <w:t>approach that supports both employees and managers. According to the CIPD (2024), this improves the employee experience and provides managers with clear and reliable frameworks to lead effectively.</w:t>
      </w:r>
    </w:p>
    <w:p w14:paraId="36803A0D" w14:textId="2B2FDB9E" w:rsidR="003A2798" w:rsidRPr="003A2798" w:rsidRDefault="003A2798" w:rsidP="003A279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A</w:t>
      </w:r>
      <w:r w:rsidRPr="003A2798">
        <w:rPr>
          <w:rFonts w:ascii="Times New Roman" w:eastAsia="Times New Roman" w:hAnsi="Times New Roman" w:cs="Times New Roman"/>
          <w:kern w:val="0"/>
          <w:sz w:val="24"/>
          <w:szCs w:val="24"/>
          <w:lang w:eastAsia="en-GB"/>
          <w14:ligatures w14:val="none"/>
        </w:rPr>
        <w:t xml:space="preserve">n organisation looking to enhance leadership might align its recruitment strategy with leadership development programmes. Managers could be identified for development early on, trained through tailored programmes, and assessed with performance management tools that </w:t>
      </w:r>
      <w:r w:rsidR="00815CAA">
        <w:rPr>
          <w:rFonts w:ascii="Times New Roman" w:eastAsia="Times New Roman" w:hAnsi="Times New Roman" w:cs="Times New Roman"/>
          <w:kern w:val="0"/>
          <w:sz w:val="24"/>
          <w:szCs w:val="24"/>
          <w:lang w:eastAsia="en-GB"/>
          <w14:ligatures w14:val="none"/>
        </w:rPr>
        <w:t>help</w:t>
      </w:r>
      <w:r w:rsidRPr="003A2798">
        <w:rPr>
          <w:rFonts w:ascii="Times New Roman" w:eastAsia="Times New Roman" w:hAnsi="Times New Roman" w:cs="Times New Roman"/>
          <w:kern w:val="0"/>
          <w:sz w:val="24"/>
          <w:szCs w:val="24"/>
          <w:lang w:eastAsia="en-GB"/>
          <w14:ligatures w14:val="none"/>
        </w:rPr>
        <w:t xml:space="preserve"> their growth. Rees and French (2021) argue that when HR practices are integrated horizontally, managers benefit from consistency, which helps them feel supported and confident in their roles.</w:t>
      </w:r>
    </w:p>
    <w:p w14:paraId="5B05661B" w14:textId="77777777" w:rsidR="003A2798" w:rsidRPr="003A2798" w:rsidRDefault="003A2798" w:rsidP="003A279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798">
        <w:rPr>
          <w:rFonts w:ascii="Times New Roman" w:eastAsia="Times New Roman" w:hAnsi="Times New Roman" w:cs="Times New Roman"/>
          <w:kern w:val="0"/>
          <w:sz w:val="24"/>
          <w:szCs w:val="24"/>
          <w:lang w:eastAsia="en-GB"/>
          <w14:ligatures w14:val="none"/>
        </w:rPr>
        <w:t>By ensuring horizontal integration, organisations can turn good people into great managers by providing a structured and consistent experience. Managers are better equipped to lead when HR processes are clearly linked, allowing them to focus on achieving results and supporting their teams.</w:t>
      </w:r>
    </w:p>
    <w:p w14:paraId="561B01DF" w14:textId="6608FF02" w:rsidR="003A2798" w:rsidRPr="003A2798" w:rsidRDefault="003A2798" w:rsidP="003A279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798">
        <w:rPr>
          <w:rFonts w:ascii="Times New Roman" w:eastAsia="Times New Roman" w:hAnsi="Times New Roman" w:cs="Times New Roman"/>
          <w:kern w:val="0"/>
          <w:sz w:val="24"/>
          <w:szCs w:val="24"/>
          <w:lang w:eastAsia="en-GB"/>
          <w14:ligatures w14:val="none"/>
        </w:rPr>
        <w:t>When vertical and horizontal integration are combined, they create a framework that aligns HR with organisational strategy</w:t>
      </w:r>
      <w:r>
        <w:rPr>
          <w:rFonts w:ascii="Times New Roman" w:eastAsia="Times New Roman" w:hAnsi="Times New Roman" w:cs="Times New Roman"/>
          <w:kern w:val="0"/>
          <w:sz w:val="24"/>
          <w:szCs w:val="24"/>
          <w:lang w:eastAsia="en-GB"/>
          <w14:ligatures w14:val="none"/>
        </w:rPr>
        <w:t xml:space="preserve">. </w:t>
      </w:r>
      <w:r w:rsidRPr="003A2798">
        <w:rPr>
          <w:rFonts w:ascii="Times New Roman" w:eastAsia="Times New Roman" w:hAnsi="Times New Roman" w:cs="Times New Roman"/>
          <w:kern w:val="0"/>
          <w:sz w:val="24"/>
          <w:szCs w:val="24"/>
          <w:lang w:eastAsia="en-GB"/>
          <w14:ligatures w14:val="none"/>
        </w:rPr>
        <w:t xml:space="preserve">Vertical integration helps managers connect their daily </w:t>
      </w:r>
      <w:r w:rsidRPr="003A2798">
        <w:rPr>
          <w:rFonts w:ascii="Times New Roman" w:eastAsia="Times New Roman" w:hAnsi="Times New Roman" w:cs="Times New Roman"/>
          <w:kern w:val="0"/>
          <w:sz w:val="24"/>
          <w:szCs w:val="24"/>
          <w:lang w:eastAsia="en-GB"/>
          <w14:ligatures w14:val="none"/>
        </w:rPr>
        <w:lastRenderedPageBreak/>
        <w:t>activities to business goals, while horizontal integration ensures that all HR processes work to support them.</w:t>
      </w:r>
    </w:p>
    <w:p w14:paraId="4B17DAE1" w14:textId="4E318FFD"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b/>
          <w:bCs/>
          <w:kern w:val="0"/>
          <w:sz w:val="24"/>
          <w:szCs w:val="24"/>
          <w:lang w:eastAsia="en-GB"/>
          <w14:ligatures w14:val="none"/>
        </w:rPr>
        <w:t>12. An organisation is planning to introduce a four-day working week. Discuss the processes the people function could use to consult and engage with managers and employees to understand their needs when moving from a five-day to four-day working week. (AC 3.3)</w:t>
      </w:r>
    </w:p>
    <w:p w14:paraId="6D34BB1C"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 xml:space="preserve">When an organisation plans to introduce a </w:t>
      </w:r>
      <w:proofErr w:type="gramStart"/>
      <w:r w:rsidRPr="000B1EBC">
        <w:rPr>
          <w:rFonts w:ascii="Times New Roman" w:eastAsia="Times New Roman" w:hAnsi="Times New Roman" w:cs="Times New Roman"/>
          <w:kern w:val="0"/>
          <w:sz w:val="24"/>
          <w:szCs w:val="24"/>
          <w:lang w:eastAsia="en-GB"/>
          <w14:ligatures w14:val="none"/>
        </w:rPr>
        <w:t>four day</w:t>
      </w:r>
      <w:proofErr w:type="gramEnd"/>
      <w:r w:rsidRPr="000B1EBC">
        <w:rPr>
          <w:rFonts w:ascii="Times New Roman" w:eastAsia="Times New Roman" w:hAnsi="Times New Roman" w:cs="Times New Roman"/>
          <w:kern w:val="0"/>
          <w:sz w:val="24"/>
          <w:szCs w:val="24"/>
          <w:lang w:eastAsia="en-GB"/>
          <w14:ligatures w14:val="none"/>
        </w:rPr>
        <w:t xml:space="preserve"> working week, it is vital that a consultation takes place involving both managers and employees. This ensures that the transition is smooth and that the new working arrangement meets the needs of both the workforce and the business. (CIPD, 2024)</w:t>
      </w:r>
    </w:p>
    <w:p w14:paraId="1AFB050E"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The first step in the consultation process is to identify key stakeholders, including managers, employees, and trade unions, if applicable. The people function should involve stakeholders early in the planning phase to gain insights into their concerns, expectations, and suggestions regarding the proposed change. According to CIPD (2024), early engagement is crucial in managing any resistance to change and ensuring that all parties are on board.</w:t>
      </w:r>
    </w:p>
    <w:p w14:paraId="2AFDA282"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Focus groups, surveys, or individual meetings can be used to gather feedback. Employees can express their thoughts about the change in working hours on their workload, work life balance, and career progression. Managers can provide insights into how the change might affect team performance, productivity, and service delivery. Involving everyone in the discussion helps to build trust and ensures that the new arrangement will be tailored to the needs of the organisation as well as its employees.</w:t>
      </w:r>
    </w:p>
    <w:p w14:paraId="5F502672"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 xml:space="preserve">One of the key considerations in introducing a </w:t>
      </w:r>
      <w:proofErr w:type="gramStart"/>
      <w:r w:rsidRPr="000B1EBC">
        <w:rPr>
          <w:rFonts w:ascii="Times New Roman" w:eastAsia="Times New Roman" w:hAnsi="Times New Roman" w:cs="Times New Roman"/>
          <w:kern w:val="0"/>
          <w:sz w:val="24"/>
          <w:szCs w:val="24"/>
          <w:lang w:eastAsia="en-GB"/>
          <w14:ligatures w14:val="none"/>
        </w:rPr>
        <w:t>four day</w:t>
      </w:r>
      <w:proofErr w:type="gramEnd"/>
      <w:r w:rsidRPr="000B1EBC">
        <w:rPr>
          <w:rFonts w:ascii="Times New Roman" w:eastAsia="Times New Roman" w:hAnsi="Times New Roman" w:cs="Times New Roman"/>
          <w:kern w:val="0"/>
          <w:sz w:val="24"/>
          <w:szCs w:val="24"/>
          <w:lang w:eastAsia="en-GB"/>
          <w14:ligatures w14:val="none"/>
        </w:rPr>
        <w:t xml:space="preserve"> working week is how it will affect workload and productivity. The people function can work closely with managers to assess whether the same volume of work can be completed in fewer hours. According to Armstrong (2023), it is important to analyse the operational impact of any significant change to working hours, particularly on business outputs. This step could involve gathering data on current workloads, identifying critical tasks, and determining whether any adjustments to job roles or processes are necessary. Additionally, the people function should consider the possibility of redistributing tasks to ensure that employees are not </w:t>
      </w:r>
      <w:proofErr w:type="gramStart"/>
      <w:r w:rsidRPr="000B1EBC">
        <w:rPr>
          <w:rFonts w:ascii="Times New Roman" w:eastAsia="Times New Roman" w:hAnsi="Times New Roman" w:cs="Times New Roman"/>
          <w:kern w:val="0"/>
          <w:sz w:val="24"/>
          <w:szCs w:val="24"/>
          <w:lang w:eastAsia="en-GB"/>
          <w14:ligatures w14:val="none"/>
        </w:rPr>
        <w:t>overwhelmed</w:t>
      </w:r>
      <w:proofErr w:type="gramEnd"/>
      <w:r w:rsidRPr="000B1EBC">
        <w:rPr>
          <w:rFonts w:ascii="Times New Roman" w:eastAsia="Times New Roman" w:hAnsi="Times New Roman" w:cs="Times New Roman"/>
          <w:kern w:val="0"/>
          <w:sz w:val="24"/>
          <w:szCs w:val="24"/>
          <w:lang w:eastAsia="en-GB"/>
          <w14:ligatures w14:val="none"/>
        </w:rPr>
        <w:t xml:space="preserve"> and that productivity does not suffer.</w:t>
      </w:r>
    </w:p>
    <w:p w14:paraId="20DFDFB9"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 xml:space="preserve">Before implementing a </w:t>
      </w:r>
      <w:proofErr w:type="gramStart"/>
      <w:r w:rsidRPr="000B1EBC">
        <w:rPr>
          <w:rFonts w:ascii="Times New Roman" w:eastAsia="Times New Roman" w:hAnsi="Times New Roman" w:cs="Times New Roman"/>
          <w:kern w:val="0"/>
          <w:sz w:val="24"/>
          <w:szCs w:val="24"/>
          <w:lang w:eastAsia="en-GB"/>
          <w14:ligatures w14:val="none"/>
        </w:rPr>
        <w:t>four day</w:t>
      </w:r>
      <w:proofErr w:type="gramEnd"/>
      <w:r w:rsidRPr="000B1EBC">
        <w:rPr>
          <w:rFonts w:ascii="Times New Roman" w:eastAsia="Times New Roman" w:hAnsi="Times New Roman" w:cs="Times New Roman"/>
          <w:kern w:val="0"/>
          <w:sz w:val="24"/>
          <w:szCs w:val="24"/>
          <w:lang w:eastAsia="en-GB"/>
          <w14:ligatures w14:val="none"/>
        </w:rPr>
        <w:t xml:space="preserve"> working week organisation wide, a trial can be introduced. (</w:t>
      </w:r>
      <w:proofErr w:type="spellStart"/>
      <w:r w:rsidRPr="000B1EBC">
        <w:rPr>
          <w:rFonts w:ascii="Times New Roman" w:eastAsia="Times New Roman" w:hAnsi="Times New Roman" w:cs="Times New Roman"/>
          <w:kern w:val="0"/>
          <w:sz w:val="24"/>
          <w:szCs w:val="24"/>
          <w:lang w:eastAsia="en-GB"/>
          <w14:ligatures w14:val="none"/>
        </w:rPr>
        <w:t>Workvivo</w:t>
      </w:r>
      <w:proofErr w:type="spellEnd"/>
      <w:r w:rsidRPr="000B1EBC">
        <w:rPr>
          <w:rFonts w:ascii="Times New Roman" w:eastAsia="Times New Roman" w:hAnsi="Times New Roman" w:cs="Times New Roman"/>
          <w:kern w:val="0"/>
          <w:sz w:val="24"/>
          <w:szCs w:val="24"/>
          <w:lang w:eastAsia="en-GB"/>
          <w14:ligatures w14:val="none"/>
        </w:rPr>
        <w:t>, 2024). This allows the organisation to test the new working arrangement and gather feedback on its effectiveness. The CIPD (2024) suggests that trial schemes provide valuable insights into the practicalities of a new working model, helping to identify potential issues early on.</w:t>
      </w:r>
    </w:p>
    <w:p w14:paraId="47967CCC"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 xml:space="preserve">During the trial, the people function should monitor key performance indicators (KPIs) such as employee productivity, engagement, and well-being. Managers should also be closely involved in evaluating how the new working week impacts team performance and the </w:t>
      </w:r>
      <w:proofErr w:type="gramStart"/>
      <w:r w:rsidRPr="000B1EBC">
        <w:rPr>
          <w:rFonts w:ascii="Times New Roman" w:eastAsia="Times New Roman" w:hAnsi="Times New Roman" w:cs="Times New Roman"/>
          <w:kern w:val="0"/>
          <w:sz w:val="24"/>
          <w:szCs w:val="24"/>
          <w:lang w:eastAsia="en-GB"/>
          <w14:ligatures w14:val="none"/>
        </w:rPr>
        <w:t>quality of service</w:t>
      </w:r>
      <w:proofErr w:type="gramEnd"/>
      <w:r w:rsidRPr="000B1EBC">
        <w:rPr>
          <w:rFonts w:ascii="Times New Roman" w:eastAsia="Times New Roman" w:hAnsi="Times New Roman" w:cs="Times New Roman"/>
          <w:kern w:val="0"/>
          <w:sz w:val="24"/>
          <w:szCs w:val="24"/>
          <w:lang w:eastAsia="en-GB"/>
          <w14:ligatures w14:val="none"/>
        </w:rPr>
        <w:t xml:space="preserve"> delivery. The feedback collected during the trial period will allow for adjustments to be made before a full rollout.</w:t>
      </w:r>
    </w:p>
    <w:p w14:paraId="733E679C"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 xml:space="preserve">Effective communication is essential throughout the consultation process. The people function should ensure that employees and managers are kept informed about the reasons </w:t>
      </w:r>
      <w:r w:rsidRPr="000B1EBC">
        <w:rPr>
          <w:rFonts w:ascii="Times New Roman" w:eastAsia="Times New Roman" w:hAnsi="Times New Roman" w:cs="Times New Roman"/>
          <w:kern w:val="0"/>
          <w:sz w:val="24"/>
          <w:szCs w:val="24"/>
          <w:lang w:eastAsia="en-GB"/>
          <w14:ligatures w14:val="none"/>
        </w:rPr>
        <w:lastRenderedPageBreak/>
        <w:t xml:space="preserve">behind the change, the expected outcomes, and how it will be implemented. Regular updates through meetings, emails, and internal communications will help to address any concerns and prevent misinformation from spreading. This will also involve setting expectations about the new working week. It is important to clarify whether the </w:t>
      </w:r>
      <w:proofErr w:type="gramStart"/>
      <w:r w:rsidRPr="000B1EBC">
        <w:rPr>
          <w:rFonts w:ascii="Times New Roman" w:eastAsia="Times New Roman" w:hAnsi="Times New Roman" w:cs="Times New Roman"/>
          <w:kern w:val="0"/>
          <w:sz w:val="24"/>
          <w:szCs w:val="24"/>
          <w:lang w:eastAsia="en-GB"/>
          <w14:ligatures w14:val="none"/>
        </w:rPr>
        <w:t>four day</w:t>
      </w:r>
      <w:proofErr w:type="gramEnd"/>
      <w:r w:rsidRPr="000B1EBC">
        <w:rPr>
          <w:rFonts w:ascii="Times New Roman" w:eastAsia="Times New Roman" w:hAnsi="Times New Roman" w:cs="Times New Roman"/>
          <w:kern w:val="0"/>
          <w:sz w:val="24"/>
          <w:szCs w:val="24"/>
          <w:lang w:eastAsia="en-GB"/>
          <w14:ligatures w14:val="none"/>
        </w:rPr>
        <w:t xml:space="preserve"> working week will involve longer working days or whether the hours will be spread across the week. Communication is key to ensuring that everyone understands the changes and feels included in the </w:t>
      </w:r>
      <w:proofErr w:type="gramStart"/>
      <w:r w:rsidRPr="000B1EBC">
        <w:rPr>
          <w:rFonts w:ascii="Times New Roman" w:eastAsia="Times New Roman" w:hAnsi="Times New Roman" w:cs="Times New Roman"/>
          <w:kern w:val="0"/>
          <w:sz w:val="24"/>
          <w:szCs w:val="24"/>
          <w:lang w:eastAsia="en-GB"/>
          <w14:ligatures w14:val="none"/>
        </w:rPr>
        <w:t>decision making</w:t>
      </w:r>
      <w:proofErr w:type="gramEnd"/>
      <w:r w:rsidRPr="000B1EBC">
        <w:rPr>
          <w:rFonts w:ascii="Times New Roman" w:eastAsia="Times New Roman" w:hAnsi="Times New Roman" w:cs="Times New Roman"/>
          <w:kern w:val="0"/>
          <w:sz w:val="24"/>
          <w:szCs w:val="24"/>
          <w:lang w:eastAsia="en-GB"/>
          <w14:ligatures w14:val="none"/>
        </w:rPr>
        <w:t xml:space="preserve"> process (Rees &amp; French, 2021).</w:t>
      </w:r>
    </w:p>
    <w:p w14:paraId="3C19D325"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Managers play a critical role. They will need to adapt to managing teams with different schedules and ensuring that team performance remains high. As noted by Armstrong (2023), training and support for managers are essential when implementing organisational changes. The people function can provide managers with resources and training to help them navigate the transition, manage their teams effectively, and address any challenges that arise.</w:t>
      </w:r>
    </w:p>
    <w:p w14:paraId="45C5F581"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1EBC">
        <w:rPr>
          <w:rFonts w:ascii="Times New Roman" w:eastAsia="Times New Roman" w:hAnsi="Times New Roman" w:cs="Times New Roman"/>
          <w:kern w:val="0"/>
          <w:sz w:val="24"/>
          <w:szCs w:val="24"/>
          <w:lang w:eastAsia="en-GB"/>
          <w14:ligatures w14:val="none"/>
        </w:rPr>
        <w:t>All of this requires careful planning and consultation with managers and employees to ensure its success. If careful steps are followed, the organisation can create a working environment that supports both business objectives and employee wellbeing, while also ensuring that the transition is as smooth as possible.</w:t>
      </w:r>
    </w:p>
    <w:p w14:paraId="56681F24" w14:textId="77777777" w:rsidR="00937765"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37F9AA4" w14:textId="77777777" w:rsidR="00937765" w:rsidRPr="000B1EBC" w:rsidRDefault="00937765" w:rsidP="0093776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3F58D4E" w14:textId="119C5594" w:rsidR="00937765" w:rsidRPr="00937765" w:rsidRDefault="00937765" w:rsidP="00937765">
      <w:pPr>
        <w:spacing w:after="0" w:line="240" w:lineRule="auto"/>
        <w:rPr>
          <w:rFonts w:ascii="Times New Roman" w:eastAsia="Times New Roman" w:hAnsi="Times New Roman" w:cs="Times New Roman"/>
          <w:kern w:val="0"/>
          <w:sz w:val="24"/>
          <w:szCs w:val="24"/>
          <w:u w:val="single"/>
          <w:lang w:eastAsia="en-GB"/>
          <w14:ligatures w14:val="none"/>
        </w:rPr>
      </w:pPr>
      <w:r w:rsidRPr="000B1EBC">
        <w:rPr>
          <w:rFonts w:ascii="Times New Roman" w:eastAsia="Times New Roman" w:hAnsi="Times New Roman" w:cs="Times New Roman"/>
          <w:b/>
          <w:bCs/>
          <w:kern w:val="0"/>
          <w:sz w:val="27"/>
          <w:szCs w:val="27"/>
          <w:u w:val="single"/>
          <w:lang w:eastAsia="en-GB"/>
          <w14:ligatures w14:val="none"/>
        </w:rPr>
        <w:t>References</w:t>
      </w:r>
    </w:p>
    <w:p w14:paraId="0E3AC01C" w14:textId="77777777" w:rsidR="00937765" w:rsidRDefault="00937765" w:rsidP="00937765">
      <w:pPr>
        <w:pStyle w:val="NormalWeb"/>
      </w:pPr>
      <w:r>
        <w:t xml:space="preserve">Armstrong, M. (2021) </w:t>
      </w:r>
      <w:r>
        <w:rPr>
          <w:rStyle w:val="Emphasis"/>
          <w:rFonts w:eastAsiaTheme="majorEastAsia"/>
        </w:rPr>
        <w:t>Armstrong’s Handbook of Human Resource Management Practice</w:t>
      </w:r>
      <w:r>
        <w:t xml:space="preserve">. 15th </w:t>
      </w:r>
      <w:proofErr w:type="spellStart"/>
      <w:r>
        <w:t>edn</w:t>
      </w:r>
      <w:proofErr w:type="spellEnd"/>
      <w:r>
        <w:t>. London: Kogan Page.</w:t>
      </w:r>
    </w:p>
    <w:p w14:paraId="7EE897C8" w14:textId="77777777" w:rsidR="00937765" w:rsidRDefault="00937765" w:rsidP="00937765">
      <w:pPr>
        <w:pStyle w:val="NormalWeb"/>
      </w:pPr>
      <w:r>
        <w:t xml:space="preserve">Armstrong, M. (2023) </w:t>
      </w:r>
      <w:r>
        <w:rPr>
          <w:rStyle w:val="Emphasis"/>
          <w:rFonts w:eastAsiaTheme="majorEastAsia"/>
        </w:rPr>
        <w:t>Human Resource Management Practice</w:t>
      </w:r>
      <w:r>
        <w:t xml:space="preserve">. 16th </w:t>
      </w:r>
      <w:proofErr w:type="spellStart"/>
      <w:r>
        <w:t>edn</w:t>
      </w:r>
      <w:proofErr w:type="spellEnd"/>
      <w:r>
        <w:t>. London: Kogan Page.</w:t>
      </w:r>
    </w:p>
    <w:p w14:paraId="3C13DAE7" w14:textId="254796D5" w:rsidR="00937765" w:rsidRDefault="00937765" w:rsidP="00937765">
      <w:pPr>
        <w:pStyle w:val="NormalWeb"/>
      </w:pPr>
      <w:r>
        <w:t xml:space="preserve">Bank of England (2024) ‘Bank of England Base Rate’. Available at: </w:t>
      </w:r>
      <w:hyperlink r:id="rId4" w:tgtFrame="_new" w:history="1">
        <w:r>
          <w:rPr>
            <w:rStyle w:val="Hyperlink"/>
            <w:rFonts w:eastAsiaTheme="majorEastAsia"/>
          </w:rPr>
          <w:t>https://www.bankofengland.co.uk/</w:t>
        </w:r>
      </w:hyperlink>
      <w:r>
        <w:t xml:space="preserve"> </w:t>
      </w:r>
    </w:p>
    <w:p w14:paraId="60C1A483" w14:textId="77777777" w:rsidR="00937765" w:rsidRDefault="00937765" w:rsidP="00937765">
      <w:pPr>
        <w:pStyle w:val="NormalWeb"/>
      </w:pPr>
      <w:r>
        <w:t xml:space="preserve">Buchanan, D. and Huczynski, A. (2017) </w:t>
      </w:r>
      <w:r>
        <w:rPr>
          <w:rStyle w:val="Emphasis"/>
          <w:rFonts w:eastAsiaTheme="majorEastAsia"/>
        </w:rPr>
        <w:t>Organisational Behaviour</w:t>
      </w:r>
      <w:r>
        <w:t xml:space="preserve">. 9th </w:t>
      </w:r>
      <w:proofErr w:type="spellStart"/>
      <w:r>
        <w:t>edn</w:t>
      </w:r>
      <w:proofErr w:type="spellEnd"/>
      <w:r>
        <w:t>. Harlow: Pearson Education.</w:t>
      </w:r>
    </w:p>
    <w:p w14:paraId="7FD11233" w14:textId="6575B22B" w:rsidR="00937765" w:rsidRDefault="00937765" w:rsidP="00937765">
      <w:pPr>
        <w:pStyle w:val="NormalWeb"/>
      </w:pPr>
      <w:r>
        <w:t xml:space="preserve">Built In (2024) ‘30% of Workers Left Their Jobs in 2021 Due to Lack of Career Opportunities’. Available at: </w:t>
      </w:r>
      <w:hyperlink r:id="rId5" w:tgtFrame="_new" w:history="1">
        <w:r>
          <w:rPr>
            <w:rStyle w:val="Hyperlink"/>
            <w:rFonts w:eastAsiaTheme="majorEastAsia"/>
          </w:rPr>
          <w:t>https://builtin.com/</w:t>
        </w:r>
      </w:hyperlink>
      <w:r>
        <w:t xml:space="preserve"> [Accessed 20</w:t>
      </w:r>
      <w:r w:rsidRPr="00937765">
        <w:rPr>
          <w:vertAlign w:val="superscript"/>
        </w:rPr>
        <w:t>th</w:t>
      </w:r>
      <w:r>
        <w:t xml:space="preserve"> October 2024].</w:t>
      </w:r>
    </w:p>
    <w:p w14:paraId="12B41BDA" w14:textId="77777777" w:rsidR="00937765" w:rsidRDefault="00937765" w:rsidP="00937765">
      <w:pPr>
        <w:pStyle w:val="NormalWeb"/>
      </w:pPr>
      <w:r>
        <w:t xml:space="preserve">CIPD (2023) </w:t>
      </w:r>
      <w:r>
        <w:rPr>
          <w:rStyle w:val="Emphasis"/>
          <w:rFonts w:eastAsiaTheme="majorEastAsia"/>
        </w:rPr>
        <w:t>Health and Wellbeing at Work Survey 2023</w:t>
      </w:r>
      <w:r>
        <w:t>. London: CIPD.</w:t>
      </w:r>
    </w:p>
    <w:p w14:paraId="229D2E46" w14:textId="6F410FAF" w:rsidR="00937765" w:rsidRDefault="00937765" w:rsidP="00937765">
      <w:pPr>
        <w:pStyle w:val="NormalWeb"/>
      </w:pPr>
      <w:r>
        <w:t xml:space="preserve">CIPD (2024) </w:t>
      </w:r>
      <w:r>
        <w:rPr>
          <w:rStyle w:val="Emphasis"/>
          <w:rFonts w:eastAsiaTheme="majorEastAsia"/>
        </w:rPr>
        <w:t>The Role of Artificial Intelligence in HR</w:t>
      </w:r>
      <w:r>
        <w:t xml:space="preserve">. Available at: </w:t>
      </w:r>
      <w:hyperlink r:id="rId6" w:tgtFrame="_new" w:history="1">
        <w:r>
          <w:rPr>
            <w:rStyle w:val="Hyperlink"/>
            <w:rFonts w:eastAsiaTheme="majorEastAsia"/>
          </w:rPr>
          <w:t>https://www.cipd.co.uk/</w:t>
        </w:r>
      </w:hyperlink>
      <w:r>
        <w:t xml:space="preserve"> </w:t>
      </w:r>
    </w:p>
    <w:p w14:paraId="5DE7839A" w14:textId="58C9F35A" w:rsidR="003A2798" w:rsidRDefault="003A2798" w:rsidP="00937765">
      <w:pPr>
        <w:pStyle w:val="NormalWeb"/>
      </w:pPr>
      <w:r w:rsidRPr="003A2798">
        <w:t xml:space="preserve">CIPD (2024) </w:t>
      </w:r>
      <w:r w:rsidRPr="003A2798">
        <w:rPr>
          <w:i/>
          <w:iCs/>
        </w:rPr>
        <w:t>HR strategy and people management</w:t>
      </w:r>
      <w:r w:rsidRPr="003A2798">
        <w:t xml:space="preserve">. Available at: </w:t>
      </w:r>
      <w:hyperlink r:id="rId7" w:tgtFrame="_new" w:history="1">
        <w:r w:rsidRPr="003A2798">
          <w:rPr>
            <w:rStyle w:val="Hyperlink"/>
          </w:rPr>
          <w:t>https://www.cipd.co.uk/</w:t>
        </w:r>
      </w:hyperlink>
    </w:p>
    <w:p w14:paraId="0304F020" w14:textId="77777777" w:rsidR="00937765" w:rsidRDefault="00937765" w:rsidP="00937765">
      <w:pPr>
        <w:pStyle w:val="NormalWeb"/>
      </w:pPr>
      <w:r>
        <w:t xml:space="preserve">Horn, M. (2016) </w:t>
      </w:r>
      <w:r>
        <w:rPr>
          <w:rStyle w:val="Emphasis"/>
          <w:rFonts w:eastAsiaTheme="majorEastAsia"/>
        </w:rPr>
        <w:t>Managing People</w:t>
      </w:r>
      <w:r>
        <w:t xml:space="preserve">. 5th </w:t>
      </w:r>
      <w:proofErr w:type="spellStart"/>
      <w:r>
        <w:t>edn</w:t>
      </w:r>
      <w:proofErr w:type="spellEnd"/>
      <w:r>
        <w:t>. London: SAGE.</w:t>
      </w:r>
    </w:p>
    <w:p w14:paraId="6F7CB40B" w14:textId="77777777" w:rsidR="00937765" w:rsidRDefault="00937765" w:rsidP="00937765">
      <w:pPr>
        <w:pStyle w:val="NormalWeb"/>
      </w:pPr>
      <w:r>
        <w:t xml:space="preserve">Horn, A. (2021) </w:t>
      </w:r>
      <w:r>
        <w:rPr>
          <w:rStyle w:val="Emphasis"/>
          <w:rFonts w:eastAsiaTheme="majorEastAsia"/>
        </w:rPr>
        <w:t>Organisational Development and Change Management</w:t>
      </w:r>
      <w:r>
        <w:t>. London: Wiley.</w:t>
      </w:r>
    </w:p>
    <w:p w14:paraId="1E140196" w14:textId="77777777" w:rsidR="00937765" w:rsidRDefault="00937765" w:rsidP="00937765">
      <w:pPr>
        <w:pStyle w:val="NormalWeb"/>
      </w:pPr>
      <w:r>
        <w:lastRenderedPageBreak/>
        <w:t xml:space="preserve">Horn, A. (2022) </w:t>
      </w:r>
      <w:r>
        <w:rPr>
          <w:rStyle w:val="Emphasis"/>
          <w:rFonts w:eastAsiaTheme="majorEastAsia"/>
        </w:rPr>
        <w:t>Human Resource Practices and Change</w:t>
      </w:r>
      <w:r>
        <w:t>. London: Sage.</w:t>
      </w:r>
    </w:p>
    <w:p w14:paraId="008D9E27" w14:textId="77777777" w:rsidR="00937765" w:rsidRDefault="00937765" w:rsidP="00937765">
      <w:pPr>
        <w:pStyle w:val="NormalWeb"/>
      </w:pPr>
      <w:r>
        <w:t xml:space="preserve">Kew, J. and Stredwick, J. (2013) </w:t>
      </w:r>
      <w:r>
        <w:rPr>
          <w:rStyle w:val="Emphasis"/>
          <w:rFonts w:eastAsiaTheme="majorEastAsia"/>
        </w:rPr>
        <w:t>Human Resource Management in a Business Context</w:t>
      </w:r>
      <w:r>
        <w:t xml:space="preserve">. 3rd </w:t>
      </w:r>
      <w:proofErr w:type="spellStart"/>
      <w:r>
        <w:t>edn</w:t>
      </w:r>
      <w:proofErr w:type="spellEnd"/>
      <w:r>
        <w:t>. London: CIPD Publishing.</w:t>
      </w:r>
    </w:p>
    <w:p w14:paraId="53F8FCA8" w14:textId="77777777" w:rsidR="00937765" w:rsidRDefault="00937765" w:rsidP="00937765">
      <w:pPr>
        <w:pStyle w:val="NormalWeb"/>
      </w:pPr>
      <w:r>
        <w:t xml:space="preserve">Marchington, M., Wilkinson, A., Donnelly, R. and </w:t>
      </w:r>
      <w:proofErr w:type="spellStart"/>
      <w:r>
        <w:t>Kynighou</w:t>
      </w:r>
      <w:proofErr w:type="spellEnd"/>
      <w:r>
        <w:t xml:space="preserve">, A. (2016) </w:t>
      </w:r>
      <w:r>
        <w:rPr>
          <w:rStyle w:val="Emphasis"/>
          <w:rFonts w:eastAsiaTheme="majorEastAsia"/>
        </w:rPr>
        <w:t>Human Resource Management at Work</w:t>
      </w:r>
      <w:r>
        <w:t xml:space="preserve">. 6th </w:t>
      </w:r>
      <w:proofErr w:type="spellStart"/>
      <w:r>
        <w:t>edn</w:t>
      </w:r>
      <w:proofErr w:type="spellEnd"/>
      <w:r>
        <w:t>. London: CIPD Publishing.</w:t>
      </w:r>
    </w:p>
    <w:p w14:paraId="1201A59B" w14:textId="77777777" w:rsidR="00937765" w:rsidRDefault="00937765" w:rsidP="00937765">
      <w:pPr>
        <w:pStyle w:val="NormalWeb"/>
      </w:pPr>
      <w:r>
        <w:t xml:space="preserve">Mullins, L. (2016) </w:t>
      </w:r>
      <w:r>
        <w:rPr>
          <w:rStyle w:val="Emphasis"/>
          <w:rFonts w:eastAsiaTheme="majorEastAsia"/>
        </w:rPr>
        <w:t>Management and Organisational Behaviour</w:t>
      </w:r>
      <w:r>
        <w:t xml:space="preserve">. 11th </w:t>
      </w:r>
      <w:proofErr w:type="spellStart"/>
      <w:r>
        <w:t>edn</w:t>
      </w:r>
      <w:proofErr w:type="spellEnd"/>
      <w:r>
        <w:t>. Harlow: Pearson Education.</w:t>
      </w:r>
    </w:p>
    <w:p w14:paraId="45FE3B39" w14:textId="28EA7C22" w:rsidR="00B74C4E" w:rsidRDefault="00B74C4E" w:rsidP="00937765">
      <w:pPr>
        <w:pStyle w:val="NormalWeb"/>
      </w:pPr>
      <w:r w:rsidRPr="00B74C4E">
        <w:t>Pembrokeshire County Council</w:t>
      </w:r>
      <w:r>
        <w:t>.</w:t>
      </w:r>
      <w:r w:rsidRPr="00B74C4E">
        <w:t xml:space="preserve"> </w:t>
      </w:r>
      <w:r w:rsidRPr="00B74C4E">
        <w:rPr>
          <w:i/>
          <w:iCs/>
        </w:rPr>
        <w:t>Enhancing Pembrokeshire Grant: Funding Criteria</w:t>
      </w:r>
      <w:r w:rsidRPr="00B74C4E">
        <w:t xml:space="preserve">. Available at: </w:t>
      </w:r>
      <w:hyperlink r:id="rId8" w:tgtFrame="_new" w:history="1">
        <w:r w:rsidRPr="00B74C4E">
          <w:rPr>
            <w:rStyle w:val="Hyperlink"/>
          </w:rPr>
          <w:t>https://www.pembrokeshire.gov.uk/enhancing-pembrokeshire-grant/enhancing-pembrokeshire-grant-funding-criteria</w:t>
        </w:r>
      </w:hyperlink>
    </w:p>
    <w:p w14:paraId="0CE9D9B9" w14:textId="4AD81A61" w:rsidR="003A2798" w:rsidRDefault="003A2798" w:rsidP="00937765">
      <w:pPr>
        <w:pStyle w:val="NormalWeb"/>
      </w:pPr>
      <w:r w:rsidRPr="003A2798">
        <w:t xml:space="preserve">Rees, C. and French, R. (2021) </w:t>
      </w:r>
      <w:r w:rsidRPr="00113231">
        <w:rPr>
          <w:i/>
          <w:iCs/>
        </w:rPr>
        <w:t>Leading, Managing, and Developing People</w:t>
      </w:r>
      <w:r w:rsidRPr="003A2798">
        <w:t xml:space="preserve">. 6th </w:t>
      </w:r>
      <w:proofErr w:type="spellStart"/>
      <w:r w:rsidRPr="003A2798">
        <w:t>edn</w:t>
      </w:r>
      <w:proofErr w:type="spellEnd"/>
      <w:r w:rsidRPr="003A2798">
        <w:t xml:space="preserve">. </w:t>
      </w:r>
      <w:r w:rsidR="00815CAA">
        <w:t xml:space="preserve"> </w:t>
      </w:r>
    </w:p>
    <w:p w14:paraId="643AF1D0" w14:textId="77777777" w:rsidR="00937765" w:rsidRDefault="00937765" w:rsidP="00937765">
      <w:pPr>
        <w:pStyle w:val="NormalWeb"/>
      </w:pPr>
      <w:r>
        <w:t xml:space="preserve">Rees, W. and French, R. (2016) </w:t>
      </w:r>
      <w:r>
        <w:rPr>
          <w:rStyle w:val="Emphasis"/>
          <w:rFonts w:eastAsiaTheme="majorEastAsia"/>
        </w:rPr>
        <w:t>Leading and Managing in the Human Services</w:t>
      </w:r>
      <w:r>
        <w:t>. London: SAGE.</w:t>
      </w:r>
    </w:p>
    <w:p w14:paraId="6B5EF06F" w14:textId="343AD274" w:rsidR="003A2798" w:rsidRDefault="00937765" w:rsidP="00937765">
      <w:pPr>
        <w:pStyle w:val="NormalWeb"/>
      </w:pPr>
      <w:r>
        <w:t xml:space="preserve">Rees, W. and French, R. (2021) </w:t>
      </w:r>
      <w:r>
        <w:rPr>
          <w:rStyle w:val="Emphasis"/>
          <w:rFonts w:eastAsiaTheme="majorEastAsia"/>
        </w:rPr>
        <w:t>Human Resource Management: A Contemporary Approach</w:t>
      </w:r>
      <w:r>
        <w:t xml:space="preserve">. 9th </w:t>
      </w:r>
      <w:proofErr w:type="spellStart"/>
      <w:r>
        <w:t>edn</w:t>
      </w:r>
      <w:proofErr w:type="spellEnd"/>
      <w:r>
        <w:t>. London: CIPD Publishing.</w:t>
      </w:r>
    </w:p>
    <w:p w14:paraId="0D5BEDEC" w14:textId="77777777" w:rsidR="00937765" w:rsidRDefault="00937765" w:rsidP="00937765">
      <w:pPr>
        <w:pStyle w:val="NormalWeb"/>
      </w:pPr>
      <w:r>
        <w:t xml:space="preserve">Taylor, S. and Woodhams, C. (2016) </w:t>
      </w:r>
      <w:r>
        <w:rPr>
          <w:rStyle w:val="Emphasis"/>
          <w:rFonts w:eastAsiaTheme="majorEastAsia"/>
        </w:rPr>
        <w:t>Human Resource Management</w:t>
      </w:r>
      <w:r>
        <w:t xml:space="preserve">. 6th </w:t>
      </w:r>
      <w:proofErr w:type="spellStart"/>
      <w:r>
        <w:t>edn</w:t>
      </w:r>
      <w:proofErr w:type="spellEnd"/>
      <w:r>
        <w:t>. Oxford: Oxford University Press.</w:t>
      </w:r>
    </w:p>
    <w:p w14:paraId="1AC33108" w14:textId="77777777" w:rsidR="00937765" w:rsidRDefault="00937765" w:rsidP="00937765">
      <w:pPr>
        <w:pStyle w:val="NormalWeb"/>
      </w:pPr>
      <w:r>
        <w:t xml:space="preserve">Taylor, S. and Woodhams, C. (2022) </w:t>
      </w:r>
      <w:r>
        <w:rPr>
          <w:rStyle w:val="Emphasis"/>
          <w:rFonts w:eastAsiaTheme="majorEastAsia"/>
        </w:rPr>
        <w:t>Managing People in a Changing Environment</w:t>
      </w:r>
      <w:r>
        <w:t>. Oxford: Oxford University Press.</w:t>
      </w:r>
    </w:p>
    <w:p w14:paraId="4D3CBF85" w14:textId="1CCDDDE0" w:rsidR="00937765" w:rsidRDefault="00937765" w:rsidP="00937765">
      <w:pPr>
        <w:pStyle w:val="NormalWeb"/>
      </w:pPr>
      <w:r>
        <w:t xml:space="preserve">The Pembrokeshire Herald (2024) ‘Funding Gap for Pembrokeshire County Council for 2025-26’. Available at: </w:t>
      </w:r>
      <w:hyperlink r:id="rId9" w:tgtFrame="_new" w:history="1">
        <w:r>
          <w:rPr>
            <w:rStyle w:val="Hyperlink"/>
            <w:rFonts w:eastAsiaTheme="majorEastAsia"/>
          </w:rPr>
          <w:t>https://www.pembrokeshireherald.com/</w:t>
        </w:r>
      </w:hyperlink>
      <w:r>
        <w:t xml:space="preserve"> </w:t>
      </w:r>
    </w:p>
    <w:p w14:paraId="26FC825B" w14:textId="1276F9EF" w:rsidR="00BB7248" w:rsidRDefault="00BB7248" w:rsidP="00937765">
      <w:pPr>
        <w:pStyle w:val="NormalWeb"/>
      </w:pPr>
      <w:r>
        <w:t xml:space="preserve">VQ Solutions (2024) </w:t>
      </w:r>
      <w:r>
        <w:rPr>
          <w:rStyle w:val="Emphasis"/>
          <w:rFonts w:eastAsiaTheme="majorEastAsia"/>
        </w:rPr>
        <w:t>Understanding organisational culture: Charles Handy’s model and David Rock’s SCARF theory</w:t>
      </w:r>
      <w:r>
        <w:t xml:space="preserve">. Available at: </w:t>
      </w:r>
      <w:hyperlink r:id="rId10" w:tgtFrame="_new" w:history="1">
        <w:r>
          <w:rPr>
            <w:rStyle w:val="Hyperlink"/>
            <w:rFonts w:eastAsiaTheme="majorEastAsia"/>
          </w:rPr>
          <w:t>https://courses.vqsolutions.co.uk/understanding-organisational-culture-charles-handys-model-and-david-rocks-scarf-theory/</w:t>
        </w:r>
      </w:hyperlink>
    </w:p>
    <w:p w14:paraId="2E8C3353" w14:textId="20C5A12F" w:rsidR="00937765" w:rsidRDefault="00937765" w:rsidP="00937765">
      <w:pPr>
        <w:pStyle w:val="NormalWeb"/>
      </w:pPr>
      <w:proofErr w:type="spellStart"/>
      <w:r>
        <w:t>Workvivo</w:t>
      </w:r>
      <w:proofErr w:type="spellEnd"/>
      <w:r>
        <w:t xml:space="preserve"> (2024) </w:t>
      </w:r>
      <w:r>
        <w:rPr>
          <w:rStyle w:val="Emphasis"/>
          <w:rFonts w:eastAsiaTheme="majorEastAsia"/>
        </w:rPr>
        <w:t>Creating the Future of Work</w:t>
      </w:r>
      <w:r>
        <w:t xml:space="preserve">. Available at: </w:t>
      </w:r>
      <w:hyperlink r:id="rId11" w:tgtFrame="_new" w:history="1">
        <w:r>
          <w:rPr>
            <w:rStyle w:val="Hyperlink"/>
            <w:rFonts w:eastAsiaTheme="majorEastAsia"/>
          </w:rPr>
          <w:t>https://www.workvivo.com</w:t>
        </w:r>
      </w:hyperlink>
      <w:r>
        <w:t xml:space="preserve"> </w:t>
      </w:r>
    </w:p>
    <w:p w14:paraId="03781F73" w14:textId="77777777" w:rsidR="00937765" w:rsidRDefault="00937765"/>
    <w:sectPr w:rsidR="009377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765"/>
    <w:rsid w:val="000023F6"/>
    <w:rsid w:val="000809D4"/>
    <w:rsid w:val="000C67E6"/>
    <w:rsid w:val="000C722C"/>
    <w:rsid w:val="00107651"/>
    <w:rsid w:val="00113231"/>
    <w:rsid w:val="00280CD7"/>
    <w:rsid w:val="002C2039"/>
    <w:rsid w:val="002F41E1"/>
    <w:rsid w:val="00322BF0"/>
    <w:rsid w:val="00342F36"/>
    <w:rsid w:val="003A2798"/>
    <w:rsid w:val="003A5B9B"/>
    <w:rsid w:val="00412AFD"/>
    <w:rsid w:val="00482E10"/>
    <w:rsid w:val="00523E2C"/>
    <w:rsid w:val="00535890"/>
    <w:rsid w:val="005D7A9F"/>
    <w:rsid w:val="006860FE"/>
    <w:rsid w:val="006E5011"/>
    <w:rsid w:val="007C2CB1"/>
    <w:rsid w:val="00803FBF"/>
    <w:rsid w:val="00815CAA"/>
    <w:rsid w:val="0082725C"/>
    <w:rsid w:val="00844A92"/>
    <w:rsid w:val="00895554"/>
    <w:rsid w:val="008C084F"/>
    <w:rsid w:val="00937765"/>
    <w:rsid w:val="00973CE9"/>
    <w:rsid w:val="009A149D"/>
    <w:rsid w:val="00B74C4E"/>
    <w:rsid w:val="00BB7248"/>
    <w:rsid w:val="00D25B58"/>
    <w:rsid w:val="00D351FD"/>
    <w:rsid w:val="00E071ED"/>
    <w:rsid w:val="00E93DD6"/>
    <w:rsid w:val="00EA4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A7AE7"/>
  <w15:chartTrackingRefBased/>
  <w15:docId w15:val="{EDA3115E-A696-4D89-B01A-297A5452B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765"/>
  </w:style>
  <w:style w:type="paragraph" w:styleId="Heading1">
    <w:name w:val="heading 1"/>
    <w:basedOn w:val="Normal"/>
    <w:next w:val="Normal"/>
    <w:link w:val="Heading1Char"/>
    <w:uiPriority w:val="9"/>
    <w:qFormat/>
    <w:rsid w:val="0093776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93776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93776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93776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93776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9377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77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77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77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76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93776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93776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93776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93776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9377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77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77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7765"/>
    <w:rPr>
      <w:rFonts w:eastAsiaTheme="majorEastAsia" w:cstheme="majorBidi"/>
      <w:color w:val="272727" w:themeColor="text1" w:themeTint="D8"/>
    </w:rPr>
  </w:style>
  <w:style w:type="paragraph" w:styleId="Title">
    <w:name w:val="Title"/>
    <w:basedOn w:val="Normal"/>
    <w:next w:val="Normal"/>
    <w:link w:val="TitleChar"/>
    <w:uiPriority w:val="10"/>
    <w:qFormat/>
    <w:rsid w:val="009377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77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77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77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7765"/>
    <w:pPr>
      <w:spacing w:before="160"/>
      <w:jc w:val="center"/>
    </w:pPr>
    <w:rPr>
      <w:i/>
      <w:iCs/>
      <w:color w:val="404040" w:themeColor="text1" w:themeTint="BF"/>
    </w:rPr>
  </w:style>
  <w:style w:type="character" w:customStyle="1" w:styleId="QuoteChar">
    <w:name w:val="Quote Char"/>
    <w:basedOn w:val="DefaultParagraphFont"/>
    <w:link w:val="Quote"/>
    <w:uiPriority w:val="29"/>
    <w:rsid w:val="00937765"/>
    <w:rPr>
      <w:i/>
      <w:iCs/>
      <w:color w:val="404040" w:themeColor="text1" w:themeTint="BF"/>
    </w:rPr>
  </w:style>
  <w:style w:type="paragraph" w:styleId="ListParagraph">
    <w:name w:val="List Paragraph"/>
    <w:basedOn w:val="Normal"/>
    <w:uiPriority w:val="34"/>
    <w:qFormat/>
    <w:rsid w:val="00937765"/>
    <w:pPr>
      <w:ind w:left="720"/>
      <w:contextualSpacing/>
    </w:pPr>
  </w:style>
  <w:style w:type="character" w:styleId="IntenseEmphasis">
    <w:name w:val="Intense Emphasis"/>
    <w:basedOn w:val="DefaultParagraphFont"/>
    <w:uiPriority w:val="21"/>
    <w:qFormat/>
    <w:rsid w:val="00937765"/>
    <w:rPr>
      <w:i/>
      <w:iCs/>
      <w:color w:val="2E74B5" w:themeColor="accent1" w:themeShade="BF"/>
    </w:rPr>
  </w:style>
  <w:style w:type="paragraph" w:styleId="IntenseQuote">
    <w:name w:val="Intense Quote"/>
    <w:basedOn w:val="Normal"/>
    <w:next w:val="Normal"/>
    <w:link w:val="IntenseQuoteChar"/>
    <w:uiPriority w:val="30"/>
    <w:qFormat/>
    <w:rsid w:val="0093776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937765"/>
    <w:rPr>
      <w:i/>
      <w:iCs/>
      <w:color w:val="2E74B5" w:themeColor="accent1" w:themeShade="BF"/>
    </w:rPr>
  </w:style>
  <w:style w:type="character" w:styleId="IntenseReference">
    <w:name w:val="Intense Reference"/>
    <w:basedOn w:val="DefaultParagraphFont"/>
    <w:uiPriority w:val="32"/>
    <w:qFormat/>
    <w:rsid w:val="00937765"/>
    <w:rPr>
      <w:b/>
      <w:bCs/>
      <w:smallCaps/>
      <w:color w:val="2E74B5" w:themeColor="accent1" w:themeShade="BF"/>
      <w:spacing w:val="5"/>
    </w:rPr>
  </w:style>
  <w:style w:type="paragraph" w:styleId="NormalWeb">
    <w:name w:val="Normal (Web)"/>
    <w:basedOn w:val="Normal"/>
    <w:uiPriority w:val="99"/>
    <w:semiHidden/>
    <w:unhideWhenUsed/>
    <w:rsid w:val="0093776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937765"/>
    <w:rPr>
      <w:i/>
      <w:iCs/>
    </w:rPr>
  </w:style>
  <w:style w:type="character" w:styleId="Hyperlink">
    <w:name w:val="Hyperlink"/>
    <w:basedOn w:val="DefaultParagraphFont"/>
    <w:uiPriority w:val="99"/>
    <w:unhideWhenUsed/>
    <w:rsid w:val="00937765"/>
    <w:rPr>
      <w:color w:val="0000FF"/>
      <w:u w:val="single"/>
    </w:rPr>
  </w:style>
  <w:style w:type="character" w:styleId="Strong">
    <w:name w:val="Strong"/>
    <w:basedOn w:val="DefaultParagraphFont"/>
    <w:uiPriority w:val="22"/>
    <w:qFormat/>
    <w:rsid w:val="006E5011"/>
    <w:rPr>
      <w:b/>
      <w:bCs/>
    </w:rPr>
  </w:style>
  <w:style w:type="character" w:styleId="UnresolvedMention">
    <w:name w:val="Unresolved Mention"/>
    <w:basedOn w:val="DefaultParagraphFont"/>
    <w:uiPriority w:val="99"/>
    <w:semiHidden/>
    <w:unhideWhenUsed/>
    <w:rsid w:val="00B74C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1638813">
      <w:bodyDiv w:val="1"/>
      <w:marLeft w:val="0"/>
      <w:marRight w:val="0"/>
      <w:marTop w:val="0"/>
      <w:marBottom w:val="0"/>
      <w:divBdr>
        <w:top w:val="none" w:sz="0" w:space="0" w:color="auto"/>
        <w:left w:val="none" w:sz="0" w:space="0" w:color="auto"/>
        <w:bottom w:val="none" w:sz="0" w:space="0" w:color="auto"/>
        <w:right w:val="none" w:sz="0" w:space="0" w:color="auto"/>
      </w:divBdr>
    </w:div>
    <w:div w:id="121353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mbrokeshire.gov.uk/enhancing-pembrokeshire-grant/enhancing-pembrokeshire-grant-funding-criteria"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ipd.co.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ipd.co.uk/" TargetMode="External"/><Relationship Id="rId11" Type="http://schemas.openxmlformats.org/officeDocument/2006/relationships/hyperlink" Target="https://www.workvivo.com" TargetMode="External"/><Relationship Id="rId5" Type="http://schemas.openxmlformats.org/officeDocument/2006/relationships/hyperlink" Target="https://builtin.com/" TargetMode="External"/><Relationship Id="rId10" Type="http://schemas.openxmlformats.org/officeDocument/2006/relationships/hyperlink" Target="https://courses.vqsolutions.co.uk/understanding-organisational-culture-charles-handys-model-and-david-rocks-scarf-theory/" TargetMode="External"/><Relationship Id="rId4" Type="http://schemas.openxmlformats.org/officeDocument/2006/relationships/hyperlink" Target="https://www.bankofengland.co.uk/" TargetMode="External"/><Relationship Id="rId9" Type="http://schemas.openxmlformats.org/officeDocument/2006/relationships/hyperlink" Target="https://www.pembrokeshirehera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1315</TotalTime>
  <Pages>12</Pages>
  <Words>5651</Words>
  <Characters>32214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37790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Warrender, Jacqueline</dc:creator>
  <cp:keywords/>
  <dc:description/>
  <cp:lastModifiedBy>Warrender, Jacqueline</cp:lastModifiedBy>
  <cp:revision>4</cp:revision>
  <dcterms:created xsi:type="dcterms:W3CDTF">2024-11-19T15:05:00Z</dcterms:created>
  <dcterms:modified xsi:type="dcterms:W3CDTF">2024-11-22T22:14:00Z</dcterms:modified>
</cp:coreProperties>
</file>