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643505875"/>
        <w:docPartObj>
          <w:docPartGallery w:val="Cover Pages"/>
          <w:docPartUnique/>
        </w:docPartObj>
      </w:sdtPr>
      <w:sdtEndPr/>
      <w:sdtContent>
        <w:p w:rsidR="00071422" w:rsidRDefault="00071422"/>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071422">
            <w:sdt>
              <w:sdtPr>
                <w:rPr>
                  <w:rFonts w:ascii="Arial" w:hAnsi="Arial" w:cs="Arial"/>
                  <w:color w:val="000000" w:themeColor="text1"/>
                  <w:sz w:val="24"/>
                  <w:szCs w:val="24"/>
                </w:rPr>
                <w:alias w:val="Company"/>
                <w:id w:val="13406915"/>
                <w:placeholder>
                  <w:docPart w:val="028B6B0396E0460DAEF36EE45D7B41EC"/>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071422" w:rsidRDefault="00B41DA6" w:rsidP="00B41DA6">
                    <w:pPr>
                      <w:pStyle w:val="NoSpacing"/>
                      <w:rPr>
                        <w:color w:val="2E74B5" w:themeColor="accent1" w:themeShade="BF"/>
                        <w:sz w:val="24"/>
                      </w:rPr>
                    </w:pPr>
                    <w:r w:rsidRPr="00BD4CB8">
                      <w:rPr>
                        <w:rFonts w:ascii="Arial" w:hAnsi="Arial" w:cs="Arial"/>
                        <w:color w:val="000000" w:themeColor="text1"/>
                        <w:sz w:val="24"/>
                        <w:szCs w:val="24"/>
                      </w:rPr>
                      <w:t>University of Wales Trinity Saint David</w:t>
                    </w:r>
                  </w:p>
                </w:tc>
              </w:sdtContent>
            </w:sdt>
          </w:tr>
          <w:tr w:rsidR="00071422">
            <w:tc>
              <w:tcPr>
                <w:tcW w:w="7672" w:type="dxa"/>
              </w:tcPr>
              <w:sdt>
                <w:sdtPr>
                  <w:rPr>
                    <w:rFonts w:ascii="Arial" w:eastAsiaTheme="majorEastAsia" w:hAnsi="Arial" w:cs="Arial"/>
                    <w:color w:val="000000" w:themeColor="text1"/>
                    <w:sz w:val="40"/>
                    <w:szCs w:val="40"/>
                  </w:rPr>
                  <w:alias w:val="Title"/>
                  <w:id w:val="13406919"/>
                  <w:placeholder>
                    <w:docPart w:val="DBABAC08446648E3808E87CB84867A01"/>
                  </w:placeholder>
                  <w:dataBinding w:prefixMappings="xmlns:ns0='http://schemas.openxmlformats.org/package/2006/metadata/core-properties' xmlns:ns1='http://purl.org/dc/elements/1.1/'" w:xpath="/ns0:coreProperties[1]/ns1:title[1]" w:storeItemID="{6C3C8BC8-F283-45AE-878A-BAB7291924A1}"/>
                  <w:text/>
                </w:sdtPr>
                <w:sdtEndPr/>
                <w:sdtContent>
                  <w:p w:rsidR="00071422" w:rsidRPr="001428FB" w:rsidRDefault="00B41DA6" w:rsidP="00B41DA6">
                    <w:pPr>
                      <w:pStyle w:val="NoSpacing"/>
                      <w:spacing w:line="216" w:lineRule="auto"/>
                      <w:rPr>
                        <w:rFonts w:asciiTheme="majorHAnsi" w:eastAsiaTheme="majorEastAsia" w:hAnsiTheme="majorHAnsi" w:cstheme="majorBidi"/>
                        <w:color w:val="000000" w:themeColor="text1"/>
                        <w:sz w:val="88"/>
                        <w:szCs w:val="88"/>
                      </w:rPr>
                    </w:pPr>
                    <w:r w:rsidRPr="001428FB">
                      <w:rPr>
                        <w:rFonts w:ascii="Arial" w:eastAsiaTheme="majorEastAsia" w:hAnsi="Arial" w:cs="Arial"/>
                        <w:color w:val="000000" w:themeColor="text1"/>
                        <w:sz w:val="40"/>
                        <w:szCs w:val="40"/>
                      </w:rPr>
                      <w:t>How useful is the application of Joseph Campbell’s model of the Hero’s Journey to the analysis and conception of narrative?</w:t>
                    </w:r>
                  </w:p>
                </w:sdtContent>
              </w:sdt>
            </w:tc>
          </w:tr>
          <w:tr w:rsidR="00071422">
            <w:sdt>
              <w:sdtPr>
                <w:rPr>
                  <w:rFonts w:ascii="Arial" w:hAnsi="Arial" w:cs="Arial"/>
                  <w:color w:val="000000" w:themeColor="text1"/>
                  <w:sz w:val="24"/>
                  <w:szCs w:val="24"/>
                </w:rPr>
                <w:alias w:val="Subtitle"/>
                <w:id w:val="13406923"/>
                <w:placeholder>
                  <w:docPart w:val="8AF0CFCEEEC84187A56293F878FBCB22"/>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071422" w:rsidRDefault="00BD4CB8" w:rsidP="00BD4CB8">
                    <w:pPr>
                      <w:pStyle w:val="NoSpacing"/>
                      <w:rPr>
                        <w:color w:val="2E74B5" w:themeColor="accent1" w:themeShade="BF"/>
                        <w:sz w:val="24"/>
                      </w:rPr>
                    </w:pPr>
                    <w:r w:rsidRPr="00BD4CB8">
                      <w:rPr>
                        <w:rFonts w:ascii="Arial" w:hAnsi="Arial" w:cs="Arial"/>
                        <w:color w:val="000000" w:themeColor="text1"/>
                        <w:sz w:val="24"/>
                        <w:szCs w:val="24"/>
                      </w:rPr>
                      <w:t>BA Film &amp; TV</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071422">
            <w:tc>
              <w:tcPr>
                <w:tcW w:w="7221" w:type="dxa"/>
                <w:tcMar>
                  <w:top w:w="216" w:type="dxa"/>
                  <w:left w:w="115" w:type="dxa"/>
                  <w:bottom w:w="216" w:type="dxa"/>
                  <w:right w:w="115" w:type="dxa"/>
                </w:tcMar>
              </w:tcPr>
              <w:sdt>
                <w:sdtPr>
                  <w:rPr>
                    <w:rFonts w:ascii="Arial" w:hAnsi="Arial" w:cs="Arial"/>
                    <w:color w:val="000000" w:themeColor="text1"/>
                    <w:sz w:val="24"/>
                    <w:szCs w:val="28"/>
                  </w:rPr>
                  <w:alias w:val="Author"/>
                  <w:id w:val="13406928"/>
                  <w:placeholder>
                    <w:docPart w:val="59C166C7629B4C29AECB7805CF7210C3"/>
                  </w:placeholder>
                  <w:dataBinding w:prefixMappings="xmlns:ns0='http://schemas.openxmlformats.org/package/2006/metadata/core-properties' xmlns:ns1='http://purl.org/dc/elements/1.1/'" w:xpath="/ns0:coreProperties[1]/ns1:creator[1]" w:storeItemID="{6C3C8BC8-F283-45AE-878A-BAB7291924A1}"/>
                  <w:text/>
                </w:sdtPr>
                <w:sdtEndPr/>
                <w:sdtContent>
                  <w:p w:rsidR="00071422" w:rsidRPr="00BD4CB8" w:rsidRDefault="00071422">
                    <w:pPr>
                      <w:pStyle w:val="NoSpacing"/>
                      <w:rPr>
                        <w:color w:val="000000" w:themeColor="text1"/>
                        <w:sz w:val="28"/>
                        <w:szCs w:val="28"/>
                      </w:rPr>
                    </w:pPr>
                    <w:r w:rsidRPr="00BD4CB8">
                      <w:rPr>
                        <w:rFonts w:ascii="Arial" w:hAnsi="Arial" w:cs="Arial"/>
                        <w:color w:val="000000" w:themeColor="text1"/>
                        <w:sz w:val="24"/>
                        <w:szCs w:val="28"/>
                      </w:rPr>
                      <w:t>Antony Bishop</w:t>
                    </w:r>
                    <w:r w:rsidR="00B41DA6" w:rsidRPr="00BD4CB8">
                      <w:rPr>
                        <w:rFonts w:ascii="Arial" w:hAnsi="Arial" w:cs="Arial"/>
                        <w:color w:val="000000" w:themeColor="text1"/>
                        <w:sz w:val="24"/>
                        <w:szCs w:val="28"/>
                      </w:rPr>
                      <w:t xml:space="preserve"> (P141970)</w:t>
                    </w:r>
                  </w:p>
                </w:sdtContent>
              </w:sdt>
              <w:sdt>
                <w:sdtPr>
                  <w:rPr>
                    <w:rFonts w:ascii="Arial" w:hAnsi="Arial" w:cs="Arial"/>
                    <w:color w:val="000000" w:themeColor="text1"/>
                    <w:sz w:val="24"/>
                    <w:szCs w:val="28"/>
                  </w:rPr>
                  <w:alias w:val="Date"/>
                  <w:tag w:val="Date"/>
                  <w:id w:val="13406932"/>
                  <w:placeholder>
                    <w:docPart w:val="E7C19228BB754381BF49256525969E33"/>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rsidR="00071422" w:rsidRPr="00BD4CB8" w:rsidRDefault="00BD4CB8">
                    <w:pPr>
                      <w:pStyle w:val="NoSpacing"/>
                      <w:rPr>
                        <w:rFonts w:ascii="Arial" w:hAnsi="Arial" w:cs="Arial"/>
                        <w:color w:val="000000" w:themeColor="text1"/>
                        <w:sz w:val="24"/>
                        <w:szCs w:val="28"/>
                      </w:rPr>
                    </w:pPr>
                    <w:r w:rsidRPr="00BD4CB8">
                      <w:rPr>
                        <w:rFonts w:ascii="Arial" w:hAnsi="Arial" w:cs="Arial"/>
                        <w:color w:val="000000" w:themeColor="text1"/>
                        <w:sz w:val="24"/>
                        <w:szCs w:val="28"/>
                      </w:rPr>
                      <w:t>2017</w:t>
                    </w:r>
                  </w:p>
                </w:sdtContent>
              </w:sdt>
              <w:p w:rsidR="00071422" w:rsidRDefault="00071422">
                <w:pPr>
                  <w:pStyle w:val="NoSpacing"/>
                  <w:rPr>
                    <w:color w:val="5B9BD5" w:themeColor="accent1"/>
                  </w:rPr>
                </w:pPr>
              </w:p>
            </w:tc>
          </w:tr>
        </w:tbl>
        <w:p w:rsidR="00071422" w:rsidRDefault="00BD4CB8">
          <w:r>
            <w:rPr>
              <w:noProof/>
              <w:lang w:eastAsia="en-GB"/>
            </w:rPr>
            <mc:AlternateContent>
              <mc:Choice Requires="wps">
                <w:drawing>
                  <wp:anchor distT="45720" distB="45720" distL="114300" distR="114300" simplePos="0" relativeHeight="251659264" behindDoc="0" locked="0" layoutInCell="1" allowOverlap="1">
                    <wp:simplePos x="0" y="0"/>
                    <wp:positionH relativeFrom="margin">
                      <wp:align>right</wp:align>
                    </wp:positionH>
                    <wp:positionV relativeFrom="paragraph">
                      <wp:posOffset>8100695</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BD4CB8" w:rsidRDefault="00BD4CB8" w:rsidP="00BD4CB8">
                                <w:pPr>
                                  <w:spacing w:after="0"/>
                                  <w:rPr>
                                    <w:rFonts w:ascii="Arial" w:hAnsi="Arial" w:cs="Arial"/>
                                    <w:sz w:val="24"/>
                                  </w:rPr>
                                </w:pPr>
                                <w:r w:rsidRPr="00BD4CB8">
                                  <w:rPr>
                                    <w:rFonts w:ascii="Arial" w:hAnsi="Arial" w:cs="Arial"/>
                                    <w:sz w:val="24"/>
                                  </w:rPr>
                                  <w:t>WORD COUNT: 6,313</w:t>
                                </w:r>
                              </w:p>
                              <w:p w:rsidR="00BD4CB8" w:rsidRPr="00BD4CB8" w:rsidRDefault="00BD4CB8" w:rsidP="00BD4CB8">
                                <w:pPr>
                                  <w:spacing w:after="0" w:line="240" w:lineRule="auto"/>
                                  <w:rPr>
                                    <w:rFonts w:ascii="Arial" w:hAnsi="Arial" w:cs="Arial"/>
                                    <w:sz w:val="24"/>
                                  </w:rPr>
                                </w:pPr>
                                <w:r>
                                  <w:rPr>
                                    <w:rFonts w:ascii="Arial" w:hAnsi="Arial" w:cs="Arial"/>
                                    <w:sz w:val="24"/>
                                  </w:rPr>
                                  <w:t xml:space="preserve">TUTOR: </w:t>
                                </w:r>
                                <w:proofErr w:type="spellStart"/>
                                <w:r>
                                  <w:rPr>
                                    <w:rFonts w:ascii="Arial" w:hAnsi="Arial" w:cs="Arial"/>
                                    <w:sz w:val="24"/>
                                  </w:rPr>
                                  <w:t>Timi</w:t>
                                </w:r>
                                <w:proofErr w:type="spellEnd"/>
                                <w:r>
                                  <w:rPr>
                                    <w:rFonts w:ascii="Arial" w:hAnsi="Arial" w:cs="Arial"/>
                                    <w:sz w:val="24"/>
                                  </w:rPr>
                                  <w:t xml:space="preserve"> O’Neill</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34.7pt;margin-top:637.85pt;width:185.9pt;height:110.6pt;z-index:251659264;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UhIQIAAB4EAAAOAAAAZHJzL2Uyb0RvYy54bWysU11v2yAUfZ+0/4B4X+y4SdpYcaouXaZJ&#10;3YfU7gdgjGM04DIgsbNf3wtO06h7m8YDAu7lcO65h9XtoBU5COclmIpOJzklwnBopNlV9OfT9sMN&#10;JT4w0zAFRlT0KDy9Xb9/t+ptKQroQDXCEQQxvuxtRbsQbJllnndCMz8BKwwGW3CaBdy6XdY41iO6&#10;VlmR54usB9dYB1x4j6f3Y5CuE37bCh6+t60XgaiKIreQZpfmOs7ZesXKnWO2k/xEg/0DC82kwUfP&#10;UPcsMLJ38i8oLbkDD22YcNAZtK3kItWA1UzzN9U8dsyKVAuK4+1ZJv//YPm3ww9HZFPRYnpNiWEa&#10;m/QkhkA+wkCKqE9vfYlpjxYTw4DH2OdUq7cPwH95YmDTMbMTd85B3wnWIL9pvJldXB1xfASp+6/Q&#10;4DNsHyABDa3TUTyUgyA69ul47k2kwvGwuFrkyysMcYxNZ/lsUaTuZax8uW6dD58FaBIXFXXY/ATP&#10;Dg8+RDqsfEmJr3lQstlKpdLG7eqNcuTA0CjbNFIFb9KUIX1Fl/NinpANxPvJQ1oGNLKSuqI3eRyj&#10;taIcn0yTUgKTalwjE2VO+kRJRnHCUA+YGEWroTmiUg5Gw+IHw0UH7g8lPZq1ov73njlBifpiUO3l&#10;dDaL7k6b2fwapSHuMlJfRpjhCFXRQMm43IT0I5IO9g67spVJr1cmJ65owiTj6cNEl1/uU9brt14/&#10;AwAA//8DAFBLAwQUAAYACAAAACEAo8Gee+AAAAAKAQAADwAAAGRycy9kb3ducmV2LnhtbEyPT0+D&#10;QBDF7yZ+h82YeDF2AbVYZGnqv4u3Vkw8TmEKKLtL2GmLfnrHkx7nvZc375cvJ9urA42h885APItA&#10;kat83bnGQPn6fHkLKjC6GnvvyMAXBVgWpyc5ZrU/ujUdNtwoKXEhQwMt85BpHaqWLIaZH8iJt/Oj&#10;RZZzbHQ94lHKba+TKJpri52TDy0O9NBS9bnZWwPf9+Xj6umC413C78nb2r6U1Qcac342re5AMU38&#10;F4bf+TIdCtm09XtXB9UbEBAWNUlvUlDiX6WxoGxFul7MF6CLXP9HKH4AAAD//wMAUEsBAi0AFAAG&#10;AAgAAAAhALaDOJL+AAAA4QEAABMAAAAAAAAAAAAAAAAAAAAAAFtDb250ZW50X1R5cGVzXS54bWxQ&#10;SwECLQAUAAYACAAAACEAOP0h/9YAAACUAQAACwAAAAAAAAAAAAAAAAAvAQAAX3JlbHMvLnJlbHNQ&#10;SwECLQAUAAYACAAAACEA/9aFISECAAAeBAAADgAAAAAAAAAAAAAAAAAuAgAAZHJzL2Uyb0RvYy54&#10;bWxQSwECLQAUAAYACAAAACEAo8Gee+AAAAAKAQAADwAAAAAAAAAAAAAAAAB7BAAAZHJzL2Rvd25y&#10;ZXYueG1sUEsFBgAAAAAEAAQA8wAAAIgFAAAAAA==&#10;" stroked="f">
                    <v:textbox style="mso-fit-shape-to-text:t">
                      <w:txbxContent>
                        <w:p w:rsidR="00BD4CB8" w:rsidRDefault="00BD4CB8" w:rsidP="00BD4CB8">
                          <w:pPr>
                            <w:spacing w:after="0"/>
                            <w:rPr>
                              <w:rFonts w:ascii="Arial" w:hAnsi="Arial" w:cs="Arial"/>
                              <w:sz w:val="24"/>
                            </w:rPr>
                          </w:pPr>
                          <w:r w:rsidRPr="00BD4CB8">
                            <w:rPr>
                              <w:rFonts w:ascii="Arial" w:hAnsi="Arial" w:cs="Arial"/>
                              <w:sz w:val="24"/>
                            </w:rPr>
                            <w:t>WORD COUNT: 6,313</w:t>
                          </w:r>
                        </w:p>
                        <w:p w:rsidR="00BD4CB8" w:rsidRPr="00BD4CB8" w:rsidRDefault="00BD4CB8" w:rsidP="00BD4CB8">
                          <w:pPr>
                            <w:spacing w:after="0" w:line="240" w:lineRule="auto"/>
                            <w:rPr>
                              <w:rFonts w:ascii="Arial" w:hAnsi="Arial" w:cs="Arial"/>
                              <w:sz w:val="24"/>
                            </w:rPr>
                          </w:pPr>
                          <w:r>
                            <w:rPr>
                              <w:rFonts w:ascii="Arial" w:hAnsi="Arial" w:cs="Arial"/>
                              <w:sz w:val="24"/>
                            </w:rPr>
                            <w:t xml:space="preserve">TUTOR: </w:t>
                          </w:r>
                          <w:proofErr w:type="spellStart"/>
                          <w:r>
                            <w:rPr>
                              <w:rFonts w:ascii="Arial" w:hAnsi="Arial" w:cs="Arial"/>
                              <w:sz w:val="24"/>
                            </w:rPr>
                            <w:t>Timi</w:t>
                          </w:r>
                          <w:proofErr w:type="spellEnd"/>
                          <w:r>
                            <w:rPr>
                              <w:rFonts w:ascii="Arial" w:hAnsi="Arial" w:cs="Arial"/>
                              <w:sz w:val="24"/>
                            </w:rPr>
                            <w:t xml:space="preserve"> O’Neill</w:t>
                          </w:r>
                        </w:p>
                      </w:txbxContent>
                    </v:textbox>
                    <w10:wrap type="square" anchorx="margin"/>
                  </v:shape>
                </w:pict>
              </mc:Fallback>
            </mc:AlternateContent>
          </w:r>
          <w:r w:rsidR="00071422">
            <w:br w:type="page"/>
          </w:r>
        </w:p>
        <w:bookmarkStart w:id="0" w:name="_GoBack" w:displacedByCustomXml="next"/>
        <w:bookmarkEnd w:id="0" w:displacedByCustomXml="next"/>
      </w:sdtContent>
    </w:sdt>
    <w:p w:rsidR="00B41DA6" w:rsidRDefault="00B41DA6" w:rsidP="00B41DA6">
      <w:pPr>
        <w:pStyle w:val="Heading1"/>
      </w:pPr>
      <w:bookmarkStart w:id="1" w:name="_Toc501477545"/>
      <w:r>
        <w:lastRenderedPageBreak/>
        <w:t>Acknowledgements</w:t>
      </w:r>
      <w:bookmarkEnd w:id="1"/>
    </w:p>
    <w:p w:rsidR="00071422" w:rsidRPr="008358E8" w:rsidRDefault="00B41DA6" w:rsidP="008358E8">
      <w:pPr>
        <w:spacing w:before="240" w:line="360" w:lineRule="auto"/>
        <w:rPr>
          <w:rFonts w:ascii="Arial" w:hAnsi="Arial" w:cs="Arial"/>
          <w:sz w:val="24"/>
          <w:szCs w:val="24"/>
        </w:rPr>
      </w:pPr>
      <w:r>
        <w:rPr>
          <w:rFonts w:ascii="Arial" w:hAnsi="Arial" w:cs="Arial"/>
          <w:sz w:val="24"/>
          <w:szCs w:val="24"/>
        </w:rPr>
        <w:t xml:space="preserve">Thanks to </w:t>
      </w:r>
      <w:proofErr w:type="spellStart"/>
      <w:r>
        <w:rPr>
          <w:rFonts w:ascii="Arial" w:hAnsi="Arial" w:cs="Arial"/>
          <w:sz w:val="24"/>
          <w:szCs w:val="24"/>
        </w:rPr>
        <w:t>Timi</w:t>
      </w:r>
      <w:proofErr w:type="spellEnd"/>
      <w:r>
        <w:rPr>
          <w:rFonts w:ascii="Arial" w:hAnsi="Arial" w:cs="Arial"/>
          <w:sz w:val="24"/>
          <w:szCs w:val="24"/>
        </w:rPr>
        <w:t xml:space="preserve"> O’Neill, Chris Buxton and Rob Jones</w:t>
      </w:r>
      <w:r w:rsidR="008358E8">
        <w:rPr>
          <w:rFonts w:ascii="Arial" w:hAnsi="Arial" w:cs="Arial"/>
          <w:sz w:val="24"/>
          <w:szCs w:val="24"/>
        </w:rPr>
        <w:t xml:space="preserve"> for their support and guidance in the process of researching this dissertation, and to the staff of Griffith Library for ensuring that all texts were organised and easy to find. Also to my Mum and my older brother, Thomas, for their advice.</w:t>
      </w:r>
      <w:r w:rsidR="00071422">
        <w:br w:type="page"/>
      </w:r>
    </w:p>
    <w:sdt>
      <w:sdtPr>
        <w:rPr>
          <w:rFonts w:asciiTheme="minorHAnsi" w:eastAsiaTheme="minorHAnsi" w:hAnsiTheme="minorHAnsi" w:cstheme="minorBidi"/>
          <w:color w:val="auto"/>
          <w:sz w:val="22"/>
          <w:szCs w:val="22"/>
          <w:lang w:val="en-GB"/>
        </w:rPr>
        <w:id w:val="-1362585729"/>
        <w:docPartObj>
          <w:docPartGallery w:val="Table of Contents"/>
          <w:docPartUnique/>
        </w:docPartObj>
      </w:sdtPr>
      <w:sdtEndPr>
        <w:rPr>
          <w:b/>
          <w:bCs/>
          <w:noProof/>
        </w:rPr>
      </w:sdtEndPr>
      <w:sdtContent>
        <w:p w:rsidR="00071422" w:rsidRDefault="00071422" w:rsidP="00071422">
          <w:pPr>
            <w:pStyle w:val="TOCHeading"/>
          </w:pPr>
          <w:r>
            <w:t>Contents</w:t>
          </w:r>
        </w:p>
        <w:p w:rsidR="000D4C02" w:rsidRDefault="0007142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1477545" w:history="1">
            <w:r w:rsidR="000D4C02" w:rsidRPr="00D54303">
              <w:rPr>
                <w:rStyle w:val="Hyperlink"/>
                <w:noProof/>
              </w:rPr>
              <w:t>Acknowledgements</w:t>
            </w:r>
            <w:r w:rsidR="000D4C02">
              <w:rPr>
                <w:noProof/>
                <w:webHidden/>
              </w:rPr>
              <w:tab/>
            </w:r>
            <w:r w:rsidR="000D4C02">
              <w:rPr>
                <w:noProof/>
                <w:webHidden/>
              </w:rPr>
              <w:fldChar w:fldCharType="begin"/>
            </w:r>
            <w:r w:rsidR="000D4C02">
              <w:rPr>
                <w:noProof/>
                <w:webHidden/>
              </w:rPr>
              <w:instrText xml:space="preserve"> PAGEREF _Toc501477545 \h </w:instrText>
            </w:r>
            <w:r w:rsidR="000D4C02">
              <w:rPr>
                <w:noProof/>
                <w:webHidden/>
              </w:rPr>
            </w:r>
            <w:r w:rsidR="000D4C02">
              <w:rPr>
                <w:noProof/>
                <w:webHidden/>
              </w:rPr>
              <w:fldChar w:fldCharType="separate"/>
            </w:r>
            <w:r w:rsidR="000D4C02">
              <w:rPr>
                <w:noProof/>
                <w:webHidden/>
              </w:rPr>
              <w:t>1</w:t>
            </w:r>
            <w:r w:rsidR="000D4C02">
              <w:rPr>
                <w:noProof/>
                <w:webHidden/>
              </w:rPr>
              <w:fldChar w:fldCharType="end"/>
            </w:r>
          </w:hyperlink>
        </w:p>
        <w:p w:rsidR="000D4C02" w:rsidRDefault="00417F94">
          <w:pPr>
            <w:pStyle w:val="TOC1"/>
            <w:tabs>
              <w:tab w:val="right" w:leader="dot" w:pos="9016"/>
            </w:tabs>
            <w:rPr>
              <w:rFonts w:eastAsiaTheme="minorEastAsia"/>
              <w:noProof/>
              <w:lang w:eastAsia="en-GB"/>
            </w:rPr>
          </w:pPr>
          <w:hyperlink w:anchor="_Toc501477546" w:history="1">
            <w:r w:rsidR="000D4C02" w:rsidRPr="00D54303">
              <w:rPr>
                <w:rStyle w:val="Hyperlink"/>
                <w:noProof/>
              </w:rPr>
              <w:t>Introduction</w:t>
            </w:r>
            <w:r w:rsidR="000D4C02">
              <w:rPr>
                <w:noProof/>
                <w:webHidden/>
              </w:rPr>
              <w:tab/>
            </w:r>
            <w:r w:rsidR="000D4C02">
              <w:rPr>
                <w:noProof/>
                <w:webHidden/>
              </w:rPr>
              <w:fldChar w:fldCharType="begin"/>
            </w:r>
            <w:r w:rsidR="000D4C02">
              <w:rPr>
                <w:noProof/>
                <w:webHidden/>
              </w:rPr>
              <w:instrText xml:space="preserve"> PAGEREF _Toc501477546 \h </w:instrText>
            </w:r>
            <w:r w:rsidR="000D4C02">
              <w:rPr>
                <w:noProof/>
                <w:webHidden/>
              </w:rPr>
            </w:r>
            <w:r w:rsidR="000D4C02">
              <w:rPr>
                <w:noProof/>
                <w:webHidden/>
              </w:rPr>
              <w:fldChar w:fldCharType="separate"/>
            </w:r>
            <w:r w:rsidR="000D4C02">
              <w:rPr>
                <w:noProof/>
                <w:webHidden/>
              </w:rPr>
              <w:t>3</w:t>
            </w:r>
            <w:r w:rsidR="000D4C02">
              <w:rPr>
                <w:noProof/>
                <w:webHidden/>
              </w:rPr>
              <w:fldChar w:fldCharType="end"/>
            </w:r>
          </w:hyperlink>
        </w:p>
        <w:p w:rsidR="000D4C02" w:rsidRDefault="00417F94">
          <w:pPr>
            <w:pStyle w:val="TOC1"/>
            <w:tabs>
              <w:tab w:val="right" w:leader="dot" w:pos="9016"/>
            </w:tabs>
            <w:rPr>
              <w:rFonts w:eastAsiaTheme="minorEastAsia"/>
              <w:noProof/>
              <w:lang w:eastAsia="en-GB"/>
            </w:rPr>
          </w:pPr>
          <w:hyperlink w:anchor="_Toc501477547" w:history="1">
            <w:r w:rsidR="000D4C02" w:rsidRPr="00D54303">
              <w:rPr>
                <w:rStyle w:val="Hyperlink"/>
                <w:noProof/>
              </w:rPr>
              <w:t>PART 1: The Hero’s Journey and its questionable relevance to contemporary narratives</w:t>
            </w:r>
            <w:r w:rsidR="000D4C02">
              <w:rPr>
                <w:noProof/>
                <w:webHidden/>
              </w:rPr>
              <w:tab/>
            </w:r>
            <w:r w:rsidR="000D4C02">
              <w:rPr>
                <w:noProof/>
                <w:webHidden/>
              </w:rPr>
              <w:fldChar w:fldCharType="begin"/>
            </w:r>
            <w:r w:rsidR="000D4C02">
              <w:rPr>
                <w:noProof/>
                <w:webHidden/>
              </w:rPr>
              <w:instrText xml:space="preserve"> PAGEREF _Toc501477547 \h </w:instrText>
            </w:r>
            <w:r w:rsidR="000D4C02">
              <w:rPr>
                <w:noProof/>
                <w:webHidden/>
              </w:rPr>
            </w:r>
            <w:r w:rsidR="000D4C02">
              <w:rPr>
                <w:noProof/>
                <w:webHidden/>
              </w:rPr>
              <w:fldChar w:fldCharType="separate"/>
            </w:r>
            <w:r w:rsidR="000D4C02">
              <w:rPr>
                <w:noProof/>
                <w:webHidden/>
              </w:rPr>
              <w:t>4</w:t>
            </w:r>
            <w:r w:rsidR="000D4C02">
              <w:rPr>
                <w:noProof/>
                <w:webHidden/>
              </w:rPr>
              <w:fldChar w:fldCharType="end"/>
            </w:r>
          </w:hyperlink>
        </w:p>
        <w:p w:rsidR="000D4C02" w:rsidRDefault="00417F94">
          <w:pPr>
            <w:pStyle w:val="TOC1"/>
            <w:tabs>
              <w:tab w:val="right" w:leader="dot" w:pos="9016"/>
            </w:tabs>
            <w:rPr>
              <w:rFonts w:eastAsiaTheme="minorEastAsia"/>
              <w:noProof/>
              <w:lang w:eastAsia="en-GB"/>
            </w:rPr>
          </w:pPr>
          <w:hyperlink w:anchor="_Toc501477548" w:history="1">
            <w:r w:rsidR="000D4C02" w:rsidRPr="00D54303">
              <w:rPr>
                <w:rStyle w:val="Hyperlink"/>
                <w:noProof/>
              </w:rPr>
              <w:t>PART 2: The Journey or the Dialogue in Horror Narratives</w:t>
            </w:r>
            <w:r w:rsidR="000D4C02">
              <w:rPr>
                <w:noProof/>
                <w:webHidden/>
              </w:rPr>
              <w:tab/>
            </w:r>
            <w:r w:rsidR="000D4C02">
              <w:rPr>
                <w:noProof/>
                <w:webHidden/>
              </w:rPr>
              <w:fldChar w:fldCharType="begin"/>
            </w:r>
            <w:r w:rsidR="000D4C02">
              <w:rPr>
                <w:noProof/>
                <w:webHidden/>
              </w:rPr>
              <w:instrText xml:space="preserve"> PAGEREF _Toc501477548 \h </w:instrText>
            </w:r>
            <w:r w:rsidR="000D4C02">
              <w:rPr>
                <w:noProof/>
                <w:webHidden/>
              </w:rPr>
            </w:r>
            <w:r w:rsidR="000D4C02">
              <w:rPr>
                <w:noProof/>
                <w:webHidden/>
              </w:rPr>
              <w:fldChar w:fldCharType="separate"/>
            </w:r>
            <w:r w:rsidR="000D4C02">
              <w:rPr>
                <w:noProof/>
                <w:webHidden/>
              </w:rPr>
              <w:t>12</w:t>
            </w:r>
            <w:r w:rsidR="000D4C02">
              <w:rPr>
                <w:noProof/>
                <w:webHidden/>
              </w:rPr>
              <w:fldChar w:fldCharType="end"/>
            </w:r>
          </w:hyperlink>
        </w:p>
        <w:p w:rsidR="000D4C02" w:rsidRDefault="00417F94">
          <w:pPr>
            <w:pStyle w:val="TOC1"/>
            <w:tabs>
              <w:tab w:val="right" w:leader="dot" w:pos="9016"/>
            </w:tabs>
            <w:rPr>
              <w:rFonts w:eastAsiaTheme="minorEastAsia"/>
              <w:noProof/>
              <w:lang w:eastAsia="en-GB"/>
            </w:rPr>
          </w:pPr>
          <w:hyperlink w:anchor="_Toc501477549" w:history="1">
            <w:r w:rsidR="000D4C02" w:rsidRPr="00D54303">
              <w:rPr>
                <w:rStyle w:val="Hyperlink"/>
                <w:rFonts w:eastAsia="Times New Roman"/>
                <w:noProof/>
                <w:lang w:eastAsia="en-GB"/>
              </w:rPr>
              <w:t xml:space="preserve">PART 3: Application to Professional Practice – </w:t>
            </w:r>
            <w:r w:rsidR="000D4C02" w:rsidRPr="00D54303">
              <w:rPr>
                <w:rStyle w:val="Hyperlink"/>
                <w:rFonts w:eastAsia="Times New Roman"/>
                <w:i/>
                <w:noProof/>
                <w:lang w:eastAsia="en-GB"/>
              </w:rPr>
              <w:t>The Music of Erich Zann</w:t>
            </w:r>
            <w:r w:rsidR="000D4C02">
              <w:rPr>
                <w:noProof/>
                <w:webHidden/>
              </w:rPr>
              <w:tab/>
            </w:r>
            <w:r w:rsidR="000D4C02">
              <w:rPr>
                <w:noProof/>
                <w:webHidden/>
              </w:rPr>
              <w:fldChar w:fldCharType="begin"/>
            </w:r>
            <w:r w:rsidR="000D4C02">
              <w:rPr>
                <w:noProof/>
                <w:webHidden/>
              </w:rPr>
              <w:instrText xml:space="preserve"> PAGEREF _Toc501477549 \h </w:instrText>
            </w:r>
            <w:r w:rsidR="000D4C02">
              <w:rPr>
                <w:noProof/>
                <w:webHidden/>
              </w:rPr>
            </w:r>
            <w:r w:rsidR="000D4C02">
              <w:rPr>
                <w:noProof/>
                <w:webHidden/>
              </w:rPr>
              <w:fldChar w:fldCharType="separate"/>
            </w:r>
            <w:r w:rsidR="000D4C02">
              <w:rPr>
                <w:noProof/>
                <w:webHidden/>
              </w:rPr>
              <w:t>17</w:t>
            </w:r>
            <w:r w:rsidR="000D4C02">
              <w:rPr>
                <w:noProof/>
                <w:webHidden/>
              </w:rPr>
              <w:fldChar w:fldCharType="end"/>
            </w:r>
          </w:hyperlink>
        </w:p>
        <w:p w:rsidR="000D4C02" w:rsidRDefault="00417F94">
          <w:pPr>
            <w:pStyle w:val="TOC1"/>
            <w:tabs>
              <w:tab w:val="right" w:leader="dot" w:pos="9016"/>
            </w:tabs>
            <w:rPr>
              <w:rFonts w:eastAsiaTheme="minorEastAsia"/>
              <w:noProof/>
              <w:lang w:eastAsia="en-GB"/>
            </w:rPr>
          </w:pPr>
          <w:hyperlink w:anchor="_Toc501477550" w:history="1">
            <w:r w:rsidR="000D4C02" w:rsidRPr="00D54303">
              <w:rPr>
                <w:rStyle w:val="Hyperlink"/>
                <w:noProof/>
              </w:rPr>
              <w:t>Conclusion</w:t>
            </w:r>
            <w:r w:rsidR="000D4C02">
              <w:rPr>
                <w:noProof/>
                <w:webHidden/>
              </w:rPr>
              <w:tab/>
            </w:r>
            <w:r w:rsidR="000D4C02">
              <w:rPr>
                <w:noProof/>
                <w:webHidden/>
              </w:rPr>
              <w:fldChar w:fldCharType="begin"/>
            </w:r>
            <w:r w:rsidR="000D4C02">
              <w:rPr>
                <w:noProof/>
                <w:webHidden/>
              </w:rPr>
              <w:instrText xml:space="preserve"> PAGEREF _Toc501477550 \h </w:instrText>
            </w:r>
            <w:r w:rsidR="000D4C02">
              <w:rPr>
                <w:noProof/>
                <w:webHidden/>
              </w:rPr>
            </w:r>
            <w:r w:rsidR="000D4C02">
              <w:rPr>
                <w:noProof/>
                <w:webHidden/>
              </w:rPr>
              <w:fldChar w:fldCharType="separate"/>
            </w:r>
            <w:r w:rsidR="000D4C02">
              <w:rPr>
                <w:noProof/>
                <w:webHidden/>
              </w:rPr>
              <w:t>21</w:t>
            </w:r>
            <w:r w:rsidR="000D4C02">
              <w:rPr>
                <w:noProof/>
                <w:webHidden/>
              </w:rPr>
              <w:fldChar w:fldCharType="end"/>
            </w:r>
          </w:hyperlink>
        </w:p>
        <w:p w:rsidR="000D4C02" w:rsidRDefault="00417F94">
          <w:pPr>
            <w:pStyle w:val="TOC1"/>
            <w:tabs>
              <w:tab w:val="right" w:leader="dot" w:pos="9016"/>
            </w:tabs>
            <w:rPr>
              <w:rFonts w:eastAsiaTheme="minorEastAsia"/>
              <w:noProof/>
              <w:lang w:eastAsia="en-GB"/>
            </w:rPr>
          </w:pPr>
          <w:hyperlink w:anchor="_Toc501477551" w:history="1">
            <w:r w:rsidR="000D4C02" w:rsidRPr="00D54303">
              <w:rPr>
                <w:rStyle w:val="Hyperlink"/>
                <w:noProof/>
              </w:rPr>
              <w:t>Bibliography</w:t>
            </w:r>
            <w:r w:rsidR="000D4C02">
              <w:rPr>
                <w:noProof/>
                <w:webHidden/>
              </w:rPr>
              <w:tab/>
            </w:r>
            <w:r w:rsidR="000D4C02">
              <w:rPr>
                <w:noProof/>
                <w:webHidden/>
              </w:rPr>
              <w:fldChar w:fldCharType="begin"/>
            </w:r>
            <w:r w:rsidR="000D4C02">
              <w:rPr>
                <w:noProof/>
                <w:webHidden/>
              </w:rPr>
              <w:instrText xml:space="preserve"> PAGEREF _Toc501477551 \h </w:instrText>
            </w:r>
            <w:r w:rsidR="000D4C02">
              <w:rPr>
                <w:noProof/>
                <w:webHidden/>
              </w:rPr>
            </w:r>
            <w:r w:rsidR="000D4C02">
              <w:rPr>
                <w:noProof/>
                <w:webHidden/>
              </w:rPr>
              <w:fldChar w:fldCharType="separate"/>
            </w:r>
            <w:r w:rsidR="000D4C02">
              <w:rPr>
                <w:noProof/>
                <w:webHidden/>
              </w:rPr>
              <w:t>22</w:t>
            </w:r>
            <w:r w:rsidR="000D4C02">
              <w:rPr>
                <w:noProof/>
                <w:webHidden/>
              </w:rPr>
              <w:fldChar w:fldCharType="end"/>
            </w:r>
          </w:hyperlink>
        </w:p>
        <w:p w:rsidR="00071422" w:rsidRDefault="00071422" w:rsidP="00071422">
          <w:r>
            <w:rPr>
              <w:b/>
              <w:bCs/>
              <w:noProof/>
            </w:rPr>
            <w:fldChar w:fldCharType="end"/>
          </w:r>
        </w:p>
      </w:sdtContent>
    </w:sdt>
    <w:p w:rsidR="00071422" w:rsidRDefault="00071422">
      <w:pPr>
        <w:rPr>
          <w:rFonts w:asciiTheme="majorHAnsi" w:eastAsiaTheme="majorEastAsia" w:hAnsiTheme="majorHAnsi" w:cstheme="majorBidi"/>
          <w:color w:val="2E74B5" w:themeColor="accent1" w:themeShade="BF"/>
          <w:sz w:val="32"/>
          <w:szCs w:val="32"/>
        </w:rPr>
      </w:pPr>
      <w:r>
        <w:br w:type="page"/>
      </w:r>
    </w:p>
    <w:p w:rsidR="00347290" w:rsidRDefault="00347290" w:rsidP="00071422">
      <w:pPr>
        <w:pStyle w:val="Heading1"/>
        <w:spacing w:before="0" w:after="80"/>
      </w:pPr>
      <w:bookmarkStart w:id="2" w:name="_Toc501477546"/>
      <w:r>
        <w:lastRenderedPageBreak/>
        <w:t>Introduction</w:t>
      </w:r>
      <w:bookmarkEnd w:id="2"/>
    </w:p>
    <w:p w:rsidR="00915F6E" w:rsidRDefault="00AA45EE" w:rsidP="00915F6E">
      <w:pPr>
        <w:spacing w:before="240" w:line="360" w:lineRule="auto"/>
        <w:rPr>
          <w:rFonts w:ascii="Arial" w:hAnsi="Arial" w:cs="Arial"/>
          <w:sz w:val="24"/>
        </w:rPr>
      </w:pPr>
      <w:r>
        <w:rPr>
          <w:rFonts w:ascii="Arial" w:hAnsi="Arial" w:cs="Arial"/>
          <w:sz w:val="24"/>
        </w:rPr>
        <w:t xml:space="preserve">It is the purpose of this dissertation to examine the suitability of Joseph Campbell’s proposed model of essential archetypal structure, the monomyth dubbed “the Hero’s Journey,” to the </w:t>
      </w:r>
      <w:r w:rsidR="00915F6E">
        <w:rPr>
          <w:rFonts w:ascii="Arial" w:hAnsi="Arial" w:cs="Arial"/>
          <w:sz w:val="24"/>
        </w:rPr>
        <w:t xml:space="preserve">applications </w:t>
      </w:r>
      <w:r>
        <w:rPr>
          <w:rFonts w:ascii="Arial" w:hAnsi="Arial" w:cs="Arial"/>
          <w:sz w:val="24"/>
        </w:rPr>
        <w:t>of both analysing and authoring literary or cinematic works</w:t>
      </w:r>
      <w:r w:rsidR="00915F6E">
        <w:rPr>
          <w:rFonts w:ascii="Arial" w:hAnsi="Arial" w:cs="Arial"/>
          <w:sz w:val="24"/>
        </w:rPr>
        <w:t xml:space="preserve"> that boast an emphasis on narrative. The aim is to identify, if it is present, an underlying structure that exists in a broader range of narratives than those that conform in part or whole to Campbell’s archetypal model, and to question whether this deeper essential structure changes how audiences, theorists and authors should handle the assertion and identification of a work’s textual and </w:t>
      </w:r>
      <w:proofErr w:type="spellStart"/>
      <w:r w:rsidR="00915F6E">
        <w:rPr>
          <w:rFonts w:ascii="Arial" w:hAnsi="Arial" w:cs="Arial"/>
          <w:sz w:val="24"/>
        </w:rPr>
        <w:t>subtextual</w:t>
      </w:r>
      <w:proofErr w:type="spellEnd"/>
      <w:r w:rsidR="00915F6E">
        <w:rPr>
          <w:rFonts w:ascii="Arial" w:hAnsi="Arial" w:cs="Arial"/>
          <w:sz w:val="24"/>
        </w:rPr>
        <w:t xml:space="preserve"> meaning.</w:t>
      </w:r>
    </w:p>
    <w:p w:rsidR="00AA45EE" w:rsidRPr="00D06BFE" w:rsidRDefault="00915F6E" w:rsidP="00915F6E">
      <w:pPr>
        <w:spacing w:before="240" w:line="360" w:lineRule="auto"/>
        <w:rPr>
          <w:rFonts w:ascii="Arial" w:hAnsi="Arial" w:cs="Arial"/>
          <w:sz w:val="24"/>
        </w:rPr>
      </w:pPr>
      <w:r>
        <w:rPr>
          <w:rFonts w:ascii="Arial" w:hAnsi="Arial" w:cs="Arial"/>
          <w:sz w:val="24"/>
        </w:rPr>
        <w:t xml:space="preserve">To this end, the first chapter will establish the tenets of Campbell’s fusion of neoclassical genre theory and psychoanalysis, and identify the more basic structure that he appears to have overlooked. The second chapter will apply both models to the analysis of 2 thematically-distinct works of horror fiction from the last 200 years. In the third chapter, those models will </w:t>
      </w:r>
      <w:r w:rsidR="00D06BFE">
        <w:rPr>
          <w:rFonts w:ascii="Arial" w:hAnsi="Arial" w:cs="Arial"/>
          <w:sz w:val="24"/>
        </w:rPr>
        <w:t xml:space="preserve">be </w:t>
      </w:r>
      <w:r>
        <w:rPr>
          <w:rFonts w:ascii="Arial" w:hAnsi="Arial" w:cs="Arial"/>
          <w:sz w:val="24"/>
        </w:rPr>
        <w:t>applied creati</w:t>
      </w:r>
      <w:r w:rsidR="00D06BFE">
        <w:rPr>
          <w:rFonts w:ascii="Arial" w:hAnsi="Arial" w:cs="Arial"/>
          <w:sz w:val="24"/>
        </w:rPr>
        <w:t xml:space="preserve">vely to the generation of ideas that may be applied to a short film adaptation of </w:t>
      </w:r>
      <w:r w:rsidR="00D06BFE">
        <w:rPr>
          <w:rFonts w:ascii="Arial" w:hAnsi="Arial" w:cs="Arial"/>
          <w:i/>
          <w:sz w:val="24"/>
        </w:rPr>
        <w:t xml:space="preserve">The Music of Erich </w:t>
      </w:r>
      <w:proofErr w:type="spellStart"/>
      <w:r w:rsidR="00D06BFE">
        <w:rPr>
          <w:rFonts w:ascii="Arial" w:hAnsi="Arial" w:cs="Arial"/>
          <w:i/>
          <w:sz w:val="24"/>
        </w:rPr>
        <w:t>Zann</w:t>
      </w:r>
      <w:proofErr w:type="spellEnd"/>
      <w:r w:rsidR="00D06BFE">
        <w:rPr>
          <w:rFonts w:ascii="Arial" w:hAnsi="Arial" w:cs="Arial"/>
          <w:i/>
          <w:sz w:val="24"/>
        </w:rPr>
        <w:t xml:space="preserve"> </w:t>
      </w:r>
      <w:r w:rsidR="00D06BFE">
        <w:rPr>
          <w:rFonts w:ascii="Arial" w:hAnsi="Arial" w:cs="Arial"/>
          <w:sz w:val="24"/>
        </w:rPr>
        <w:t>by H.P. Lovecraft.</w:t>
      </w:r>
    </w:p>
    <w:p w:rsidR="00071422" w:rsidRDefault="00071422">
      <w:pPr>
        <w:rPr>
          <w:rFonts w:asciiTheme="majorHAnsi" w:eastAsiaTheme="majorEastAsia" w:hAnsiTheme="majorHAnsi" w:cstheme="majorBidi"/>
          <w:color w:val="2E74B5" w:themeColor="accent1" w:themeShade="BF"/>
          <w:sz w:val="32"/>
          <w:szCs w:val="32"/>
        </w:rPr>
      </w:pPr>
      <w:r>
        <w:br w:type="page"/>
      </w:r>
    </w:p>
    <w:p w:rsidR="0013669A" w:rsidRPr="0013669A" w:rsidRDefault="0013669A" w:rsidP="00347290">
      <w:pPr>
        <w:pStyle w:val="Heading1"/>
        <w:spacing w:before="0"/>
      </w:pPr>
      <w:bookmarkStart w:id="3" w:name="_Toc501477547"/>
      <w:r>
        <w:lastRenderedPageBreak/>
        <w:t>PART 1: The Hero’s Journey and its questionable relevance to contemporary narratives</w:t>
      </w:r>
      <w:bookmarkEnd w:id="3"/>
    </w:p>
    <w:p w:rsidR="0013669A" w:rsidRDefault="0013669A" w:rsidP="00347290">
      <w:pPr>
        <w:pStyle w:val="NormalWeb"/>
        <w:spacing w:before="240" w:beforeAutospacing="0" w:after="80" w:afterAutospacing="0" w:line="360" w:lineRule="auto"/>
      </w:pPr>
      <w:r>
        <w:rPr>
          <w:rFonts w:ascii="Arial" w:hAnsi="Arial" w:cs="Arial"/>
          <w:color w:val="000000"/>
        </w:rPr>
        <w:t>In simple terms, the Hero’s Journey can be defined as an arrangement of specific archetypal and structural signifiers that mythologist Joseph Campbell asserted represented the essential framework of folklore, mythology and certain social customs of initiation from around the world (Campbell, 1949). Campbell’s concerns were predominantly anthropological in nature; he believed and subsequently proposed that these signifiers defied what he perceived as the limits of cultural and transcultural osmosis, and therefore that their worldwide ubiquity could not be explained as imitation but instead by their rooting in the inherent archetypal structures of what Jung dubbed the Collective Unconscious.</w:t>
      </w:r>
    </w:p>
    <w:p w:rsidR="0013669A" w:rsidRDefault="0013669A" w:rsidP="00A71749">
      <w:pPr>
        <w:pStyle w:val="NormalWeb"/>
        <w:spacing w:before="240" w:beforeAutospacing="0" w:after="80" w:afterAutospacing="0" w:line="360" w:lineRule="auto"/>
      </w:pPr>
      <w:r>
        <w:rPr>
          <w:rFonts w:ascii="Arial" w:hAnsi="Arial" w:cs="Arial"/>
          <w:color w:val="000000"/>
        </w:rPr>
        <w:t>To reinforce this, the observation is made that the structure of the Hero’s Journey and the mythic Initiation appears to parallel at times the common arrangement of dreams:</w:t>
      </w:r>
    </w:p>
    <w:p w:rsidR="00A71749" w:rsidRDefault="0013669A" w:rsidP="00A71749">
      <w:pPr>
        <w:pStyle w:val="NormalWeb"/>
        <w:spacing w:before="240" w:beforeAutospacing="0" w:after="80" w:afterAutospacing="0"/>
        <w:ind w:left="1134" w:right="1371"/>
        <w:rPr>
          <w:rFonts w:ascii="Arial" w:hAnsi="Arial" w:cs="Arial"/>
          <w:bCs/>
          <w:color w:val="000000"/>
        </w:rPr>
      </w:pPr>
      <w:r w:rsidRPr="00A71749">
        <w:rPr>
          <w:rFonts w:ascii="Arial" w:hAnsi="Arial" w:cs="Arial"/>
          <w:bCs/>
          <w:color w:val="000000"/>
        </w:rPr>
        <w:t>“Most amazing is the fact that a great number of ritual trials and images correspond to those that appear automatically in dream the moment the psychoanalyzed patient begins to abandon his infantile fixations and to progress into the future.” (</w:t>
      </w:r>
      <w:r w:rsidRPr="00A71749">
        <w:rPr>
          <w:rFonts w:ascii="Arial" w:hAnsi="Arial" w:cs="Arial"/>
          <w:bCs/>
          <w:i/>
          <w:iCs/>
          <w:color w:val="000000"/>
        </w:rPr>
        <w:t>The Hero With a Thousand Faces</w:t>
      </w:r>
      <w:r w:rsidRPr="00A71749">
        <w:rPr>
          <w:rFonts w:ascii="Arial" w:hAnsi="Arial" w:cs="Arial"/>
          <w:bCs/>
          <w:color w:val="000000"/>
        </w:rPr>
        <w:t>, 1949, p.6)</w:t>
      </w:r>
    </w:p>
    <w:p w:rsidR="00A71749" w:rsidRPr="00A71749" w:rsidRDefault="00A71749" w:rsidP="00A71749">
      <w:pPr>
        <w:pStyle w:val="NormalWeb"/>
        <w:spacing w:before="240" w:beforeAutospacing="0" w:after="80" w:afterAutospacing="0"/>
        <w:ind w:left="1134" w:right="1371"/>
        <w:rPr>
          <w:rFonts w:ascii="Arial" w:hAnsi="Arial" w:cs="Arial"/>
          <w:bCs/>
          <w:color w:val="000000"/>
        </w:rPr>
      </w:pPr>
    </w:p>
    <w:p w:rsidR="0013669A" w:rsidRDefault="0013669A" w:rsidP="00A71749">
      <w:pPr>
        <w:pStyle w:val="NormalWeb"/>
        <w:spacing w:before="240" w:beforeAutospacing="0" w:after="80" w:afterAutospacing="0" w:line="360" w:lineRule="auto"/>
      </w:pPr>
      <w:r>
        <w:rPr>
          <w:rFonts w:ascii="Arial" w:hAnsi="Arial" w:cs="Arial"/>
          <w:color w:val="000000"/>
        </w:rPr>
        <w:t xml:space="preserve">This is the more traditional field of study emphasised in the theories of Jung and Freud. The archetypal structures of both dream and narrative both reflect the workings of the unconscious of the dreamer/author, hence the supposed ubiquity of Campbell’s archetypal model in folklore and myth that existed prior to the codification of plot </w:t>
      </w:r>
      <w:proofErr w:type="spellStart"/>
      <w:r>
        <w:rPr>
          <w:rFonts w:ascii="Arial" w:hAnsi="Arial" w:cs="Arial"/>
          <w:color w:val="000000"/>
        </w:rPr>
        <w:t>syntactics</w:t>
      </w:r>
      <w:proofErr w:type="spellEnd"/>
      <w:r>
        <w:rPr>
          <w:rFonts w:ascii="Arial" w:hAnsi="Arial" w:cs="Arial"/>
          <w:color w:val="000000"/>
        </w:rPr>
        <w:t xml:space="preserve"> in </w:t>
      </w:r>
      <w:r>
        <w:rPr>
          <w:rFonts w:ascii="Arial" w:hAnsi="Arial" w:cs="Arial"/>
          <w:i/>
          <w:iCs/>
          <w:color w:val="000000"/>
        </w:rPr>
        <w:t>Poetics</w:t>
      </w:r>
      <w:r>
        <w:rPr>
          <w:rFonts w:ascii="Arial" w:hAnsi="Arial" w:cs="Arial"/>
          <w:color w:val="000000"/>
        </w:rPr>
        <w:t xml:space="preserve"> (Aristotle) that provided the foundations of what would become neoclassical genre theory (Altman, 1999).</w:t>
      </w:r>
    </w:p>
    <w:p w:rsidR="0013669A" w:rsidRDefault="0013669A" w:rsidP="00A71749">
      <w:pPr>
        <w:pStyle w:val="NormalWeb"/>
        <w:spacing w:before="240" w:beforeAutospacing="0" w:after="80" w:afterAutospacing="0" w:line="360" w:lineRule="auto"/>
      </w:pPr>
      <w:r>
        <w:rPr>
          <w:rFonts w:ascii="Arial" w:hAnsi="Arial" w:cs="Arial"/>
          <w:color w:val="000000"/>
        </w:rPr>
        <w:t xml:space="preserve">Campbell was then, by his own assertion, attempting to diagnose the reason for the common archetypal makeup of classical myth through a psychoanalytical reading of common signifiers. This approach is </w:t>
      </w:r>
      <w:proofErr w:type="spellStart"/>
      <w:r>
        <w:rPr>
          <w:rFonts w:ascii="Arial" w:hAnsi="Arial" w:cs="Arial"/>
          <w:color w:val="000000"/>
        </w:rPr>
        <w:t>structuralist</w:t>
      </w:r>
      <w:proofErr w:type="spellEnd"/>
      <w:r>
        <w:rPr>
          <w:rFonts w:ascii="Arial" w:hAnsi="Arial" w:cs="Arial"/>
          <w:color w:val="000000"/>
        </w:rPr>
        <w:t xml:space="preserve"> in its characteristics and, in some ways, parallels the methodology of Vladimir </w:t>
      </w:r>
      <w:proofErr w:type="spellStart"/>
      <w:r>
        <w:rPr>
          <w:rFonts w:ascii="Arial" w:hAnsi="Arial" w:cs="Arial"/>
          <w:color w:val="000000"/>
        </w:rPr>
        <w:t>Propp</w:t>
      </w:r>
      <w:proofErr w:type="spellEnd"/>
      <w:r>
        <w:rPr>
          <w:rFonts w:ascii="Arial" w:hAnsi="Arial" w:cs="Arial"/>
          <w:color w:val="000000"/>
        </w:rPr>
        <w:t>, in the sense that it alleges that essential underlying meaning be derived from the recurring patterns in a narrative’s arrangement of sequences and archetypes (</w:t>
      </w:r>
      <w:proofErr w:type="spellStart"/>
      <w:r>
        <w:rPr>
          <w:rFonts w:ascii="Arial" w:hAnsi="Arial" w:cs="Arial"/>
          <w:color w:val="000000"/>
        </w:rPr>
        <w:t>Stam</w:t>
      </w:r>
      <w:proofErr w:type="spellEnd"/>
      <w:r>
        <w:rPr>
          <w:rFonts w:ascii="Arial" w:hAnsi="Arial" w:cs="Arial"/>
          <w:color w:val="000000"/>
        </w:rPr>
        <w:t xml:space="preserve">, Burgoyne and </w:t>
      </w:r>
      <w:proofErr w:type="spellStart"/>
      <w:r>
        <w:rPr>
          <w:rFonts w:ascii="Arial" w:hAnsi="Arial" w:cs="Arial"/>
          <w:color w:val="000000"/>
        </w:rPr>
        <w:t>Flitterman</w:t>
      </w:r>
      <w:proofErr w:type="spellEnd"/>
      <w:r>
        <w:rPr>
          <w:rFonts w:ascii="Arial" w:hAnsi="Arial" w:cs="Arial"/>
          <w:color w:val="000000"/>
        </w:rPr>
        <w:t xml:space="preserve">-Lewis, </w:t>
      </w:r>
      <w:r>
        <w:rPr>
          <w:rFonts w:ascii="Arial" w:hAnsi="Arial" w:cs="Arial"/>
          <w:color w:val="000000"/>
        </w:rPr>
        <w:lastRenderedPageBreak/>
        <w:t>1992). The Hero’s Journey is the proposed essential language of myth, an amalgamation of syntactic signifiers alleged to be a product of the unconscious mind, rather than a common learned language that self-perpetuates its own commonality and therefore boasts adaptive potential, as a post-</w:t>
      </w:r>
      <w:proofErr w:type="spellStart"/>
      <w:r>
        <w:rPr>
          <w:rFonts w:ascii="Arial" w:hAnsi="Arial" w:cs="Arial"/>
          <w:color w:val="000000"/>
        </w:rPr>
        <w:t>structuralist</w:t>
      </w:r>
      <w:proofErr w:type="spellEnd"/>
      <w:r>
        <w:rPr>
          <w:rFonts w:ascii="Arial" w:hAnsi="Arial" w:cs="Arial"/>
          <w:color w:val="000000"/>
        </w:rPr>
        <w:t xml:space="preserve"> theorist may argue (</w:t>
      </w:r>
      <w:proofErr w:type="spellStart"/>
      <w:r>
        <w:rPr>
          <w:rFonts w:ascii="Arial" w:hAnsi="Arial" w:cs="Arial"/>
          <w:color w:val="000000"/>
        </w:rPr>
        <w:t>Belsey</w:t>
      </w:r>
      <w:proofErr w:type="spellEnd"/>
      <w:r>
        <w:rPr>
          <w:rFonts w:ascii="Arial" w:hAnsi="Arial" w:cs="Arial"/>
          <w:color w:val="000000"/>
        </w:rPr>
        <w:t>, 2002).</w:t>
      </w:r>
    </w:p>
    <w:p w:rsidR="0013669A" w:rsidRDefault="0013669A" w:rsidP="00A71749">
      <w:pPr>
        <w:pStyle w:val="NormalWeb"/>
        <w:spacing w:before="240" w:beforeAutospacing="0" w:after="80" w:afterAutospacing="0" w:line="360" w:lineRule="auto"/>
      </w:pPr>
      <w:r>
        <w:rPr>
          <w:rFonts w:ascii="Arial" w:hAnsi="Arial" w:cs="Arial"/>
          <w:color w:val="000000"/>
        </w:rPr>
        <w:t>The framework of the monomyth in question is divided by Campbell into 3 parts: the Departure, the Initiation and the Return, which are then split further into 5, 6 and 6 sequences respectively.</w:t>
      </w:r>
    </w:p>
    <w:p w:rsidR="0013669A" w:rsidRDefault="0013669A" w:rsidP="00A71749">
      <w:pPr>
        <w:pStyle w:val="NormalWeb"/>
        <w:spacing w:before="240" w:beforeAutospacing="0" w:after="80" w:afterAutospacing="0" w:line="360" w:lineRule="auto"/>
      </w:pPr>
      <w:r>
        <w:rPr>
          <w:rFonts w:ascii="Arial" w:hAnsi="Arial" w:cs="Arial"/>
          <w:color w:val="000000"/>
        </w:rPr>
        <w:t>The first act, the Departure, sees the archetypal protagonist, the Hero, who is symbolic at this point in the tale of the incomplete or ego-driven Self, become motivated to venture beyond the bounds of their normal field of existence by a “Call to Adventure” (Campbell, 2008). They are initially reluctant to act, sometimes even utterly resistant to the Call to such a degree that it renders them entirely passive, but with some “Supernatural Aid” they make the active choice to venture forth. Upon “Crossing the First Threshold” into the outside world, the Hero experiences a symbolic “rebirth,” and so enters the second act.</w:t>
      </w:r>
    </w:p>
    <w:p w:rsidR="0013669A" w:rsidRDefault="0013669A" w:rsidP="00A71749">
      <w:pPr>
        <w:pStyle w:val="NormalWeb"/>
        <w:spacing w:before="240" w:beforeAutospacing="0" w:after="80" w:afterAutospacing="0" w:line="360" w:lineRule="auto"/>
      </w:pPr>
      <w:r>
        <w:rPr>
          <w:rFonts w:ascii="Arial" w:hAnsi="Arial" w:cs="Arial"/>
          <w:color w:val="000000"/>
        </w:rPr>
        <w:t>This second act, the Initiation, is where the Hero undergoes a process of transformation. This phase of the Journey (upper-case lettering here refers to symbolic archetypes) begins, in most cases, with a treacherous journey along a “Road of Trials,” after which the Hero finds comfort upon meeting a “Goddess;” they find themselves once more in a realm of apparent security. The Journey is halted by this until the Goddess is revealed to be, in actuality, a Temptress who leads them astray, and so the Hero returns to the Journey of their own accord.</w:t>
      </w:r>
    </w:p>
    <w:p w:rsidR="0013669A" w:rsidRDefault="0013669A" w:rsidP="00A71749">
      <w:pPr>
        <w:pStyle w:val="NormalWeb"/>
        <w:spacing w:before="240" w:beforeAutospacing="0" w:after="80" w:afterAutospacing="0" w:line="360" w:lineRule="auto"/>
      </w:pPr>
      <w:r>
        <w:rPr>
          <w:rFonts w:ascii="Arial" w:hAnsi="Arial" w:cs="Arial"/>
          <w:color w:val="000000"/>
        </w:rPr>
        <w:t>Their drive to persevere reinvigorated, they reconcile with the Father, and in doing so accept guidance that leads them to the “Apotheosis,” where they are gifted with the “Ultimate Boon” (which Campbell states is typically, but not always, immortality, a symbolic transcendence of a vulnerable, incomplete state).</w:t>
      </w:r>
    </w:p>
    <w:p w:rsidR="0013669A" w:rsidRDefault="0013669A" w:rsidP="00A71749">
      <w:pPr>
        <w:pStyle w:val="NormalWeb"/>
        <w:spacing w:before="240" w:beforeAutospacing="0" w:after="80" w:afterAutospacing="0" w:line="360" w:lineRule="auto"/>
      </w:pPr>
      <w:r>
        <w:rPr>
          <w:rFonts w:ascii="Arial" w:hAnsi="Arial" w:cs="Arial"/>
          <w:color w:val="000000"/>
        </w:rPr>
        <w:t xml:space="preserve">So begins the third act, the Return, in which the Hero is restored to the realm that they left in the first act. This phase seems to have more room for variation: the Hero may refuse to return, Campbell states, or may be required to flee an antagonist or seek rescue. In the latter two cases, the Hero eventually crosses the “Return </w:t>
      </w:r>
      <w:r>
        <w:rPr>
          <w:rFonts w:ascii="Arial" w:hAnsi="Arial" w:cs="Arial"/>
          <w:color w:val="000000"/>
        </w:rPr>
        <w:lastRenderedPageBreak/>
        <w:t>Threshold” as the “Master of Two Worlds,” one who can freely cross the Threshold as they choose. The Hero is gifted with “Freedom to Live” as their focus returns from the Journey to their Self.</w:t>
      </w:r>
    </w:p>
    <w:p w:rsidR="0013669A" w:rsidRDefault="0013669A" w:rsidP="00A71749">
      <w:pPr>
        <w:pStyle w:val="NormalWeb"/>
        <w:spacing w:before="240" w:beforeAutospacing="0" w:after="80" w:afterAutospacing="0" w:line="360" w:lineRule="auto"/>
      </w:pPr>
      <w:r>
        <w:rPr>
          <w:rFonts w:ascii="Arial" w:hAnsi="Arial" w:cs="Arial"/>
          <w:color w:val="000000"/>
        </w:rPr>
        <w:t xml:space="preserve">Campbell’s argument is that the 1st act represents the Departure of the Self from the realm of Ego; the 2nd act the addressing of unconscious complexes as the Hero/Self comes to terms with the challenge of separating </w:t>
      </w:r>
      <w:proofErr w:type="spellStart"/>
      <w:r>
        <w:rPr>
          <w:rFonts w:ascii="Arial" w:hAnsi="Arial" w:cs="Arial"/>
          <w:color w:val="000000"/>
        </w:rPr>
        <w:t>themself</w:t>
      </w:r>
      <w:proofErr w:type="spellEnd"/>
      <w:r>
        <w:rPr>
          <w:rFonts w:ascii="Arial" w:hAnsi="Arial" w:cs="Arial"/>
          <w:color w:val="000000"/>
        </w:rPr>
        <w:t xml:space="preserve"> from the comfort of the Mother and developing a more balanced, reasoned view of the Father; and the 3rd act is the return to the realm of consciousness as the more complete Self. To Campbell, all fiction that incorporates this archetypal structure or its component parts boasts the same essential subtext, regardless of which culture-specific signifiers may be layered on top. The usage of the Hero’s Journey is supposedly an innate unconscious process, variances the assertion of the personal unconscious or the specific semantic signifiers of the author’s culture.</w:t>
      </w:r>
    </w:p>
    <w:p w:rsidR="00A71749" w:rsidRPr="00A71749" w:rsidRDefault="0013669A" w:rsidP="00A71749">
      <w:pPr>
        <w:pStyle w:val="NormalWeb"/>
        <w:spacing w:before="240" w:beforeAutospacing="0" w:after="80" w:afterAutospacing="0" w:line="360" w:lineRule="auto"/>
        <w:rPr>
          <w:rFonts w:ascii="Arial" w:hAnsi="Arial" w:cs="Arial"/>
          <w:color w:val="000000"/>
        </w:rPr>
      </w:pPr>
      <w:r>
        <w:rPr>
          <w:rFonts w:ascii="Arial" w:hAnsi="Arial" w:cs="Arial"/>
          <w:color w:val="000000"/>
        </w:rPr>
        <w:t xml:space="preserve">In </w:t>
      </w:r>
      <w:r>
        <w:rPr>
          <w:rFonts w:ascii="Arial" w:hAnsi="Arial" w:cs="Arial"/>
          <w:i/>
          <w:iCs/>
          <w:color w:val="000000"/>
        </w:rPr>
        <w:t>Into the Woods</w:t>
      </w:r>
      <w:r>
        <w:rPr>
          <w:rFonts w:ascii="Arial" w:hAnsi="Arial" w:cs="Arial"/>
          <w:color w:val="000000"/>
        </w:rPr>
        <w:t xml:space="preserve">, a perceived oversight is observed in what </w:t>
      </w:r>
      <w:proofErr w:type="spellStart"/>
      <w:r>
        <w:rPr>
          <w:rFonts w:ascii="Arial" w:hAnsi="Arial" w:cs="Arial"/>
          <w:color w:val="000000"/>
        </w:rPr>
        <w:t>Yorke</w:t>
      </w:r>
      <w:proofErr w:type="spellEnd"/>
      <w:r>
        <w:rPr>
          <w:rFonts w:ascii="Arial" w:hAnsi="Arial" w:cs="Arial"/>
          <w:color w:val="000000"/>
        </w:rPr>
        <w:t xml:space="preserve"> describes as a failure on Campbell’s part to recognise an even more basic structural pattern underlying his psychoanalytical model. Citing George Hegel, </w:t>
      </w:r>
      <w:proofErr w:type="spellStart"/>
      <w:r>
        <w:rPr>
          <w:rFonts w:ascii="Arial" w:hAnsi="Arial" w:cs="Arial"/>
          <w:color w:val="000000"/>
        </w:rPr>
        <w:t>Yorke</w:t>
      </w:r>
      <w:proofErr w:type="spellEnd"/>
      <w:r>
        <w:rPr>
          <w:rFonts w:ascii="Arial" w:hAnsi="Arial" w:cs="Arial"/>
          <w:color w:val="000000"/>
        </w:rPr>
        <w:t xml:space="preserve"> states:</w:t>
      </w:r>
    </w:p>
    <w:p w:rsidR="0013669A" w:rsidRDefault="0013669A" w:rsidP="00A71749">
      <w:pPr>
        <w:pStyle w:val="NormalWeb"/>
        <w:spacing w:before="240" w:beforeAutospacing="0" w:after="80" w:afterAutospacing="0"/>
        <w:ind w:left="993" w:right="1371"/>
        <w:rPr>
          <w:rFonts w:ascii="Arial" w:hAnsi="Arial" w:cs="Arial"/>
          <w:bCs/>
          <w:color w:val="000000"/>
        </w:rPr>
      </w:pPr>
      <w:r w:rsidRPr="00A71749">
        <w:rPr>
          <w:rFonts w:ascii="Arial" w:hAnsi="Arial" w:cs="Arial"/>
          <w:bCs/>
          <w:color w:val="000000"/>
        </w:rPr>
        <w:t>“Truth, [Hegel] argued, could only be found through a journey of continual opposition; an idea is posited, challenged, and a new idea is born. This too is then challenged and the process repeated until a totality, built from fractals, is found. So it is with story.” (</w:t>
      </w:r>
      <w:r w:rsidRPr="00A71749">
        <w:rPr>
          <w:rFonts w:ascii="Arial" w:hAnsi="Arial" w:cs="Arial"/>
          <w:bCs/>
          <w:i/>
          <w:iCs/>
          <w:color w:val="000000"/>
        </w:rPr>
        <w:t>Into the Woods</w:t>
      </w:r>
      <w:r w:rsidRPr="00A71749">
        <w:rPr>
          <w:rFonts w:ascii="Arial" w:hAnsi="Arial" w:cs="Arial"/>
          <w:bCs/>
          <w:color w:val="000000"/>
        </w:rPr>
        <w:t xml:space="preserve">, John </w:t>
      </w:r>
      <w:proofErr w:type="spellStart"/>
      <w:r w:rsidRPr="00A71749">
        <w:rPr>
          <w:rFonts w:ascii="Arial" w:hAnsi="Arial" w:cs="Arial"/>
          <w:bCs/>
          <w:color w:val="000000"/>
        </w:rPr>
        <w:t>Yorke</w:t>
      </w:r>
      <w:proofErr w:type="spellEnd"/>
      <w:r w:rsidRPr="00A71749">
        <w:rPr>
          <w:rFonts w:ascii="Arial" w:hAnsi="Arial" w:cs="Arial"/>
          <w:bCs/>
          <w:color w:val="000000"/>
        </w:rPr>
        <w:t>, 2013)</w:t>
      </w:r>
    </w:p>
    <w:p w:rsidR="00A71749" w:rsidRPr="00A71749" w:rsidRDefault="00A71749" w:rsidP="00A71749">
      <w:pPr>
        <w:pStyle w:val="NormalWeb"/>
        <w:spacing w:before="0" w:beforeAutospacing="0" w:after="80" w:afterAutospacing="0"/>
        <w:ind w:left="993" w:right="1371"/>
      </w:pPr>
    </w:p>
    <w:p w:rsidR="0013669A" w:rsidRDefault="0013669A" w:rsidP="00A71749">
      <w:pPr>
        <w:pStyle w:val="NormalWeb"/>
        <w:spacing w:before="240" w:beforeAutospacing="0" w:after="80" w:afterAutospacing="0" w:line="360" w:lineRule="auto"/>
      </w:pPr>
      <w:r>
        <w:rPr>
          <w:rFonts w:ascii="Arial" w:hAnsi="Arial" w:cs="Arial"/>
          <w:color w:val="000000"/>
        </w:rPr>
        <w:t xml:space="preserve">Campbell’s text emphasises, as the field of Jungian psychoanalysis at large does, the interplay between the binary structures of the Conscious Self and the Unconscious as overarching themes of the narrative as a whole, and the narrative as the process of the former’s assimilation of the latter. The Hero’s Journey is the process of synthesis between the Hero and the forces of antagonism (the repressed archetypes of the Unconscious) via a departure from the Ordinary World into the Extraordinary World. What </w:t>
      </w:r>
      <w:proofErr w:type="spellStart"/>
      <w:r>
        <w:rPr>
          <w:rFonts w:ascii="Arial" w:hAnsi="Arial" w:cs="Arial"/>
          <w:color w:val="000000"/>
        </w:rPr>
        <w:t>Yorke</w:t>
      </w:r>
      <w:proofErr w:type="spellEnd"/>
      <w:r>
        <w:rPr>
          <w:rFonts w:ascii="Arial" w:hAnsi="Arial" w:cs="Arial"/>
          <w:color w:val="000000"/>
        </w:rPr>
        <w:t xml:space="preserve"> points out is a failure by Campbell to recognise that such binary structures can be observed in the narrative’s component portions: in the scene, the sequence and the act that drive the story as well as the </w:t>
      </w:r>
      <w:proofErr w:type="spellStart"/>
      <w:r>
        <w:rPr>
          <w:rFonts w:ascii="Arial" w:hAnsi="Arial" w:cs="Arial"/>
          <w:color w:val="000000"/>
        </w:rPr>
        <w:t>archplot</w:t>
      </w:r>
      <w:proofErr w:type="spellEnd"/>
      <w:r>
        <w:rPr>
          <w:rFonts w:ascii="Arial" w:hAnsi="Arial" w:cs="Arial"/>
          <w:color w:val="000000"/>
        </w:rPr>
        <w:t xml:space="preserve"> in its entirety.</w:t>
      </w:r>
    </w:p>
    <w:p w:rsidR="0013669A" w:rsidRDefault="0013669A" w:rsidP="00A71749">
      <w:pPr>
        <w:pStyle w:val="NormalWeb"/>
        <w:spacing w:before="240" w:beforeAutospacing="0" w:after="80" w:afterAutospacing="0" w:line="360" w:lineRule="auto"/>
      </w:pPr>
      <w:r>
        <w:rPr>
          <w:rFonts w:ascii="Arial" w:hAnsi="Arial" w:cs="Arial"/>
          <w:color w:val="000000"/>
        </w:rPr>
        <w:lastRenderedPageBreak/>
        <w:t xml:space="preserve">The interplay between binary archetypes is, in </w:t>
      </w:r>
      <w:proofErr w:type="spellStart"/>
      <w:r>
        <w:rPr>
          <w:rFonts w:ascii="Arial" w:hAnsi="Arial" w:cs="Arial"/>
          <w:color w:val="000000"/>
        </w:rPr>
        <w:t>Yorke’s</w:t>
      </w:r>
      <w:proofErr w:type="spellEnd"/>
      <w:r>
        <w:rPr>
          <w:rFonts w:ascii="Arial" w:hAnsi="Arial" w:cs="Arial"/>
          <w:color w:val="000000"/>
        </w:rPr>
        <w:t xml:space="preserve"> proposed model, the most essential building block of the narrative, and he asserts that such a model mimics an attempt at mediating one’s perceived truth and external information that challenges or runs contrary to that perception via a symbolic variation on the Socratic dialogue. It is, to paraphrase, symptomatic of a potentially-innate desire to impose structure on and make use of information that we perceive as outside of </w:t>
      </w:r>
      <w:proofErr w:type="spellStart"/>
      <w:r>
        <w:rPr>
          <w:rFonts w:ascii="Arial" w:hAnsi="Arial" w:cs="Arial"/>
          <w:color w:val="000000"/>
        </w:rPr>
        <w:t>ourself</w:t>
      </w:r>
      <w:proofErr w:type="spellEnd"/>
      <w:r>
        <w:rPr>
          <w:rFonts w:ascii="Arial" w:hAnsi="Arial" w:cs="Arial"/>
          <w:color w:val="000000"/>
        </w:rPr>
        <w:t>; the usage of binary archetypes is the most straightforward syntactic language that suits this end, the Hero’s Journey a specific arrangement of binaries that developed as a response to social and historical context.</w:t>
      </w:r>
    </w:p>
    <w:p w:rsidR="0013669A" w:rsidRDefault="0013669A" w:rsidP="00A71749">
      <w:pPr>
        <w:pStyle w:val="NormalWeb"/>
        <w:spacing w:before="240" w:beforeAutospacing="0" w:after="80" w:afterAutospacing="0" w:line="360" w:lineRule="auto"/>
      </w:pPr>
      <w:proofErr w:type="spellStart"/>
      <w:r>
        <w:rPr>
          <w:rFonts w:ascii="Arial" w:hAnsi="Arial" w:cs="Arial"/>
          <w:color w:val="000000"/>
        </w:rPr>
        <w:t>Yorke’s</w:t>
      </w:r>
      <w:proofErr w:type="spellEnd"/>
      <w:r>
        <w:rPr>
          <w:rFonts w:ascii="Arial" w:hAnsi="Arial" w:cs="Arial"/>
          <w:color w:val="000000"/>
        </w:rPr>
        <w:t xml:space="preserve"> analytical model emphasises the dynamic between the protagonist and antagonist as the central driving force of the narrative, in the sense that the antagonists’ function is to challenge the worldview or progress of the protagonist, who grows by adapting to that opposition. In the scene, the sequence, the act and the plot, the active protagonist assimilates and reacts to new information introduced by the external world and so moves the narrative forward in accordance with their response. If this structural model is indeed representative of the constructed syntax that we use to comprehend the world around us, then the specific forms taken by opposed binary forces are what the reader should derive meaning from. The </w:t>
      </w:r>
      <w:proofErr w:type="spellStart"/>
      <w:r>
        <w:rPr>
          <w:rFonts w:ascii="Arial" w:hAnsi="Arial" w:cs="Arial"/>
          <w:color w:val="000000"/>
        </w:rPr>
        <w:t>archplot</w:t>
      </w:r>
      <w:proofErr w:type="spellEnd"/>
      <w:r>
        <w:rPr>
          <w:rFonts w:ascii="Arial" w:hAnsi="Arial" w:cs="Arial"/>
          <w:color w:val="000000"/>
        </w:rPr>
        <w:t xml:space="preserve"> in its entirety, that is one with a clear and comprehensive resolution, represents the assertion of a more complete perception of truth via a process of mediation between the protagonist and the outside world; this certainly applies more broadly to works that embody the comprehensive definition of narrative proposed in </w:t>
      </w:r>
      <w:r>
        <w:rPr>
          <w:rFonts w:ascii="Arial" w:hAnsi="Arial" w:cs="Arial"/>
          <w:i/>
          <w:iCs/>
          <w:color w:val="000000"/>
        </w:rPr>
        <w:t>New Vocabularies in Film Semiotics</w:t>
      </w:r>
      <w:r>
        <w:rPr>
          <w:rFonts w:ascii="Arial" w:hAnsi="Arial" w:cs="Arial"/>
          <w:color w:val="000000"/>
        </w:rPr>
        <w:t>:</w:t>
      </w:r>
    </w:p>
    <w:p w:rsidR="0013669A" w:rsidRDefault="0013669A" w:rsidP="009B2AAB">
      <w:pPr>
        <w:pStyle w:val="NormalWeb"/>
        <w:spacing w:before="240" w:beforeAutospacing="0" w:after="80" w:afterAutospacing="0"/>
        <w:ind w:left="1134" w:right="1371"/>
        <w:rPr>
          <w:rFonts w:ascii="Arial" w:hAnsi="Arial" w:cs="Arial"/>
          <w:bCs/>
          <w:color w:val="000000"/>
        </w:rPr>
      </w:pPr>
      <w:r w:rsidRPr="009B2AAB">
        <w:rPr>
          <w:rFonts w:ascii="Arial" w:hAnsi="Arial" w:cs="Arial"/>
          <w:bCs/>
          <w:color w:val="000000"/>
        </w:rPr>
        <w:t>“The following definition synthesizes the work of many writers: NARRATIVE can be understood as the recounting of two or more events (or a situation and an event) that are logically connected.” (p.69)</w:t>
      </w:r>
    </w:p>
    <w:p w:rsidR="009B2AAB" w:rsidRPr="009B2AAB" w:rsidRDefault="009B2AAB" w:rsidP="009B2AAB">
      <w:pPr>
        <w:pStyle w:val="NormalWeb"/>
        <w:spacing w:before="240" w:beforeAutospacing="0" w:after="80" w:afterAutospacing="0"/>
        <w:ind w:left="1134" w:right="1371"/>
      </w:pPr>
    </w:p>
    <w:p w:rsidR="0013669A" w:rsidRDefault="0013669A" w:rsidP="009B2AAB">
      <w:pPr>
        <w:pStyle w:val="NormalWeb"/>
        <w:spacing w:before="240" w:beforeAutospacing="0" w:after="80" w:afterAutospacing="0" w:line="360" w:lineRule="auto"/>
      </w:pPr>
      <w:r>
        <w:rPr>
          <w:rFonts w:ascii="Arial" w:hAnsi="Arial" w:cs="Arial"/>
          <w:color w:val="000000"/>
        </w:rPr>
        <w:t xml:space="preserve">What is interesting to note is that </w:t>
      </w:r>
      <w:proofErr w:type="spellStart"/>
      <w:r>
        <w:rPr>
          <w:rFonts w:ascii="Arial" w:hAnsi="Arial" w:cs="Arial"/>
          <w:color w:val="000000"/>
        </w:rPr>
        <w:t>Yorke’s</w:t>
      </w:r>
      <w:proofErr w:type="spellEnd"/>
      <w:r>
        <w:rPr>
          <w:rFonts w:ascii="Arial" w:hAnsi="Arial" w:cs="Arial"/>
          <w:color w:val="000000"/>
        </w:rPr>
        <w:t xml:space="preserve"> adaptive model applies more readily to works of fiction or non-fiction that do not conform to Campbell’s codified synthesis of neoclassical genre study and Jungian psychoanalysis, as an analysis of </w:t>
      </w:r>
      <w:r>
        <w:rPr>
          <w:rFonts w:ascii="Arial" w:hAnsi="Arial" w:cs="Arial"/>
          <w:i/>
          <w:iCs/>
          <w:color w:val="000000"/>
        </w:rPr>
        <w:t xml:space="preserve">Guardians of the Galaxy Vol.2 </w:t>
      </w:r>
      <w:r>
        <w:rPr>
          <w:rFonts w:ascii="Arial" w:hAnsi="Arial" w:cs="Arial"/>
          <w:color w:val="000000"/>
        </w:rPr>
        <w:t>(James Gunn, 2017) and its direct prequel may demonstrate.</w:t>
      </w:r>
    </w:p>
    <w:p w:rsidR="0013669A" w:rsidRDefault="0013669A" w:rsidP="009B2AAB">
      <w:pPr>
        <w:pStyle w:val="NormalWeb"/>
        <w:spacing w:before="240" w:beforeAutospacing="0" w:after="80" w:afterAutospacing="0" w:line="360" w:lineRule="auto"/>
      </w:pPr>
      <w:r>
        <w:rPr>
          <w:rFonts w:ascii="Arial" w:hAnsi="Arial" w:cs="Arial"/>
          <w:color w:val="000000"/>
        </w:rPr>
        <w:lastRenderedPageBreak/>
        <w:t xml:space="preserve">The protagonist of the film, Peter Quill (Chris Pratt), can be read as a deliberate condemnation of the usage of the Hero’s Journey; he is a character who has internalised Campbell’s ritualistic process of self-actualisation via his own consumption of popular media, and who unquestioningly treats it as a roadmap for his own growth. In the first film, we see him undergo the Departure during the prologue; he is literally, irreversibly separated from his Mother and the security that she represents. Though the 1st film boasts a contained 3-act structure of its own, it can be said that the 2nd film </w:t>
      </w:r>
      <w:proofErr w:type="spellStart"/>
      <w:r>
        <w:rPr>
          <w:rFonts w:ascii="Arial" w:hAnsi="Arial" w:cs="Arial"/>
          <w:color w:val="000000"/>
        </w:rPr>
        <w:t>recontextualizes</w:t>
      </w:r>
      <w:proofErr w:type="spellEnd"/>
      <w:r>
        <w:rPr>
          <w:rFonts w:ascii="Arial" w:hAnsi="Arial" w:cs="Arial"/>
          <w:color w:val="000000"/>
        </w:rPr>
        <w:t xml:space="preserve"> its cohesive narrative as a sequence in a larger plot. The events of </w:t>
      </w:r>
      <w:r>
        <w:rPr>
          <w:rFonts w:ascii="Arial" w:hAnsi="Arial" w:cs="Arial"/>
          <w:i/>
          <w:iCs/>
          <w:color w:val="000000"/>
        </w:rPr>
        <w:t xml:space="preserve">Guardians of the Galaxy </w:t>
      </w:r>
      <w:r>
        <w:rPr>
          <w:rFonts w:ascii="Arial" w:hAnsi="Arial" w:cs="Arial"/>
          <w:color w:val="000000"/>
        </w:rPr>
        <w:t>(James Gunn, 2014) parallel the archetypal Road of Trials, after which Quill finds new stability as a member of the eponymous pseudo-familial unit. In Campbell’s terms, this is the Meeting with the Goddess.</w:t>
      </w:r>
    </w:p>
    <w:p w:rsidR="0013669A" w:rsidRDefault="0013669A" w:rsidP="009B2AAB">
      <w:pPr>
        <w:pStyle w:val="NormalWeb"/>
        <w:spacing w:before="240" w:beforeAutospacing="0" w:after="80" w:afterAutospacing="0" w:line="360" w:lineRule="auto"/>
      </w:pPr>
      <w:r>
        <w:rPr>
          <w:rFonts w:ascii="Arial" w:hAnsi="Arial" w:cs="Arial"/>
          <w:color w:val="000000"/>
        </w:rPr>
        <w:t xml:space="preserve">The 2nd film, then, has Quill, who sees in himself the archetypal Hero, become disillusioned with the Guardians group, after which he seeks guidance from the archetypal Father in the form of his literal father: Ego the Living Planet (Kurt Russell). His treatment of </w:t>
      </w:r>
      <w:proofErr w:type="spellStart"/>
      <w:r>
        <w:rPr>
          <w:rFonts w:ascii="Arial" w:hAnsi="Arial" w:cs="Arial"/>
          <w:color w:val="000000"/>
        </w:rPr>
        <w:t>Gamora</w:t>
      </w:r>
      <w:proofErr w:type="spellEnd"/>
      <w:r>
        <w:rPr>
          <w:rFonts w:ascii="Arial" w:hAnsi="Arial" w:cs="Arial"/>
          <w:color w:val="000000"/>
        </w:rPr>
        <w:t xml:space="preserve"> (Zoe Saldana) becomes abusive; his perception of her as little more than his own Anima</w:t>
      </w:r>
      <w:r>
        <w:rPr>
          <w:rFonts w:ascii="Arial" w:hAnsi="Arial" w:cs="Arial"/>
          <w:i/>
          <w:iCs/>
          <w:color w:val="000000"/>
        </w:rPr>
        <w:t xml:space="preserve"> </w:t>
      </w:r>
      <w:r>
        <w:rPr>
          <w:rFonts w:ascii="Arial" w:hAnsi="Arial" w:cs="Arial"/>
          <w:color w:val="000000"/>
        </w:rPr>
        <w:t>is made clear, as is the rooting of that perception in his own self-absorption given direction by the media that informs his worldview.</w:t>
      </w:r>
    </w:p>
    <w:p w:rsidR="0013669A" w:rsidRDefault="0013669A" w:rsidP="009B2AAB">
      <w:pPr>
        <w:pStyle w:val="NormalWeb"/>
        <w:spacing w:before="240" w:beforeAutospacing="0" w:after="80" w:afterAutospacing="0" w:line="360" w:lineRule="auto"/>
      </w:pPr>
      <w:r>
        <w:rPr>
          <w:rFonts w:ascii="Arial" w:hAnsi="Arial" w:cs="Arial"/>
          <w:color w:val="000000"/>
        </w:rPr>
        <w:t>Guided to the mythic Apotheosis by his Father, Quill is offered immortality, the Ultimate Boon, but at this point Ego’s active part in the death of his Mother is exposed. At this point, Quill becomes conscious of Ego’s destructive influence and rejects his Father, and Campbell’s monomyth is subverted. In this moment, Quill takes a step towards the recognition of the fallibility of his perceived Truth: his Want, the conscious External Desire for a mythic Initiation under the guidance of his Father, is not the Need that he perceived it to be. His true Need, which his actions up to this point have stood in direct conflict with, is for the stability and interpersonal connections that his separation from his Mother deprived him of at a young age. The integrity of the Guardians unit, and the value of the stability offered by the Mother and the archetypal Goddess, is reaffirmed.</w:t>
      </w:r>
    </w:p>
    <w:p w:rsidR="0013669A" w:rsidRDefault="0013669A" w:rsidP="009B2AAB">
      <w:pPr>
        <w:pStyle w:val="NormalWeb"/>
        <w:spacing w:before="240" w:beforeAutospacing="0" w:after="80" w:afterAutospacing="0" w:line="360" w:lineRule="auto"/>
      </w:pPr>
      <w:r>
        <w:rPr>
          <w:rFonts w:ascii="Arial" w:hAnsi="Arial" w:cs="Arial"/>
          <w:color w:val="000000"/>
        </w:rPr>
        <w:t xml:space="preserve">So it is that Quill, reflecting on his own self-absorption and his failure to adequately value his relationships with others, asserts in somewhat vague terms at the </w:t>
      </w:r>
      <w:r>
        <w:rPr>
          <w:rFonts w:ascii="Arial" w:hAnsi="Arial" w:cs="Arial"/>
          <w:color w:val="000000"/>
        </w:rPr>
        <w:lastRenderedPageBreak/>
        <w:t>resolution of the narrative his new Truth, and the conclusive statement of the film’s symbolic dialogue:</w:t>
      </w:r>
    </w:p>
    <w:p w:rsidR="0013669A" w:rsidRDefault="0013669A" w:rsidP="009B2AAB">
      <w:pPr>
        <w:pStyle w:val="NormalWeb"/>
        <w:spacing w:before="240" w:beforeAutospacing="0" w:after="80" w:afterAutospacing="0"/>
        <w:ind w:left="1134" w:right="1371"/>
        <w:rPr>
          <w:rFonts w:ascii="Arial" w:hAnsi="Arial" w:cs="Arial"/>
          <w:bCs/>
          <w:color w:val="000000"/>
        </w:rPr>
      </w:pPr>
      <w:r w:rsidRPr="009B2AAB">
        <w:rPr>
          <w:rFonts w:ascii="Arial" w:hAnsi="Arial" w:cs="Arial"/>
          <w:bCs/>
          <w:color w:val="000000"/>
        </w:rPr>
        <w:t xml:space="preserve">“What I’m trying to say here is sometimes that thing you’re searching for your whole life is right there by your side all along, and you don’t even know it.” </w:t>
      </w:r>
      <w:r w:rsidRPr="009B2AAB">
        <w:rPr>
          <w:rFonts w:ascii="Arial" w:hAnsi="Arial" w:cs="Arial"/>
          <w:bCs/>
          <w:i/>
          <w:iCs/>
          <w:color w:val="000000"/>
        </w:rPr>
        <w:t xml:space="preserve">Guardians of the Galaxy Vol.2 </w:t>
      </w:r>
      <w:r w:rsidRPr="009B2AAB">
        <w:rPr>
          <w:rFonts w:ascii="Arial" w:hAnsi="Arial" w:cs="Arial"/>
          <w:bCs/>
          <w:color w:val="000000"/>
        </w:rPr>
        <w:t>(James Gunn, 2017)</w:t>
      </w:r>
    </w:p>
    <w:p w:rsidR="009B2AAB" w:rsidRPr="009B2AAB" w:rsidRDefault="009B2AAB" w:rsidP="009B2AAB">
      <w:pPr>
        <w:pStyle w:val="NormalWeb"/>
        <w:spacing w:before="240" w:beforeAutospacing="0" w:after="80" w:afterAutospacing="0"/>
        <w:ind w:left="1134" w:right="1371"/>
      </w:pPr>
    </w:p>
    <w:p w:rsidR="0013669A" w:rsidRDefault="0013669A" w:rsidP="009B2AAB">
      <w:pPr>
        <w:pStyle w:val="NormalWeb"/>
        <w:spacing w:before="240" w:beforeAutospacing="0" w:after="80" w:afterAutospacing="0" w:line="360" w:lineRule="auto"/>
      </w:pPr>
      <w:r>
        <w:rPr>
          <w:rFonts w:ascii="Arial" w:hAnsi="Arial" w:cs="Arial"/>
          <w:color w:val="000000"/>
        </w:rPr>
        <w:t>To Campbell, such a creative choice would likely be perceived as symptomatic of the author’s fixation on “the unexercised images of [their] infancy, and [their disinclination] to the necessary passages of our adulthood” (Campbell, 1949, p7). The receptiveness of the audience to this message may be perceived as indicative of the same as a broader collective neurosis endemic to contemporary society.</w:t>
      </w:r>
    </w:p>
    <w:p w:rsidR="0013669A" w:rsidRDefault="0013669A" w:rsidP="009B2AAB">
      <w:pPr>
        <w:pStyle w:val="NormalWeb"/>
        <w:spacing w:before="240" w:beforeAutospacing="0" w:after="80" w:afterAutospacing="0" w:line="360" w:lineRule="auto"/>
      </w:pPr>
      <w:r>
        <w:rPr>
          <w:rFonts w:ascii="Arial" w:hAnsi="Arial" w:cs="Arial"/>
          <w:color w:val="000000"/>
        </w:rPr>
        <w:t>What can also be observed here, however, is a narrative framework wherein the archetypal structures of the Hero’s Journey are defined primarily as semantic signifiers, and the syntactic language of the film is akin to a dialogue between two opposing worldviews. The positioning of the archetypes within this symbolic exchange of ideas is reversed from Campbell’s model, and so a new meaning distinct from that of the monomyth is generated.</w:t>
      </w:r>
    </w:p>
    <w:p w:rsidR="0013669A" w:rsidRDefault="0013669A" w:rsidP="009B2AAB">
      <w:pPr>
        <w:pStyle w:val="NormalWeb"/>
        <w:spacing w:before="240" w:beforeAutospacing="0" w:after="80" w:afterAutospacing="0" w:line="360" w:lineRule="auto"/>
      </w:pPr>
      <w:r>
        <w:rPr>
          <w:rFonts w:ascii="Arial" w:hAnsi="Arial" w:cs="Arial"/>
          <w:color w:val="000000"/>
        </w:rPr>
        <w:t>Meaning, in this case, can be said to be derived from the apparent subject of discourse and from the structural positioning of semantic signifiers. Quill, the protagonist whose worldview represents the ‘thesis,’ is confronted with his ‘antithesis’ in the form of various antagonists and engages in an active process of ‘synthesis,’ wherein he processes the external information presented to him and adapts his worldview accordingly. The syntactic devices are simply defined by their function in the exchange; a beat, scene, sequence or act that progresses the narrative does so by changing in some way the relationship between the thesis and the antithesis.</w:t>
      </w:r>
    </w:p>
    <w:p w:rsidR="0013669A" w:rsidRDefault="0013669A" w:rsidP="009B2AAB">
      <w:pPr>
        <w:pStyle w:val="NormalWeb"/>
        <w:spacing w:before="240" w:beforeAutospacing="0" w:after="80" w:afterAutospacing="0" w:line="360" w:lineRule="auto"/>
      </w:pPr>
      <w:r>
        <w:rPr>
          <w:rFonts w:ascii="Arial" w:hAnsi="Arial" w:cs="Arial"/>
          <w:color w:val="000000"/>
        </w:rPr>
        <w:t xml:space="preserve">The depiction of this learning process in this film is fairly literal; the thematic principles embodied by the thesis and the antithesis are outlined on a textual level as the subject of Quill’s internal growth. In a narrative that doesn’t define its themes in the dimension of internal conflict, the </w:t>
      </w:r>
      <w:proofErr w:type="spellStart"/>
      <w:r>
        <w:rPr>
          <w:rFonts w:ascii="Arial" w:hAnsi="Arial" w:cs="Arial"/>
          <w:color w:val="000000"/>
        </w:rPr>
        <w:t>syntactics</w:t>
      </w:r>
      <w:proofErr w:type="spellEnd"/>
      <w:r>
        <w:rPr>
          <w:rFonts w:ascii="Arial" w:hAnsi="Arial" w:cs="Arial"/>
          <w:color w:val="000000"/>
        </w:rPr>
        <w:t xml:space="preserve"> of discourse can be observed nevertheless: when Perseus (Harry Hamlin) battles Medusa in </w:t>
      </w:r>
      <w:r>
        <w:rPr>
          <w:rFonts w:ascii="Arial" w:hAnsi="Arial" w:cs="Arial"/>
          <w:i/>
          <w:iCs/>
          <w:color w:val="000000"/>
        </w:rPr>
        <w:t xml:space="preserve">Clash of the Titans </w:t>
      </w:r>
      <w:r>
        <w:rPr>
          <w:rFonts w:ascii="Arial" w:hAnsi="Arial" w:cs="Arial"/>
          <w:color w:val="000000"/>
        </w:rPr>
        <w:lastRenderedPageBreak/>
        <w:t>(Desmond Davis, 1981), for example, the conflict is framed as largely external. The hero in this case does battle with his enemy, his antithesis, and overcomes her via a synthesis of his own ingenuity and his shield, a previously-established, once-external plot device that he ‘internalised’ and learned to employ. The scene itself is a contained microcosm of the narrative as a whole, at once a symbolic dispute between two binaries and a turning point in the plot’s overarching conflict.</w:t>
      </w:r>
    </w:p>
    <w:p w:rsidR="0013669A" w:rsidRDefault="0013669A" w:rsidP="009B2AAB">
      <w:pPr>
        <w:pStyle w:val="NormalWeb"/>
        <w:spacing w:before="240" w:beforeAutospacing="0" w:after="80" w:afterAutospacing="0" w:line="360" w:lineRule="auto"/>
      </w:pPr>
      <w:r>
        <w:rPr>
          <w:rFonts w:ascii="Arial" w:hAnsi="Arial" w:cs="Arial"/>
          <w:color w:val="000000"/>
        </w:rPr>
        <w:t xml:space="preserve">A key difference between </w:t>
      </w:r>
      <w:r>
        <w:rPr>
          <w:rFonts w:ascii="Arial" w:hAnsi="Arial" w:cs="Arial"/>
          <w:i/>
          <w:iCs/>
          <w:color w:val="000000"/>
        </w:rPr>
        <w:t xml:space="preserve">Clash of the Titans </w:t>
      </w:r>
      <w:r>
        <w:rPr>
          <w:rFonts w:ascii="Arial" w:hAnsi="Arial" w:cs="Arial"/>
          <w:color w:val="000000"/>
        </w:rPr>
        <w:t xml:space="preserve">and </w:t>
      </w:r>
      <w:r>
        <w:rPr>
          <w:rFonts w:ascii="Arial" w:hAnsi="Arial" w:cs="Arial"/>
          <w:i/>
          <w:iCs/>
          <w:color w:val="000000"/>
        </w:rPr>
        <w:t xml:space="preserve">Guardians of the Galaxy Vol.2 </w:t>
      </w:r>
      <w:r>
        <w:rPr>
          <w:rFonts w:ascii="Arial" w:hAnsi="Arial" w:cs="Arial"/>
          <w:color w:val="000000"/>
        </w:rPr>
        <w:t>is that in the former the base thesis embodied by Perseus is consistently affirmed and never challenged to such a significant degree that the protagonist must completely alter his thinking lest he be stripped of agency. All he needs to do is develop in a linear fashion via the assimilation of external devices until he is equipped to wholly overwhelm his antithesis.</w:t>
      </w:r>
    </w:p>
    <w:p w:rsidR="0013669A" w:rsidRDefault="0013669A" w:rsidP="009B2AAB">
      <w:pPr>
        <w:pStyle w:val="NormalWeb"/>
        <w:spacing w:before="240" w:beforeAutospacing="0" w:after="80" w:afterAutospacing="0" w:line="360" w:lineRule="auto"/>
      </w:pPr>
      <w:r>
        <w:rPr>
          <w:rFonts w:ascii="Arial" w:hAnsi="Arial" w:cs="Arial"/>
          <w:color w:val="000000"/>
        </w:rPr>
        <w:t xml:space="preserve">In proposing the model of binary dialogue as the essential unit of the narrative, </w:t>
      </w:r>
      <w:proofErr w:type="spellStart"/>
      <w:r>
        <w:rPr>
          <w:rFonts w:ascii="Arial" w:hAnsi="Arial" w:cs="Arial"/>
          <w:color w:val="000000"/>
        </w:rPr>
        <w:t>Yorke</w:t>
      </w:r>
      <w:proofErr w:type="spellEnd"/>
      <w:r>
        <w:rPr>
          <w:rFonts w:ascii="Arial" w:hAnsi="Arial" w:cs="Arial"/>
          <w:color w:val="000000"/>
        </w:rPr>
        <w:t xml:space="preserve"> implies that the archetypal framework of the Hero’s Journey is not ahistorical, though he does not attempt to explain in concrete terms the reason for its supposed global ubiquity. Indeed, Campbell’s own assessment depends upon the recognition of a shared condition of the historical contexts of the myths that he analyses: the cultures from which they emerged were not fully equipped for cultural and transcultural osmosis or the acquisition of more comprehensive knowledge.</w:t>
      </w:r>
    </w:p>
    <w:p w:rsidR="0013669A" w:rsidRDefault="0013669A" w:rsidP="009B2AAB">
      <w:pPr>
        <w:pStyle w:val="NormalWeb"/>
        <w:spacing w:before="240" w:beforeAutospacing="0" w:after="80" w:afterAutospacing="0" w:line="360" w:lineRule="auto"/>
      </w:pPr>
      <w:r>
        <w:rPr>
          <w:rFonts w:ascii="Arial" w:hAnsi="Arial" w:cs="Arial"/>
          <w:color w:val="000000"/>
        </w:rPr>
        <w:t>Given this shared characteristic, one could speculate that rather than being a reflection of innate unconscious structures, the Hero’s Journey as an arrangement of semantic and syntactic signifiers is for some reason the most logical symbolic dialogue that a society with limited access to external information can construct to understand the comparatively restricted world that they were equipped to perceive. Perhaps the structure of the family unit was such a common experience that it resulted in a near-uniform structural language across cultures. This notion is, of course, pure supposition without much to substantiate it.</w:t>
      </w:r>
    </w:p>
    <w:p w:rsidR="0013669A" w:rsidRDefault="0013669A" w:rsidP="009B2AAB">
      <w:pPr>
        <w:pStyle w:val="NormalWeb"/>
        <w:spacing w:before="240" w:beforeAutospacing="0" w:after="80" w:afterAutospacing="0" w:line="360" w:lineRule="auto"/>
      </w:pPr>
      <w:r>
        <w:rPr>
          <w:rFonts w:ascii="Arial" w:hAnsi="Arial" w:cs="Arial"/>
          <w:color w:val="000000"/>
        </w:rPr>
        <w:t xml:space="preserve">Campbell’s model of the Hero’s Journey, then, may be said to be losing its once-widespread relevance in a world where transcultural exchange and the acquisition of knowledge are increasingly viable and the codified models of neoclassical narratives are subject to varying degrees of scrutiny and subversion. Ultimately, as </w:t>
      </w:r>
      <w:proofErr w:type="spellStart"/>
      <w:r>
        <w:rPr>
          <w:rFonts w:ascii="Arial" w:hAnsi="Arial" w:cs="Arial"/>
          <w:color w:val="000000"/>
        </w:rPr>
        <w:t>Yorke</w:t>
      </w:r>
      <w:proofErr w:type="spellEnd"/>
      <w:r>
        <w:rPr>
          <w:rFonts w:ascii="Arial" w:hAnsi="Arial" w:cs="Arial"/>
          <w:color w:val="000000"/>
        </w:rPr>
        <w:t xml:space="preserve"> </w:t>
      </w:r>
      <w:r>
        <w:rPr>
          <w:rFonts w:ascii="Arial" w:hAnsi="Arial" w:cs="Arial"/>
          <w:color w:val="000000"/>
        </w:rPr>
        <w:lastRenderedPageBreak/>
        <w:t xml:space="preserve">himself states, the notion of the rooting of the monomyth in the archetypes of the collective unconscious is at once unfalsifiable and unprovable. </w:t>
      </w:r>
      <w:proofErr w:type="spellStart"/>
      <w:r>
        <w:rPr>
          <w:rFonts w:ascii="Arial" w:hAnsi="Arial" w:cs="Arial"/>
          <w:color w:val="000000"/>
        </w:rPr>
        <w:t>Yorke’s</w:t>
      </w:r>
      <w:proofErr w:type="spellEnd"/>
      <w:r>
        <w:rPr>
          <w:rFonts w:ascii="Arial" w:hAnsi="Arial" w:cs="Arial"/>
          <w:color w:val="000000"/>
        </w:rPr>
        <w:t xml:space="preserve"> proposal is likely the same in this regard. However, the model of symbolic dialogue driven by conflict between opposing archetypes that is at once observable in texts that do and don’t adhere to a codified mythic framework seems more suited to analysing a wider variety of contemporary post-</w:t>
      </w:r>
      <w:proofErr w:type="spellStart"/>
      <w:r>
        <w:rPr>
          <w:rFonts w:ascii="Arial" w:hAnsi="Arial" w:cs="Arial"/>
          <w:color w:val="000000"/>
        </w:rPr>
        <w:t>structuralist</w:t>
      </w:r>
      <w:proofErr w:type="spellEnd"/>
      <w:r>
        <w:rPr>
          <w:rFonts w:ascii="Arial" w:hAnsi="Arial" w:cs="Arial"/>
          <w:color w:val="000000"/>
        </w:rPr>
        <w:t xml:space="preserve"> narratives on top of classical myth and modern </w:t>
      </w:r>
      <w:proofErr w:type="spellStart"/>
      <w:r>
        <w:rPr>
          <w:rFonts w:ascii="Arial" w:hAnsi="Arial" w:cs="Arial"/>
          <w:color w:val="000000"/>
        </w:rPr>
        <w:t>psuedo</w:t>
      </w:r>
      <w:proofErr w:type="spellEnd"/>
      <w:r>
        <w:rPr>
          <w:rFonts w:ascii="Arial" w:hAnsi="Arial" w:cs="Arial"/>
          <w:color w:val="000000"/>
        </w:rPr>
        <w:t>-myth.</w:t>
      </w:r>
    </w:p>
    <w:p w:rsidR="007017EA" w:rsidRPr="0013669A" w:rsidRDefault="00417F94">
      <w:pPr>
        <w:rPr>
          <w:rFonts w:ascii="Arial" w:hAnsi="Arial" w:cs="Arial"/>
        </w:rPr>
      </w:pPr>
    </w:p>
    <w:p w:rsidR="00071422" w:rsidRDefault="00071422">
      <w:pPr>
        <w:rPr>
          <w:rFonts w:asciiTheme="majorHAnsi" w:eastAsiaTheme="majorEastAsia" w:hAnsiTheme="majorHAnsi" w:cstheme="majorBidi"/>
          <w:color w:val="2E74B5" w:themeColor="accent1" w:themeShade="BF"/>
          <w:sz w:val="32"/>
          <w:szCs w:val="32"/>
        </w:rPr>
      </w:pPr>
      <w:r>
        <w:br w:type="page"/>
      </w:r>
    </w:p>
    <w:p w:rsidR="0013669A" w:rsidRPr="0013669A" w:rsidRDefault="0013669A" w:rsidP="00071422">
      <w:pPr>
        <w:pStyle w:val="Heading1"/>
        <w:spacing w:after="80"/>
      </w:pPr>
      <w:bookmarkStart w:id="4" w:name="_Toc501477548"/>
      <w:r w:rsidRPr="0013669A">
        <w:lastRenderedPageBreak/>
        <w:t>PART 2: The Journey or the Dialogue in Horror Narratives</w:t>
      </w:r>
      <w:bookmarkEnd w:id="4"/>
    </w:p>
    <w:p w:rsidR="0013669A" w:rsidRPr="0013669A" w:rsidRDefault="0013669A" w:rsidP="00071422">
      <w:pPr>
        <w:spacing w:after="80" w:line="360" w:lineRule="auto"/>
        <w:rPr>
          <w:rFonts w:ascii="Times New Roman" w:eastAsia="Times New Roman" w:hAnsi="Times New Roman" w:cs="Times New Roman"/>
          <w:sz w:val="24"/>
          <w:szCs w:val="24"/>
          <w:lang w:eastAsia="en-GB"/>
        </w:rPr>
      </w:pPr>
      <w:r w:rsidRPr="0013669A">
        <w:rPr>
          <w:rFonts w:ascii="Arial" w:eastAsia="Times New Roman" w:hAnsi="Arial" w:cs="Arial"/>
          <w:color w:val="000000"/>
          <w:sz w:val="24"/>
          <w:szCs w:val="24"/>
          <w:lang w:eastAsia="en-GB"/>
        </w:rPr>
        <w:t xml:space="preserve">In the 3rd chapter of </w:t>
      </w:r>
      <w:r w:rsidRPr="0013669A">
        <w:rPr>
          <w:rFonts w:ascii="Arial" w:eastAsia="Times New Roman" w:hAnsi="Arial" w:cs="Arial"/>
          <w:i/>
          <w:iCs/>
          <w:color w:val="000000"/>
          <w:sz w:val="24"/>
          <w:szCs w:val="24"/>
          <w:lang w:eastAsia="en-GB"/>
        </w:rPr>
        <w:t>The Seven Basic Plots</w:t>
      </w:r>
      <w:r w:rsidRPr="0013669A">
        <w:rPr>
          <w:rFonts w:ascii="Arial" w:eastAsia="Times New Roman" w:hAnsi="Arial" w:cs="Arial"/>
          <w:color w:val="000000"/>
          <w:sz w:val="24"/>
          <w:szCs w:val="24"/>
          <w:lang w:eastAsia="en-GB"/>
        </w:rPr>
        <w:t>, the author describes in fairly dogmatic terms a supposed “disintegration” (Booker, 2004, p.348) of the dramatic form, a trend that he perceives as increasingly pervasive in the narrative fiction of the last 200 years. The text in its entirety represents something akin to an expansion upon the theories and methodology outlined by Campbell: the archetypal structures of the Hero’s Journey, he argues, are present to varying degrees in seven basic, rounded plot frameworks, and all plots share the same underlying structure. The archetype of the Light, the completed Self, overcomes the Shadow that represents some aspect of, or the totality of, the Ego, and is therefore symbolic of the overcoming of neurosis. This is the Universal Plot, Booker proposes. It is the most essential form a narrative takes when the innate archetypes of the unconscious mind are permitted to freely govern the story’s direction.</w:t>
      </w:r>
    </w:p>
    <w:p w:rsidR="0013669A" w:rsidRDefault="0013669A" w:rsidP="009B2AAB">
      <w:pPr>
        <w:spacing w:before="240" w:after="80" w:line="240" w:lineRule="auto"/>
        <w:ind w:left="1134" w:right="1371"/>
        <w:rPr>
          <w:rFonts w:ascii="Arial" w:eastAsia="Times New Roman" w:hAnsi="Arial" w:cs="Arial"/>
          <w:bCs/>
          <w:color w:val="000000"/>
          <w:sz w:val="24"/>
          <w:szCs w:val="24"/>
          <w:lang w:eastAsia="en-GB"/>
        </w:rPr>
      </w:pPr>
      <w:r w:rsidRPr="009B2AAB">
        <w:rPr>
          <w:rFonts w:ascii="Arial" w:eastAsia="Times New Roman" w:hAnsi="Arial" w:cs="Arial"/>
          <w:bCs/>
          <w:color w:val="000000"/>
          <w:sz w:val="24"/>
          <w:szCs w:val="24"/>
          <w:lang w:eastAsia="en-GB"/>
        </w:rPr>
        <w:t>“The only question is whether the central figure is identified with the light, in which case he or she ends up liberated and whole; or whether they have fallen irrevocably into the grip of darkness, in which case they are destroyed. But, whatever the fate of the central figure, the real underlying purpose of the process has been to show us how, in the end, light overcomes the darkness. Such is the archetypal pattern around which our human urge to imagine stories is ultimately centred.” (Booker, 2004, p.227)</w:t>
      </w:r>
    </w:p>
    <w:p w:rsidR="009B2AAB" w:rsidRPr="009B2AAB" w:rsidRDefault="009B2AAB" w:rsidP="009B2AAB">
      <w:pPr>
        <w:spacing w:before="240" w:after="80" w:line="240" w:lineRule="auto"/>
        <w:ind w:left="1134" w:right="1371"/>
        <w:rPr>
          <w:rFonts w:ascii="Times New Roman" w:eastAsia="Times New Roman" w:hAnsi="Times New Roman" w:cs="Times New Roman"/>
          <w:sz w:val="24"/>
          <w:szCs w:val="24"/>
          <w:lang w:eastAsia="en-GB"/>
        </w:rPr>
      </w:pPr>
    </w:p>
    <w:p w:rsidR="0013669A" w:rsidRPr="0013669A" w:rsidRDefault="0013669A" w:rsidP="009B2AAB">
      <w:pPr>
        <w:spacing w:before="240" w:after="80" w:line="360" w:lineRule="auto"/>
        <w:rPr>
          <w:rFonts w:ascii="Times New Roman" w:eastAsia="Times New Roman" w:hAnsi="Times New Roman" w:cs="Times New Roman"/>
          <w:sz w:val="24"/>
          <w:szCs w:val="24"/>
          <w:lang w:eastAsia="en-GB"/>
        </w:rPr>
      </w:pPr>
      <w:r w:rsidRPr="0013669A">
        <w:rPr>
          <w:rFonts w:ascii="Arial" w:eastAsia="Times New Roman" w:hAnsi="Arial" w:cs="Arial"/>
          <w:color w:val="000000"/>
          <w:sz w:val="24"/>
          <w:szCs w:val="24"/>
          <w:lang w:eastAsia="en-GB"/>
        </w:rPr>
        <w:t>A key example of the “disintegration” that Booker refers to is alleged to be a pattern of narratives wherein the absolute victory of Light is subverted in some capacity: the Journey ends in failure or uncertain victory; the archetype of the Anima is not properly assimilated; or no actual growth on the part of the Hero takes place, to describe a few of the possible manifestations of this alleged phenomenon. Such works represent not our instinctive model of psychological maturation but rather symbolic expressions of personal neuroses:</w:t>
      </w:r>
    </w:p>
    <w:p w:rsidR="0013669A" w:rsidRDefault="0013669A" w:rsidP="009B2AAB">
      <w:pPr>
        <w:spacing w:before="240" w:after="80" w:line="240" w:lineRule="auto"/>
        <w:ind w:left="1134" w:right="1371"/>
        <w:rPr>
          <w:rFonts w:ascii="Arial" w:eastAsia="Times New Roman" w:hAnsi="Arial" w:cs="Arial"/>
          <w:bCs/>
          <w:color w:val="000000"/>
          <w:sz w:val="24"/>
          <w:szCs w:val="24"/>
          <w:lang w:eastAsia="en-GB"/>
        </w:rPr>
      </w:pPr>
      <w:r w:rsidRPr="009B2AAB">
        <w:rPr>
          <w:rFonts w:ascii="Arial" w:eastAsia="Times New Roman" w:hAnsi="Arial" w:cs="Arial"/>
          <w:bCs/>
          <w:color w:val="000000"/>
          <w:sz w:val="24"/>
          <w:szCs w:val="24"/>
          <w:lang w:eastAsia="en-GB"/>
        </w:rPr>
        <w:t>“One of [this trend’s] conspicuous features… was the way the stories became more like personal dreams, reflecting the particular psychological inadequacies and imbalances of their creators.” (Booker, 2004, p.412)</w:t>
      </w:r>
    </w:p>
    <w:p w:rsidR="009B2AAB" w:rsidRPr="009B2AAB" w:rsidRDefault="009B2AAB" w:rsidP="009B2AAB">
      <w:pPr>
        <w:spacing w:before="240" w:after="80" w:line="240" w:lineRule="auto"/>
        <w:ind w:left="1134" w:right="1371"/>
        <w:rPr>
          <w:rFonts w:ascii="Times New Roman" w:eastAsia="Times New Roman" w:hAnsi="Times New Roman" w:cs="Times New Roman"/>
          <w:sz w:val="24"/>
          <w:szCs w:val="24"/>
          <w:lang w:eastAsia="en-GB"/>
        </w:rPr>
      </w:pPr>
    </w:p>
    <w:p w:rsidR="0013669A" w:rsidRPr="0013669A" w:rsidRDefault="0013669A" w:rsidP="009B2AAB">
      <w:pPr>
        <w:spacing w:before="240" w:after="80" w:line="360" w:lineRule="auto"/>
        <w:rPr>
          <w:rFonts w:ascii="Times New Roman" w:eastAsia="Times New Roman" w:hAnsi="Times New Roman" w:cs="Times New Roman"/>
          <w:sz w:val="24"/>
          <w:szCs w:val="24"/>
          <w:lang w:eastAsia="en-GB"/>
        </w:rPr>
      </w:pPr>
      <w:r w:rsidRPr="0013669A">
        <w:rPr>
          <w:rFonts w:ascii="Arial" w:eastAsia="Times New Roman" w:hAnsi="Arial" w:cs="Arial"/>
          <w:color w:val="000000"/>
          <w:sz w:val="24"/>
          <w:szCs w:val="24"/>
          <w:lang w:eastAsia="en-GB"/>
        </w:rPr>
        <w:lastRenderedPageBreak/>
        <w:t xml:space="preserve">Certain theoretical frameworks for the study of the horror genre emphasise similar differences to those between texts that do conform strictly to the neoclassical narrative framework of the Hero’s Journey and/or the Universal Plot, and those works that don’t (Gledhill, 2007). Noted in Gledhill’s summary of the various analytical models applied by theorists in the act of defining the horror genre is, for example, an asserted distinction made by W.H. </w:t>
      </w:r>
      <w:proofErr w:type="spellStart"/>
      <w:r w:rsidRPr="0013669A">
        <w:rPr>
          <w:rFonts w:ascii="Arial" w:eastAsia="Times New Roman" w:hAnsi="Arial" w:cs="Arial"/>
          <w:color w:val="000000"/>
          <w:sz w:val="24"/>
          <w:szCs w:val="24"/>
          <w:lang w:eastAsia="en-GB"/>
        </w:rPr>
        <w:t>Rockett</w:t>
      </w:r>
      <w:proofErr w:type="spellEnd"/>
      <w:r w:rsidRPr="0013669A">
        <w:rPr>
          <w:rFonts w:ascii="Arial" w:eastAsia="Times New Roman" w:hAnsi="Arial" w:cs="Arial"/>
          <w:color w:val="000000"/>
          <w:sz w:val="24"/>
          <w:szCs w:val="24"/>
          <w:lang w:eastAsia="en-GB"/>
        </w:rPr>
        <w:t xml:space="preserve"> between ”the horror produced by suggestion - the terror of the unimaginable - and the </w:t>
      </w:r>
      <w:proofErr w:type="spellStart"/>
      <w:r w:rsidRPr="0013669A">
        <w:rPr>
          <w:rFonts w:ascii="Arial" w:eastAsia="Times New Roman" w:hAnsi="Arial" w:cs="Arial"/>
          <w:i/>
          <w:iCs/>
          <w:color w:val="000000"/>
          <w:sz w:val="24"/>
          <w:szCs w:val="24"/>
          <w:lang w:eastAsia="en-GB"/>
        </w:rPr>
        <w:t>guignol</w:t>
      </w:r>
      <w:proofErr w:type="spellEnd"/>
      <w:r w:rsidRPr="0013669A">
        <w:rPr>
          <w:rFonts w:ascii="Arial" w:eastAsia="Times New Roman" w:hAnsi="Arial" w:cs="Arial"/>
          <w:i/>
          <w:iCs/>
          <w:color w:val="000000"/>
          <w:sz w:val="24"/>
          <w:szCs w:val="24"/>
          <w:lang w:eastAsia="en-GB"/>
        </w:rPr>
        <w:t xml:space="preserve"> </w:t>
      </w:r>
      <w:r w:rsidRPr="0013669A">
        <w:rPr>
          <w:rFonts w:ascii="Arial" w:eastAsia="Times New Roman" w:hAnsi="Arial" w:cs="Arial"/>
          <w:color w:val="000000"/>
          <w:sz w:val="24"/>
          <w:szCs w:val="24"/>
          <w:lang w:eastAsia="en-GB"/>
        </w:rPr>
        <w:t xml:space="preserve">effect of things seen” (Gledhill, 2007, p.349). The former, the object of fear which the medium of the text is unequipped to adequately depict, </w:t>
      </w:r>
      <w:proofErr w:type="spellStart"/>
      <w:r w:rsidRPr="0013669A">
        <w:rPr>
          <w:rFonts w:ascii="Arial" w:eastAsia="Times New Roman" w:hAnsi="Arial" w:cs="Arial"/>
          <w:color w:val="000000"/>
          <w:sz w:val="24"/>
          <w:szCs w:val="24"/>
          <w:lang w:eastAsia="en-GB"/>
        </w:rPr>
        <w:t>Rockett</w:t>
      </w:r>
      <w:proofErr w:type="spellEnd"/>
      <w:r w:rsidRPr="0013669A">
        <w:rPr>
          <w:rFonts w:ascii="Arial" w:eastAsia="Times New Roman" w:hAnsi="Arial" w:cs="Arial"/>
          <w:color w:val="000000"/>
          <w:sz w:val="24"/>
          <w:szCs w:val="24"/>
          <w:lang w:eastAsia="en-GB"/>
        </w:rPr>
        <w:t xml:space="preserve"> calls “the Ultimate Horror;” the latter, horror that that can be comprehended and wholly overcome, he deems more immediately dramatic but less enduringly potent in its affect.</w:t>
      </w:r>
    </w:p>
    <w:p w:rsidR="0013669A" w:rsidRPr="0013669A" w:rsidRDefault="0013669A" w:rsidP="009B2AAB">
      <w:pPr>
        <w:spacing w:before="240" w:after="80" w:line="360" w:lineRule="auto"/>
        <w:rPr>
          <w:rFonts w:ascii="Times New Roman" w:eastAsia="Times New Roman" w:hAnsi="Times New Roman" w:cs="Times New Roman"/>
          <w:sz w:val="24"/>
          <w:szCs w:val="24"/>
          <w:lang w:eastAsia="en-GB"/>
        </w:rPr>
      </w:pPr>
      <w:r w:rsidRPr="0013669A">
        <w:rPr>
          <w:rFonts w:ascii="Arial" w:eastAsia="Times New Roman" w:hAnsi="Arial" w:cs="Arial"/>
          <w:color w:val="000000"/>
          <w:sz w:val="24"/>
          <w:szCs w:val="24"/>
          <w:lang w:eastAsia="en-GB"/>
        </w:rPr>
        <w:t>This particular analytical model emphasises the significance of the aesthetics/semantics of horror as the source of the genre’s impact, rather than the syntactic signifiers that form the underlying plot. Nevertheless, it mirrors Booker’s differentiation. In the case of what might be called the structural equivalent of ‘</w:t>
      </w:r>
      <w:proofErr w:type="spellStart"/>
      <w:r w:rsidRPr="0013669A">
        <w:rPr>
          <w:rFonts w:ascii="Arial" w:eastAsia="Times New Roman" w:hAnsi="Arial" w:cs="Arial"/>
          <w:i/>
          <w:iCs/>
          <w:color w:val="000000"/>
          <w:sz w:val="24"/>
          <w:szCs w:val="24"/>
          <w:lang w:eastAsia="en-GB"/>
        </w:rPr>
        <w:t>guignol</w:t>
      </w:r>
      <w:proofErr w:type="spellEnd"/>
      <w:r w:rsidRPr="0013669A">
        <w:rPr>
          <w:rFonts w:ascii="Arial" w:eastAsia="Times New Roman" w:hAnsi="Arial" w:cs="Arial"/>
          <w:color w:val="000000"/>
          <w:sz w:val="24"/>
          <w:szCs w:val="24"/>
          <w:lang w:eastAsia="en-GB"/>
        </w:rPr>
        <w:t xml:space="preserve"> horror,’ the archetypal Monster is subject to rational rules, and by learning those rules the Hero gains the means to overcome it. The narrative, then, can and often does reach a comprehensive resolution that sees Light overcome Shadow. This structure can be observed in </w:t>
      </w:r>
      <w:r w:rsidRPr="0013669A">
        <w:rPr>
          <w:rFonts w:ascii="Arial" w:eastAsia="Times New Roman" w:hAnsi="Arial" w:cs="Arial"/>
          <w:i/>
          <w:iCs/>
          <w:color w:val="000000"/>
          <w:sz w:val="24"/>
          <w:szCs w:val="24"/>
          <w:lang w:eastAsia="en-GB"/>
        </w:rPr>
        <w:t xml:space="preserve">Dracula </w:t>
      </w:r>
      <w:r w:rsidRPr="0013669A">
        <w:rPr>
          <w:rFonts w:ascii="Arial" w:eastAsia="Times New Roman" w:hAnsi="Arial" w:cs="Arial"/>
          <w:color w:val="000000"/>
          <w:sz w:val="24"/>
          <w:szCs w:val="24"/>
          <w:lang w:eastAsia="en-GB"/>
        </w:rPr>
        <w:t xml:space="preserve">(Bram Stoker, 1897), which conforms to Campbell’s monomythic structure more so than many other examples of 19th century horror. Jonathan Harker, given the necessary tools and guidance by the archetypal Father in the form of Abraham Van </w:t>
      </w:r>
      <w:proofErr w:type="spellStart"/>
      <w:r w:rsidRPr="0013669A">
        <w:rPr>
          <w:rFonts w:ascii="Arial" w:eastAsia="Times New Roman" w:hAnsi="Arial" w:cs="Arial"/>
          <w:color w:val="000000"/>
          <w:sz w:val="24"/>
          <w:szCs w:val="24"/>
          <w:lang w:eastAsia="en-GB"/>
        </w:rPr>
        <w:t>Helsing</w:t>
      </w:r>
      <w:proofErr w:type="spellEnd"/>
      <w:r w:rsidRPr="0013669A">
        <w:rPr>
          <w:rFonts w:ascii="Arial" w:eastAsia="Times New Roman" w:hAnsi="Arial" w:cs="Arial"/>
          <w:color w:val="000000"/>
          <w:sz w:val="24"/>
          <w:szCs w:val="24"/>
          <w:lang w:eastAsia="en-GB"/>
        </w:rPr>
        <w:t>, slays the titular Monster at the novel’s climax and liberates Mina (the Anima) from the vampire’s curse. It is, in this respect, a fairly conventional Hero’s Journey. No question is left unanswered, the Monster is defeated and the Hero is rewarded.</w:t>
      </w:r>
    </w:p>
    <w:p w:rsidR="0013669A" w:rsidRPr="0013669A" w:rsidRDefault="0013669A" w:rsidP="009B2AAB">
      <w:pPr>
        <w:spacing w:before="240" w:after="80" w:line="360" w:lineRule="auto"/>
        <w:rPr>
          <w:rFonts w:ascii="Times New Roman" w:eastAsia="Times New Roman" w:hAnsi="Times New Roman" w:cs="Times New Roman"/>
          <w:sz w:val="24"/>
          <w:szCs w:val="24"/>
          <w:lang w:eastAsia="en-GB"/>
        </w:rPr>
      </w:pPr>
      <w:r w:rsidRPr="0013669A">
        <w:rPr>
          <w:rFonts w:ascii="Arial" w:eastAsia="Times New Roman" w:hAnsi="Arial" w:cs="Arial"/>
          <w:color w:val="000000"/>
          <w:sz w:val="24"/>
          <w:szCs w:val="24"/>
          <w:lang w:eastAsia="en-GB"/>
        </w:rPr>
        <w:t xml:space="preserve">In the alternative, the Ultimate Horror cannot be fully understood or provably overcome, bringing the narrative closer to what Booker calls the Dark or Lesser Dark variations on the Overcoming the Monster plot. For instance, </w:t>
      </w:r>
      <w:r w:rsidRPr="0013669A">
        <w:rPr>
          <w:rFonts w:ascii="Arial" w:eastAsia="Times New Roman" w:hAnsi="Arial" w:cs="Arial"/>
          <w:i/>
          <w:iCs/>
          <w:color w:val="000000"/>
          <w:sz w:val="24"/>
          <w:szCs w:val="24"/>
          <w:lang w:eastAsia="en-GB"/>
        </w:rPr>
        <w:t xml:space="preserve">The Shining </w:t>
      </w:r>
      <w:r w:rsidRPr="0013669A">
        <w:rPr>
          <w:rFonts w:ascii="Arial" w:eastAsia="Times New Roman" w:hAnsi="Arial" w:cs="Arial"/>
          <w:color w:val="000000"/>
          <w:sz w:val="24"/>
          <w:szCs w:val="24"/>
          <w:lang w:eastAsia="en-GB"/>
        </w:rPr>
        <w:t xml:space="preserve">(Stanley Kubrick, 1980) does not portray a wholly comprehensive </w:t>
      </w:r>
      <w:proofErr w:type="spellStart"/>
      <w:r w:rsidRPr="0013669A">
        <w:rPr>
          <w:rFonts w:ascii="Arial" w:eastAsia="Times New Roman" w:hAnsi="Arial" w:cs="Arial"/>
          <w:color w:val="000000"/>
          <w:sz w:val="24"/>
          <w:szCs w:val="24"/>
          <w:lang w:eastAsia="en-GB"/>
        </w:rPr>
        <w:t>archplot</w:t>
      </w:r>
      <w:proofErr w:type="spellEnd"/>
      <w:r w:rsidRPr="0013669A">
        <w:rPr>
          <w:rFonts w:ascii="Arial" w:eastAsia="Times New Roman" w:hAnsi="Arial" w:cs="Arial"/>
          <w:color w:val="000000"/>
          <w:sz w:val="24"/>
          <w:szCs w:val="24"/>
          <w:lang w:eastAsia="en-GB"/>
        </w:rPr>
        <w:t xml:space="preserve">: the audience sees the immediate conflict undergo a resolution as the murderous Jack Torrance (Jack Nicholson) is evaded and left to die, but with the final shot the viewer is left with a question that the story has not equipped them to answer. The truth of how exactly </w:t>
      </w:r>
      <w:r w:rsidRPr="0013669A">
        <w:rPr>
          <w:rFonts w:ascii="Arial" w:eastAsia="Times New Roman" w:hAnsi="Arial" w:cs="Arial"/>
          <w:color w:val="000000"/>
          <w:sz w:val="24"/>
          <w:szCs w:val="24"/>
          <w:lang w:eastAsia="en-GB"/>
        </w:rPr>
        <w:lastRenderedPageBreak/>
        <w:t>the Overlook Hotel influenced Jack, as well as whether or not the bloody cycle will be repeated once again, remains veiled. The integrity of the victory is uncertain.</w:t>
      </w:r>
    </w:p>
    <w:p w:rsidR="0013669A" w:rsidRPr="0013669A" w:rsidRDefault="0013669A" w:rsidP="009B2AAB">
      <w:pPr>
        <w:spacing w:before="240" w:after="80" w:line="360" w:lineRule="auto"/>
        <w:rPr>
          <w:rFonts w:ascii="Times New Roman" w:eastAsia="Times New Roman" w:hAnsi="Times New Roman" w:cs="Times New Roman"/>
          <w:sz w:val="24"/>
          <w:szCs w:val="24"/>
          <w:lang w:eastAsia="en-GB"/>
        </w:rPr>
      </w:pPr>
      <w:r w:rsidRPr="0013669A">
        <w:rPr>
          <w:rFonts w:ascii="Arial" w:eastAsia="Times New Roman" w:hAnsi="Arial" w:cs="Arial"/>
          <w:color w:val="000000"/>
          <w:sz w:val="24"/>
          <w:szCs w:val="24"/>
          <w:lang w:eastAsia="en-GB"/>
        </w:rPr>
        <w:t xml:space="preserve">In terms preferred by Campbell and Booker, </w:t>
      </w:r>
      <w:r w:rsidRPr="0013669A">
        <w:rPr>
          <w:rFonts w:ascii="Arial" w:eastAsia="Times New Roman" w:hAnsi="Arial" w:cs="Arial"/>
          <w:i/>
          <w:iCs/>
          <w:color w:val="000000"/>
          <w:sz w:val="24"/>
          <w:szCs w:val="24"/>
          <w:lang w:eastAsia="en-GB"/>
        </w:rPr>
        <w:t>Dracula</w:t>
      </w:r>
      <w:r w:rsidRPr="0013669A">
        <w:rPr>
          <w:rFonts w:ascii="Arial" w:eastAsia="Times New Roman" w:hAnsi="Arial" w:cs="Arial"/>
          <w:color w:val="000000"/>
          <w:sz w:val="24"/>
          <w:szCs w:val="24"/>
          <w:lang w:eastAsia="en-GB"/>
        </w:rPr>
        <w:t>’s plot</w:t>
      </w:r>
      <w:r w:rsidRPr="0013669A">
        <w:rPr>
          <w:rFonts w:ascii="Arial" w:eastAsia="Times New Roman" w:hAnsi="Arial" w:cs="Arial"/>
          <w:i/>
          <w:iCs/>
          <w:color w:val="000000"/>
          <w:sz w:val="24"/>
          <w:szCs w:val="24"/>
          <w:lang w:eastAsia="en-GB"/>
        </w:rPr>
        <w:t xml:space="preserve"> </w:t>
      </w:r>
      <w:r w:rsidRPr="0013669A">
        <w:rPr>
          <w:rFonts w:ascii="Arial" w:eastAsia="Times New Roman" w:hAnsi="Arial" w:cs="Arial"/>
          <w:color w:val="000000"/>
          <w:sz w:val="24"/>
          <w:szCs w:val="24"/>
          <w:lang w:eastAsia="en-GB"/>
        </w:rPr>
        <w:t xml:space="preserve">depicts in full a symbolic struggle between archetypes of the Self and the Ego, in which the Self accepts the Father’s support, emerges victorious and, via assimilation with the Anima, is made whole. By comparison, </w:t>
      </w:r>
      <w:r w:rsidRPr="0013669A">
        <w:rPr>
          <w:rFonts w:ascii="Arial" w:eastAsia="Times New Roman" w:hAnsi="Arial" w:cs="Arial"/>
          <w:i/>
          <w:iCs/>
          <w:color w:val="000000"/>
          <w:sz w:val="24"/>
          <w:szCs w:val="24"/>
          <w:lang w:eastAsia="en-GB"/>
        </w:rPr>
        <w:t xml:space="preserve">The Shining </w:t>
      </w:r>
      <w:r w:rsidRPr="0013669A">
        <w:rPr>
          <w:rFonts w:ascii="Arial" w:eastAsia="Times New Roman" w:hAnsi="Arial" w:cs="Arial"/>
          <w:color w:val="000000"/>
          <w:sz w:val="24"/>
          <w:szCs w:val="24"/>
          <w:lang w:eastAsia="en-GB"/>
        </w:rPr>
        <w:t xml:space="preserve">depicts the Self, who is in this reading embodied by Jack, falling prey to the neurotic constructs of the Ego to such a degree that he is driven to madness and ultimately destroyed. Gledhill, citing Stephen Snyder, describes a line of psycho-sociological analysis that argues that </w:t>
      </w:r>
      <w:r w:rsidRPr="0013669A">
        <w:rPr>
          <w:rFonts w:ascii="Arial" w:eastAsia="Times New Roman" w:hAnsi="Arial" w:cs="Arial"/>
          <w:i/>
          <w:iCs/>
          <w:color w:val="000000"/>
          <w:sz w:val="24"/>
          <w:szCs w:val="24"/>
          <w:lang w:eastAsia="en-GB"/>
        </w:rPr>
        <w:t>The Shining</w:t>
      </w:r>
      <w:r w:rsidRPr="0013669A">
        <w:rPr>
          <w:rFonts w:ascii="Arial" w:eastAsia="Times New Roman" w:hAnsi="Arial" w:cs="Arial"/>
          <w:color w:val="000000"/>
          <w:sz w:val="24"/>
          <w:szCs w:val="24"/>
          <w:lang w:eastAsia="en-GB"/>
        </w:rPr>
        <w:t>,</w:t>
      </w:r>
      <w:r w:rsidRPr="0013669A">
        <w:rPr>
          <w:rFonts w:ascii="Arial" w:eastAsia="Times New Roman" w:hAnsi="Arial" w:cs="Arial"/>
          <w:i/>
          <w:iCs/>
          <w:color w:val="000000"/>
          <w:sz w:val="24"/>
          <w:szCs w:val="24"/>
          <w:lang w:eastAsia="en-GB"/>
        </w:rPr>
        <w:t xml:space="preserve"> </w:t>
      </w:r>
      <w:r w:rsidRPr="0013669A">
        <w:rPr>
          <w:rFonts w:ascii="Arial" w:eastAsia="Times New Roman" w:hAnsi="Arial" w:cs="Arial"/>
          <w:color w:val="000000"/>
          <w:sz w:val="24"/>
          <w:szCs w:val="24"/>
          <w:lang w:eastAsia="en-GB"/>
        </w:rPr>
        <w:t>among other horror films of its time, reflects an unconscious response to the stifling, repressive nature of the traditional family structure, as well as anxieties about how that repression might manifest outwardly (Gledhill, 2007, p.351). Such an interpretation is not without a textual basis: the film sees Jack’s ego-induced madness, catalysed by his environment, become directed violently at his family, and from then on the audience witnesses that mania from the perspective of the victimised wife and son.</w:t>
      </w:r>
    </w:p>
    <w:p w:rsidR="0013669A" w:rsidRPr="0013669A" w:rsidRDefault="0013669A" w:rsidP="009B2AAB">
      <w:pPr>
        <w:spacing w:before="240" w:after="80" w:line="360" w:lineRule="auto"/>
        <w:rPr>
          <w:rFonts w:ascii="Times New Roman" w:eastAsia="Times New Roman" w:hAnsi="Times New Roman" w:cs="Times New Roman"/>
          <w:sz w:val="24"/>
          <w:szCs w:val="24"/>
          <w:lang w:eastAsia="en-GB"/>
        </w:rPr>
      </w:pPr>
      <w:r w:rsidRPr="0013669A">
        <w:rPr>
          <w:rFonts w:ascii="Arial" w:eastAsia="Times New Roman" w:hAnsi="Arial" w:cs="Arial"/>
          <w:color w:val="000000"/>
          <w:sz w:val="24"/>
          <w:szCs w:val="24"/>
          <w:lang w:eastAsia="en-GB"/>
        </w:rPr>
        <w:t xml:space="preserve">How, then, might one choose to interpret such texts when perceiving them as constructed mediations of binary ideas? The 3-act structure in which ‘thesis </w:t>
      </w:r>
      <w:r w:rsidRPr="0013669A">
        <w:rPr>
          <w:rFonts w:ascii="Arial" w:eastAsia="Times New Roman" w:hAnsi="Arial" w:cs="Arial"/>
          <w:i/>
          <w:iCs/>
          <w:color w:val="000000"/>
          <w:sz w:val="24"/>
          <w:szCs w:val="24"/>
          <w:lang w:eastAsia="en-GB"/>
        </w:rPr>
        <w:t xml:space="preserve">is challenged by </w:t>
      </w:r>
      <w:r w:rsidRPr="0013669A">
        <w:rPr>
          <w:rFonts w:ascii="Arial" w:eastAsia="Times New Roman" w:hAnsi="Arial" w:cs="Arial"/>
          <w:color w:val="000000"/>
          <w:sz w:val="24"/>
          <w:szCs w:val="24"/>
          <w:lang w:eastAsia="en-GB"/>
        </w:rPr>
        <w:t xml:space="preserve">antithesis </w:t>
      </w:r>
      <w:r w:rsidRPr="0013669A">
        <w:rPr>
          <w:rFonts w:ascii="Arial" w:eastAsia="Times New Roman" w:hAnsi="Arial" w:cs="Arial"/>
          <w:i/>
          <w:iCs/>
          <w:color w:val="000000"/>
          <w:sz w:val="24"/>
          <w:szCs w:val="24"/>
          <w:lang w:eastAsia="en-GB"/>
        </w:rPr>
        <w:t xml:space="preserve">and undergoes </w:t>
      </w:r>
      <w:r w:rsidRPr="0013669A">
        <w:rPr>
          <w:rFonts w:ascii="Arial" w:eastAsia="Times New Roman" w:hAnsi="Arial" w:cs="Arial"/>
          <w:color w:val="000000"/>
          <w:sz w:val="24"/>
          <w:szCs w:val="24"/>
          <w:lang w:eastAsia="en-GB"/>
        </w:rPr>
        <w:t>synthesis’ is evident in both examples, and the key difference here is the varying degrees to which the two works in question offer a satisfactory closure to their respective symbolic dialogues.</w:t>
      </w:r>
    </w:p>
    <w:p w:rsidR="0013669A" w:rsidRPr="0013669A" w:rsidRDefault="0013669A" w:rsidP="009B2AAB">
      <w:pPr>
        <w:spacing w:before="240" w:after="80" w:line="360" w:lineRule="auto"/>
        <w:rPr>
          <w:rFonts w:ascii="Times New Roman" w:eastAsia="Times New Roman" w:hAnsi="Times New Roman" w:cs="Times New Roman"/>
          <w:sz w:val="24"/>
          <w:szCs w:val="24"/>
          <w:lang w:eastAsia="en-GB"/>
        </w:rPr>
      </w:pPr>
      <w:r w:rsidRPr="0013669A">
        <w:rPr>
          <w:rFonts w:ascii="Arial" w:eastAsia="Times New Roman" w:hAnsi="Arial" w:cs="Arial"/>
          <w:color w:val="000000"/>
          <w:sz w:val="24"/>
          <w:szCs w:val="24"/>
          <w:lang w:eastAsia="en-GB"/>
        </w:rPr>
        <w:t xml:space="preserve">In the case of </w:t>
      </w:r>
      <w:r w:rsidRPr="0013669A">
        <w:rPr>
          <w:rFonts w:ascii="Arial" w:eastAsia="Times New Roman" w:hAnsi="Arial" w:cs="Arial"/>
          <w:i/>
          <w:iCs/>
          <w:color w:val="000000"/>
          <w:sz w:val="24"/>
          <w:szCs w:val="24"/>
          <w:lang w:eastAsia="en-GB"/>
        </w:rPr>
        <w:t>Dracula</w:t>
      </w:r>
      <w:r w:rsidRPr="0013669A">
        <w:rPr>
          <w:rFonts w:ascii="Arial" w:eastAsia="Times New Roman" w:hAnsi="Arial" w:cs="Arial"/>
          <w:color w:val="000000"/>
          <w:sz w:val="24"/>
          <w:szCs w:val="24"/>
          <w:lang w:eastAsia="en-GB"/>
        </w:rPr>
        <w:t xml:space="preserve">, the protagonist Harker is imprisoned early in the tale after falling prey to the erotic advances of the vampire’s wives: an act of infidelity into which he is manipulated by Dracula, a symbolic ideologue who may be read as representing godlessness and sexual excess. So it is that the thesis, at the beginning of the text, is found wanting in the face of his antithesis; if he wishes to prove himself the victor, Harker must better himself. Interesting to note is the degree to which the semantics of the text mimic those of Christian dogma. Dracula is demonic in nature, and therefore it may be implicit that the specific ideas that he symbolises are the ‘evil’ in a strict moral order (Derry, 1977). ‘Sexual decadence’ and ‘evil’ are synonymous then, and with the slaying of Dracula the goodness of the traditional values of monogamy and Christian faith are reaffirmed. Such a dialogue </w:t>
      </w:r>
      <w:r w:rsidRPr="0013669A">
        <w:rPr>
          <w:rFonts w:ascii="Arial" w:eastAsia="Times New Roman" w:hAnsi="Arial" w:cs="Arial"/>
          <w:color w:val="000000"/>
          <w:sz w:val="24"/>
          <w:szCs w:val="24"/>
          <w:lang w:eastAsia="en-GB"/>
        </w:rPr>
        <w:lastRenderedPageBreak/>
        <w:t>might have represented an effort on Stoker’s part to counter a perceived society-wide decline in moral values with regard to sexuality in the 19th century, or it may have been an attempt at reflection on a more personal digression. Either way, whatever Truth that the text asserts in the end is framed as absolute by the unquestionable defeat of the Shadow by the Light.</w:t>
      </w:r>
    </w:p>
    <w:p w:rsidR="0013669A" w:rsidRPr="0013669A" w:rsidRDefault="0013669A" w:rsidP="009B2AAB">
      <w:pPr>
        <w:spacing w:before="240" w:after="80" w:line="360" w:lineRule="auto"/>
        <w:rPr>
          <w:rFonts w:ascii="Times New Roman" w:eastAsia="Times New Roman" w:hAnsi="Times New Roman" w:cs="Times New Roman"/>
          <w:sz w:val="24"/>
          <w:szCs w:val="24"/>
          <w:lang w:eastAsia="en-GB"/>
        </w:rPr>
      </w:pPr>
      <w:r w:rsidRPr="0013669A">
        <w:rPr>
          <w:rFonts w:ascii="Arial" w:eastAsia="Times New Roman" w:hAnsi="Arial" w:cs="Arial"/>
          <w:i/>
          <w:iCs/>
          <w:color w:val="000000"/>
          <w:sz w:val="24"/>
          <w:szCs w:val="24"/>
          <w:lang w:eastAsia="en-GB"/>
        </w:rPr>
        <w:t xml:space="preserve">The Shining </w:t>
      </w:r>
      <w:r w:rsidRPr="0013669A">
        <w:rPr>
          <w:rFonts w:ascii="Arial" w:eastAsia="Times New Roman" w:hAnsi="Arial" w:cs="Arial"/>
          <w:color w:val="000000"/>
          <w:sz w:val="24"/>
          <w:szCs w:val="24"/>
          <w:lang w:eastAsia="en-GB"/>
        </w:rPr>
        <w:t>may be said then to have acknowledged and called attention to the potential shortcomings of its own symbolic dialogue with the film’s final moments. The immediate conflict in this case reaches an apparent resolution; Wendy and Danny escape their maddened patriarch and he freezes to death in the Overlook Hotel’s maze. What remains a mystery even after the film ends is the degree to which Jack’s insanity was induced or catalysed by the Overlook’s supernatural influence, or in other words whether the hotel drove him to madness or simply enabled the release of an already present but normally repressed aggressive inclination. Certainly, the Overlook exerts some unexplained influence over his psyche, and it is implied at numerous points in the film that it is not the first time it has done so, either to Jack himself in a previous cycle of some temporal loop or to a different person entirely:</w:t>
      </w:r>
    </w:p>
    <w:p w:rsidR="0013669A" w:rsidRPr="009B2AAB" w:rsidRDefault="0013669A" w:rsidP="009B2AAB">
      <w:pPr>
        <w:spacing w:before="240" w:after="80" w:line="240" w:lineRule="auto"/>
        <w:ind w:left="1134" w:right="1371"/>
        <w:rPr>
          <w:rFonts w:ascii="Times New Roman" w:eastAsia="Times New Roman" w:hAnsi="Times New Roman" w:cs="Times New Roman"/>
          <w:sz w:val="24"/>
          <w:szCs w:val="24"/>
          <w:lang w:eastAsia="en-GB"/>
        </w:rPr>
      </w:pPr>
      <w:r w:rsidRPr="009B2AAB">
        <w:rPr>
          <w:rFonts w:ascii="Arial" w:eastAsia="Times New Roman" w:hAnsi="Arial" w:cs="Arial"/>
          <w:bCs/>
          <w:color w:val="000000"/>
          <w:sz w:val="24"/>
          <w:szCs w:val="24"/>
          <w:lang w:eastAsia="en-GB"/>
        </w:rPr>
        <w:t>[</w:t>
      </w:r>
      <w:proofErr w:type="gramStart"/>
      <w:r w:rsidRPr="009B2AAB">
        <w:rPr>
          <w:rFonts w:ascii="Arial" w:eastAsia="Times New Roman" w:hAnsi="Arial" w:cs="Arial"/>
          <w:bCs/>
          <w:color w:val="000000"/>
          <w:sz w:val="24"/>
          <w:szCs w:val="24"/>
          <w:lang w:eastAsia="en-GB"/>
        </w:rPr>
        <w:t>referring</w:t>
      </w:r>
      <w:proofErr w:type="gramEnd"/>
      <w:r w:rsidRPr="009B2AAB">
        <w:rPr>
          <w:rFonts w:ascii="Arial" w:eastAsia="Times New Roman" w:hAnsi="Arial" w:cs="Arial"/>
          <w:bCs/>
          <w:color w:val="000000"/>
          <w:sz w:val="24"/>
          <w:szCs w:val="24"/>
          <w:lang w:eastAsia="en-GB"/>
        </w:rPr>
        <w:t xml:space="preserve"> to the Donner Part] “They were a party of settlers in covered-wagon times. They got snowbound one winter in the mountains. They had to resort to cannibalism in order to stay alive.” (Jack Torrance in </w:t>
      </w:r>
      <w:r w:rsidRPr="009B2AAB">
        <w:rPr>
          <w:rFonts w:ascii="Arial" w:eastAsia="Times New Roman" w:hAnsi="Arial" w:cs="Arial"/>
          <w:bCs/>
          <w:i/>
          <w:iCs/>
          <w:color w:val="000000"/>
          <w:sz w:val="24"/>
          <w:szCs w:val="24"/>
          <w:lang w:eastAsia="en-GB"/>
        </w:rPr>
        <w:t>The Shining</w:t>
      </w:r>
      <w:r w:rsidRPr="009B2AAB">
        <w:rPr>
          <w:rFonts w:ascii="Arial" w:eastAsia="Times New Roman" w:hAnsi="Arial" w:cs="Arial"/>
          <w:bCs/>
          <w:color w:val="000000"/>
          <w:sz w:val="24"/>
          <w:szCs w:val="24"/>
          <w:lang w:eastAsia="en-GB"/>
        </w:rPr>
        <w:t>, Stanley Kubrick, 1980)</w:t>
      </w:r>
    </w:p>
    <w:p w:rsidR="0013669A" w:rsidRPr="009B2AAB" w:rsidRDefault="0013669A" w:rsidP="009B2AAB">
      <w:pPr>
        <w:spacing w:before="240" w:after="0" w:line="240" w:lineRule="auto"/>
        <w:ind w:left="1134" w:right="1371"/>
        <w:rPr>
          <w:rFonts w:ascii="Times New Roman" w:eastAsia="Times New Roman" w:hAnsi="Times New Roman" w:cs="Times New Roman"/>
          <w:sz w:val="24"/>
          <w:szCs w:val="24"/>
          <w:lang w:eastAsia="en-GB"/>
        </w:rPr>
      </w:pPr>
    </w:p>
    <w:p w:rsidR="0013669A" w:rsidRDefault="0013669A" w:rsidP="009B2AAB">
      <w:pPr>
        <w:spacing w:before="240" w:after="80" w:line="240" w:lineRule="auto"/>
        <w:ind w:left="1134" w:right="1371"/>
        <w:rPr>
          <w:rFonts w:ascii="Arial" w:eastAsia="Times New Roman" w:hAnsi="Arial" w:cs="Arial"/>
          <w:bCs/>
          <w:color w:val="000000"/>
          <w:sz w:val="24"/>
          <w:szCs w:val="24"/>
          <w:lang w:eastAsia="en-GB"/>
        </w:rPr>
      </w:pPr>
      <w:r w:rsidRPr="009B2AAB">
        <w:rPr>
          <w:rFonts w:ascii="Arial" w:eastAsia="Times New Roman" w:hAnsi="Arial" w:cs="Arial"/>
          <w:bCs/>
          <w:color w:val="000000"/>
          <w:sz w:val="24"/>
          <w:szCs w:val="24"/>
          <w:lang w:eastAsia="en-GB"/>
        </w:rPr>
        <w:t xml:space="preserve">“Mr. Grady, you were the caretaker here. I recognise you. I saw your picture in the newspapers. You chopped your wife and daughters up into little bits. And then you blew your brains out.” (Jack Torrance in </w:t>
      </w:r>
      <w:r w:rsidRPr="009B2AAB">
        <w:rPr>
          <w:rFonts w:ascii="Arial" w:eastAsia="Times New Roman" w:hAnsi="Arial" w:cs="Arial"/>
          <w:bCs/>
          <w:i/>
          <w:iCs/>
          <w:color w:val="000000"/>
          <w:sz w:val="24"/>
          <w:szCs w:val="24"/>
          <w:lang w:eastAsia="en-GB"/>
        </w:rPr>
        <w:t>The Shining</w:t>
      </w:r>
      <w:r w:rsidRPr="009B2AAB">
        <w:rPr>
          <w:rFonts w:ascii="Arial" w:eastAsia="Times New Roman" w:hAnsi="Arial" w:cs="Arial"/>
          <w:bCs/>
          <w:color w:val="000000"/>
          <w:sz w:val="24"/>
          <w:szCs w:val="24"/>
          <w:lang w:eastAsia="en-GB"/>
        </w:rPr>
        <w:t>, Stanley Kubrick, 1980)</w:t>
      </w:r>
    </w:p>
    <w:p w:rsidR="00071422" w:rsidRPr="009B2AAB" w:rsidRDefault="00071422" w:rsidP="009B2AAB">
      <w:pPr>
        <w:spacing w:before="240" w:after="80" w:line="240" w:lineRule="auto"/>
        <w:ind w:left="1134" w:right="1371"/>
        <w:rPr>
          <w:rFonts w:ascii="Times New Roman" w:eastAsia="Times New Roman" w:hAnsi="Times New Roman" w:cs="Times New Roman"/>
          <w:sz w:val="24"/>
          <w:szCs w:val="24"/>
          <w:lang w:eastAsia="en-GB"/>
        </w:rPr>
      </w:pPr>
    </w:p>
    <w:p w:rsidR="0013669A" w:rsidRPr="0013669A" w:rsidRDefault="0013669A" w:rsidP="009B2AAB">
      <w:pPr>
        <w:spacing w:before="240" w:after="80" w:line="360" w:lineRule="auto"/>
        <w:rPr>
          <w:rFonts w:ascii="Times New Roman" w:eastAsia="Times New Roman" w:hAnsi="Times New Roman" w:cs="Times New Roman"/>
          <w:sz w:val="24"/>
          <w:szCs w:val="24"/>
          <w:lang w:eastAsia="en-GB"/>
        </w:rPr>
      </w:pPr>
      <w:r w:rsidRPr="0013669A">
        <w:rPr>
          <w:rFonts w:ascii="Arial" w:eastAsia="Times New Roman" w:hAnsi="Arial" w:cs="Arial"/>
          <w:color w:val="000000"/>
          <w:sz w:val="24"/>
          <w:szCs w:val="24"/>
          <w:lang w:eastAsia="en-GB"/>
        </w:rPr>
        <w:t xml:space="preserve">In the terms of a more literal academic discourse, it is stated in the conclusion that the information available does not allow for the assertion of an absolute answer, and that any new information may call into question the adequacy of the conclusion itself. More specifically, Kubrick may be said to be questioning the capacity to determine with certainty via discourse whether a man or society at large are more responsible for any act of violence or abuse that the man commits, with Jack functioning as an </w:t>
      </w:r>
      <w:r w:rsidRPr="0013669A">
        <w:rPr>
          <w:rFonts w:ascii="Arial" w:eastAsia="Times New Roman" w:hAnsi="Arial" w:cs="Arial"/>
          <w:color w:val="000000"/>
          <w:sz w:val="24"/>
          <w:szCs w:val="24"/>
          <w:lang w:eastAsia="en-GB"/>
        </w:rPr>
        <w:lastRenderedPageBreak/>
        <w:t xml:space="preserve">archetypal representation of the man and the Overlook his environment. The deliberate failure of this film’s symbolic dialogue to reach a secure resolution may be said to be what lends the text the enduring potency that </w:t>
      </w:r>
      <w:proofErr w:type="spellStart"/>
      <w:r w:rsidRPr="0013669A">
        <w:rPr>
          <w:rFonts w:ascii="Arial" w:eastAsia="Times New Roman" w:hAnsi="Arial" w:cs="Arial"/>
          <w:color w:val="000000"/>
          <w:sz w:val="24"/>
          <w:szCs w:val="24"/>
          <w:lang w:eastAsia="en-GB"/>
        </w:rPr>
        <w:t>Rockett</w:t>
      </w:r>
      <w:proofErr w:type="spellEnd"/>
      <w:r w:rsidRPr="0013669A">
        <w:rPr>
          <w:rFonts w:ascii="Arial" w:eastAsia="Times New Roman" w:hAnsi="Arial" w:cs="Arial"/>
          <w:color w:val="000000"/>
          <w:sz w:val="24"/>
          <w:szCs w:val="24"/>
          <w:lang w:eastAsia="en-GB"/>
        </w:rPr>
        <w:t xml:space="preserve"> argues is induced by the vaguely-defined Ultimate Horror. If, as </w:t>
      </w:r>
      <w:proofErr w:type="spellStart"/>
      <w:r w:rsidRPr="0013669A">
        <w:rPr>
          <w:rFonts w:ascii="Arial" w:eastAsia="Times New Roman" w:hAnsi="Arial" w:cs="Arial"/>
          <w:color w:val="000000"/>
          <w:sz w:val="24"/>
          <w:szCs w:val="24"/>
          <w:lang w:eastAsia="en-GB"/>
        </w:rPr>
        <w:t>Yorke</w:t>
      </w:r>
      <w:proofErr w:type="spellEnd"/>
      <w:r w:rsidRPr="0013669A">
        <w:rPr>
          <w:rFonts w:ascii="Arial" w:eastAsia="Times New Roman" w:hAnsi="Arial" w:cs="Arial"/>
          <w:color w:val="000000"/>
          <w:sz w:val="24"/>
          <w:szCs w:val="24"/>
          <w:lang w:eastAsia="en-GB"/>
        </w:rPr>
        <w:t xml:space="preserve"> proposes, the psychological function of the creation or consumption of a narrative is to mediate in some way two binary ideas so as to reach a more complete understanding of Truth, then the potential fallibility of the process of discourse and the ultimate Truth that it reaches calls into question our capacity to ever sufficiently understand the world around us.</w:t>
      </w:r>
    </w:p>
    <w:p w:rsidR="0013669A" w:rsidRDefault="0013669A" w:rsidP="009B2AAB">
      <w:pPr>
        <w:spacing w:before="240" w:after="80" w:line="360" w:lineRule="auto"/>
        <w:rPr>
          <w:rFonts w:ascii="Arial" w:eastAsia="Times New Roman" w:hAnsi="Arial" w:cs="Arial"/>
          <w:color w:val="000000"/>
          <w:sz w:val="24"/>
          <w:szCs w:val="24"/>
          <w:lang w:eastAsia="en-GB"/>
        </w:rPr>
      </w:pPr>
      <w:r w:rsidRPr="0013669A">
        <w:rPr>
          <w:rFonts w:ascii="Arial" w:eastAsia="Times New Roman" w:hAnsi="Arial" w:cs="Arial"/>
          <w:color w:val="000000"/>
          <w:sz w:val="24"/>
          <w:szCs w:val="24"/>
          <w:lang w:eastAsia="en-GB"/>
        </w:rPr>
        <w:t xml:space="preserve">The psychoanalytical models favoured by Campbell and Booker and the dialogue model favoured by </w:t>
      </w:r>
      <w:proofErr w:type="spellStart"/>
      <w:r w:rsidRPr="0013669A">
        <w:rPr>
          <w:rFonts w:ascii="Arial" w:eastAsia="Times New Roman" w:hAnsi="Arial" w:cs="Arial"/>
          <w:color w:val="000000"/>
          <w:sz w:val="24"/>
          <w:szCs w:val="24"/>
          <w:lang w:eastAsia="en-GB"/>
        </w:rPr>
        <w:t>Yorke</w:t>
      </w:r>
      <w:proofErr w:type="spellEnd"/>
      <w:r w:rsidRPr="0013669A">
        <w:rPr>
          <w:rFonts w:ascii="Arial" w:eastAsia="Times New Roman" w:hAnsi="Arial" w:cs="Arial"/>
          <w:color w:val="000000"/>
          <w:sz w:val="24"/>
          <w:szCs w:val="24"/>
          <w:lang w:eastAsia="en-GB"/>
        </w:rPr>
        <w:t xml:space="preserve"> both offer fairly distinct readings of the texts in question, and indeed any narrative work that they are applied to in an effort to discern meaning. The former may be reinforced by an analysis of the psychological state of the author at the time of writing; if the archetypal structures present in the text reflect in some capacity the workings of the author’s psyche, then perhaps that may be indicative of the value of the psychoanalytical reading. The alternative, meanwhile, depends upon which ideas the audience associate with the basic archetypes that are present in the text, and their relative positioning to one another as ‘thesis’ and ‘antithesis.’</w:t>
      </w:r>
    </w:p>
    <w:p w:rsidR="0013669A" w:rsidRDefault="0013669A" w:rsidP="0013669A">
      <w:pPr>
        <w:spacing w:after="80" w:line="240" w:lineRule="auto"/>
        <w:rPr>
          <w:rFonts w:ascii="Arial" w:eastAsia="Times New Roman" w:hAnsi="Arial" w:cs="Arial"/>
          <w:color w:val="000000"/>
          <w:sz w:val="24"/>
          <w:szCs w:val="24"/>
          <w:lang w:eastAsia="en-GB"/>
        </w:rPr>
      </w:pPr>
    </w:p>
    <w:p w:rsidR="00071422" w:rsidRDefault="00071422">
      <w:pPr>
        <w:rPr>
          <w:rFonts w:asciiTheme="majorHAnsi" w:eastAsia="Times New Roman" w:hAnsiTheme="majorHAnsi" w:cstheme="majorBidi"/>
          <w:color w:val="2E74B5" w:themeColor="accent1" w:themeShade="BF"/>
          <w:sz w:val="32"/>
          <w:szCs w:val="32"/>
          <w:lang w:eastAsia="en-GB"/>
        </w:rPr>
      </w:pPr>
      <w:r>
        <w:rPr>
          <w:rFonts w:eastAsia="Times New Roman"/>
          <w:lang w:eastAsia="en-GB"/>
        </w:rPr>
        <w:br w:type="page"/>
      </w:r>
    </w:p>
    <w:p w:rsidR="0013669A" w:rsidRDefault="0013669A" w:rsidP="00071422">
      <w:pPr>
        <w:pStyle w:val="Heading1"/>
        <w:spacing w:after="80"/>
        <w:rPr>
          <w:rFonts w:eastAsia="Times New Roman"/>
          <w:lang w:eastAsia="en-GB"/>
        </w:rPr>
      </w:pPr>
      <w:bookmarkStart w:id="5" w:name="_Toc501477549"/>
      <w:r>
        <w:rPr>
          <w:rFonts w:eastAsia="Times New Roman"/>
          <w:lang w:eastAsia="en-GB"/>
        </w:rPr>
        <w:lastRenderedPageBreak/>
        <w:t xml:space="preserve">PART 3: Application to Professional Practice – </w:t>
      </w:r>
      <w:r>
        <w:rPr>
          <w:rFonts w:eastAsia="Times New Roman"/>
          <w:i/>
          <w:lang w:eastAsia="en-GB"/>
        </w:rPr>
        <w:t xml:space="preserve">The Music of Erich </w:t>
      </w:r>
      <w:proofErr w:type="spellStart"/>
      <w:r>
        <w:rPr>
          <w:rFonts w:eastAsia="Times New Roman"/>
          <w:i/>
          <w:lang w:eastAsia="en-GB"/>
        </w:rPr>
        <w:t>Zann</w:t>
      </w:r>
      <w:bookmarkEnd w:id="5"/>
      <w:proofErr w:type="spellEnd"/>
    </w:p>
    <w:p w:rsidR="0013669A" w:rsidRDefault="0013669A" w:rsidP="00071422">
      <w:pPr>
        <w:pStyle w:val="NormalWeb"/>
        <w:spacing w:before="0" w:beforeAutospacing="0" w:after="80" w:afterAutospacing="0" w:line="360" w:lineRule="auto"/>
      </w:pPr>
      <w:r>
        <w:rPr>
          <w:rFonts w:ascii="Arial" w:hAnsi="Arial" w:cs="Arial"/>
          <w:color w:val="000000"/>
        </w:rPr>
        <w:t xml:space="preserve">The as-of-yet unfinished film project that is to be discussed in this third chapter is to be an approximately 10-minute long adaptation of the short horror story </w:t>
      </w:r>
      <w:r>
        <w:rPr>
          <w:rFonts w:ascii="Arial" w:hAnsi="Arial" w:cs="Arial"/>
          <w:i/>
          <w:iCs/>
          <w:color w:val="000000"/>
        </w:rPr>
        <w:t xml:space="preserve">The Music of Erich </w:t>
      </w:r>
      <w:proofErr w:type="spellStart"/>
      <w:r>
        <w:rPr>
          <w:rFonts w:ascii="Arial" w:hAnsi="Arial" w:cs="Arial"/>
          <w:i/>
          <w:iCs/>
          <w:color w:val="000000"/>
        </w:rPr>
        <w:t>Zann</w:t>
      </w:r>
      <w:proofErr w:type="spellEnd"/>
      <w:r>
        <w:rPr>
          <w:rFonts w:ascii="Arial" w:hAnsi="Arial" w:cs="Arial"/>
          <w:i/>
          <w:iCs/>
          <w:color w:val="000000"/>
        </w:rPr>
        <w:t xml:space="preserve"> </w:t>
      </w:r>
      <w:r>
        <w:rPr>
          <w:rFonts w:ascii="Arial" w:hAnsi="Arial" w:cs="Arial"/>
          <w:color w:val="000000"/>
        </w:rPr>
        <w:t>(Lovecraft, 1922). For the purposes of this practical application of analysis, it should be noted that my role within the project is that of the primary screenwriter, and that I was requested to participate after a rough outline of the project’s direction had already been established. This means that I have been working in accordance with a brief that imposes a small number of fairly strict limitations, and have been required to give final say regarding the implementation of all creative decisions to the producer/director.</w:t>
      </w:r>
    </w:p>
    <w:p w:rsidR="0013669A" w:rsidRDefault="0013669A" w:rsidP="009B2AAB">
      <w:pPr>
        <w:pStyle w:val="NormalWeb"/>
        <w:spacing w:before="240" w:beforeAutospacing="0" w:after="80" w:afterAutospacing="0" w:line="360" w:lineRule="auto"/>
      </w:pPr>
      <w:r>
        <w:rPr>
          <w:rFonts w:ascii="Arial" w:hAnsi="Arial" w:cs="Arial"/>
          <w:color w:val="000000"/>
        </w:rPr>
        <w:t xml:space="preserve">The brief given to me by the producer/director emphasises, partly as a response to perceived practical constraints, a change in locale from the 19th/early-20th century French setting of the Rue </w:t>
      </w:r>
      <w:proofErr w:type="spellStart"/>
      <w:r>
        <w:rPr>
          <w:rFonts w:ascii="Arial" w:hAnsi="Arial" w:cs="Arial"/>
          <w:color w:val="000000"/>
        </w:rPr>
        <w:t>D’Auseil</w:t>
      </w:r>
      <w:proofErr w:type="spellEnd"/>
      <w:r>
        <w:rPr>
          <w:rFonts w:ascii="Arial" w:hAnsi="Arial" w:cs="Arial"/>
          <w:color w:val="000000"/>
        </w:rPr>
        <w:t xml:space="preserve"> to a comparatively modern hotel, and all current drafts of the script conform to this. Furthermore, the hope is for the film to serve as the proof-of-concept and/or possible pilot in an anthology series of short adaptations of H.P. Lovecraft’s works. Given this fact, few significant changes to or subversions of the plot will be made in the process of adaptation.</w:t>
      </w:r>
    </w:p>
    <w:p w:rsidR="0013669A" w:rsidRDefault="0013669A" w:rsidP="009B2AAB">
      <w:pPr>
        <w:pStyle w:val="NormalWeb"/>
        <w:spacing w:before="240" w:beforeAutospacing="0" w:after="80" w:afterAutospacing="0" w:line="360" w:lineRule="auto"/>
      </w:pPr>
      <w:r>
        <w:rPr>
          <w:rFonts w:ascii="Arial" w:hAnsi="Arial" w:cs="Arial"/>
          <w:color w:val="000000"/>
        </w:rPr>
        <w:t xml:space="preserve">The source material itself boasts a narrative that Christopher Booker would likely describe as a ‘Lesser Dark’ incarnation of ‘Overcoming the Monster,’ representative as it is of the so-called “disintegration” of the archetypal narrative that he perceived in so much fiction of the 19th and 20th centuries. Nowhere is this more apparent that in the climax of the text: confronted with the unknowable horror that exists outside of </w:t>
      </w:r>
      <w:proofErr w:type="spellStart"/>
      <w:r>
        <w:rPr>
          <w:rFonts w:ascii="Arial" w:hAnsi="Arial" w:cs="Arial"/>
          <w:color w:val="000000"/>
        </w:rPr>
        <w:t>Zann’s</w:t>
      </w:r>
      <w:proofErr w:type="spellEnd"/>
      <w:r>
        <w:rPr>
          <w:rFonts w:ascii="Arial" w:hAnsi="Arial" w:cs="Arial"/>
          <w:color w:val="000000"/>
        </w:rPr>
        <w:t xml:space="preserve"> window, the protagonist flees Rue </w:t>
      </w:r>
      <w:proofErr w:type="spellStart"/>
      <w:r>
        <w:rPr>
          <w:rFonts w:ascii="Arial" w:hAnsi="Arial" w:cs="Arial"/>
          <w:color w:val="000000"/>
        </w:rPr>
        <w:t>D’Auseil</w:t>
      </w:r>
      <w:proofErr w:type="spellEnd"/>
      <w:r>
        <w:rPr>
          <w:rFonts w:ascii="Arial" w:hAnsi="Arial" w:cs="Arial"/>
          <w:color w:val="000000"/>
        </w:rPr>
        <w:t xml:space="preserve"> in manic terror rather than challenging and defeating it. The true nature of the street and the cosmic void that the narrator perceives, as well as the ultimate fate of the titular musician, remain unsolved mysteries, though the protagonist’s successful escape provides an immediate resolution to the narrative itself.</w:t>
      </w:r>
    </w:p>
    <w:p w:rsidR="0013669A" w:rsidRDefault="0013669A" w:rsidP="009B2AAB">
      <w:pPr>
        <w:pStyle w:val="NormalWeb"/>
        <w:spacing w:before="240" w:beforeAutospacing="0" w:after="80" w:afterAutospacing="0" w:line="360" w:lineRule="auto"/>
      </w:pPr>
      <w:r>
        <w:rPr>
          <w:rFonts w:ascii="Arial" w:hAnsi="Arial" w:cs="Arial"/>
          <w:color w:val="000000"/>
        </w:rPr>
        <w:t xml:space="preserve">Applying Campbell’s model of archetypal psychoanalysis to the scrutiny of the plot, a possible underlying subtext is relatively simple to discern. The important thing in applying such methodology is to examine where the archetypes and their structural arrangement have deviated from the Hero’s Journey; those deviations, Booker would argue, provide the reader insights into the neurotic workings of the author’s mind </w:t>
      </w:r>
      <w:r>
        <w:rPr>
          <w:rFonts w:ascii="Arial" w:hAnsi="Arial" w:cs="Arial"/>
          <w:color w:val="000000"/>
        </w:rPr>
        <w:lastRenderedPageBreak/>
        <w:t xml:space="preserve">(Booker, 2004). It is reasonable to interpret the narrator, thrust as he is into a situation that is extraordinary, as the Lesser Dark Hero who fails at the climax to self-actualise when confronted with the Shadow beyond the curtain, the symbolic representation of the ego. Erich </w:t>
      </w:r>
      <w:proofErr w:type="spellStart"/>
      <w:r>
        <w:rPr>
          <w:rFonts w:ascii="Arial" w:hAnsi="Arial" w:cs="Arial"/>
          <w:color w:val="000000"/>
        </w:rPr>
        <w:t>Zann</w:t>
      </w:r>
      <w:proofErr w:type="spellEnd"/>
      <w:r>
        <w:rPr>
          <w:rFonts w:ascii="Arial" w:hAnsi="Arial" w:cs="Arial"/>
          <w:color w:val="000000"/>
        </w:rPr>
        <w:t xml:space="preserve"> may be viewed as the archetypal Father, but he is mute, ill-equipped and unsuited to offering the guidance that the Hero needs in order to emerge victorious. As the narration clarifies almost immediately, the Hero fails to become ‘Master of the Two Worlds;’ he has searched for years for a means of accessing once again the symbolic realm of his unconscious, but the Rue </w:t>
      </w:r>
      <w:proofErr w:type="spellStart"/>
      <w:r>
        <w:rPr>
          <w:rFonts w:ascii="Arial" w:hAnsi="Arial" w:cs="Arial"/>
          <w:color w:val="000000"/>
        </w:rPr>
        <w:t>D’Auseil</w:t>
      </w:r>
      <w:proofErr w:type="spellEnd"/>
      <w:r>
        <w:rPr>
          <w:rFonts w:ascii="Arial" w:hAnsi="Arial" w:cs="Arial"/>
          <w:color w:val="000000"/>
        </w:rPr>
        <w:t xml:space="preserve"> and Erich </w:t>
      </w:r>
      <w:proofErr w:type="spellStart"/>
      <w:r>
        <w:rPr>
          <w:rFonts w:ascii="Arial" w:hAnsi="Arial" w:cs="Arial"/>
          <w:color w:val="000000"/>
        </w:rPr>
        <w:t>Zann</w:t>
      </w:r>
      <w:proofErr w:type="spellEnd"/>
      <w:r>
        <w:rPr>
          <w:rFonts w:ascii="Arial" w:hAnsi="Arial" w:cs="Arial"/>
          <w:color w:val="000000"/>
        </w:rPr>
        <w:t xml:space="preserve"> are seemingly lost forever. Having missed his opportunity, the Hero can never again attempt the mythic Initiation and come to understand himself.</w:t>
      </w:r>
    </w:p>
    <w:p w:rsidR="0013669A" w:rsidRDefault="0013669A" w:rsidP="009B2AAB">
      <w:pPr>
        <w:pStyle w:val="NormalWeb"/>
        <w:spacing w:before="240" w:beforeAutospacing="0" w:after="80" w:afterAutospacing="0" w:line="360" w:lineRule="auto"/>
      </w:pPr>
      <w:r>
        <w:rPr>
          <w:rFonts w:ascii="Arial" w:hAnsi="Arial" w:cs="Arial"/>
          <w:color w:val="000000"/>
        </w:rPr>
        <w:t xml:space="preserve">With such an examination of the tale, one might discern a neurotic fixation on the inadequacy of the both the Self and the Father, and a sense that the author perceives himself unconsciously as trapped in the middle of the process of emotional maturation. No reference is made to the Mother or any realm of security; he has undergone the Departure and does not seem inclined to </w:t>
      </w:r>
      <w:proofErr w:type="gramStart"/>
      <w:r>
        <w:rPr>
          <w:rFonts w:ascii="Arial" w:hAnsi="Arial" w:cs="Arial"/>
          <w:color w:val="000000"/>
        </w:rPr>
        <w:t>Return</w:t>
      </w:r>
      <w:proofErr w:type="gramEnd"/>
      <w:r>
        <w:rPr>
          <w:rFonts w:ascii="Arial" w:hAnsi="Arial" w:cs="Arial"/>
          <w:color w:val="000000"/>
        </w:rPr>
        <w:t xml:space="preserve"> empty-handed. Nevertheless, the realm of the extraordinary and the guidance of the Father are forever closed off to the Hero, and so he cannot overcome the Shadow or assimilate with the archetypes of his unconscious. </w:t>
      </w:r>
      <w:r>
        <w:rPr>
          <w:rFonts w:ascii="Arial" w:hAnsi="Arial" w:cs="Arial"/>
          <w:i/>
          <w:iCs/>
          <w:color w:val="000000"/>
        </w:rPr>
        <w:t xml:space="preserve">The Music of Erich </w:t>
      </w:r>
      <w:proofErr w:type="spellStart"/>
      <w:r>
        <w:rPr>
          <w:rFonts w:ascii="Arial" w:hAnsi="Arial" w:cs="Arial"/>
          <w:i/>
          <w:iCs/>
          <w:color w:val="000000"/>
        </w:rPr>
        <w:t>Zann</w:t>
      </w:r>
      <w:proofErr w:type="spellEnd"/>
      <w:r>
        <w:rPr>
          <w:rFonts w:ascii="Arial" w:hAnsi="Arial" w:cs="Arial"/>
          <w:color w:val="000000"/>
        </w:rPr>
        <w:t>, then, may be seen as an unconscious expression of frustration at the author’s own perceived immaturity, and the lack of a suitable guiding hand to help him overcome that flaw.</w:t>
      </w:r>
    </w:p>
    <w:p w:rsidR="0013669A" w:rsidRDefault="0013669A" w:rsidP="009B2AAB">
      <w:pPr>
        <w:pStyle w:val="NormalWeb"/>
        <w:spacing w:before="240" w:beforeAutospacing="0" w:after="80" w:afterAutospacing="0" w:line="360" w:lineRule="auto"/>
      </w:pPr>
      <w:r>
        <w:rPr>
          <w:rFonts w:ascii="Arial" w:hAnsi="Arial" w:cs="Arial"/>
          <w:color w:val="000000"/>
        </w:rPr>
        <w:t xml:space="preserve">Viewed on the other hand as a symbolic dialogue, what should take precedence in the act of interpreting the text are the literal semantic forms of the protagonist; Erich </w:t>
      </w:r>
      <w:proofErr w:type="spellStart"/>
      <w:r>
        <w:rPr>
          <w:rFonts w:ascii="Arial" w:hAnsi="Arial" w:cs="Arial"/>
          <w:color w:val="000000"/>
        </w:rPr>
        <w:t>Zann</w:t>
      </w:r>
      <w:proofErr w:type="spellEnd"/>
      <w:r>
        <w:rPr>
          <w:rFonts w:ascii="Arial" w:hAnsi="Arial" w:cs="Arial"/>
          <w:color w:val="000000"/>
        </w:rPr>
        <w:t xml:space="preserve">; and the cosmic void. The former, the ‘thesis’ is a student of metaphysics, one whose mission it is to comprehend the underlying truths of the universe. The second is a cellist fending off the third, the ‘antithesis,’ an incomprehensible entity that defies rational understanding, with his music. The protagonist is an aspiring scientist, </w:t>
      </w:r>
      <w:proofErr w:type="spellStart"/>
      <w:r>
        <w:rPr>
          <w:rFonts w:ascii="Arial" w:hAnsi="Arial" w:cs="Arial"/>
          <w:color w:val="000000"/>
        </w:rPr>
        <w:t>Zann</w:t>
      </w:r>
      <w:proofErr w:type="spellEnd"/>
      <w:r>
        <w:rPr>
          <w:rFonts w:ascii="Arial" w:hAnsi="Arial" w:cs="Arial"/>
          <w:color w:val="000000"/>
        </w:rPr>
        <w:t xml:space="preserve"> an unrivalled artist, and both prove wanting in the face of an antagonist that cannot be comprehended. What is cast into focus by the numerous questions that remain unanswered after the resolution is our debatable capacity to ever truly make sense of the realities of the world around us when confronted with something truly undefinable, however much we might through art and science try to do so. A reasonable interpretation may be that the text is an example of Ultimate Horror </w:t>
      </w:r>
      <w:r>
        <w:rPr>
          <w:rFonts w:ascii="Arial" w:hAnsi="Arial" w:cs="Arial"/>
          <w:color w:val="000000"/>
        </w:rPr>
        <w:lastRenderedPageBreak/>
        <w:t>because it suggests with its inconclusive discourse that there is information we can never understand, and therefore no absolutely secure understanding of Truth can ever be reached.</w:t>
      </w:r>
    </w:p>
    <w:p w:rsidR="0013669A" w:rsidRDefault="0013669A" w:rsidP="009B2AAB">
      <w:pPr>
        <w:pStyle w:val="NormalWeb"/>
        <w:spacing w:before="240" w:beforeAutospacing="0" w:after="80" w:afterAutospacing="0" w:line="360" w:lineRule="auto"/>
      </w:pPr>
      <w:r>
        <w:rPr>
          <w:rFonts w:ascii="Arial" w:hAnsi="Arial" w:cs="Arial"/>
          <w:color w:val="000000"/>
        </w:rPr>
        <w:t>In the process of penning a relatively faithful adaptation of the story, I am not in a position to revise the plot so as to have it conform to a more conventional mythic structure, even if I wished to. Thinking of the plot as symbolic dialogue is the more practical creative model to apply to this project. From there, two distinct approaches are apparent.</w:t>
      </w:r>
    </w:p>
    <w:p w:rsidR="0013669A" w:rsidRDefault="0013669A" w:rsidP="009B2AAB">
      <w:pPr>
        <w:pStyle w:val="NormalWeb"/>
        <w:spacing w:before="240" w:beforeAutospacing="0" w:after="80" w:afterAutospacing="0" w:line="360" w:lineRule="auto"/>
      </w:pPr>
      <w:r>
        <w:rPr>
          <w:rFonts w:ascii="Arial" w:hAnsi="Arial" w:cs="Arial"/>
          <w:color w:val="000000"/>
        </w:rPr>
        <w:t xml:space="preserve">In adapting </w:t>
      </w:r>
      <w:r>
        <w:rPr>
          <w:rFonts w:ascii="Arial" w:hAnsi="Arial" w:cs="Arial"/>
          <w:i/>
          <w:iCs/>
          <w:color w:val="000000"/>
        </w:rPr>
        <w:t xml:space="preserve">The Music of Erich </w:t>
      </w:r>
      <w:proofErr w:type="spellStart"/>
      <w:r>
        <w:rPr>
          <w:rFonts w:ascii="Arial" w:hAnsi="Arial" w:cs="Arial"/>
          <w:i/>
          <w:iCs/>
          <w:color w:val="000000"/>
        </w:rPr>
        <w:t>Zann</w:t>
      </w:r>
      <w:proofErr w:type="spellEnd"/>
      <w:r>
        <w:rPr>
          <w:rFonts w:ascii="Arial" w:hAnsi="Arial" w:cs="Arial"/>
          <w:i/>
          <w:iCs/>
          <w:color w:val="000000"/>
        </w:rPr>
        <w:t xml:space="preserve"> </w:t>
      </w:r>
      <w:r>
        <w:rPr>
          <w:rFonts w:ascii="Arial" w:hAnsi="Arial" w:cs="Arial"/>
          <w:color w:val="000000"/>
        </w:rPr>
        <w:t>as discourse, no significant changes need to be made to the semantic language of the main plot. Instead, extra emphasis will be placed on the framing device that is not explicitly referenced in the original text: the story is told to us as a reflective account by its protagonist. So it is that I have chosen to actually employ as a framing device the writing of the tale, and frame the plot not as Truth but as a recounting of perception. By doing this, the film emphasises the telling of the story by the protagonist as a means of mediating and making sense of an inexplicable experience. When the Writer, as he is referred to in the script, concludes his tale, it is hinted that the same nightmarish void now dwells beyond his curtain; the attempt at comprehension has not eased his existential fears, and he has not escaped the void as he perhaps wanted to believe.</w:t>
      </w:r>
    </w:p>
    <w:p w:rsidR="0013669A" w:rsidRDefault="0013669A" w:rsidP="009B2AAB">
      <w:pPr>
        <w:pStyle w:val="NormalWeb"/>
        <w:spacing w:before="240" w:beforeAutospacing="0" w:after="80" w:afterAutospacing="0" w:line="360" w:lineRule="auto"/>
      </w:pPr>
      <w:r>
        <w:rPr>
          <w:rFonts w:ascii="Arial" w:hAnsi="Arial" w:cs="Arial"/>
          <w:color w:val="000000"/>
        </w:rPr>
        <w:t xml:space="preserve">The alternative, without changing the plot itself, would be to assert literally in the film’s semantic language the archetypal structures that Campbell would presumably read as underlying Lovecraft’s story, so as to turn the film into a psychoanalytical deconstruction of its source material. The same framing device as above is employed, but perhaps </w:t>
      </w:r>
      <w:proofErr w:type="spellStart"/>
      <w:r>
        <w:rPr>
          <w:rFonts w:ascii="Arial" w:hAnsi="Arial" w:cs="Arial"/>
          <w:color w:val="000000"/>
        </w:rPr>
        <w:t>Zann</w:t>
      </w:r>
      <w:proofErr w:type="spellEnd"/>
      <w:r>
        <w:rPr>
          <w:rFonts w:ascii="Arial" w:hAnsi="Arial" w:cs="Arial"/>
          <w:color w:val="000000"/>
        </w:rPr>
        <w:t xml:space="preserve"> appears the same as the fatherly figure in a photo in the Writer’s room. When the younger Writer peers beyond </w:t>
      </w:r>
      <w:proofErr w:type="spellStart"/>
      <w:r>
        <w:rPr>
          <w:rFonts w:ascii="Arial" w:hAnsi="Arial" w:cs="Arial"/>
          <w:color w:val="000000"/>
        </w:rPr>
        <w:t>Zann’s</w:t>
      </w:r>
      <w:proofErr w:type="spellEnd"/>
      <w:r>
        <w:rPr>
          <w:rFonts w:ascii="Arial" w:hAnsi="Arial" w:cs="Arial"/>
          <w:color w:val="000000"/>
        </w:rPr>
        <w:t xml:space="preserve"> curtain he sees not a void but the archetype of his unconscious mind given literal form; his Anima stands before him as an actual woman, and he recoils from her. The trappings of immaturity, like toys or childish books, are shoved in the corner of his room, but not wholly discarded. The relationship between the narrative and the Writer’s unconscious neuroses is exposed by the film’s visual symbols.</w:t>
      </w:r>
    </w:p>
    <w:p w:rsidR="0013669A" w:rsidRDefault="0013669A" w:rsidP="009B2AAB">
      <w:pPr>
        <w:pStyle w:val="NormalWeb"/>
        <w:spacing w:before="240" w:beforeAutospacing="0" w:after="80" w:afterAutospacing="0" w:line="360" w:lineRule="auto"/>
        <w:rPr>
          <w:rFonts w:ascii="Arial" w:hAnsi="Arial" w:cs="Arial"/>
          <w:color w:val="000000"/>
        </w:rPr>
      </w:pPr>
      <w:r>
        <w:rPr>
          <w:rFonts w:ascii="Arial" w:hAnsi="Arial" w:cs="Arial"/>
          <w:color w:val="000000"/>
        </w:rPr>
        <w:lastRenderedPageBreak/>
        <w:t xml:space="preserve">Ultimately, this psychoanalysis-based practical approach would nevertheless emphasise a tenet of the dialogue model: meaning is derived not from underlying, essential archetypal structures but from the semantic signifiers and their relative positioning in the text’s binary discourse. Regardless of whether or not I ultimately choose to pursue this latter direction, the </w:t>
      </w:r>
      <w:proofErr w:type="spellStart"/>
      <w:r>
        <w:rPr>
          <w:rFonts w:ascii="Arial" w:hAnsi="Arial" w:cs="Arial"/>
          <w:color w:val="000000"/>
        </w:rPr>
        <w:t>syntactics</w:t>
      </w:r>
      <w:proofErr w:type="spellEnd"/>
      <w:r>
        <w:rPr>
          <w:rFonts w:ascii="Arial" w:hAnsi="Arial" w:cs="Arial"/>
          <w:color w:val="000000"/>
        </w:rPr>
        <w:t xml:space="preserve"> of dialogue will be evident in the plot. Given this, my creative process should not neglect the film’s semantics if I hope to convey the intended meaning effectively.</w:t>
      </w:r>
    </w:p>
    <w:p w:rsidR="00071422" w:rsidRDefault="00071422">
      <w:pPr>
        <w:rPr>
          <w:rFonts w:asciiTheme="majorHAnsi" w:eastAsiaTheme="majorEastAsia" w:hAnsiTheme="majorHAnsi" w:cstheme="majorBidi"/>
          <w:color w:val="2E74B5" w:themeColor="accent1" w:themeShade="BF"/>
          <w:sz w:val="32"/>
          <w:szCs w:val="32"/>
        </w:rPr>
      </w:pPr>
      <w:r>
        <w:br w:type="page"/>
      </w:r>
    </w:p>
    <w:p w:rsidR="00347290" w:rsidRDefault="00347290" w:rsidP="00347290">
      <w:pPr>
        <w:pStyle w:val="Heading1"/>
      </w:pPr>
      <w:bookmarkStart w:id="6" w:name="_Toc501477550"/>
      <w:r>
        <w:lastRenderedPageBreak/>
        <w:t>Conclusion</w:t>
      </w:r>
      <w:bookmarkEnd w:id="6"/>
    </w:p>
    <w:p w:rsidR="00347290" w:rsidRDefault="00071422" w:rsidP="00D06BFE">
      <w:pPr>
        <w:spacing w:before="240" w:line="360" w:lineRule="auto"/>
        <w:rPr>
          <w:rFonts w:ascii="Arial" w:hAnsi="Arial" w:cs="Arial"/>
          <w:sz w:val="24"/>
          <w:szCs w:val="24"/>
        </w:rPr>
      </w:pPr>
      <w:r>
        <w:rPr>
          <w:rFonts w:ascii="Arial" w:hAnsi="Arial" w:cs="Arial"/>
          <w:sz w:val="24"/>
          <w:szCs w:val="24"/>
        </w:rPr>
        <w:t>In both analysis and professional application, viewing narrative as structurally akin to a symbolic dialogue is more useful than confining oneself to a focus on the archetypal models preferred by Campbell and Booker.</w:t>
      </w:r>
    </w:p>
    <w:p w:rsidR="001A535B" w:rsidRDefault="00D06BFE" w:rsidP="001A535B">
      <w:pPr>
        <w:spacing w:before="240" w:line="360" w:lineRule="auto"/>
        <w:rPr>
          <w:rFonts w:ascii="Arial" w:hAnsi="Arial" w:cs="Arial"/>
          <w:sz w:val="24"/>
          <w:szCs w:val="24"/>
        </w:rPr>
      </w:pPr>
      <w:r>
        <w:rPr>
          <w:rFonts w:ascii="Arial" w:hAnsi="Arial" w:cs="Arial"/>
          <w:sz w:val="24"/>
          <w:szCs w:val="24"/>
        </w:rPr>
        <w:t>What Joseph Campbell observed and codified in the Hero’s Journey was a recurring pattern of how specific semantic archetypes and plot devices were positioned within the binary discourse that is the essential driving force of the narrative. The Heroes, the theses, tended in classical myth to take the same form, undergo similar tests and encounter archetypes that appear to boast the same qualities. Campbell asserted the ahistorical, psychological significance of such structures</w:t>
      </w:r>
      <w:r w:rsidR="001A535B">
        <w:rPr>
          <w:rFonts w:ascii="Arial" w:hAnsi="Arial" w:cs="Arial"/>
          <w:sz w:val="24"/>
          <w:szCs w:val="24"/>
        </w:rPr>
        <w:t>, arguing that they were to a psychoanalyst like dreams: a window into the workings of the author’s unconscious and a symbolic roadmap to a more complete Self. The Hero’s Journey is simply an innate product of our deepest psyche.</w:t>
      </w:r>
    </w:p>
    <w:p w:rsidR="001A535B" w:rsidRDefault="00DC63E6" w:rsidP="001A535B">
      <w:pPr>
        <w:spacing w:before="240" w:line="360" w:lineRule="auto"/>
        <w:rPr>
          <w:rFonts w:ascii="Arial" w:hAnsi="Arial" w:cs="Arial"/>
          <w:sz w:val="24"/>
          <w:szCs w:val="24"/>
        </w:rPr>
      </w:pPr>
      <w:r>
        <w:rPr>
          <w:rFonts w:ascii="Arial" w:hAnsi="Arial" w:cs="Arial"/>
          <w:sz w:val="24"/>
          <w:szCs w:val="24"/>
        </w:rPr>
        <w:t>Ultimately, Campbell’s theories are unfalsifiable, but even in them</w:t>
      </w:r>
      <w:r w:rsidR="001A535B">
        <w:rPr>
          <w:rFonts w:ascii="Arial" w:hAnsi="Arial" w:cs="Arial"/>
          <w:sz w:val="24"/>
          <w:szCs w:val="24"/>
        </w:rPr>
        <w:t xml:space="preserve"> we see the extraction of meaning from myth via a specific interpretation of the narrative’s archetypal figures and their changing relationships throughout the narrative, which mimics at a basic level a testing of thesis against antithesis in an effort to achieve synthesis. If one changes the positioning of those same archetypes, as James Gunn did with </w:t>
      </w:r>
      <w:r w:rsidR="001A535B">
        <w:rPr>
          <w:rFonts w:ascii="Arial" w:hAnsi="Arial" w:cs="Arial"/>
          <w:i/>
          <w:sz w:val="24"/>
          <w:szCs w:val="24"/>
        </w:rPr>
        <w:t>Guardians of the Galaxy Vol.2</w:t>
      </w:r>
      <w:r w:rsidR="001A535B">
        <w:rPr>
          <w:rFonts w:ascii="Arial" w:hAnsi="Arial" w:cs="Arial"/>
          <w:sz w:val="24"/>
          <w:szCs w:val="24"/>
        </w:rPr>
        <w:t>, the</w:t>
      </w:r>
      <w:r w:rsidR="009233C6">
        <w:rPr>
          <w:rFonts w:ascii="Arial" w:hAnsi="Arial" w:cs="Arial"/>
          <w:sz w:val="24"/>
          <w:szCs w:val="24"/>
        </w:rPr>
        <w:t xml:space="preserve">n their meanings and the meaning of the text as a whole </w:t>
      </w:r>
      <w:r w:rsidR="001A535B">
        <w:rPr>
          <w:rFonts w:ascii="Arial" w:hAnsi="Arial" w:cs="Arial"/>
          <w:sz w:val="24"/>
          <w:szCs w:val="24"/>
        </w:rPr>
        <w:t>changes.</w:t>
      </w:r>
    </w:p>
    <w:p w:rsidR="00DC63E6" w:rsidRDefault="001A535B" w:rsidP="00DC63E6">
      <w:pPr>
        <w:spacing w:before="240" w:line="360" w:lineRule="auto"/>
        <w:rPr>
          <w:rFonts w:ascii="Arial" w:hAnsi="Arial" w:cs="Arial"/>
          <w:sz w:val="24"/>
          <w:szCs w:val="24"/>
        </w:rPr>
      </w:pPr>
      <w:r>
        <w:rPr>
          <w:rFonts w:ascii="Arial" w:hAnsi="Arial" w:cs="Arial"/>
          <w:sz w:val="24"/>
          <w:szCs w:val="24"/>
        </w:rPr>
        <w:t xml:space="preserve">What matters then is the idea associated with each individual archetype by any given member of the audience, and how the binary conflict of protagonist vs. antagonist </w:t>
      </w:r>
      <w:r w:rsidR="001E3CA3">
        <w:rPr>
          <w:rFonts w:ascii="Arial" w:hAnsi="Arial" w:cs="Arial"/>
          <w:sz w:val="24"/>
          <w:szCs w:val="24"/>
        </w:rPr>
        <w:t xml:space="preserve">plays out and </w:t>
      </w:r>
      <w:r w:rsidR="00E13956">
        <w:rPr>
          <w:rFonts w:ascii="Arial" w:hAnsi="Arial" w:cs="Arial"/>
          <w:sz w:val="24"/>
          <w:szCs w:val="24"/>
        </w:rPr>
        <w:t>comes to be resolved</w:t>
      </w:r>
      <w:r>
        <w:rPr>
          <w:rFonts w:ascii="Arial" w:hAnsi="Arial" w:cs="Arial"/>
          <w:sz w:val="24"/>
          <w:szCs w:val="24"/>
        </w:rPr>
        <w:t xml:space="preserve"> (or</w:t>
      </w:r>
      <w:r w:rsidR="00E13956">
        <w:rPr>
          <w:rFonts w:ascii="Arial" w:hAnsi="Arial" w:cs="Arial"/>
          <w:sz w:val="24"/>
          <w:szCs w:val="24"/>
        </w:rPr>
        <w:t xml:space="preserve"> possibly</w:t>
      </w:r>
      <w:r>
        <w:rPr>
          <w:rFonts w:ascii="Arial" w:hAnsi="Arial" w:cs="Arial"/>
          <w:sz w:val="24"/>
          <w:szCs w:val="24"/>
        </w:rPr>
        <w:t xml:space="preserve"> doesn’t, as was the case with </w:t>
      </w:r>
      <w:r>
        <w:rPr>
          <w:rFonts w:ascii="Arial" w:hAnsi="Arial" w:cs="Arial"/>
          <w:i/>
          <w:sz w:val="24"/>
          <w:szCs w:val="24"/>
        </w:rPr>
        <w:t>The Shining</w:t>
      </w:r>
      <w:r>
        <w:rPr>
          <w:rFonts w:ascii="Arial" w:hAnsi="Arial" w:cs="Arial"/>
          <w:sz w:val="24"/>
          <w:szCs w:val="24"/>
        </w:rPr>
        <w:t xml:space="preserve">).  </w:t>
      </w:r>
      <w:r w:rsidR="00E13956">
        <w:rPr>
          <w:rFonts w:ascii="Arial" w:hAnsi="Arial" w:cs="Arial"/>
          <w:sz w:val="24"/>
          <w:szCs w:val="24"/>
        </w:rPr>
        <w:t xml:space="preserve">A narrative proposes Truth, either as something factually absolute or as the fallible conclusion of a flawed or limited discourse. With regard to creative application, this seems </w:t>
      </w:r>
      <w:r w:rsidR="00DC63E6">
        <w:rPr>
          <w:rFonts w:ascii="Arial" w:hAnsi="Arial" w:cs="Arial"/>
          <w:sz w:val="24"/>
          <w:szCs w:val="24"/>
        </w:rPr>
        <w:t>a more</w:t>
      </w:r>
      <w:r w:rsidR="00E13956">
        <w:rPr>
          <w:rFonts w:ascii="Arial" w:hAnsi="Arial" w:cs="Arial"/>
          <w:sz w:val="24"/>
          <w:szCs w:val="24"/>
        </w:rPr>
        <w:t xml:space="preserve"> basic</w:t>
      </w:r>
      <w:r w:rsidR="00DC63E6">
        <w:rPr>
          <w:rFonts w:ascii="Arial" w:hAnsi="Arial" w:cs="Arial"/>
          <w:sz w:val="24"/>
          <w:szCs w:val="24"/>
        </w:rPr>
        <w:t xml:space="preserve"> and </w:t>
      </w:r>
      <w:r w:rsidR="00B86830">
        <w:rPr>
          <w:rFonts w:ascii="Arial" w:hAnsi="Arial" w:cs="Arial"/>
          <w:sz w:val="24"/>
          <w:szCs w:val="24"/>
        </w:rPr>
        <w:t>versatile</w:t>
      </w:r>
      <w:r w:rsidR="00E13956">
        <w:rPr>
          <w:rFonts w:ascii="Arial" w:hAnsi="Arial" w:cs="Arial"/>
          <w:sz w:val="24"/>
          <w:szCs w:val="24"/>
        </w:rPr>
        <w:t xml:space="preserve"> </w:t>
      </w:r>
      <w:r w:rsidR="00DC63E6">
        <w:rPr>
          <w:rFonts w:ascii="Arial" w:hAnsi="Arial" w:cs="Arial"/>
          <w:sz w:val="24"/>
          <w:szCs w:val="24"/>
        </w:rPr>
        <w:t>foundation to construct a narrative upon</w:t>
      </w:r>
      <w:r w:rsidR="009233C6">
        <w:rPr>
          <w:rFonts w:ascii="Arial" w:hAnsi="Arial" w:cs="Arial"/>
          <w:sz w:val="24"/>
          <w:szCs w:val="24"/>
        </w:rPr>
        <w:t>, regardless of what the author wishes to communicate</w:t>
      </w:r>
      <w:r w:rsidR="00DC63E6">
        <w:rPr>
          <w:rFonts w:ascii="Arial" w:hAnsi="Arial" w:cs="Arial"/>
          <w:sz w:val="24"/>
          <w:szCs w:val="24"/>
        </w:rPr>
        <w:t>.</w:t>
      </w:r>
    </w:p>
    <w:p w:rsidR="009233C6" w:rsidRPr="00DC63E6" w:rsidRDefault="009233C6" w:rsidP="00DC63E6">
      <w:pPr>
        <w:spacing w:before="240" w:line="360" w:lineRule="auto"/>
        <w:rPr>
          <w:rFonts w:ascii="Arial" w:hAnsi="Arial" w:cs="Arial"/>
          <w:sz w:val="24"/>
          <w:szCs w:val="24"/>
        </w:rPr>
      </w:pPr>
      <w:r>
        <w:rPr>
          <w:rFonts w:ascii="Arial" w:hAnsi="Arial" w:cs="Arial"/>
          <w:sz w:val="24"/>
          <w:szCs w:val="24"/>
        </w:rPr>
        <w:t>Indeed, it may be</w:t>
      </w:r>
      <w:r w:rsidR="00B86830">
        <w:rPr>
          <w:rFonts w:ascii="Arial" w:hAnsi="Arial" w:cs="Arial"/>
          <w:sz w:val="24"/>
          <w:szCs w:val="24"/>
        </w:rPr>
        <w:t xml:space="preserve"> reasonably</w:t>
      </w:r>
      <w:r>
        <w:rPr>
          <w:rFonts w:ascii="Arial" w:hAnsi="Arial" w:cs="Arial"/>
          <w:sz w:val="24"/>
          <w:szCs w:val="24"/>
        </w:rPr>
        <w:t xml:space="preserve"> argued that without those binary conflicts as the driving force, the narrative itself does not take shape.</w:t>
      </w:r>
    </w:p>
    <w:p w:rsidR="00DC63E6" w:rsidRDefault="00DC63E6">
      <w:pPr>
        <w:rPr>
          <w:rFonts w:asciiTheme="majorHAnsi" w:eastAsiaTheme="majorEastAsia" w:hAnsiTheme="majorHAnsi" w:cstheme="majorBidi"/>
          <w:color w:val="2E74B5" w:themeColor="accent1" w:themeShade="BF"/>
          <w:sz w:val="32"/>
          <w:szCs w:val="32"/>
        </w:rPr>
      </w:pPr>
      <w:r>
        <w:br w:type="page"/>
      </w:r>
    </w:p>
    <w:p w:rsidR="00347290" w:rsidRDefault="000D4C02" w:rsidP="000D4C02">
      <w:pPr>
        <w:pStyle w:val="Heading1"/>
        <w:spacing w:after="240"/>
      </w:pPr>
      <w:bookmarkStart w:id="7" w:name="_Toc501477551"/>
      <w:r>
        <w:lastRenderedPageBreak/>
        <w:t>Bibliography</w:t>
      </w:r>
      <w:bookmarkEnd w:id="7"/>
    </w:p>
    <w:p w:rsidR="00347290" w:rsidRPr="000D4C02" w:rsidRDefault="000D4C02" w:rsidP="000D4C02">
      <w:pPr>
        <w:pStyle w:val="ListParagraph"/>
        <w:numPr>
          <w:ilvl w:val="0"/>
          <w:numId w:val="1"/>
        </w:numPr>
        <w:spacing w:line="360" w:lineRule="auto"/>
      </w:pPr>
      <w:proofErr w:type="spellStart"/>
      <w:r>
        <w:rPr>
          <w:rFonts w:ascii="Arial" w:hAnsi="Arial" w:cs="Arial"/>
          <w:sz w:val="24"/>
        </w:rPr>
        <w:t>Yorke</w:t>
      </w:r>
      <w:proofErr w:type="spellEnd"/>
      <w:r>
        <w:rPr>
          <w:rFonts w:ascii="Arial" w:hAnsi="Arial" w:cs="Arial"/>
          <w:sz w:val="24"/>
        </w:rPr>
        <w:t xml:space="preserve">, J., 2013. </w:t>
      </w:r>
      <w:r>
        <w:rPr>
          <w:rFonts w:ascii="Arial" w:hAnsi="Arial" w:cs="Arial"/>
          <w:i/>
          <w:sz w:val="24"/>
        </w:rPr>
        <w:t>Into the Woods</w:t>
      </w:r>
      <w:r>
        <w:rPr>
          <w:rFonts w:ascii="Arial" w:hAnsi="Arial" w:cs="Arial"/>
          <w:sz w:val="24"/>
        </w:rPr>
        <w:t>. London: Penguin Books Ltd.</w:t>
      </w:r>
    </w:p>
    <w:p w:rsidR="000D4C02" w:rsidRPr="000D4C02" w:rsidRDefault="000D4C02" w:rsidP="000D4C02">
      <w:pPr>
        <w:pStyle w:val="ListParagraph"/>
        <w:numPr>
          <w:ilvl w:val="0"/>
          <w:numId w:val="1"/>
        </w:numPr>
        <w:spacing w:line="360" w:lineRule="auto"/>
      </w:pPr>
      <w:r>
        <w:rPr>
          <w:rFonts w:ascii="Arial" w:hAnsi="Arial" w:cs="Arial"/>
          <w:sz w:val="24"/>
        </w:rPr>
        <w:t xml:space="preserve">Booker, C., 2004. </w:t>
      </w:r>
      <w:r>
        <w:rPr>
          <w:rFonts w:ascii="Arial" w:hAnsi="Arial" w:cs="Arial"/>
          <w:i/>
          <w:sz w:val="24"/>
        </w:rPr>
        <w:t>The Seven Basic Plots: Why We Tell Stories</w:t>
      </w:r>
      <w:r>
        <w:rPr>
          <w:rFonts w:ascii="Arial" w:hAnsi="Arial" w:cs="Arial"/>
          <w:sz w:val="24"/>
        </w:rPr>
        <w:t>. London: Continuum</w:t>
      </w:r>
    </w:p>
    <w:p w:rsidR="000D4C02" w:rsidRPr="000D4C02" w:rsidRDefault="000D4C02" w:rsidP="000D4C02">
      <w:pPr>
        <w:pStyle w:val="ListParagraph"/>
        <w:numPr>
          <w:ilvl w:val="0"/>
          <w:numId w:val="1"/>
        </w:numPr>
        <w:spacing w:line="360" w:lineRule="auto"/>
      </w:pPr>
      <w:r>
        <w:rPr>
          <w:rFonts w:ascii="Arial" w:hAnsi="Arial" w:cs="Arial"/>
          <w:sz w:val="24"/>
        </w:rPr>
        <w:t xml:space="preserve">Campbell, J., 1949. </w:t>
      </w:r>
      <w:r>
        <w:rPr>
          <w:rFonts w:ascii="Arial" w:hAnsi="Arial" w:cs="Arial"/>
          <w:i/>
          <w:sz w:val="24"/>
        </w:rPr>
        <w:t>The Hero with a Thousand Faces</w:t>
      </w:r>
      <w:r>
        <w:rPr>
          <w:rFonts w:ascii="Arial" w:hAnsi="Arial" w:cs="Arial"/>
          <w:sz w:val="24"/>
        </w:rPr>
        <w:t>. Reprint 2008. Novato: New World Library</w:t>
      </w:r>
    </w:p>
    <w:p w:rsidR="000D4C02" w:rsidRPr="00AA5BA3" w:rsidRDefault="000D4C02" w:rsidP="000D4C02">
      <w:pPr>
        <w:pStyle w:val="ListParagraph"/>
        <w:numPr>
          <w:ilvl w:val="0"/>
          <w:numId w:val="1"/>
        </w:numPr>
        <w:spacing w:line="360" w:lineRule="auto"/>
      </w:pPr>
      <w:proofErr w:type="spellStart"/>
      <w:r>
        <w:rPr>
          <w:rFonts w:ascii="Arial" w:hAnsi="Arial" w:cs="Arial"/>
          <w:sz w:val="24"/>
        </w:rPr>
        <w:t>Belsey</w:t>
      </w:r>
      <w:proofErr w:type="spellEnd"/>
      <w:r>
        <w:rPr>
          <w:rFonts w:ascii="Arial" w:hAnsi="Arial" w:cs="Arial"/>
          <w:sz w:val="24"/>
        </w:rPr>
        <w:t xml:space="preserve">, C., 2002. </w:t>
      </w:r>
      <w:r>
        <w:rPr>
          <w:rFonts w:ascii="Arial" w:hAnsi="Arial" w:cs="Arial"/>
          <w:i/>
          <w:sz w:val="24"/>
        </w:rPr>
        <w:t>Poststructuralism: A Very Short Introduction</w:t>
      </w:r>
      <w:r w:rsidR="00AA5BA3">
        <w:rPr>
          <w:rFonts w:ascii="Arial" w:hAnsi="Arial" w:cs="Arial"/>
          <w:sz w:val="24"/>
        </w:rPr>
        <w:t>. Oxford: Oxford University Press</w:t>
      </w:r>
    </w:p>
    <w:p w:rsidR="00AA5BA3" w:rsidRPr="00AA5BA3" w:rsidRDefault="00AA5BA3" w:rsidP="000D4C02">
      <w:pPr>
        <w:pStyle w:val="ListParagraph"/>
        <w:numPr>
          <w:ilvl w:val="0"/>
          <w:numId w:val="1"/>
        </w:numPr>
        <w:spacing w:line="360" w:lineRule="auto"/>
      </w:pPr>
      <w:proofErr w:type="spellStart"/>
      <w:r>
        <w:rPr>
          <w:rFonts w:ascii="Arial" w:hAnsi="Arial" w:cs="Arial"/>
          <w:sz w:val="24"/>
        </w:rPr>
        <w:t>Stam</w:t>
      </w:r>
      <w:proofErr w:type="spellEnd"/>
      <w:r>
        <w:rPr>
          <w:rFonts w:ascii="Arial" w:hAnsi="Arial" w:cs="Arial"/>
          <w:sz w:val="24"/>
        </w:rPr>
        <w:t xml:space="preserve">, R., Burgoyne, R. and </w:t>
      </w:r>
      <w:proofErr w:type="spellStart"/>
      <w:r>
        <w:rPr>
          <w:rFonts w:ascii="Arial" w:hAnsi="Arial" w:cs="Arial"/>
          <w:sz w:val="24"/>
        </w:rPr>
        <w:t>Flitterman</w:t>
      </w:r>
      <w:proofErr w:type="spellEnd"/>
      <w:r>
        <w:rPr>
          <w:rFonts w:ascii="Arial" w:hAnsi="Arial" w:cs="Arial"/>
          <w:sz w:val="24"/>
        </w:rPr>
        <w:t xml:space="preserve">-Lewis, S., 1992. </w:t>
      </w:r>
      <w:r>
        <w:rPr>
          <w:rFonts w:ascii="Arial" w:hAnsi="Arial" w:cs="Arial"/>
          <w:i/>
          <w:sz w:val="24"/>
        </w:rPr>
        <w:t>New Vocabularies in Film Semiotics: Structuralism, Post-structuralism and Beyond</w:t>
      </w:r>
      <w:r>
        <w:rPr>
          <w:rFonts w:ascii="Arial" w:hAnsi="Arial" w:cs="Arial"/>
          <w:sz w:val="24"/>
        </w:rPr>
        <w:t>. London: Routledge</w:t>
      </w:r>
    </w:p>
    <w:p w:rsidR="00AA5BA3" w:rsidRPr="00AA5BA3" w:rsidRDefault="00AA5BA3" w:rsidP="000D4C02">
      <w:pPr>
        <w:pStyle w:val="ListParagraph"/>
        <w:numPr>
          <w:ilvl w:val="0"/>
          <w:numId w:val="1"/>
        </w:numPr>
        <w:spacing w:line="360" w:lineRule="auto"/>
      </w:pPr>
      <w:r>
        <w:rPr>
          <w:rFonts w:ascii="Arial" w:hAnsi="Arial" w:cs="Arial"/>
          <w:sz w:val="24"/>
        </w:rPr>
        <w:t xml:space="preserve">Altman, R., 1999. </w:t>
      </w:r>
      <w:r>
        <w:rPr>
          <w:rFonts w:ascii="Arial" w:hAnsi="Arial" w:cs="Arial"/>
          <w:i/>
          <w:sz w:val="24"/>
        </w:rPr>
        <w:t>Film/Genre</w:t>
      </w:r>
      <w:r>
        <w:rPr>
          <w:rFonts w:ascii="Arial" w:hAnsi="Arial" w:cs="Arial"/>
          <w:sz w:val="24"/>
        </w:rPr>
        <w:t>. London: British Film Institute</w:t>
      </w:r>
    </w:p>
    <w:p w:rsidR="00AA5BA3" w:rsidRPr="00AA5BA3" w:rsidRDefault="00AA5BA3" w:rsidP="000D4C02">
      <w:pPr>
        <w:pStyle w:val="ListParagraph"/>
        <w:numPr>
          <w:ilvl w:val="0"/>
          <w:numId w:val="1"/>
        </w:numPr>
        <w:spacing w:line="360" w:lineRule="auto"/>
      </w:pPr>
      <w:r>
        <w:rPr>
          <w:rFonts w:ascii="Arial" w:hAnsi="Arial" w:cs="Arial"/>
          <w:sz w:val="24"/>
        </w:rPr>
        <w:t xml:space="preserve">Aristotle. </w:t>
      </w:r>
      <w:r>
        <w:rPr>
          <w:rFonts w:ascii="Arial" w:hAnsi="Arial" w:cs="Arial"/>
          <w:i/>
          <w:sz w:val="24"/>
        </w:rPr>
        <w:t>Poetics</w:t>
      </w:r>
      <w:r>
        <w:rPr>
          <w:rFonts w:ascii="Arial" w:hAnsi="Arial" w:cs="Arial"/>
          <w:sz w:val="24"/>
        </w:rPr>
        <w:t>. Translated by Malcolm Heath., 1996. London: Penguin Books</w:t>
      </w:r>
    </w:p>
    <w:p w:rsidR="00AA5BA3" w:rsidRPr="00333928" w:rsidRDefault="00AA5BA3" w:rsidP="000D4C02">
      <w:pPr>
        <w:pStyle w:val="ListParagraph"/>
        <w:numPr>
          <w:ilvl w:val="0"/>
          <w:numId w:val="1"/>
        </w:numPr>
        <w:spacing w:line="360" w:lineRule="auto"/>
      </w:pPr>
      <w:r>
        <w:rPr>
          <w:rFonts w:ascii="Arial" w:hAnsi="Arial" w:cs="Arial"/>
          <w:sz w:val="24"/>
        </w:rPr>
        <w:t xml:space="preserve">Gledhill, C., 2007. </w:t>
      </w:r>
      <w:r w:rsidR="00333928">
        <w:rPr>
          <w:rFonts w:ascii="Arial" w:hAnsi="Arial" w:cs="Arial"/>
          <w:sz w:val="24"/>
        </w:rPr>
        <w:t xml:space="preserve">The horror film. In: P. Cook, ed. 2007. </w:t>
      </w:r>
      <w:r w:rsidR="00333928">
        <w:rPr>
          <w:rFonts w:ascii="Arial" w:hAnsi="Arial" w:cs="Arial"/>
          <w:i/>
          <w:sz w:val="24"/>
        </w:rPr>
        <w:t>The Cinema Book, 3</w:t>
      </w:r>
      <w:r w:rsidR="00333928" w:rsidRPr="00333928">
        <w:rPr>
          <w:rFonts w:ascii="Arial" w:hAnsi="Arial" w:cs="Arial"/>
          <w:i/>
          <w:sz w:val="24"/>
          <w:vertAlign w:val="superscript"/>
        </w:rPr>
        <w:t>rd</w:t>
      </w:r>
      <w:r w:rsidR="00333928">
        <w:rPr>
          <w:rFonts w:ascii="Arial" w:hAnsi="Arial" w:cs="Arial"/>
          <w:i/>
          <w:sz w:val="24"/>
        </w:rPr>
        <w:t xml:space="preserve"> Edition</w:t>
      </w:r>
      <w:r w:rsidR="00333928">
        <w:rPr>
          <w:rFonts w:ascii="Arial" w:hAnsi="Arial" w:cs="Arial"/>
          <w:sz w:val="24"/>
        </w:rPr>
        <w:t>. London: British Film Institute. pp.347-355</w:t>
      </w:r>
    </w:p>
    <w:p w:rsidR="00333928" w:rsidRPr="00333928" w:rsidRDefault="00333928" w:rsidP="000D4C02">
      <w:pPr>
        <w:pStyle w:val="ListParagraph"/>
        <w:numPr>
          <w:ilvl w:val="0"/>
          <w:numId w:val="1"/>
        </w:numPr>
        <w:spacing w:line="360" w:lineRule="auto"/>
      </w:pPr>
      <w:r>
        <w:rPr>
          <w:rFonts w:ascii="Arial" w:hAnsi="Arial" w:cs="Arial"/>
          <w:sz w:val="24"/>
        </w:rPr>
        <w:t xml:space="preserve">Derry, C., 1977. </w:t>
      </w:r>
      <w:r>
        <w:rPr>
          <w:rFonts w:ascii="Arial" w:hAnsi="Arial" w:cs="Arial"/>
          <w:i/>
          <w:sz w:val="24"/>
        </w:rPr>
        <w:t>Dark Dreams: A Psychological History of the Modern Horror Film</w:t>
      </w:r>
      <w:r>
        <w:rPr>
          <w:rFonts w:ascii="Arial" w:hAnsi="Arial" w:cs="Arial"/>
          <w:sz w:val="24"/>
        </w:rPr>
        <w:t xml:space="preserve">. London: Thomas </w:t>
      </w:r>
      <w:proofErr w:type="spellStart"/>
      <w:r>
        <w:rPr>
          <w:rFonts w:ascii="Arial" w:hAnsi="Arial" w:cs="Arial"/>
          <w:sz w:val="24"/>
        </w:rPr>
        <w:t>Yoseloff</w:t>
      </w:r>
      <w:proofErr w:type="spellEnd"/>
      <w:r>
        <w:rPr>
          <w:rFonts w:ascii="Arial" w:hAnsi="Arial" w:cs="Arial"/>
          <w:sz w:val="24"/>
        </w:rPr>
        <w:t>.</w:t>
      </w:r>
    </w:p>
    <w:p w:rsidR="00333928" w:rsidRPr="00333928" w:rsidRDefault="00333928" w:rsidP="000D4C02">
      <w:pPr>
        <w:pStyle w:val="ListParagraph"/>
        <w:numPr>
          <w:ilvl w:val="0"/>
          <w:numId w:val="1"/>
        </w:numPr>
        <w:spacing w:line="360" w:lineRule="auto"/>
      </w:pPr>
      <w:r>
        <w:rPr>
          <w:rFonts w:ascii="Arial" w:hAnsi="Arial" w:cs="Arial"/>
          <w:sz w:val="24"/>
        </w:rPr>
        <w:t xml:space="preserve">Stoker, B. 1897. </w:t>
      </w:r>
      <w:r>
        <w:rPr>
          <w:rFonts w:ascii="Arial" w:hAnsi="Arial" w:cs="Arial"/>
          <w:i/>
          <w:sz w:val="24"/>
        </w:rPr>
        <w:t>Dracula</w:t>
      </w:r>
      <w:r>
        <w:rPr>
          <w:rFonts w:ascii="Arial" w:hAnsi="Arial" w:cs="Arial"/>
          <w:sz w:val="24"/>
        </w:rPr>
        <w:t>. Reprint 1998. New York: Barnes and Noble, Inc.</w:t>
      </w:r>
    </w:p>
    <w:p w:rsidR="00333928" w:rsidRPr="00333928" w:rsidRDefault="00333928" w:rsidP="00333928">
      <w:pPr>
        <w:pStyle w:val="ListParagraph"/>
        <w:numPr>
          <w:ilvl w:val="0"/>
          <w:numId w:val="1"/>
        </w:numPr>
        <w:spacing w:line="360" w:lineRule="auto"/>
        <w:rPr>
          <w:rFonts w:ascii="Arial" w:hAnsi="Arial" w:cs="Arial"/>
          <w:sz w:val="24"/>
        </w:rPr>
      </w:pPr>
      <w:r w:rsidRPr="00333928">
        <w:rPr>
          <w:rFonts w:ascii="Arial" w:hAnsi="Arial" w:cs="Arial"/>
          <w:sz w:val="24"/>
        </w:rPr>
        <w:t>Guardians of the Galaxy, 2014. [Film] Directed by James Gunn. USA: Marvel Studios</w:t>
      </w:r>
    </w:p>
    <w:p w:rsidR="00333928" w:rsidRPr="00333928" w:rsidRDefault="00333928" w:rsidP="00333928">
      <w:pPr>
        <w:pStyle w:val="ListParagraph"/>
        <w:numPr>
          <w:ilvl w:val="0"/>
          <w:numId w:val="1"/>
        </w:numPr>
        <w:spacing w:line="360" w:lineRule="auto"/>
        <w:rPr>
          <w:rFonts w:ascii="Arial" w:hAnsi="Arial" w:cs="Arial"/>
          <w:sz w:val="24"/>
        </w:rPr>
      </w:pPr>
      <w:r w:rsidRPr="00333928">
        <w:rPr>
          <w:rFonts w:ascii="Arial" w:hAnsi="Arial" w:cs="Arial"/>
          <w:sz w:val="24"/>
        </w:rPr>
        <w:t>Guardians of the Galaxy Vol.2, 2017. [Film] Directed by James Gunn. USA: Marvel Studios</w:t>
      </w:r>
    </w:p>
    <w:p w:rsidR="00333928" w:rsidRPr="00333928" w:rsidRDefault="00333928" w:rsidP="00333928">
      <w:pPr>
        <w:pStyle w:val="ListParagraph"/>
        <w:numPr>
          <w:ilvl w:val="0"/>
          <w:numId w:val="1"/>
        </w:numPr>
        <w:spacing w:line="360" w:lineRule="auto"/>
        <w:rPr>
          <w:rFonts w:ascii="Arial" w:hAnsi="Arial" w:cs="Arial"/>
          <w:sz w:val="24"/>
        </w:rPr>
      </w:pPr>
      <w:r w:rsidRPr="00333928">
        <w:rPr>
          <w:rFonts w:ascii="Arial" w:hAnsi="Arial" w:cs="Arial"/>
          <w:sz w:val="24"/>
        </w:rPr>
        <w:t>Clash of the Titans, 1981. [Film] Directed by Desmond Davis. USA: Metro-Goldwyn-Mayer</w:t>
      </w:r>
    </w:p>
    <w:p w:rsidR="00333928" w:rsidRPr="00333928" w:rsidRDefault="00333928" w:rsidP="00333928">
      <w:pPr>
        <w:pStyle w:val="ListParagraph"/>
        <w:numPr>
          <w:ilvl w:val="0"/>
          <w:numId w:val="1"/>
        </w:numPr>
        <w:spacing w:line="360" w:lineRule="auto"/>
        <w:rPr>
          <w:rFonts w:ascii="Arial" w:hAnsi="Arial" w:cs="Arial"/>
          <w:sz w:val="24"/>
        </w:rPr>
      </w:pPr>
      <w:r w:rsidRPr="00333928">
        <w:rPr>
          <w:rFonts w:ascii="Arial" w:hAnsi="Arial" w:cs="Arial"/>
          <w:sz w:val="24"/>
        </w:rPr>
        <w:t>The Shining, 1980. [Film] Directed by Stanley Kubrick. USA: Warner Bros.</w:t>
      </w:r>
    </w:p>
    <w:p w:rsidR="009B2AAB" w:rsidRPr="00333928" w:rsidRDefault="00333928" w:rsidP="00333928">
      <w:pPr>
        <w:pStyle w:val="ListParagraph"/>
        <w:numPr>
          <w:ilvl w:val="0"/>
          <w:numId w:val="1"/>
        </w:numPr>
        <w:spacing w:line="360" w:lineRule="auto"/>
        <w:rPr>
          <w:rFonts w:ascii="Arial" w:hAnsi="Arial" w:cs="Arial"/>
          <w:sz w:val="24"/>
        </w:rPr>
      </w:pPr>
      <w:r w:rsidRPr="00333928">
        <w:rPr>
          <w:rFonts w:ascii="Arial" w:hAnsi="Arial" w:cs="Arial"/>
          <w:sz w:val="24"/>
        </w:rPr>
        <w:t xml:space="preserve">H.P. Lovecraft, 1922. The Music of Erich </w:t>
      </w:r>
      <w:proofErr w:type="spellStart"/>
      <w:r w:rsidRPr="00333928">
        <w:rPr>
          <w:rFonts w:ascii="Arial" w:hAnsi="Arial" w:cs="Arial"/>
          <w:sz w:val="24"/>
        </w:rPr>
        <w:t>Zann</w:t>
      </w:r>
      <w:proofErr w:type="spellEnd"/>
      <w:r w:rsidRPr="00333928">
        <w:rPr>
          <w:rFonts w:ascii="Arial" w:hAnsi="Arial" w:cs="Arial"/>
          <w:sz w:val="24"/>
        </w:rPr>
        <w:t>. [online] Available at: &lt;http://www.hplovecraft.com/writings/texts/fiction/mez.aspx&gt; [Accessed 15th December 2017]</w:t>
      </w:r>
    </w:p>
    <w:sectPr w:rsidR="009B2AAB" w:rsidRPr="00333928" w:rsidSect="00071422">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17F94" w:rsidRDefault="00417F94" w:rsidP="009B2AAB">
      <w:pPr>
        <w:spacing w:after="0" w:line="240" w:lineRule="auto"/>
      </w:pPr>
      <w:r>
        <w:separator/>
      </w:r>
    </w:p>
  </w:endnote>
  <w:endnote w:type="continuationSeparator" w:id="0">
    <w:p w:rsidR="00417F94" w:rsidRDefault="00417F94" w:rsidP="009B2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90057846"/>
      <w:docPartObj>
        <w:docPartGallery w:val="Page Numbers (Bottom of Page)"/>
        <w:docPartUnique/>
      </w:docPartObj>
    </w:sdtPr>
    <w:sdtEndPr>
      <w:rPr>
        <w:noProof/>
      </w:rPr>
    </w:sdtEndPr>
    <w:sdtContent>
      <w:p w:rsidR="009B2AAB" w:rsidRDefault="009B2AAB">
        <w:pPr>
          <w:pStyle w:val="Footer"/>
          <w:jc w:val="right"/>
        </w:pPr>
        <w:r>
          <w:fldChar w:fldCharType="begin"/>
        </w:r>
        <w:r>
          <w:instrText xml:space="preserve"> PAGE   \* MERGEFORMAT </w:instrText>
        </w:r>
        <w:r>
          <w:fldChar w:fldCharType="separate"/>
        </w:r>
        <w:r w:rsidR="001428FB">
          <w:rPr>
            <w:noProof/>
          </w:rPr>
          <w:t>1</w:t>
        </w:r>
        <w:r>
          <w:rPr>
            <w:noProof/>
          </w:rPr>
          <w:fldChar w:fldCharType="end"/>
        </w:r>
      </w:p>
    </w:sdtContent>
  </w:sdt>
  <w:p w:rsidR="009B2AAB" w:rsidRDefault="009B2AA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17F94" w:rsidRDefault="00417F94" w:rsidP="009B2AAB">
      <w:pPr>
        <w:spacing w:after="0" w:line="240" w:lineRule="auto"/>
      </w:pPr>
      <w:r>
        <w:separator/>
      </w:r>
    </w:p>
  </w:footnote>
  <w:footnote w:type="continuationSeparator" w:id="0">
    <w:p w:rsidR="00417F94" w:rsidRDefault="00417F94" w:rsidP="009B2AA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A413AE"/>
    <w:multiLevelType w:val="hybridMultilevel"/>
    <w:tmpl w:val="3A928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669A"/>
    <w:rsid w:val="00071422"/>
    <w:rsid w:val="000D4C02"/>
    <w:rsid w:val="0013669A"/>
    <w:rsid w:val="001428FB"/>
    <w:rsid w:val="001A535B"/>
    <w:rsid w:val="001E3CA3"/>
    <w:rsid w:val="00333928"/>
    <w:rsid w:val="00347290"/>
    <w:rsid w:val="00417F94"/>
    <w:rsid w:val="008358E8"/>
    <w:rsid w:val="00915F6E"/>
    <w:rsid w:val="009233C6"/>
    <w:rsid w:val="009B2AAB"/>
    <w:rsid w:val="00A71749"/>
    <w:rsid w:val="00A7403F"/>
    <w:rsid w:val="00AA45EE"/>
    <w:rsid w:val="00AA5BA3"/>
    <w:rsid w:val="00B41DA6"/>
    <w:rsid w:val="00B86830"/>
    <w:rsid w:val="00BD4CB8"/>
    <w:rsid w:val="00C17E39"/>
    <w:rsid w:val="00C42038"/>
    <w:rsid w:val="00D06BFE"/>
    <w:rsid w:val="00D90882"/>
    <w:rsid w:val="00DC63E6"/>
    <w:rsid w:val="00E13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CE67A22-2CD8-44C6-A415-DC8F8B2C5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4729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3669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B2A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AAB"/>
  </w:style>
  <w:style w:type="paragraph" w:styleId="Footer">
    <w:name w:val="footer"/>
    <w:basedOn w:val="Normal"/>
    <w:link w:val="FooterChar"/>
    <w:uiPriority w:val="99"/>
    <w:unhideWhenUsed/>
    <w:rsid w:val="009B2A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AAB"/>
  </w:style>
  <w:style w:type="character" w:customStyle="1" w:styleId="Heading1Char">
    <w:name w:val="Heading 1 Char"/>
    <w:basedOn w:val="DefaultParagraphFont"/>
    <w:link w:val="Heading1"/>
    <w:uiPriority w:val="9"/>
    <w:rsid w:val="0034729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71422"/>
    <w:pPr>
      <w:outlineLvl w:val="9"/>
    </w:pPr>
    <w:rPr>
      <w:lang w:val="en-US"/>
    </w:rPr>
  </w:style>
  <w:style w:type="paragraph" w:styleId="TOC1">
    <w:name w:val="toc 1"/>
    <w:basedOn w:val="Normal"/>
    <w:next w:val="Normal"/>
    <w:autoRedefine/>
    <w:uiPriority w:val="39"/>
    <w:unhideWhenUsed/>
    <w:rsid w:val="00071422"/>
    <w:pPr>
      <w:spacing w:after="100"/>
    </w:pPr>
  </w:style>
  <w:style w:type="character" w:styleId="Hyperlink">
    <w:name w:val="Hyperlink"/>
    <w:basedOn w:val="DefaultParagraphFont"/>
    <w:uiPriority w:val="99"/>
    <w:unhideWhenUsed/>
    <w:rsid w:val="00071422"/>
    <w:rPr>
      <w:color w:val="0563C1" w:themeColor="hyperlink"/>
      <w:u w:val="single"/>
    </w:rPr>
  </w:style>
  <w:style w:type="paragraph" w:styleId="NoSpacing">
    <w:name w:val="No Spacing"/>
    <w:link w:val="NoSpacingChar"/>
    <w:uiPriority w:val="1"/>
    <w:qFormat/>
    <w:rsid w:val="000714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1422"/>
    <w:rPr>
      <w:rFonts w:eastAsiaTheme="minorEastAsia"/>
      <w:lang w:val="en-US"/>
    </w:rPr>
  </w:style>
  <w:style w:type="paragraph" w:styleId="ListParagraph">
    <w:name w:val="List Paragraph"/>
    <w:basedOn w:val="Normal"/>
    <w:uiPriority w:val="34"/>
    <w:qFormat/>
    <w:rsid w:val="000D4C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94408252">
      <w:bodyDiv w:val="1"/>
      <w:marLeft w:val="0"/>
      <w:marRight w:val="0"/>
      <w:marTop w:val="0"/>
      <w:marBottom w:val="0"/>
      <w:divBdr>
        <w:top w:val="none" w:sz="0" w:space="0" w:color="auto"/>
        <w:left w:val="none" w:sz="0" w:space="0" w:color="auto"/>
        <w:bottom w:val="none" w:sz="0" w:space="0" w:color="auto"/>
        <w:right w:val="none" w:sz="0" w:space="0" w:color="auto"/>
      </w:divBdr>
    </w:div>
    <w:div w:id="1200050959">
      <w:bodyDiv w:val="1"/>
      <w:marLeft w:val="0"/>
      <w:marRight w:val="0"/>
      <w:marTop w:val="0"/>
      <w:marBottom w:val="0"/>
      <w:divBdr>
        <w:top w:val="none" w:sz="0" w:space="0" w:color="auto"/>
        <w:left w:val="none" w:sz="0" w:space="0" w:color="auto"/>
        <w:bottom w:val="none" w:sz="0" w:space="0" w:color="auto"/>
        <w:right w:val="none" w:sz="0" w:space="0" w:color="auto"/>
      </w:divBdr>
    </w:div>
    <w:div w:id="1889879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028B6B0396E0460DAEF36EE45D7B41EC"/>
        <w:category>
          <w:name w:val="General"/>
          <w:gallery w:val="placeholder"/>
        </w:category>
        <w:types>
          <w:type w:val="bbPlcHdr"/>
        </w:types>
        <w:behaviors>
          <w:behavior w:val="content"/>
        </w:behaviors>
        <w:guid w:val="{CAC23001-F522-45D3-ADB3-C11CEA47BD6A}"/>
      </w:docPartPr>
      <w:docPartBody>
        <w:p w:rsidR="00D50E42" w:rsidRDefault="004419E7" w:rsidP="004419E7">
          <w:pPr>
            <w:pStyle w:val="028B6B0396E0460DAEF36EE45D7B41EC"/>
          </w:pPr>
          <w:r>
            <w:rPr>
              <w:color w:val="2E74B5" w:themeColor="accent1" w:themeShade="BF"/>
              <w:sz w:val="24"/>
              <w:szCs w:val="24"/>
            </w:rPr>
            <w:t>[Company name]</w:t>
          </w:r>
        </w:p>
      </w:docPartBody>
    </w:docPart>
    <w:docPart>
      <w:docPartPr>
        <w:name w:val="DBABAC08446648E3808E87CB84867A01"/>
        <w:category>
          <w:name w:val="General"/>
          <w:gallery w:val="placeholder"/>
        </w:category>
        <w:types>
          <w:type w:val="bbPlcHdr"/>
        </w:types>
        <w:behaviors>
          <w:behavior w:val="content"/>
        </w:behaviors>
        <w:guid w:val="{61B76316-735C-4526-8E97-0B92590531E8}"/>
      </w:docPartPr>
      <w:docPartBody>
        <w:p w:rsidR="00D50E42" w:rsidRDefault="004419E7" w:rsidP="004419E7">
          <w:pPr>
            <w:pStyle w:val="DBABAC08446648E3808E87CB84867A01"/>
          </w:pPr>
          <w:r>
            <w:rPr>
              <w:rFonts w:asciiTheme="majorHAnsi" w:eastAsiaTheme="majorEastAsia" w:hAnsiTheme="majorHAnsi" w:cstheme="majorBidi"/>
              <w:color w:val="5B9BD5" w:themeColor="accent1"/>
              <w:sz w:val="88"/>
              <w:szCs w:val="88"/>
            </w:rPr>
            <w:t>[Document title]</w:t>
          </w:r>
        </w:p>
      </w:docPartBody>
    </w:docPart>
    <w:docPart>
      <w:docPartPr>
        <w:name w:val="8AF0CFCEEEC84187A56293F878FBCB22"/>
        <w:category>
          <w:name w:val="General"/>
          <w:gallery w:val="placeholder"/>
        </w:category>
        <w:types>
          <w:type w:val="bbPlcHdr"/>
        </w:types>
        <w:behaviors>
          <w:behavior w:val="content"/>
        </w:behaviors>
        <w:guid w:val="{F4D086F7-E840-4511-B326-69EB6CC7377B}"/>
      </w:docPartPr>
      <w:docPartBody>
        <w:p w:rsidR="00D50E42" w:rsidRDefault="004419E7" w:rsidP="004419E7">
          <w:pPr>
            <w:pStyle w:val="8AF0CFCEEEC84187A56293F878FBCB22"/>
          </w:pPr>
          <w:r>
            <w:rPr>
              <w:color w:val="2E74B5" w:themeColor="accent1" w:themeShade="BF"/>
              <w:sz w:val="24"/>
              <w:szCs w:val="24"/>
            </w:rPr>
            <w:t>[Document subtitle]</w:t>
          </w:r>
        </w:p>
      </w:docPartBody>
    </w:docPart>
    <w:docPart>
      <w:docPartPr>
        <w:name w:val="59C166C7629B4C29AECB7805CF7210C3"/>
        <w:category>
          <w:name w:val="General"/>
          <w:gallery w:val="placeholder"/>
        </w:category>
        <w:types>
          <w:type w:val="bbPlcHdr"/>
        </w:types>
        <w:behaviors>
          <w:behavior w:val="content"/>
        </w:behaviors>
        <w:guid w:val="{2F604CC0-17B9-4CB3-A717-410480FD3A90}"/>
      </w:docPartPr>
      <w:docPartBody>
        <w:p w:rsidR="00D50E42" w:rsidRDefault="004419E7" w:rsidP="004419E7">
          <w:pPr>
            <w:pStyle w:val="59C166C7629B4C29AECB7805CF7210C3"/>
          </w:pPr>
          <w:r>
            <w:rPr>
              <w:color w:val="5B9BD5" w:themeColor="accent1"/>
              <w:sz w:val="28"/>
              <w:szCs w:val="28"/>
            </w:rPr>
            <w:t>[Author name]</w:t>
          </w:r>
        </w:p>
      </w:docPartBody>
    </w:docPart>
    <w:docPart>
      <w:docPartPr>
        <w:name w:val="E7C19228BB754381BF49256525969E33"/>
        <w:category>
          <w:name w:val="General"/>
          <w:gallery w:val="placeholder"/>
        </w:category>
        <w:types>
          <w:type w:val="bbPlcHdr"/>
        </w:types>
        <w:behaviors>
          <w:behavior w:val="content"/>
        </w:behaviors>
        <w:guid w:val="{0386060E-81EB-46F8-A977-5BDF8872122B}"/>
      </w:docPartPr>
      <w:docPartBody>
        <w:p w:rsidR="00D50E42" w:rsidRDefault="004419E7" w:rsidP="004419E7">
          <w:pPr>
            <w:pStyle w:val="E7C19228BB754381BF49256525969E33"/>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19E7"/>
    <w:rsid w:val="004419E7"/>
    <w:rsid w:val="00790BC3"/>
    <w:rsid w:val="008E45C3"/>
    <w:rsid w:val="00D50E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28B6B0396E0460DAEF36EE45D7B41EC">
    <w:name w:val="028B6B0396E0460DAEF36EE45D7B41EC"/>
    <w:rsid w:val="004419E7"/>
  </w:style>
  <w:style w:type="paragraph" w:customStyle="1" w:styleId="DBABAC08446648E3808E87CB84867A01">
    <w:name w:val="DBABAC08446648E3808E87CB84867A01"/>
    <w:rsid w:val="004419E7"/>
  </w:style>
  <w:style w:type="paragraph" w:customStyle="1" w:styleId="8AF0CFCEEEC84187A56293F878FBCB22">
    <w:name w:val="8AF0CFCEEEC84187A56293F878FBCB22"/>
    <w:rsid w:val="004419E7"/>
  </w:style>
  <w:style w:type="paragraph" w:customStyle="1" w:styleId="59C166C7629B4C29AECB7805CF7210C3">
    <w:name w:val="59C166C7629B4C29AECB7805CF7210C3"/>
    <w:rsid w:val="004419E7"/>
  </w:style>
  <w:style w:type="paragraph" w:customStyle="1" w:styleId="E7C19228BB754381BF49256525969E33">
    <w:name w:val="E7C19228BB754381BF49256525969E33"/>
    <w:rsid w:val="004419E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BF1D4E-C5E3-48A0-9F9D-39110F7D34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23</Pages>
  <Words>6290</Words>
  <Characters>35854</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How useful is the application of Joseph Campbell’s model of the Hero’s Journey to the analysis and conception of narrative?</vt:lpstr>
    </vt:vector>
  </TitlesOfParts>
  <Company>University of Wales Trinity Saint David</Company>
  <LinksUpToDate>false</LinksUpToDate>
  <CharactersWithSpaces>42060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useful is the application of Joseph Campbell’s model of the Hero’s Journey to the analysis and conception of narrative?</dc:title>
  <dc:subject>BA Film &amp; TV</dc:subject>
  <dc:creator>Antony Bishop (P141970)</dc:creator>
  <cp:keywords/>
  <dc:description/>
  <cp:lastModifiedBy>Antony Bishop</cp:lastModifiedBy>
  <cp:revision>3</cp:revision>
  <dcterms:created xsi:type="dcterms:W3CDTF">2017-12-19T20:35:00Z</dcterms:created>
  <dcterms:modified xsi:type="dcterms:W3CDTF">2017-12-19T20:47:00Z</dcterms:modified>
</cp:coreProperties>
</file>