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5875F5E"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923195">
        <w:rPr>
          <w:rFonts w:asciiTheme="minorBidi" w:hAnsiTheme="minorBidi"/>
          <w:sz w:val="28"/>
          <w:szCs w:val="28"/>
        </w:rPr>
        <w:t>Erlinda Rull</w:t>
      </w:r>
    </w:p>
    <w:p w14:paraId="485B6F49" w14:textId="5D732090"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013FB9">
        <w:rPr>
          <w:rFonts w:asciiTheme="minorBidi" w:hAnsiTheme="minorBidi"/>
          <w:sz w:val="28"/>
          <w:szCs w:val="28"/>
        </w:rPr>
        <w:t>2526541</w:t>
      </w:r>
    </w:p>
    <w:p w14:paraId="3C1E7A20" w14:textId="63AF0D7F" w:rsidR="00ED5964" w:rsidRDefault="00ED5964" w:rsidP="00ED5964">
      <w:pPr>
        <w:jc w:val="both"/>
        <w:rPr>
          <w:rFonts w:asciiTheme="minorBidi" w:hAnsiTheme="minorBidi"/>
          <w:sz w:val="28"/>
          <w:szCs w:val="28"/>
        </w:rPr>
      </w:pPr>
      <w:r>
        <w:rPr>
          <w:rFonts w:asciiTheme="minorBidi" w:hAnsiTheme="minorBidi"/>
          <w:sz w:val="28"/>
          <w:szCs w:val="28"/>
        </w:rPr>
        <w:t>Module Code:</w:t>
      </w:r>
      <w:r w:rsidR="008C61ED">
        <w:rPr>
          <w:rFonts w:asciiTheme="minorBidi" w:hAnsiTheme="minorBidi"/>
          <w:sz w:val="28"/>
          <w:szCs w:val="28"/>
        </w:rPr>
        <w:t xml:space="preserve"> </w:t>
      </w:r>
      <w:r w:rsidR="00013FB9">
        <w:rPr>
          <w:rFonts w:asciiTheme="minorBidi" w:hAnsiTheme="minorBidi"/>
          <w:sz w:val="28"/>
          <w:szCs w:val="28"/>
        </w:rPr>
        <w:t>LCHS</w:t>
      </w:r>
      <w:r w:rsidR="003E5CAD">
        <w:rPr>
          <w:rFonts w:asciiTheme="minorBidi" w:hAnsiTheme="minorBidi"/>
          <w:sz w:val="28"/>
          <w:szCs w:val="28"/>
        </w:rPr>
        <w:t>4001</w:t>
      </w:r>
      <w:r>
        <w:rPr>
          <w:rFonts w:asciiTheme="minorBidi" w:hAnsiTheme="minorBidi"/>
          <w:sz w:val="28"/>
          <w:szCs w:val="28"/>
        </w:rPr>
        <w:t xml:space="preserve"> </w:t>
      </w:r>
    </w:p>
    <w:p w14:paraId="4EEB2DA3" w14:textId="47B15BA1"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3E5CAD">
        <w:rPr>
          <w:rFonts w:asciiTheme="minorBidi" w:hAnsiTheme="minorBidi"/>
          <w:sz w:val="28"/>
          <w:szCs w:val="28"/>
        </w:rPr>
        <w:t>Academic and Employability</w:t>
      </w:r>
    </w:p>
    <w:p w14:paraId="112342CB" w14:textId="3FE9BFEC"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D50641">
        <w:rPr>
          <w:rFonts w:asciiTheme="minorBidi" w:hAnsiTheme="minorBidi"/>
          <w:sz w:val="28"/>
          <w:szCs w:val="28"/>
        </w:rPr>
        <w:t>Sam Parker MSc BSc FRSP</w:t>
      </w:r>
      <w:r w:rsidR="00941751">
        <w:rPr>
          <w:rFonts w:asciiTheme="minorBidi" w:hAnsiTheme="minorBidi"/>
          <w:sz w:val="28"/>
          <w:szCs w:val="28"/>
        </w:rPr>
        <w:t>H FRSA MCIEH</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17894990"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923195">
        <w:rPr>
          <w:rFonts w:asciiTheme="minorBidi" w:hAnsiTheme="minorBidi"/>
          <w:sz w:val="28"/>
          <w:szCs w:val="28"/>
        </w:rPr>
        <w:t>22 April 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123E5008"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070113">
              <w:t>3</w:t>
            </w:r>
          </w:hyperlink>
        </w:p>
        <w:p w14:paraId="5A09ADA9" w14:textId="3A9B83EF" w:rsidR="00824CB1" w:rsidRDefault="0CF501EC" w:rsidP="0CF501EC">
          <w:pPr>
            <w:pStyle w:val="TOC2"/>
            <w:tabs>
              <w:tab w:val="right" w:leader="dot" w:pos="9015"/>
            </w:tabs>
            <w:rPr>
              <w:rStyle w:val="Hyperlink"/>
              <w:noProof/>
              <w:lang w:eastAsia="en-GB"/>
            </w:rPr>
          </w:pPr>
          <w:hyperlink w:anchor="_Toc1915621813">
            <w:r w:rsidRPr="0CF501EC">
              <w:rPr>
                <w:rStyle w:val="Hyperlink"/>
              </w:rPr>
              <w:t xml:space="preserve">2 </w:t>
            </w:r>
            <w:r w:rsidR="00472768">
              <w:rPr>
                <w:rStyle w:val="Hyperlink"/>
              </w:rPr>
              <w:t>Social worker for elderly</w:t>
            </w:r>
            <w:r w:rsidRPr="0CF501EC">
              <w:rPr>
                <w:rStyle w:val="Hyperlink"/>
              </w:rPr>
              <w:t xml:space="preserve"> 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405810A6" w14:textId="66F5019A" w:rsidR="00824CB1" w:rsidRDefault="0CF501EC" w:rsidP="0CF501EC">
          <w:pPr>
            <w:pStyle w:val="TOC2"/>
            <w:tabs>
              <w:tab w:val="right" w:leader="dot" w:pos="9015"/>
            </w:tabs>
            <w:rPr>
              <w:rStyle w:val="Hyperlink"/>
              <w:noProof/>
              <w:lang w:eastAsia="en-GB"/>
            </w:rPr>
          </w:pPr>
          <w:hyperlink w:anchor="_Toc796087951">
            <w:r w:rsidRPr="0CF501EC">
              <w:rPr>
                <w:rStyle w:val="Hyperlink"/>
              </w:rPr>
              <w:t xml:space="preserve">2.1 Description of </w:t>
            </w:r>
            <w:r w:rsidR="003102A4">
              <w:rPr>
                <w:rStyle w:val="Hyperlink"/>
              </w:rPr>
              <w:t>Social Worker</w:t>
            </w:r>
            <w:r w:rsidRPr="0CF501EC">
              <w:rPr>
                <w:rStyle w:val="Hyperlink"/>
              </w:rPr>
              <w:t xml:space="preserve">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37B33974" w:rsidR="00824CB1" w:rsidRDefault="0CF501EC" w:rsidP="0CF501EC">
          <w:pPr>
            <w:pStyle w:val="TOC2"/>
            <w:tabs>
              <w:tab w:val="right" w:leader="dot" w:pos="9015"/>
            </w:tabs>
            <w:rPr>
              <w:rStyle w:val="Hyperlink"/>
              <w:noProof/>
              <w:lang w:eastAsia="en-GB"/>
            </w:rPr>
          </w:pPr>
          <w:hyperlink w:anchor="_Toc1426973069">
            <w:r w:rsidRPr="0CF501EC">
              <w:rPr>
                <w:rStyle w:val="Hyperlink"/>
              </w:rPr>
              <w:t>2.2 Explanation of Most Significant Skills Needed for  in Health and Social Care</w:t>
            </w:r>
            <w:r w:rsidR="00824CB1">
              <w:tab/>
            </w:r>
            <w:r w:rsidR="00B17789">
              <w:t>4</w:t>
            </w:r>
          </w:hyperlink>
        </w:p>
        <w:p w14:paraId="0A8B3CCA" w14:textId="69CA372F" w:rsidR="00824CB1" w:rsidRDefault="0CF501EC" w:rsidP="0CF501EC">
          <w:pPr>
            <w:pStyle w:val="TOC2"/>
            <w:tabs>
              <w:tab w:val="right" w:leader="dot" w:pos="9015"/>
            </w:tabs>
            <w:rPr>
              <w:rStyle w:val="Hyperlink"/>
              <w:noProof/>
              <w:lang w:eastAsia="en-GB"/>
            </w:rPr>
          </w:pPr>
          <w:hyperlink w:anchor="_Toc992114325">
            <w:r w:rsidRPr="0CF501EC">
              <w:rPr>
                <w:rStyle w:val="Hyperlink"/>
              </w:rPr>
              <w:t xml:space="preserve">3 Strategies for Skill Improvement for </w:t>
            </w:r>
            <w:r w:rsidR="008F3B86">
              <w:rPr>
                <w:rStyle w:val="Hyperlink"/>
              </w:rPr>
              <w:t xml:space="preserve">Social </w:t>
            </w:r>
            <w:r w:rsidR="00646FB2">
              <w:rPr>
                <w:rStyle w:val="Hyperlink"/>
              </w:rPr>
              <w:t>Worker</w:t>
            </w:r>
            <w:r w:rsidR="00824CB1">
              <w:tab/>
            </w:r>
            <w:r w:rsidR="0054050C">
              <w:t>5</w:t>
            </w:r>
          </w:hyperlink>
        </w:p>
        <w:p w14:paraId="1AA7C6F6" w14:textId="4EF4590B" w:rsidR="00824CB1" w:rsidRDefault="0CF501EC" w:rsidP="0CF501EC">
          <w:pPr>
            <w:pStyle w:val="TOC2"/>
            <w:tabs>
              <w:tab w:val="right" w:leader="dot" w:pos="9015"/>
            </w:tabs>
            <w:rPr>
              <w:rStyle w:val="Hyperlink"/>
              <w:noProof/>
              <w:lang w:eastAsia="en-GB"/>
            </w:rPr>
          </w:pPr>
          <w:hyperlink w:anchor="_Toc1405407187">
            <w:r w:rsidRPr="0CF501EC">
              <w:rPr>
                <w:rStyle w:val="Hyperlink"/>
              </w:rPr>
              <w:t xml:space="preserve">3.1 Three Strategies to Improve the Skills for </w:t>
            </w:r>
            <w:r w:rsidR="00377795">
              <w:rPr>
                <w:rStyle w:val="Hyperlink"/>
              </w:rPr>
              <w:t>Social Worker</w:t>
            </w:r>
            <w:r w:rsidR="00824CB1">
              <w:tab/>
            </w:r>
            <w:r w:rsidR="0054050C">
              <w:t>6</w:t>
            </w:r>
          </w:hyperlink>
        </w:p>
        <w:p w14:paraId="318879F9" w14:textId="10AA0BE9"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54050C">
              <w:t>6</w:t>
            </w:r>
          </w:hyperlink>
        </w:p>
        <w:p w14:paraId="2F2A1EA8" w14:textId="0C2CB69F" w:rsidR="0156E134" w:rsidRDefault="0CF501EC" w:rsidP="0156E134">
          <w:pPr>
            <w:pStyle w:val="TOC2"/>
            <w:tabs>
              <w:tab w:val="right" w:leader="dot" w:pos="9015"/>
            </w:tabs>
            <w:rPr>
              <w:rStyle w:val="Hyperlink"/>
            </w:rPr>
          </w:pPr>
          <w:hyperlink w:anchor="_Toc1911583216">
            <w:r w:rsidRPr="0CF501EC">
              <w:rPr>
                <w:rStyle w:val="Hyperlink"/>
              </w:rPr>
              <w:t>5 Reference List</w:t>
            </w:r>
            <w:r w:rsidR="000B44B3">
              <w:rPr>
                <w:rStyle w:val="Hyperlink"/>
              </w:rPr>
              <w:t xml:space="preserve">                                                                                                                              </w:t>
            </w:r>
            <w:r w:rsidR="00793B1C">
              <w:rPr>
                <w:rStyle w:val="Hyperlink"/>
              </w:rPr>
              <w:t xml:space="preserve">  </w:t>
            </w:r>
            <w:r w:rsidR="000B44B3">
              <w:rPr>
                <w:rStyle w:val="Hyperlink"/>
              </w:rPr>
              <w:t xml:space="preserve">  </w:t>
            </w:r>
            <w:r w:rsidR="00763BB6">
              <w:rPr>
                <w:rStyle w:val="Hyperlink"/>
              </w:rPr>
              <w:t>7</w:t>
            </w:r>
            <w:r w:rsidR="00793B1C">
              <w:rPr>
                <w:rStyle w:val="Hyperlink"/>
              </w:rPr>
              <w:t xml:space="preserve"> </w:t>
            </w:r>
            <w:r w:rsidR="000B44B3">
              <w:rPr>
                <w:rStyle w:val="Hyperlink"/>
              </w:rPr>
              <w:t xml:space="preserve">  </w:t>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r w:rsidR="00C33EB4">
            <w:t xml:space="preserve"> </w:t>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0F31860" w:rsidR="00A035CD" w:rsidRPr="002976D4" w:rsidRDefault="00AA77C8" w:rsidP="00500295">
      <w:pPr>
        <w:pStyle w:val="Heading2"/>
        <w:rPr>
          <w:color w:val="4472C4" w:themeColor="accent1"/>
        </w:rPr>
      </w:pPr>
      <w:bookmarkStart w:id="0" w:name="_Toc695233283"/>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0A8D2C40" w14:textId="17919CEB" w:rsidR="005A52F8" w:rsidRPr="005A52F8" w:rsidRDefault="005A52F8" w:rsidP="00D67B27">
      <w:pPr>
        <w:spacing w:after="0" w:line="360" w:lineRule="auto"/>
        <w:rPr>
          <w:rFonts w:ascii="Arial" w:hAnsi="Arial" w:cs="Arial"/>
          <w:sz w:val="22"/>
        </w:rPr>
      </w:pPr>
      <w:r w:rsidRPr="005A52F8">
        <w:rPr>
          <w:rFonts w:ascii="Arial" w:hAnsi="Arial" w:cs="Arial"/>
          <w:sz w:val="22"/>
        </w:rPr>
        <w:t xml:space="preserve">Roles within health and social care are essential for promoting wellbeing, safeguarding individuals, and ensuring access to appropriate services. The role of a social worker for elderly individuals focuses on supporting independence, assessing needs, and coordinating care for vulnerable older adults. This report aims to examine the responsibilities and importance of this role within the wider health and social care sector. It will begin with background information on the field, followed by a description of the role and its key duties. The report will explore essential skills, associated challenges, and strategies for improvement, before concluding with a summary of the main points discussed. </w:t>
      </w:r>
    </w:p>
    <w:p w14:paraId="4CC61BC1" w14:textId="55FEF9DD" w:rsidR="00F36ADC" w:rsidRPr="00D67B27" w:rsidRDefault="00F36ADC" w:rsidP="00D67B27">
      <w:pPr>
        <w:spacing w:after="0" w:line="360" w:lineRule="auto"/>
        <w:rPr>
          <w:rFonts w:ascii="Arial" w:hAnsi="Arial" w:cs="Arial"/>
          <w:sz w:val="22"/>
        </w:rPr>
      </w:pPr>
    </w:p>
    <w:p w14:paraId="64F36E68" w14:textId="66928824" w:rsidR="3C659699" w:rsidRDefault="3C659699" w:rsidP="0CF501EC">
      <w:pPr>
        <w:pStyle w:val="Heading2"/>
        <w:rPr>
          <w:color w:val="4471C4"/>
        </w:rPr>
      </w:pPr>
      <w:bookmarkStart w:id="1" w:name="_Toc1915621813"/>
      <w:r w:rsidRPr="0CF501EC">
        <w:rPr>
          <w:color w:val="4471C4"/>
        </w:rPr>
        <w:t xml:space="preserve">2 </w:t>
      </w:r>
      <w:r w:rsidR="00D275BE">
        <w:rPr>
          <w:color w:val="4471C4"/>
        </w:rPr>
        <w:t xml:space="preserve">Social </w:t>
      </w:r>
      <w:r w:rsidR="00A67B4D">
        <w:rPr>
          <w:color w:val="4471C4"/>
        </w:rPr>
        <w:t>workers</w:t>
      </w:r>
      <w:r w:rsidR="00D275BE">
        <w:rPr>
          <w:color w:val="4471C4"/>
        </w:rPr>
        <w:t xml:space="preserve"> </w:t>
      </w:r>
      <w:r w:rsidRPr="0CF501EC">
        <w:rPr>
          <w:color w:val="4471C4"/>
        </w:rPr>
        <w:t>in the Health and Social Care Field</w:t>
      </w:r>
      <w:bookmarkEnd w:id="1"/>
    </w:p>
    <w:p w14:paraId="62EA7931" w14:textId="7283EFD7" w:rsidR="00794D10" w:rsidRDefault="00006F5A" w:rsidP="00D67B27">
      <w:pPr>
        <w:spacing w:line="360" w:lineRule="auto"/>
        <w:rPr>
          <w:rFonts w:ascii="Arial" w:hAnsi="Arial" w:cs="Arial"/>
          <w:sz w:val="22"/>
        </w:rPr>
      </w:pPr>
      <w:r w:rsidRPr="00006F5A">
        <w:rPr>
          <w:rFonts w:ascii="Arial" w:hAnsi="Arial" w:cs="Arial"/>
          <w:sz w:val="22"/>
        </w:rPr>
        <w:t xml:space="preserve">Roles within health and social care are essential for promoting wellbeing, safeguarding individuals, and ensuring access to appropriate and effective services. These roles contribute significantly to improving quality of life, particularly for vulnerable groups such as older adults who may require additional physical, emotional, and social support. Health and social care as a sector </w:t>
      </w:r>
      <w:r w:rsidR="00407522" w:rsidRPr="00006F5A">
        <w:rPr>
          <w:rFonts w:ascii="Arial" w:hAnsi="Arial" w:cs="Arial"/>
          <w:sz w:val="22"/>
        </w:rPr>
        <w:t>have</w:t>
      </w:r>
      <w:r w:rsidRPr="00006F5A">
        <w:rPr>
          <w:rFonts w:ascii="Arial" w:hAnsi="Arial" w:cs="Arial"/>
          <w:sz w:val="22"/>
        </w:rPr>
        <w:t xml:space="preserve"> developed to provide integrated services that respond to the diverse and complex needs of individuals across different stages of life.</w:t>
      </w:r>
    </w:p>
    <w:p w14:paraId="12A8673B" w14:textId="475BC868" w:rsidR="00F313E6" w:rsidRPr="002976D4" w:rsidRDefault="00F313E6" w:rsidP="00F313E6">
      <w:pPr>
        <w:pStyle w:val="Heading2"/>
        <w:rPr>
          <w:color w:val="4472C4" w:themeColor="accent1"/>
        </w:rPr>
      </w:pPr>
      <w:r w:rsidRPr="0CF501EC">
        <w:rPr>
          <w:color w:val="4471C4"/>
        </w:rPr>
        <w:t xml:space="preserve">2.1 Description of </w:t>
      </w:r>
      <w:r w:rsidR="00B53CC8">
        <w:rPr>
          <w:color w:val="4471C4"/>
        </w:rPr>
        <w:t>Social worker</w:t>
      </w:r>
      <w:r w:rsidRPr="0CF501EC">
        <w:rPr>
          <w:color w:val="4471C4"/>
        </w:rPr>
        <w:t xml:space="preserve"> in Health and Social Care </w:t>
      </w:r>
    </w:p>
    <w:p w14:paraId="618CFBE7" w14:textId="77777777" w:rsidR="00F313E6" w:rsidRPr="00EB1468" w:rsidRDefault="00F313E6" w:rsidP="00F313E6">
      <w:pPr>
        <w:spacing w:after="0" w:line="240" w:lineRule="auto"/>
        <w:jc w:val="both"/>
        <w:rPr>
          <w:sz w:val="22"/>
        </w:rPr>
      </w:pPr>
    </w:p>
    <w:p w14:paraId="699F57E3" w14:textId="07EE7AD2" w:rsidR="00006F5A" w:rsidRDefault="00006F5A" w:rsidP="00D67B27">
      <w:pPr>
        <w:spacing w:line="360" w:lineRule="auto"/>
        <w:rPr>
          <w:rFonts w:ascii="Arial" w:hAnsi="Arial" w:cs="Arial"/>
          <w:sz w:val="22"/>
        </w:rPr>
      </w:pPr>
      <w:r w:rsidRPr="00006F5A">
        <w:rPr>
          <w:rFonts w:ascii="Arial" w:hAnsi="Arial" w:cs="Arial"/>
          <w:sz w:val="22"/>
        </w:rPr>
        <w:t>The role of social worker for elderly individuals focuses on assessing needs, coordinating care, safeguarding against harm, and promoting independence while maintaining dignity and respect. This report aims to examine the responsibilities and overall importance of this role within the wider health and social care field. It will begin with background information on the purpose and structure of the health and social care services. This will be followed by the detailed description of the role and its key duties. The report will then explore essential skills, challenges faced in practice, and strategies for professional development, before concluding with a summary of the main points discussed.</w:t>
      </w:r>
    </w:p>
    <w:p w14:paraId="3008B453" w14:textId="77777777" w:rsidR="00EB226B" w:rsidRDefault="00EB226B" w:rsidP="00ED1156">
      <w:pPr>
        <w:pStyle w:val="Heading2"/>
        <w:rPr>
          <w:color w:val="4471C4"/>
        </w:rPr>
      </w:pPr>
      <w:bookmarkStart w:id="2" w:name="_Toc1426973069"/>
    </w:p>
    <w:p w14:paraId="2042E55E" w14:textId="77777777" w:rsidR="00EB226B" w:rsidRDefault="00EB226B" w:rsidP="00ED1156">
      <w:pPr>
        <w:pStyle w:val="Heading2"/>
        <w:rPr>
          <w:color w:val="4471C4"/>
        </w:rPr>
      </w:pPr>
    </w:p>
    <w:p w14:paraId="01944F0F" w14:textId="77777777" w:rsidR="00EB226B" w:rsidRDefault="00EB226B" w:rsidP="00ED1156">
      <w:pPr>
        <w:pStyle w:val="Heading2"/>
        <w:rPr>
          <w:color w:val="4471C4"/>
        </w:rPr>
      </w:pPr>
    </w:p>
    <w:p w14:paraId="52D3D7D7" w14:textId="77777777" w:rsidR="00EB226B" w:rsidRDefault="00EB226B" w:rsidP="00ED1156">
      <w:pPr>
        <w:pStyle w:val="Heading2"/>
        <w:rPr>
          <w:color w:val="4471C4"/>
        </w:rPr>
      </w:pPr>
    </w:p>
    <w:p w14:paraId="04D582A7" w14:textId="77777777" w:rsidR="00EB226B" w:rsidRDefault="00EB226B" w:rsidP="00ED1156">
      <w:pPr>
        <w:pStyle w:val="Heading2"/>
        <w:rPr>
          <w:color w:val="4471C4"/>
        </w:rPr>
      </w:pPr>
    </w:p>
    <w:p w14:paraId="7E0569D5" w14:textId="77777777" w:rsidR="00EB226B" w:rsidRDefault="00EB226B" w:rsidP="00ED1156">
      <w:pPr>
        <w:pStyle w:val="Heading2"/>
        <w:rPr>
          <w:color w:val="4471C4"/>
        </w:rPr>
      </w:pPr>
    </w:p>
    <w:p w14:paraId="61160A15" w14:textId="0E0201A2" w:rsidR="00413098" w:rsidRPr="00006F5A" w:rsidRDefault="04019B15" w:rsidP="00ED1156">
      <w:pPr>
        <w:pStyle w:val="Heading2"/>
        <w:rPr>
          <w:sz w:val="22"/>
        </w:rPr>
      </w:pPr>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bookmarkEnd w:id="2"/>
    </w:p>
    <w:p w14:paraId="258DB840" w14:textId="7FDDC7CE" w:rsidR="00413098" w:rsidRPr="00006F5A" w:rsidRDefault="00413098" w:rsidP="00D67B27">
      <w:pPr>
        <w:spacing w:line="360" w:lineRule="auto"/>
        <w:rPr>
          <w:rFonts w:ascii="Arial" w:hAnsi="Arial" w:cs="Arial"/>
          <w:sz w:val="22"/>
        </w:rPr>
      </w:pPr>
      <w:r w:rsidRPr="00006F5A">
        <w:rPr>
          <w:rFonts w:ascii="Arial" w:hAnsi="Arial" w:cs="Arial"/>
          <w:sz w:val="22"/>
        </w:rPr>
        <w:t xml:space="preserve">Effective communication is one of the most significant skills required for a social worker supporting elderly individuals. This skill is essential because it ensures accurate understanding of needs, promotes safeguarding, and supports person-centred care. According to skills of care, communication is a core requirement for delivering safe and effective health and social care </w:t>
      </w:r>
      <w:r w:rsidR="00A52938" w:rsidRPr="00D67B27">
        <w:rPr>
          <w:rFonts w:ascii="Arial" w:hAnsi="Arial" w:cs="Arial"/>
          <w:sz w:val="22"/>
        </w:rPr>
        <w:t>services. For</w:t>
      </w:r>
      <w:r w:rsidRPr="00006F5A">
        <w:rPr>
          <w:rFonts w:ascii="Arial" w:hAnsi="Arial" w:cs="Arial"/>
          <w:sz w:val="22"/>
        </w:rPr>
        <w:t xml:space="preserve"> example, when working with an elderly individual with dementia, communication may involve using simple language, repeating information, and observing non-verbal cues to ensure understanding. In practice, this could include clearly explaining a care plan or checking that the individual understands available </w:t>
      </w:r>
      <w:r w:rsidR="00B02E89" w:rsidRPr="00D67B27">
        <w:rPr>
          <w:rFonts w:ascii="Arial" w:hAnsi="Arial" w:cs="Arial"/>
          <w:sz w:val="22"/>
        </w:rPr>
        <w:t>support options</w:t>
      </w:r>
      <w:r w:rsidRPr="00006F5A">
        <w:rPr>
          <w:rFonts w:ascii="Arial" w:hAnsi="Arial" w:cs="Arial"/>
          <w:sz w:val="22"/>
        </w:rPr>
        <w:t>. Therefore, strong communication skills are crucial in ensuring that elderly individuals receive appropriate and respectful care.</w:t>
      </w:r>
    </w:p>
    <w:p w14:paraId="2663AADB" w14:textId="6B0128CF" w:rsidR="00413098" w:rsidRPr="00006F5A" w:rsidRDefault="00413098" w:rsidP="00D67B27">
      <w:pPr>
        <w:spacing w:line="360" w:lineRule="auto"/>
        <w:rPr>
          <w:rFonts w:ascii="Arial" w:hAnsi="Arial" w:cs="Arial"/>
          <w:sz w:val="22"/>
        </w:rPr>
      </w:pPr>
      <w:r w:rsidRPr="00006F5A">
        <w:rPr>
          <w:rFonts w:ascii="Arial" w:hAnsi="Arial" w:cs="Arial"/>
          <w:sz w:val="22"/>
        </w:rPr>
        <w:t xml:space="preserve">Empathy and compassion are also highly significant skills in the role of a social worker for elderly individuals. These skills enable professionals to understand emotional experiences and provide appropriate support. </w:t>
      </w:r>
      <w:r w:rsidR="00ED1156" w:rsidRPr="00D67B27">
        <w:rPr>
          <w:rFonts w:ascii="Arial" w:hAnsi="Arial" w:cs="Arial"/>
          <w:sz w:val="22"/>
        </w:rPr>
        <w:t>Research from</w:t>
      </w:r>
      <w:r w:rsidRPr="00006F5A">
        <w:rPr>
          <w:rFonts w:ascii="Arial" w:hAnsi="Arial" w:cs="Arial"/>
          <w:sz w:val="22"/>
        </w:rPr>
        <w:t xml:space="preserve"> Age UK shows that many older adults experience loneliness and emotional distress, highlighting the importance of compassionate care. For instance, when supporting an elderly individual who has recently lost a partner, empathy </w:t>
      </w:r>
      <w:r w:rsidR="00ED1156" w:rsidRPr="00D67B27">
        <w:rPr>
          <w:rFonts w:ascii="Arial" w:hAnsi="Arial" w:cs="Arial"/>
          <w:sz w:val="22"/>
        </w:rPr>
        <w:t>involves active</w:t>
      </w:r>
      <w:r w:rsidRPr="00006F5A">
        <w:rPr>
          <w:rFonts w:ascii="Arial" w:hAnsi="Arial" w:cs="Arial"/>
          <w:sz w:val="22"/>
        </w:rPr>
        <w:t xml:space="preserve"> listening, patience, and recognizing emotional needs. In practice, this may include allowing time for the individual to </w:t>
      </w:r>
      <w:r w:rsidR="002579DB" w:rsidRPr="00006F5A">
        <w:rPr>
          <w:rFonts w:ascii="Arial" w:hAnsi="Arial" w:cs="Arial"/>
          <w:sz w:val="22"/>
        </w:rPr>
        <w:t>express feelings</w:t>
      </w:r>
      <w:r w:rsidRPr="00006F5A">
        <w:rPr>
          <w:rFonts w:ascii="Arial" w:hAnsi="Arial" w:cs="Arial"/>
          <w:sz w:val="22"/>
        </w:rPr>
        <w:t xml:space="preserve"> and offering reassurance. As a result, empathy helps build trust, encourages engagement with services, and improves emotional wellbeing.</w:t>
      </w:r>
    </w:p>
    <w:p w14:paraId="4EEC29D7" w14:textId="4BDCA054" w:rsidR="00413098" w:rsidRPr="00006F5A" w:rsidRDefault="00413098" w:rsidP="00D67B27">
      <w:pPr>
        <w:spacing w:line="360" w:lineRule="auto"/>
        <w:rPr>
          <w:rFonts w:ascii="Arial" w:hAnsi="Arial" w:cs="Arial"/>
          <w:sz w:val="22"/>
        </w:rPr>
      </w:pPr>
      <w:r w:rsidRPr="00006F5A">
        <w:rPr>
          <w:rFonts w:ascii="Arial" w:hAnsi="Arial" w:cs="Arial"/>
          <w:sz w:val="22"/>
        </w:rPr>
        <w:t xml:space="preserve">Problem-solving and decision-making are critical skills in elderly care, as social workers often deal with complex and sensitive situations. These skills are necessary for assessing risks and implementing appropriate interventions. The Care Quality Commission </w:t>
      </w:r>
      <w:r w:rsidR="00ED1156" w:rsidRPr="00D67B27">
        <w:rPr>
          <w:rFonts w:ascii="Arial" w:hAnsi="Arial" w:cs="Arial"/>
          <w:sz w:val="22"/>
        </w:rPr>
        <w:t>emphasizes that</w:t>
      </w:r>
      <w:r w:rsidRPr="00006F5A">
        <w:rPr>
          <w:rFonts w:ascii="Arial" w:hAnsi="Arial" w:cs="Arial"/>
          <w:sz w:val="22"/>
        </w:rPr>
        <w:t xml:space="preserve"> effective decision-making is essential for maintaining safe care standards. For example, if an elderly individual is living in unsafe conditions, a social worker must assess the environment and arrange suitable support, such as home adaptation or additional care services. In practice, this requires balancing independence with safety while considering the individual’s preferences. Therefore, strong problem-solving skills support effective and timely interventions.</w:t>
      </w:r>
    </w:p>
    <w:p w14:paraId="696747B5" w14:textId="41CED6CD" w:rsidR="759A1527" w:rsidRPr="00D67B27" w:rsidRDefault="00413098" w:rsidP="00D67B27">
      <w:pPr>
        <w:spacing w:line="360" w:lineRule="auto"/>
        <w:rPr>
          <w:rFonts w:ascii="Arial" w:hAnsi="Arial" w:cs="Arial"/>
          <w:sz w:val="22"/>
        </w:rPr>
      </w:pPr>
      <w:r w:rsidRPr="00006F5A">
        <w:rPr>
          <w:rFonts w:ascii="Arial" w:hAnsi="Arial" w:cs="Arial"/>
          <w:sz w:val="22"/>
        </w:rPr>
        <w:lastRenderedPageBreak/>
        <w:t xml:space="preserve">A lack of these key skills can lead to serious consequences in health and social care practice. Without effective communication, important information may be misunderstood, resulting in inappropriate care. Similarity, a lack of empathy may cause individuals to feel ignored or disrespected, reducing trust in services. Evidence from the British Association of Social Workers highlights the poor professional skill can negatively impact care quality. Furthermore, weak problem-solving abilities may lead to delayed or incorrect decisions, increasing risks to safety. For example, failing to identify signs of neglect could </w:t>
      </w:r>
      <w:r w:rsidR="00ED1156" w:rsidRPr="00D67B27">
        <w:rPr>
          <w:rFonts w:ascii="Arial" w:hAnsi="Arial" w:cs="Arial"/>
          <w:sz w:val="22"/>
        </w:rPr>
        <w:t>result in</w:t>
      </w:r>
      <w:r w:rsidRPr="00006F5A">
        <w:rPr>
          <w:rFonts w:ascii="Arial" w:hAnsi="Arial" w:cs="Arial"/>
          <w:sz w:val="22"/>
        </w:rPr>
        <w:t xml:space="preserve"> worsening health conditions.  Therefore, these skills are essential for ensuring safe, effective, and high-quality care. </w:t>
      </w:r>
    </w:p>
    <w:p w14:paraId="7338813D" w14:textId="77777777" w:rsidR="00C85A7C" w:rsidRPr="00242974" w:rsidRDefault="00C85A7C" w:rsidP="00C85A7C">
      <w:pPr>
        <w:spacing w:after="0" w:line="240" w:lineRule="auto"/>
        <w:jc w:val="both"/>
        <w:rPr>
          <w:sz w:val="21"/>
          <w:szCs w:val="21"/>
        </w:rPr>
      </w:pPr>
    </w:p>
    <w:p w14:paraId="11014098" w14:textId="77777777" w:rsidR="00EE6E1C" w:rsidRDefault="00EE6E1C" w:rsidP="0CF501EC">
      <w:pPr>
        <w:pStyle w:val="Heading2"/>
        <w:rPr>
          <w:color w:val="4471C4"/>
        </w:rPr>
      </w:pPr>
      <w:bookmarkStart w:id="3" w:name="_Toc992114325"/>
    </w:p>
    <w:p w14:paraId="402B9E4E" w14:textId="77777777" w:rsidR="00EE6E1C" w:rsidRDefault="00EE6E1C" w:rsidP="0CF501EC">
      <w:pPr>
        <w:pStyle w:val="Heading2"/>
        <w:rPr>
          <w:color w:val="4471C4"/>
        </w:rPr>
      </w:pPr>
    </w:p>
    <w:p w14:paraId="0D08DAEC" w14:textId="77777777" w:rsidR="00EE6E1C" w:rsidRDefault="00EE6E1C" w:rsidP="0CF501EC">
      <w:pPr>
        <w:pStyle w:val="Heading2"/>
        <w:rPr>
          <w:color w:val="4471C4"/>
        </w:rPr>
      </w:pPr>
    </w:p>
    <w:p w14:paraId="2CAEA1EC" w14:textId="6464E097" w:rsidR="002370CE" w:rsidRDefault="1F09BC6E" w:rsidP="0CF501EC">
      <w:pPr>
        <w:pStyle w:val="Heading2"/>
        <w:rPr>
          <w:color w:val="4471C4"/>
        </w:rPr>
      </w:pPr>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bookmarkEnd w:id="3"/>
    </w:p>
    <w:p w14:paraId="68082240" w14:textId="6C02FF98" w:rsidR="005F114A" w:rsidRPr="00660B20" w:rsidRDefault="005F114A" w:rsidP="00D67B27">
      <w:pPr>
        <w:spacing w:line="360" w:lineRule="auto"/>
        <w:rPr>
          <w:rFonts w:ascii="Arial" w:hAnsi="Arial" w:cs="Arial"/>
          <w:sz w:val="22"/>
        </w:rPr>
      </w:pPr>
      <w:r w:rsidRPr="00660B20">
        <w:rPr>
          <w:rFonts w:ascii="Arial" w:hAnsi="Arial" w:cs="Arial"/>
          <w:sz w:val="22"/>
        </w:rPr>
        <w:t>According to Skills for Care, structured training programme improve communication and promote person-centred practice. This strategy works by developing techniques such as active listening, adapting Effective communication is a key skill in the role of social worker for elderly individuals, and targeted training is an effective strategy for its improvement. Communications are essential for understanding</w:t>
      </w:r>
      <w:r>
        <w:rPr>
          <w:rFonts w:ascii="Arial" w:hAnsi="Arial" w:cs="Arial"/>
          <w:sz w:val="22"/>
        </w:rPr>
        <w:t xml:space="preserve">, </w:t>
      </w:r>
      <w:r w:rsidRPr="00660B20">
        <w:rPr>
          <w:rFonts w:ascii="Arial" w:hAnsi="Arial" w:cs="Arial"/>
          <w:sz w:val="22"/>
        </w:rPr>
        <w:t xml:space="preserve">explaining care plans, and ensuring safeguarding. language, and recognising non-verbal cues. For example, dementia communication training enables a social worker to use simple language and reputation when supporting an elderly individual with memory loss. In practice, this may involve explaining care arrangements step-by-step to reduce confusion. Therefore, training strengthens communication and supports clearer, safer </w:t>
      </w:r>
      <w:r w:rsidR="00F16F99" w:rsidRPr="00660B20">
        <w:rPr>
          <w:rFonts w:ascii="Arial" w:hAnsi="Arial" w:cs="Arial"/>
          <w:sz w:val="22"/>
        </w:rPr>
        <w:t>interactions. Empathy</w:t>
      </w:r>
      <w:r w:rsidRPr="00660B20">
        <w:rPr>
          <w:rFonts w:ascii="Arial" w:hAnsi="Arial" w:cs="Arial"/>
          <w:sz w:val="22"/>
        </w:rPr>
        <w:t xml:space="preserve"> is another essential skill, and reflective practice it. Empathy allows understanding of the emotional experiences, of elderly individuals and supports compassionate care. The British Association of Social Workers identifies reflection as a vital for improving emotional awareness. This strategy works by reviewing experiences, analysing responses, and identifying improvements. For example, after supporting an elderly person experiencing bereavement, reflection may highlight the need for more patience or reassurance. In practice, this could lead to allowing more time for emotional conversations, as a result, reflective practice strengthens empathy and improves relationships with service users.</w:t>
      </w:r>
    </w:p>
    <w:p w14:paraId="6B1B4CE5" w14:textId="77777777" w:rsidR="00EB226B" w:rsidRDefault="00EB226B" w:rsidP="0156E134">
      <w:pPr>
        <w:pStyle w:val="Heading2"/>
        <w:rPr>
          <w:color w:val="4471C4"/>
        </w:rPr>
      </w:pPr>
      <w:bookmarkStart w:id="4" w:name="_Toc1405407187"/>
    </w:p>
    <w:p w14:paraId="01C49510" w14:textId="30BA033F" w:rsidR="002370CE" w:rsidRDefault="0C5D0C5C" w:rsidP="0156E134">
      <w:pPr>
        <w:pStyle w:val="Heading2"/>
        <w:rPr>
          <w:color w:val="4471C4"/>
        </w:rPr>
      </w:pPr>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 </w:t>
      </w:r>
      <w:bookmarkEnd w:id="4"/>
    </w:p>
    <w:p w14:paraId="13AEFEE3" w14:textId="3FE3B200" w:rsidR="00F02F07" w:rsidRDefault="00F02F07" w:rsidP="00D67B27">
      <w:pPr>
        <w:spacing w:line="360" w:lineRule="auto"/>
        <w:rPr>
          <w:rFonts w:ascii="Arial" w:hAnsi="Arial" w:cs="Arial"/>
          <w:sz w:val="22"/>
        </w:rPr>
      </w:pPr>
      <w:r w:rsidRPr="00660B20">
        <w:rPr>
          <w:rFonts w:ascii="Arial" w:hAnsi="Arial" w:cs="Arial"/>
          <w:sz w:val="22"/>
        </w:rPr>
        <w:t xml:space="preserve">Problem-solving is a critical skill in elderly care, and professional supervision is an effective strategy for its development. Social workers must assess risks and make informed decisions to protect individuals. The Care Quality Commission states that supervision improves </w:t>
      </w:r>
      <w:r w:rsidRPr="00D67B27">
        <w:rPr>
          <w:rFonts w:ascii="Arial" w:hAnsi="Arial" w:cs="Arial"/>
          <w:sz w:val="22"/>
        </w:rPr>
        <w:t xml:space="preserve">decision-making and care quality. This strategy works by providing. Guidance, feedback, and alternative perspectives on complex cases. For example, when addressing unsafe living conditions, supervision can support decision about interventions such as home support or relocation. In practice, regular discussions with supervisors improve judgment and confidence. Therefore, supervision enhances problem-solving and leads to safer </w:t>
      </w:r>
      <w:r w:rsidR="00AF5123" w:rsidRPr="00D67B27">
        <w:rPr>
          <w:rFonts w:ascii="Arial" w:hAnsi="Arial" w:cs="Arial"/>
          <w:sz w:val="22"/>
        </w:rPr>
        <w:t>outcomes. Developing</w:t>
      </w:r>
      <w:r w:rsidRPr="00D67B27">
        <w:rPr>
          <w:rFonts w:ascii="Arial" w:hAnsi="Arial" w:cs="Arial"/>
          <w:sz w:val="22"/>
        </w:rPr>
        <w:t xml:space="preserve"> these skills is essential to maintain high standards in health care practice. Without improvement strategies, communication may be unclear, empathy may be limited, and decisions may be ineffective. Evidence from Age UK shows that high-quality, compassionate care improves wellbeing among older adults. For example, poor communication could result in misunderstanding care plans, while lack of empathy may reduce trust. Therefore, continuous skill development ensures effective, respectful, and person-centred care for elderly individuals</w:t>
      </w:r>
    </w:p>
    <w:p w14:paraId="11B6E95B" w14:textId="77777777" w:rsidR="008F7FBF" w:rsidRDefault="008F7FBF" w:rsidP="00D67B27">
      <w:pPr>
        <w:spacing w:line="360" w:lineRule="auto"/>
        <w:rPr>
          <w:rFonts w:ascii="Arial" w:hAnsi="Arial" w:cs="Arial"/>
          <w:sz w:val="22"/>
        </w:rPr>
      </w:pPr>
    </w:p>
    <w:p w14:paraId="1FA056F2" w14:textId="77777777" w:rsidR="00E72CA1" w:rsidRPr="00D67B27" w:rsidRDefault="00E72CA1" w:rsidP="00D67B27">
      <w:pPr>
        <w:spacing w:line="360" w:lineRule="auto"/>
        <w:rPr>
          <w:rFonts w:ascii="Arial" w:hAnsi="Arial" w:cs="Arial"/>
          <w:sz w:val="22"/>
        </w:rPr>
      </w:pPr>
    </w:p>
    <w:p w14:paraId="5C549380" w14:textId="77777777" w:rsidR="00C52577" w:rsidRDefault="00C52577" w:rsidP="00D67B27">
      <w:pPr>
        <w:pStyle w:val="Heading2"/>
        <w:spacing w:line="360" w:lineRule="auto"/>
        <w:rPr>
          <w:rFonts w:ascii="Arial" w:hAnsi="Arial" w:cs="Arial"/>
          <w:color w:val="4471C4"/>
          <w:sz w:val="22"/>
          <w:szCs w:val="22"/>
        </w:rPr>
      </w:pPr>
      <w:bookmarkStart w:id="5" w:name="_Toc1799977123"/>
    </w:p>
    <w:p w14:paraId="1497148C" w14:textId="5BEADE07" w:rsidR="00A946CB" w:rsidRPr="00D67B27" w:rsidRDefault="5617AA6E" w:rsidP="00D67B27">
      <w:pPr>
        <w:pStyle w:val="Heading2"/>
        <w:spacing w:line="360" w:lineRule="auto"/>
        <w:rPr>
          <w:rFonts w:ascii="Arial" w:hAnsi="Arial" w:cs="Arial"/>
          <w:color w:val="4472C4" w:themeColor="accent1"/>
          <w:sz w:val="22"/>
          <w:szCs w:val="22"/>
        </w:rPr>
      </w:pPr>
      <w:r w:rsidRPr="00D67B27">
        <w:rPr>
          <w:rFonts w:ascii="Arial" w:hAnsi="Arial" w:cs="Arial"/>
          <w:color w:val="4471C4"/>
          <w:sz w:val="22"/>
          <w:szCs w:val="22"/>
        </w:rPr>
        <w:t>4</w:t>
      </w:r>
      <w:r w:rsidR="00A946CB" w:rsidRPr="00D67B27">
        <w:rPr>
          <w:rFonts w:ascii="Arial" w:hAnsi="Arial" w:cs="Arial"/>
          <w:color w:val="4471C4"/>
          <w:sz w:val="22"/>
          <w:szCs w:val="22"/>
        </w:rPr>
        <w:t xml:space="preserve"> Conclusion</w:t>
      </w:r>
      <w:bookmarkEnd w:id="5"/>
    </w:p>
    <w:p w14:paraId="25113AE9" w14:textId="7EBB01D7" w:rsidR="00F01012" w:rsidRPr="00D67B27" w:rsidRDefault="00F01012" w:rsidP="00D67B27">
      <w:pPr>
        <w:spacing w:after="0" w:line="360" w:lineRule="auto"/>
        <w:rPr>
          <w:rFonts w:ascii="Arial" w:hAnsi="Arial" w:cs="Arial"/>
          <w:sz w:val="22"/>
        </w:rPr>
      </w:pPr>
      <w:r w:rsidRPr="00D67B27">
        <w:rPr>
          <w:rFonts w:ascii="Arial" w:hAnsi="Arial" w:cs="Arial"/>
          <w:sz w:val="22"/>
        </w:rPr>
        <w:t>The role of a social worker for elderly individuals remains essential in ensuring safe, high-quality care within health and social care settings. The report has highlighted the importance of this role in promoting well-being, safeguarding vulnerable individuals, and supporting independence. It has also outlined key responsibilities, alongside challenges such as communication barriers, emotional demands and complex decision-making. In addition, the report examined three key skills- communication, empathy, and problem-solving-and identified strategies such as training, reflective practice, and supervision to improve professional effectiveness. Overall, the development and consistent application of these skills are crucial for delivering person-centred</w:t>
      </w:r>
    </w:p>
    <w:p w14:paraId="02F5976C" w14:textId="0BA5BCFE" w:rsidR="000A6968" w:rsidRDefault="00F01012" w:rsidP="00B80BC1">
      <w:pPr>
        <w:spacing w:after="0" w:line="360" w:lineRule="auto"/>
        <w:rPr>
          <w:rFonts w:ascii="Arial" w:hAnsi="Arial" w:cs="Arial"/>
          <w:sz w:val="22"/>
        </w:rPr>
      </w:pPr>
      <w:r w:rsidRPr="00D67B27">
        <w:rPr>
          <w:rFonts w:ascii="Arial" w:hAnsi="Arial" w:cs="Arial"/>
          <w:sz w:val="22"/>
        </w:rPr>
        <w:t>Care. Maintaining high standards in professional practice is ensuring dignity and respect for all individuals in care</w:t>
      </w:r>
    </w:p>
    <w:p w14:paraId="282800B7" w14:textId="77777777" w:rsidR="00B80BC1" w:rsidRPr="00B80BC1" w:rsidRDefault="00B80BC1" w:rsidP="00B80BC1">
      <w:pPr>
        <w:spacing w:after="0" w:line="360" w:lineRule="auto"/>
        <w:rPr>
          <w:rFonts w:ascii="Arial" w:hAnsi="Arial" w:cs="Arial"/>
          <w:sz w:val="22"/>
        </w:rPr>
      </w:pPr>
    </w:p>
    <w:p w14:paraId="6094588A" w14:textId="77777777" w:rsidR="00DB1172" w:rsidRDefault="00DB1172" w:rsidP="00B80BC1">
      <w:pPr>
        <w:spacing w:line="360" w:lineRule="auto"/>
        <w:rPr>
          <w:color w:val="4471C4"/>
          <w:sz w:val="28"/>
          <w:szCs w:val="28"/>
        </w:rPr>
      </w:pPr>
    </w:p>
    <w:p w14:paraId="12232EF5" w14:textId="644C5CE3" w:rsidR="00B80BC1" w:rsidRPr="00FA432F" w:rsidRDefault="00B80BC1" w:rsidP="00B80BC1">
      <w:pPr>
        <w:spacing w:line="360" w:lineRule="auto"/>
        <w:rPr>
          <w:rFonts w:ascii="Arial" w:hAnsi="Arial" w:cs="Arial"/>
          <w:sz w:val="28"/>
          <w:szCs w:val="28"/>
        </w:rPr>
      </w:pPr>
      <w:r w:rsidRPr="00FA432F">
        <w:rPr>
          <w:color w:val="4471C4"/>
          <w:sz w:val="28"/>
          <w:szCs w:val="28"/>
        </w:rPr>
        <w:lastRenderedPageBreak/>
        <w:t>5 Reference List</w:t>
      </w:r>
    </w:p>
    <w:p w14:paraId="4ACA5931" w14:textId="70500987" w:rsidR="00672F2D" w:rsidRPr="000A6968" w:rsidRDefault="00672F2D" w:rsidP="00672F2D">
      <w:pPr>
        <w:spacing w:after="0" w:line="240" w:lineRule="auto"/>
        <w:rPr>
          <w:sz w:val="22"/>
        </w:rPr>
      </w:pPr>
      <w:r w:rsidRPr="000A6968">
        <w:rPr>
          <w:sz w:val="22"/>
        </w:rPr>
        <w:t xml:space="preserve">Alford, S.G. and Watkins, B.L., 2025. Social work practice with older adults. In </w:t>
      </w:r>
      <w:r w:rsidRPr="000A6968">
        <w:rPr>
          <w:i/>
          <w:iCs/>
          <w:sz w:val="22"/>
        </w:rPr>
        <w:t>Research Handbook on Social Work and Societies</w:t>
      </w:r>
      <w:r w:rsidRPr="000A6968">
        <w:rPr>
          <w:sz w:val="22"/>
        </w:rPr>
        <w:t xml:space="preserve"> (pp. 254-265). Edward Elgar Publishing.  </w:t>
      </w:r>
    </w:p>
    <w:p w14:paraId="4FCC7FAC" w14:textId="77777777" w:rsidR="00672F2D" w:rsidRPr="000A6968" w:rsidRDefault="00672F2D" w:rsidP="00672F2D">
      <w:pPr>
        <w:spacing w:after="0" w:line="240" w:lineRule="auto"/>
        <w:rPr>
          <w:sz w:val="22"/>
        </w:rPr>
      </w:pPr>
      <w:hyperlink r:id="rId9" w:history="1">
        <w:r w:rsidRPr="000A6968">
          <w:rPr>
            <w:rStyle w:val="Hyperlink"/>
            <w:sz w:val="22"/>
          </w:rPr>
          <w:t>https://www.elgaronline.com/edcollchap/book/9781035329274/chapter21.xml</w:t>
        </w:r>
      </w:hyperlink>
    </w:p>
    <w:p w14:paraId="734ABF46" w14:textId="77777777" w:rsidR="00672F2D" w:rsidRPr="000A6968" w:rsidRDefault="00672F2D" w:rsidP="00672F2D">
      <w:pPr>
        <w:spacing w:after="0" w:line="240" w:lineRule="auto"/>
        <w:rPr>
          <w:sz w:val="22"/>
        </w:rPr>
      </w:pPr>
    </w:p>
    <w:p w14:paraId="786ADF93" w14:textId="77777777" w:rsidR="00E03038" w:rsidRPr="000A6968" w:rsidRDefault="00E03038" w:rsidP="00E03038">
      <w:pPr>
        <w:spacing w:after="0" w:line="240" w:lineRule="auto"/>
        <w:rPr>
          <w:sz w:val="22"/>
        </w:rPr>
      </w:pPr>
      <w:r w:rsidRPr="000A6968">
        <w:rPr>
          <w:sz w:val="22"/>
        </w:rPr>
        <w:t xml:space="preserve">Dickman, S.L., Himmelstein, D.U. and Wool handler, S., 2017. Inequality and the health-care system in the USA. </w:t>
      </w:r>
      <w:r w:rsidRPr="000A6968">
        <w:rPr>
          <w:i/>
          <w:iCs/>
          <w:sz w:val="22"/>
        </w:rPr>
        <w:t>The Lancet</w:t>
      </w:r>
      <w:r w:rsidRPr="000A6968">
        <w:rPr>
          <w:sz w:val="22"/>
        </w:rPr>
        <w:t xml:space="preserve">, </w:t>
      </w:r>
      <w:r w:rsidRPr="000A6968">
        <w:rPr>
          <w:i/>
          <w:iCs/>
          <w:sz w:val="22"/>
        </w:rPr>
        <w:t>389</w:t>
      </w:r>
      <w:r w:rsidRPr="000A6968">
        <w:rPr>
          <w:sz w:val="22"/>
        </w:rPr>
        <w:t xml:space="preserve">(10077), pp.1431-1441. </w:t>
      </w:r>
      <w:hyperlink r:id="rId10" w:history="1">
        <w:r w:rsidRPr="000A6968">
          <w:rPr>
            <w:rStyle w:val="Hyperlink"/>
            <w:sz w:val="22"/>
          </w:rPr>
          <w:t>https://www.thelancet.com/journals/lancet/article/PIIS0140-6736(17)30398-7/abstract</w:t>
        </w:r>
      </w:hyperlink>
    </w:p>
    <w:p w14:paraId="37100EF4" w14:textId="77777777" w:rsidR="00E03038" w:rsidRPr="00D676C3" w:rsidRDefault="00E03038" w:rsidP="00E03038">
      <w:pPr>
        <w:spacing w:after="0" w:line="240" w:lineRule="auto"/>
        <w:rPr>
          <w:sz w:val="22"/>
        </w:rPr>
      </w:pPr>
    </w:p>
    <w:p w14:paraId="4AD47BFC" w14:textId="77777777" w:rsidR="00E03038" w:rsidRPr="000A6968" w:rsidRDefault="00E03038" w:rsidP="00E03038">
      <w:pPr>
        <w:spacing w:after="0" w:line="240" w:lineRule="auto"/>
        <w:rPr>
          <w:sz w:val="22"/>
        </w:rPr>
      </w:pPr>
      <w:r w:rsidRPr="000A6968">
        <w:rPr>
          <w:sz w:val="22"/>
        </w:rPr>
        <w:t xml:space="preserve">Kivi Pelto, M. and Matthies, A.L., 2024. What enables ‘real social work’in adult social work? Examining mechanism-based explanations. </w:t>
      </w:r>
      <w:r w:rsidRPr="000A6968">
        <w:rPr>
          <w:i/>
          <w:iCs/>
          <w:sz w:val="22"/>
        </w:rPr>
        <w:t>European Social Work Research</w:t>
      </w:r>
      <w:r w:rsidRPr="000A6968">
        <w:rPr>
          <w:sz w:val="22"/>
        </w:rPr>
        <w:t xml:space="preserve">, </w:t>
      </w:r>
      <w:r w:rsidRPr="000A6968">
        <w:rPr>
          <w:i/>
          <w:iCs/>
          <w:sz w:val="22"/>
        </w:rPr>
        <w:t>2</w:t>
      </w:r>
      <w:r w:rsidRPr="000A6968">
        <w:rPr>
          <w:sz w:val="22"/>
        </w:rPr>
        <w:t xml:space="preserve">(1), pp.53-68. </w:t>
      </w:r>
      <w:hyperlink r:id="rId11" w:history="1">
        <w:r w:rsidRPr="000A6968">
          <w:rPr>
            <w:rStyle w:val="Hyperlink"/>
            <w:sz w:val="22"/>
          </w:rPr>
          <w:t>https://bristoluniversitypressdigital.com/view/journals/eswr/2/1/article-p53.xml</w:t>
        </w:r>
      </w:hyperlink>
    </w:p>
    <w:p w14:paraId="54A545F1" w14:textId="77777777" w:rsidR="00E03038" w:rsidRPr="000A6968" w:rsidRDefault="00E03038" w:rsidP="00E03038">
      <w:pPr>
        <w:spacing w:after="0" w:line="240" w:lineRule="auto"/>
        <w:rPr>
          <w:sz w:val="22"/>
        </w:rPr>
      </w:pPr>
    </w:p>
    <w:p w14:paraId="63790EC2" w14:textId="77777777" w:rsidR="00E03038" w:rsidRPr="000A6968" w:rsidRDefault="00E03038" w:rsidP="00E03038">
      <w:pPr>
        <w:spacing w:after="0" w:line="240" w:lineRule="auto"/>
        <w:rPr>
          <w:sz w:val="22"/>
        </w:rPr>
      </w:pPr>
      <w:r w:rsidRPr="000A6968">
        <w:rPr>
          <w:sz w:val="22"/>
        </w:rPr>
        <w:t> </w:t>
      </w:r>
    </w:p>
    <w:p w14:paraId="7062F130" w14:textId="77777777" w:rsidR="002C2C52" w:rsidRPr="000A6968" w:rsidRDefault="002C2C52" w:rsidP="002C2C52">
      <w:pPr>
        <w:spacing w:after="0" w:line="240" w:lineRule="auto"/>
        <w:rPr>
          <w:sz w:val="22"/>
        </w:rPr>
      </w:pPr>
      <w:r w:rsidRPr="000A6968">
        <w:rPr>
          <w:sz w:val="22"/>
        </w:rPr>
        <w:t xml:space="preserve">Mohanty, A., Kabi, A. and Mohanty, A.P., 2019. Health problems in healthcare workers: A review. </w:t>
      </w:r>
      <w:r w:rsidRPr="000A6968">
        <w:rPr>
          <w:i/>
          <w:iCs/>
          <w:sz w:val="22"/>
        </w:rPr>
        <w:t>Journal of family medicine and primary care</w:t>
      </w:r>
      <w:r w:rsidRPr="000A6968">
        <w:rPr>
          <w:sz w:val="22"/>
        </w:rPr>
        <w:t xml:space="preserve">, </w:t>
      </w:r>
      <w:r w:rsidRPr="000A6968">
        <w:rPr>
          <w:i/>
          <w:iCs/>
          <w:sz w:val="22"/>
        </w:rPr>
        <w:t>8</w:t>
      </w:r>
      <w:r w:rsidRPr="000A6968">
        <w:rPr>
          <w:sz w:val="22"/>
        </w:rPr>
        <w:t>(8), pp.2568-2572. </w:t>
      </w:r>
    </w:p>
    <w:p w14:paraId="1604A212" w14:textId="25AE8918" w:rsidR="00672F2D" w:rsidRPr="000A6968" w:rsidRDefault="002C2C52" w:rsidP="002C2C52">
      <w:pPr>
        <w:spacing w:after="0" w:line="240" w:lineRule="auto"/>
        <w:rPr>
          <w:sz w:val="22"/>
        </w:rPr>
      </w:pPr>
      <w:hyperlink r:id="rId12" w:history="1">
        <w:r w:rsidRPr="000A6968">
          <w:rPr>
            <w:rStyle w:val="Hyperlink"/>
            <w:sz w:val="22"/>
          </w:rPr>
          <w:t>https://journals.lww.com/jfmpc/fulltext/2019/08080/Health_problems_in_healthcare_workers__A_review.5.aspx</w:t>
        </w:r>
      </w:hyperlink>
    </w:p>
    <w:p w14:paraId="22BEC74E" w14:textId="77777777" w:rsidR="000A6968" w:rsidRPr="000A6968" w:rsidRDefault="000A6968" w:rsidP="000A6968">
      <w:pPr>
        <w:spacing w:after="0" w:line="240" w:lineRule="auto"/>
        <w:rPr>
          <w:sz w:val="22"/>
        </w:rPr>
      </w:pPr>
    </w:p>
    <w:p w14:paraId="0BF0B03E" w14:textId="77777777" w:rsidR="000A6968" w:rsidRPr="000A6968" w:rsidRDefault="000A6968" w:rsidP="000A6968">
      <w:pPr>
        <w:spacing w:after="0" w:line="240" w:lineRule="auto"/>
        <w:rPr>
          <w:sz w:val="22"/>
        </w:rPr>
      </w:pPr>
      <w:r w:rsidRPr="000A6968">
        <w:rPr>
          <w:sz w:val="22"/>
        </w:rPr>
        <w:t xml:space="preserve">Pockett, R. and Beddoe, L., 2017. Social work in health care: An international perspective. </w:t>
      </w:r>
      <w:r w:rsidRPr="000A6968">
        <w:rPr>
          <w:i/>
          <w:iCs/>
          <w:sz w:val="22"/>
        </w:rPr>
        <w:t>International Social Work</w:t>
      </w:r>
      <w:r w:rsidRPr="000A6968">
        <w:rPr>
          <w:sz w:val="22"/>
        </w:rPr>
        <w:t xml:space="preserve">, </w:t>
      </w:r>
      <w:r w:rsidRPr="000A6968">
        <w:rPr>
          <w:i/>
          <w:iCs/>
          <w:sz w:val="22"/>
        </w:rPr>
        <w:t>60</w:t>
      </w:r>
      <w:r w:rsidRPr="000A6968">
        <w:rPr>
          <w:sz w:val="22"/>
        </w:rPr>
        <w:t xml:space="preserve">(1), pp.126-139. </w:t>
      </w:r>
      <w:hyperlink r:id="rId13" w:history="1">
        <w:r w:rsidRPr="000A6968">
          <w:rPr>
            <w:rStyle w:val="Hyperlink"/>
            <w:sz w:val="22"/>
          </w:rPr>
          <w:t>https://journals.sagepub.com/doi/abs/10.1177/0020872814562479</w:t>
        </w:r>
      </w:hyperlink>
    </w:p>
    <w:p w14:paraId="2BA5E7C8" w14:textId="77777777" w:rsidR="000A6968" w:rsidRPr="000A6968" w:rsidRDefault="000A6968" w:rsidP="000A6968">
      <w:pPr>
        <w:spacing w:after="0" w:line="240" w:lineRule="auto"/>
        <w:rPr>
          <w:sz w:val="22"/>
        </w:rPr>
      </w:pPr>
    </w:p>
    <w:p w14:paraId="6A9CE0C5" w14:textId="796371A2" w:rsidR="00E03038" w:rsidRPr="000A6968" w:rsidRDefault="000A6968" w:rsidP="00E03038">
      <w:pPr>
        <w:spacing w:after="0" w:line="240" w:lineRule="auto"/>
        <w:rPr>
          <w:sz w:val="22"/>
        </w:rPr>
      </w:pPr>
      <w:r w:rsidRPr="000A6968">
        <w:rPr>
          <w:sz w:val="22"/>
        </w:rPr>
        <w:t> </w:t>
      </w:r>
    </w:p>
    <w:p w14:paraId="1F67C926" w14:textId="70665B55" w:rsidR="000A6968" w:rsidRPr="000A6968" w:rsidRDefault="000A6968" w:rsidP="000A6968">
      <w:pPr>
        <w:spacing w:after="0" w:line="240" w:lineRule="auto"/>
        <w:rPr>
          <w:sz w:val="22"/>
        </w:rPr>
      </w:pPr>
    </w:p>
    <w:p w14:paraId="6B9C79A3" w14:textId="77777777" w:rsidR="000A6968" w:rsidRPr="000A6968" w:rsidRDefault="000A6968" w:rsidP="000A6968">
      <w:pPr>
        <w:spacing w:after="0" w:line="240" w:lineRule="auto"/>
        <w:rPr>
          <w:sz w:val="22"/>
        </w:rPr>
      </w:pPr>
    </w:p>
    <w:p w14:paraId="1D0F2D59" w14:textId="04FD5966" w:rsidR="004552CE" w:rsidRPr="005E44B5" w:rsidRDefault="004552CE" w:rsidP="005E44B5">
      <w:pPr>
        <w:rPr>
          <w:color w:val="FF0000"/>
        </w:rPr>
      </w:pPr>
    </w:p>
    <w:sectPr w:rsidR="004552CE" w:rsidRPr="005E44B5" w:rsidSect="00D676C3">
      <w:headerReference w:type="even" r:id="rId14"/>
      <w:head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6A358" w14:textId="77777777" w:rsidR="002A7BD0" w:rsidRDefault="002A7BD0" w:rsidP="003C7C97">
      <w:pPr>
        <w:spacing w:after="0" w:line="240" w:lineRule="auto"/>
      </w:pPr>
      <w:r>
        <w:separator/>
      </w:r>
    </w:p>
  </w:endnote>
  <w:endnote w:type="continuationSeparator" w:id="0">
    <w:p w14:paraId="7614A9F4" w14:textId="77777777" w:rsidR="002A7BD0" w:rsidRDefault="002A7BD0"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0EB66" w14:textId="77777777" w:rsidR="002A7BD0" w:rsidRDefault="002A7BD0" w:rsidP="003C7C97">
      <w:pPr>
        <w:spacing w:after="0" w:line="240" w:lineRule="auto"/>
      </w:pPr>
      <w:r>
        <w:separator/>
      </w:r>
    </w:p>
  </w:footnote>
  <w:footnote w:type="continuationSeparator" w:id="0">
    <w:p w14:paraId="7F14AEEF" w14:textId="77777777" w:rsidR="002A7BD0" w:rsidRDefault="002A7BD0"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B7F6F642"/>
    <w:lvl w:ilvl="0" w:tplc="D390B13E">
      <w:start w:val="1"/>
      <w:numFmt w:val="bullet"/>
      <w:lvlText w:val=""/>
      <w:lvlJc w:val="left"/>
      <w:pPr>
        <w:ind w:left="720" w:hanging="360"/>
      </w:pPr>
      <w:rPr>
        <w:rFonts w:ascii="Symbol" w:hAnsi="Symbol" w:hint="default"/>
      </w:rPr>
    </w:lvl>
    <w:lvl w:ilvl="1" w:tplc="1C0AF262">
      <w:start w:val="1"/>
      <w:numFmt w:val="bullet"/>
      <w:lvlText w:val="o"/>
      <w:lvlJc w:val="left"/>
      <w:pPr>
        <w:ind w:left="1440" w:hanging="360"/>
      </w:pPr>
      <w:rPr>
        <w:rFonts w:ascii="Courier New" w:hAnsi="Courier New" w:hint="default"/>
      </w:rPr>
    </w:lvl>
    <w:lvl w:ilvl="2" w:tplc="59A8FE34">
      <w:start w:val="1"/>
      <w:numFmt w:val="bullet"/>
      <w:lvlText w:val=""/>
      <w:lvlJc w:val="left"/>
      <w:pPr>
        <w:ind w:left="2160" w:hanging="360"/>
      </w:pPr>
      <w:rPr>
        <w:rFonts w:ascii="Wingdings" w:hAnsi="Wingdings" w:hint="default"/>
      </w:rPr>
    </w:lvl>
    <w:lvl w:ilvl="3" w:tplc="BCE2D3F2">
      <w:start w:val="1"/>
      <w:numFmt w:val="bullet"/>
      <w:lvlText w:val=""/>
      <w:lvlJc w:val="left"/>
      <w:pPr>
        <w:ind w:left="2880" w:hanging="360"/>
      </w:pPr>
      <w:rPr>
        <w:rFonts w:ascii="Symbol" w:hAnsi="Symbol" w:hint="default"/>
      </w:rPr>
    </w:lvl>
    <w:lvl w:ilvl="4" w:tplc="89C264B8">
      <w:start w:val="1"/>
      <w:numFmt w:val="bullet"/>
      <w:lvlText w:val="o"/>
      <w:lvlJc w:val="left"/>
      <w:pPr>
        <w:ind w:left="3600" w:hanging="360"/>
      </w:pPr>
      <w:rPr>
        <w:rFonts w:ascii="Courier New" w:hAnsi="Courier New" w:hint="default"/>
      </w:rPr>
    </w:lvl>
    <w:lvl w:ilvl="5" w:tplc="852673BE">
      <w:start w:val="1"/>
      <w:numFmt w:val="bullet"/>
      <w:lvlText w:val=""/>
      <w:lvlJc w:val="left"/>
      <w:pPr>
        <w:ind w:left="4320" w:hanging="360"/>
      </w:pPr>
      <w:rPr>
        <w:rFonts w:ascii="Wingdings" w:hAnsi="Wingdings" w:hint="default"/>
      </w:rPr>
    </w:lvl>
    <w:lvl w:ilvl="6" w:tplc="B67684FC">
      <w:start w:val="1"/>
      <w:numFmt w:val="bullet"/>
      <w:lvlText w:val=""/>
      <w:lvlJc w:val="left"/>
      <w:pPr>
        <w:ind w:left="5040" w:hanging="360"/>
      </w:pPr>
      <w:rPr>
        <w:rFonts w:ascii="Symbol" w:hAnsi="Symbol" w:hint="default"/>
      </w:rPr>
    </w:lvl>
    <w:lvl w:ilvl="7" w:tplc="268A043E">
      <w:start w:val="1"/>
      <w:numFmt w:val="bullet"/>
      <w:lvlText w:val="o"/>
      <w:lvlJc w:val="left"/>
      <w:pPr>
        <w:ind w:left="5760" w:hanging="360"/>
      </w:pPr>
      <w:rPr>
        <w:rFonts w:ascii="Courier New" w:hAnsi="Courier New" w:hint="default"/>
      </w:rPr>
    </w:lvl>
    <w:lvl w:ilvl="8" w:tplc="16C60BE6">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45622098"/>
    <w:lvl w:ilvl="0" w:tplc="D4E850E4">
      <w:start w:val="1"/>
      <w:numFmt w:val="bullet"/>
      <w:lvlText w:val=""/>
      <w:lvlJc w:val="left"/>
      <w:pPr>
        <w:ind w:left="720" w:hanging="360"/>
      </w:pPr>
      <w:rPr>
        <w:rFonts w:ascii="Symbol" w:hAnsi="Symbol" w:hint="default"/>
      </w:rPr>
    </w:lvl>
    <w:lvl w:ilvl="1" w:tplc="918AD5B6">
      <w:start w:val="1"/>
      <w:numFmt w:val="bullet"/>
      <w:lvlText w:val="o"/>
      <w:lvlJc w:val="left"/>
      <w:pPr>
        <w:ind w:left="1440" w:hanging="360"/>
      </w:pPr>
      <w:rPr>
        <w:rFonts w:ascii="Courier New" w:hAnsi="Courier New" w:hint="default"/>
      </w:rPr>
    </w:lvl>
    <w:lvl w:ilvl="2" w:tplc="5B4249F4">
      <w:start w:val="1"/>
      <w:numFmt w:val="bullet"/>
      <w:lvlText w:val=""/>
      <w:lvlJc w:val="left"/>
      <w:pPr>
        <w:ind w:left="2160" w:hanging="360"/>
      </w:pPr>
      <w:rPr>
        <w:rFonts w:ascii="Wingdings" w:hAnsi="Wingdings" w:hint="default"/>
      </w:rPr>
    </w:lvl>
    <w:lvl w:ilvl="3" w:tplc="99B67A5C">
      <w:start w:val="1"/>
      <w:numFmt w:val="bullet"/>
      <w:lvlText w:val=""/>
      <w:lvlJc w:val="left"/>
      <w:pPr>
        <w:ind w:left="2880" w:hanging="360"/>
      </w:pPr>
      <w:rPr>
        <w:rFonts w:ascii="Symbol" w:hAnsi="Symbol" w:hint="default"/>
      </w:rPr>
    </w:lvl>
    <w:lvl w:ilvl="4" w:tplc="999682B8">
      <w:start w:val="1"/>
      <w:numFmt w:val="bullet"/>
      <w:lvlText w:val="o"/>
      <w:lvlJc w:val="left"/>
      <w:pPr>
        <w:ind w:left="3600" w:hanging="360"/>
      </w:pPr>
      <w:rPr>
        <w:rFonts w:ascii="Courier New" w:hAnsi="Courier New" w:hint="default"/>
      </w:rPr>
    </w:lvl>
    <w:lvl w:ilvl="5" w:tplc="2BC20E80">
      <w:start w:val="1"/>
      <w:numFmt w:val="bullet"/>
      <w:lvlText w:val=""/>
      <w:lvlJc w:val="left"/>
      <w:pPr>
        <w:ind w:left="4320" w:hanging="360"/>
      </w:pPr>
      <w:rPr>
        <w:rFonts w:ascii="Wingdings" w:hAnsi="Wingdings" w:hint="default"/>
      </w:rPr>
    </w:lvl>
    <w:lvl w:ilvl="6" w:tplc="B51C8092">
      <w:start w:val="1"/>
      <w:numFmt w:val="bullet"/>
      <w:lvlText w:val=""/>
      <w:lvlJc w:val="left"/>
      <w:pPr>
        <w:ind w:left="5040" w:hanging="360"/>
      </w:pPr>
      <w:rPr>
        <w:rFonts w:ascii="Symbol" w:hAnsi="Symbol" w:hint="default"/>
      </w:rPr>
    </w:lvl>
    <w:lvl w:ilvl="7" w:tplc="E7506DC4">
      <w:start w:val="1"/>
      <w:numFmt w:val="bullet"/>
      <w:lvlText w:val="o"/>
      <w:lvlJc w:val="left"/>
      <w:pPr>
        <w:ind w:left="5760" w:hanging="360"/>
      </w:pPr>
      <w:rPr>
        <w:rFonts w:ascii="Courier New" w:hAnsi="Courier New" w:hint="default"/>
      </w:rPr>
    </w:lvl>
    <w:lvl w:ilvl="8" w:tplc="6A62CEE8">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07267CEE"/>
    <w:lvl w:ilvl="0" w:tplc="4CAE31EC">
      <w:start w:val="1"/>
      <w:numFmt w:val="bullet"/>
      <w:lvlText w:val=""/>
      <w:lvlJc w:val="left"/>
      <w:pPr>
        <w:ind w:left="720" w:hanging="360"/>
      </w:pPr>
      <w:rPr>
        <w:rFonts w:ascii="Symbol" w:hAnsi="Symbol" w:hint="default"/>
      </w:rPr>
    </w:lvl>
    <w:lvl w:ilvl="1" w:tplc="8E68C00E">
      <w:start w:val="1"/>
      <w:numFmt w:val="bullet"/>
      <w:lvlText w:val="o"/>
      <w:lvlJc w:val="left"/>
      <w:pPr>
        <w:ind w:left="1440" w:hanging="360"/>
      </w:pPr>
      <w:rPr>
        <w:rFonts w:ascii="Courier New" w:hAnsi="Courier New" w:hint="default"/>
      </w:rPr>
    </w:lvl>
    <w:lvl w:ilvl="2" w:tplc="668A3EF8">
      <w:start w:val="1"/>
      <w:numFmt w:val="bullet"/>
      <w:lvlText w:val=""/>
      <w:lvlJc w:val="left"/>
      <w:pPr>
        <w:ind w:left="2160" w:hanging="360"/>
      </w:pPr>
      <w:rPr>
        <w:rFonts w:ascii="Wingdings" w:hAnsi="Wingdings" w:hint="default"/>
      </w:rPr>
    </w:lvl>
    <w:lvl w:ilvl="3" w:tplc="18AC0168">
      <w:start w:val="1"/>
      <w:numFmt w:val="bullet"/>
      <w:lvlText w:val=""/>
      <w:lvlJc w:val="left"/>
      <w:pPr>
        <w:ind w:left="2880" w:hanging="360"/>
      </w:pPr>
      <w:rPr>
        <w:rFonts w:ascii="Symbol" w:hAnsi="Symbol" w:hint="default"/>
      </w:rPr>
    </w:lvl>
    <w:lvl w:ilvl="4" w:tplc="30DCD55C">
      <w:start w:val="1"/>
      <w:numFmt w:val="bullet"/>
      <w:lvlText w:val="o"/>
      <w:lvlJc w:val="left"/>
      <w:pPr>
        <w:ind w:left="3600" w:hanging="360"/>
      </w:pPr>
      <w:rPr>
        <w:rFonts w:ascii="Courier New" w:hAnsi="Courier New" w:hint="default"/>
      </w:rPr>
    </w:lvl>
    <w:lvl w:ilvl="5" w:tplc="E6E8E15C">
      <w:start w:val="1"/>
      <w:numFmt w:val="bullet"/>
      <w:lvlText w:val=""/>
      <w:lvlJc w:val="left"/>
      <w:pPr>
        <w:ind w:left="4320" w:hanging="360"/>
      </w:pPr>
      <w:rPr>
        <w:rFonts w:ascii="Wingdings" w:hAnsi="Wingdings" w:hint="default"/>
      </w:rPr>
    </w:lvl>
    <w:lvl w:ilvl="6" w:tplc="2C0074D8">
      <w:start w:val="1"/>
      <w:numFmt w:val="bullet"/>
      <w:lvlText w:val=""/>
      <w:lvlJc w:val="left"/>
      <w:pPr>
        <w:ind w:left="5040" w:hanging="360"/>
      </w:pPr>
      <w:rPr>
        <w:rFonts w:ascii="Symbol" w:hAnsi="Symbol" w:hint="default"/>
      </w:rPr>
    </w:lvl>
    <w:lvl w:ilvl="7" w:tplc="FC6C5D62">
      <w:start w:val="1"/>
      <w:numFmt w:val="bullet"/>
      <w:lvlText w:val="o"/>
      <w:lvlJc w:val="left"/>
      <w:pPr>
        <w:ind w:left="5760" w:hanging="360"/>
      </w:pPr>
      <w:rPr>
        <w:rFonts w:ascii="Courier New" w:hAnsi="Courier New" w:hint="default"/>
      </w:rPr>
    </w:lvl>
    <w:lvl w:ilvl="8" w:tplc="FE523D52">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BEAEC5EE"/>
    <w:lvl w:ilvl="0" w:tplc="C5DE82FE">
      <w:start w:val="1"/>
      <w:numFmt w:val="bullet"/>
      <w:lvlText w:val=""/>
      <w:lvlJc w:val="left"/>
      <w:pPr>
        <w:ind w:left="720" w:hanging="360"/>
      </w:pPr>
      <w:rPr>
        <w:rFonts w:ascii="Symbol" w:hAnsi="Symbol" w:hint="default"/>
      </w:rPr>
    </w:lvl>
    <w:lvl w:ilvl="1" w:tplc="F0C0A614">
      <w:start w:val="1"/>
      <w:numFmt w:val="bullet"/>
      <w:lvlText w:val="o"/>
      <w:lvlJc w:val="left"/>
      <w:pPr>
        <w:ind w:left="1440" w:hanging="360"/>
      </w:pPr>
      <w:rPr>
        <w:rFonts w:ascii="Courier New" w:hAnsi="Courier New" w:hint="default"/>
      </w:rPr>
    </w:lvl>
    <w:lvl w:ilvl="2" w:tplc="01B028BE">
      <w:start w:val="1"/>
      <w:numFmt w:val="bullet"/>
      <w:lvlText w:val=""/>
      <w:lvlJc w:val="left"/>
      <w:pPr>
        <w:ind w:left="2160" w:hanging="360"/>
      </w:pPr>
      <w:rPr>
        <w:rFonts w:ascii="Wingdings" w:hAnsi="Wingdings" w:hint="default"/>
      </w:rPr>
    </w:lvl>
    <w:lvl w:ilvl="3" w:tplc="7374C9CA">
      <w:start w:val="1"/>
      <w:numFmt w:val="bullet"/>
      <w:lvlText w:val=""/>
      <w:lvlJc w:val="left"/>
      <w:pPr>
        <w:ind w:left="2880" w:hanging="360"/>
      </w:pPr>
      <w:rPr>
        <w:rFonts w:ascii="Symbol" w:hAnsi="Symbol" w:hint="default"/>
      </w:rPr>
    </w:lvl>
    <w:lvl w:ilvl="4" w:tplc="C39CED94">
      <w:start w:val="1"/>
      <w:numFmt w:val="bullet"/>
      <w:lvlText w:val="o"/>
      <w:lvlJc w:val="left"/>
      <w:pPr>
        <w:ind w:left="3600" w:hanging="360"/>
      </w:pPr>
      <w:rPr>
        <w:rFonts w:ascii="Courier New" w:hAnsi="Courier New" w:hint="default"/>
      </w:rPr>
    </w:lvl>
    <w:lvl w:ilvl="5" w:tplc="D2188350">
      <w:start w:val="1"/>
      <w:numFmt w:val="bullet"/>
      <w:lvlText w:val=""/>
      <w:lvlJc w:val="left"/>
      <w:pPr>
        <w:ind w:left="4320" w:hanging="360"/>
      </w:pPr>
      <w:rPr>
        <w:rFonts w:ascii="Wingdings" w:hAnsi="Wingdings" w:hint="default"/>
      </w:rPr>
    </w:lvl>
    <w:lvl w:ilvl="6" w:tplc="26F02066">
      <w:start w:val="1"/>
      <w:numFmt w:val="bullet"/>
      <w:lvlText w:val=""/>
      <w:lvlJc w:val="left"/>
      <w:pPr>
        <w:ind w:left="5040" w:hanging="360"/>
      </w:pPr>
      <w:rPr>
        <w:rFonts w:ascii="Symbol" w:hAnsi="Symbol" w:hint="default"/>
      </w:rPr>
    </w:lvl>
    <w:lvl w:ilvl="7" w:tplc="2F2ABCA0">
      <w:start w:val="1"/>
      <w:numFmt w:val="bullet"/>
      <w:lvlText w:val="o"/>
      <w:lvlJc w:val="left"/>
      <w:pPr>
        <w:ind w:left="5760" w:hanging="360"/>
      </w:pPr>
      <w:rPr>
        <w:rFonts w:ascii="Courier New" w:hAnsi="Courier New" w:hint="default"/>
      </w:rPr>
    </w:lvl>
    <w:lvl w:ilvl="8" w:tplc="F0A47D2E">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D8D887E6"/>
    <w:lvl w:ilvl="0" w:tplc="1A2C7840">
      <w:start w:val="1"/>
      <w:numFmt w:val="bullet"/>
      <w:lvlText w:val=""/>
      <w:lvlJc w:val="left"/>
      <w:pPr>
        <w:ind w:left="720" w:hanging="360"/>
      </w:pPr>
      <w:rPr>
        <w:rFonts w:ascii="Symbol" w:hAnsi="Symbol" w:hint="default"/>
      </w:rPr>
    </w:lvl>
    <w:lvl w:ilvl="1" w:tplc="89DA0526">
      <w:start w:val="1"/>
      <w:numFmt w:val="bullet"/>
      <w:lvlText w:val="o"/>
      <w:lvlJc w:val="left"/>
      <w:pPr>
        <w:ind w:left="1440" w:hanging="360"/>
      </w:pPr>
      <w:rPr>
        <w:rFonts w:ascii="Courier New" w:hAnsi="Courier New" w:hint="default"/>
      </w:rPr>
    </w:lvl>
    <w:lvl w:ilvl="2" w:tplc="D5FA5C88">
      <w:start w:val="1"/>
      <w:numFmt w:val="bullet"/>
      <w:lvlText w:val=""/>
      <w:lvlJc w:val="left"/>
      <w:pPr>
        <w:ind w:left="2160" w:hanging="360"/>
      </w:pPr>
      <w:rPr>
        <w:rFonts w:ascii="Wingdings" w:hAnsi="Wingdings" w:hint="default"/>
      </w:rPr>
    </w:lvl>
    <w:lvl w:ilvl="3" w:tplc="49C47CB2">
      <w:start w:val="1"/>
      <w:numFmt w:val="bullet"/>
      <w:lvlText w:val=""/>
      <w:lvlJc w:val="left"/>
      <w:pPr>
        <w:ind w:left="2880" w:hanging="360"/>
      </w:pPr>
      <w:rPr>
        <w:rFonts w:ascii="Symbol" w:hAnsi="Symbol" w:hint="default"/>
      </w:rPr>
    </w:lvl>
    <w:lvl w:ilvl="4" w:tplc="5078701A">
      <w:start w:val="1"/>
      <w:numFmt w:val="bullet"/>
      <w:lvlText w:val="o"/>
      <w:lvlJc w:val="left"/>
      <w:pPr>
        <w:ind w:left="3600" w:hanging="360"/>
      </w:pPr>
      <w:rPr>
        <w:rFonts w:ascii="Courier New" w:hAnsi="Courier New" w:hint="default"/>
      </w:rPr>
    </w:lvl>
    <w:lvl w:ilvl="5" w:tplc="06BA8FF4">
      <w:start w:val="1"/>
      <w:numFmt w:val="bullet"/>
      <w:lvlText w:val=""/>
      <w:lvlJc w:val="left"/>
      <w:pPr>
        <w:ind w:left="4320" w:hanging="360"/>
      </w:pPr>
      <w:rPr>
        <w:rFonts w:ascii="Wingdings" w:hAnsi="Wingdings" w:hint="default"/>
      </w:rPr>
    </w:lvl>
    <w:lvl w:ilvl="6" w:tplc="F1EA4F4E">
      <w:start w:val="1"/>
      <w:numFmt w:val="bullet"/>
      <w:lvlText w:val=""/>
      <w:lvlJc w:val="left"/>
      <w:pPr>
        <w:ind w:left="5040" w:hanging="360"/>
      </w:pPr>
      <w:rPr>
        <w:rFonts w:ascii="Symbol" w:hAnsi="Symbol" w:hint="default"/>
      </w:rPr>
    </w:lvl>
    <w:lvl w:ilvl="7" w:tplc="E12CF6D4">
      <w:start w:val="1"/>
      <w:numFmt w:val="bullet"/>
      <w:lvlText w:val="o"/>
      <w:lvlJc w:val="left"/>
      <w:pPr>
        <w:ind w:left="5760" w:hanging="360"/>
      </w:pPr>
      <w:rPr>
        <w:rFonts w:ascii="Courier New" w:hAnsi="Courier New" w:hint="default"/>
      </w:rPr>
    </w:lvl>
    <w:lvl w:ilvl="8" w:tplc="D3DC5D42">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E1F033BC"/>
    <w:lvl w:ilvl="0" w:tplc="3A761082">
      <w:start w:val="1"/>
      <w:numFmt w:val="bullet"/>
      <w:lvlText w:val=""/>
      <w:lvlJc w:val="left"/>
      <w:pPr>
        <w:ind w:left="720" w:hanging="360"/>
      </w:pPr>
      <w:rPr>
        <w:rFonts w:ascii="Symbol" w:hAnsi="Symbol" w:hint="default"/>
      </w:rPr>
    </w:lvl>
    <w:lvl w:ilvl="1" w:tplc="B030C352">
      <w:start w:val="1"/>
      <w:numFmt w:val="bullet"/>
      <w:lvlText w:val="o"/>
      <w:lvlJc w:val="left"/>
      <w:pPr>
        <w:ind w:left="1440" w:hanging="360"/>
      </w:pPr>
      <w:rPr>
        <w:rFonts w:ascii="Courier New" w:hAnsi="Courier New" w:hint="default"/>
      </w:rPr>
    </w:lvl>
    <w:lvl w:ilvl="2" w:tplc="9D567490">
      <w:start w:val="1"/>
      <w:numFmt w:val="bullet"/>
      <w:lvlText w:val=""/>
      <w:lvlJc w:val="left"/>
      <w:pPr>
        <w:ind w:left="2160" w:hanging="360"/>
      </w:pPr>
      <w:rPr>
        <w:rFonts w:ascii="Wingdings" w:hAnsi="Wingdings" w:hint="default"/>
      </w:rPr>
    </w:lvl>
    <w:lvl w:ilvl="3" w:tplc="11F8DEC2">
      <w:start w:val="1"/>
      <w:numFmt w:val="bullet"/>
      <w:lvlText w:val=""/>
      <w:lvlJc w:val="left"/>
      <w:pPr>
        <w:ind w:left="2880" w:hanging="360"/>
      </w:pPr>
      <w:rPr>
        <w:rFonts w:ascii="Symbol" w:hAnsi="Symbol" w:hint="default"/>
      </w:rPr>
    </w:lvl>
    <w:lvl w:ilvl="4" w:tplc="6370400A">
      <w:start w:val="1"/>
      <w:numFmt w:val="bullet"/>
      <w:lvlText w:val="o"/>
      <w:lvlJc w:val="left"/>
      <w:pPr>
        <w:ind w:left="3600" w:hanging="360"/>
      </w:pPr>
      <w:rPr>
        <w:rFonts w:ascii="Courier New" w:hAnsi="Courier New" w:hint="default"/>
      </w:rPr>
    </w:lvl>
    <w:lvl w:ilvl="5" w:tplc="42D2F694">
      <w:start w:val="1"/>
      <w:numFmt w:val="bullet"/>
      <w:lvlText w:val=""/>
      <w:lvlJc w:val="left"/>
      <w:pPr>
        <w:ind w:left="4320" w:hanging="360"/>
      </w:pPr>
      <w:rPr>
        <w:rFonts w:ascii="Wingdings" w:hAnsi="Wingdings" w:hint="default"/>
      </w:rPr>
    </w:lvl>
    <w:lvl w:ilvl="6" w:tplc="14F68FA8">
      <w:start w:val="1"/>
      <w:numFmt w:val="bullet"/>
      <w:lvlText w:val=""/>
      <w:lvlJc w:val="left"/>
      <w:pPr>
        <w:ind w:left="5040" w:hanging="360"/>
      </w:pPr>
      <w:rPr>
        <w:rFonts w:ascii="Symbol" w:hAnsi="Symbol" w:hint="default"/>
      </w:rPr>
    </w:lvl>
    <w:lvl w:ilvl="7" w:tplc="A5BC9D56">
      <w:start w:val="1"/>
      <w:numFmt w:val="bullet"/>
      <w:lvlText w:val="o"/>
      <w:lvlJc w:val="left"/>
      <w:pPr>
        <w:ind w:left="5760" w:hanging="360"/>
      </w:pPr>
      <w:rPr>
        <w:rFonts w:ascii="Courier New" w:hAnsi="Courier New" w:hint="default"/>
      </w:rPr>
    </w:lvl>
    <w:lvl w:ilvl="8" w:tplc="680608C6">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562621">
    <w:abstractNumId w:val="11"/>
  </w:num>
  <w:num w:numId="2" w16cid:durableId="1249191184">
    <w:abstractNumId w:val="12"/>
  </w:num>
  <w:num w:numId="3" w16cid:durableId="399257453">
    <w:abstractNumId w:val="1"/>
  </w:num>
  <w:num w:numId="4" w16cid:durableId="1702585384">
    <w:abstractNumId w:val="3"/>
  </w:num>
  <w:num w:numId="5" w16cid:durableId="1213269064">
    <w:abstractNumId w:val="15"/>
  </w:num>
  <w:num w:numId="6" w16cid:durableId="968046821">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6F5A"/>
    <w:rsid w:val="00013FB9"/>
    <w:rsid w:val="0001715D"/>
    <w:rsid w:val="00022C42"/>
    <w:rsid w:val="00027B15"/>
    <w:rsid w:val="00030A05"/>
    <w:rsid w:val="00033A26"/>
    <w:rsid w:val="00070113"/>
    <w:rsid w:val="00070818"/>
    <w:rsid w:val="0008238F"/>
    <w:rsid w:val="00082EC6"/>
    <w:rsid w:val="00085388"/>
    <w:rsid w:val="000A6968"/>
    <w:rsid w:val="000B44B3"/>
    <w:rsid w:val="000D41DC"/>
    <w:rsid w:val="00125D37"/>
    <w:rsid w:val="00127C1A"/>
    <w:rsid w:val="00150D81"/>
    <w:rsid w:val="00157CD8"/>
    <w:rsid w:val="00166CEB"/>
    <w:rsid w:val="00183CB9"/>
    <w:rsid w:val="00184A9A"/>
    <w:rsid w:val="0019147D"/>
    <w:rsid w:val="001947DF"/>
    <w:rsid w:val="001B22BB"/>
    <w:rsid w:val="001B619C"/>
    <w:rsid w:val="001D1D3C"/>
    <w:rsid w:val="002205D4"/>
    <w:rsid w:val="00221771"/>
    <w:rsid w:val="00222C3A"/>
    <w:rsid w:val="00226D31"/>
    <w:rsid w:val="00236401"/>
    <w:rsid w:val="002370CE"/>
    <w:rsid w:val="00242974"/>
    <w:rsid w:val="002579DB"/>
    <w:rsid w:val="00265497"/>
    <w:rsid w:val="002976D4"/>
    <w:rsid w:val="002A5577"/>
    <w:rsid w:val="002A7BD0"/>
    <w:rsid w:val="002B4AA4"/>
    <w:rsid w:val="002B7709"/>
    <w:rsid w:val="002C2C52"/>
    <w:rsid w:val="002E71BA"/>
    <w:rsid w:val="002F5066"/>
    <w:rsid w:val="003003FD"/>
    <w:rsid w:val="00310245"/>
    <w:rsid w:val="003102A4"/>
    <w:rsid w:val="00316C95"/>
    <w:rsid w:val="003458DB"/>
    <w:rsid w:val="003523D3"/>
    <w:rsid w:val="00362667"/>
    <w:rsid w:val="00364C35"/>
    <w:rsid w:val="00377795"/>
    <w:rsid w:val="00396F60"/>
    <w:rsid w:val="003A51D6"/>
    <w:rsid w:val="003B125E"/>
    <w:rsid w:val="003B2A5E"/>
    <w:rsid w:val="003C6AA9"/>
    <w:rsid w:val="003C7C97"/>
    <w:rsid w:val="003E5CAD"/>
    <w:rsid w:val="00406B8D"/>
    <w:rsid w:val="00407522"/>
    <w:rsid w:val="00410068"/>
    <w:rsid w:val="00413098"/>
    <w:rsid w:val="0041618E"/>
    <w:rsid w:val="0042295C"/>
    <w:rsid w:val="00426EEC"/>
    <w:rsid w:val="004466C3"/>
    <w:rsid w:val="004552CE"/>
    <w:rsid w:val="00472768"/>
    <w:rsid w:val="00481FF7"/>
    <w:rsid w:val="004870D0"/>
    <w:rsid w:val="00500295"/>
    <w:rsid w:val="00501AAF"/>
    <w:rsid w:val="00527AFA"/>
    <w:rsid w:val="0054050C"/>
    <w:rsid w:val="005419DA"/>
    <w:rsid w:val="005678AC"/>
    <w:rsid w:val="005679BD"/>
    <w:rsid w:val="005709B1"/>
    <w:rsid w:val="00572B3B"/>
    <w:rsid w:val="00573105"/>
    <w:rsid w:val="00580379"/>
    <w:rsid w:val="005836D2"/>
    <w:rsid w:val="00587C58"/>
    <w:rsid w:val="005A52F8"/>
    <w:rsid w:val="005A7FD4"/>
    <w:rsid w:val="005B1A84"/>
    <w:rsid w:val="005D1AF9"/>
    <w:rsid w:val="005D5457"/>
    <w:rsid w:val="005E2699"/>
    <w:rsid w:val="005E44B5"/>
    <w:rsid w:val="005F114A"/>
    <w:rsid w:val="00612DEA"/>
    <w:rsid w:val="00614572"/>
    <w:rsid w:val="006232DF"/>
    <w:rsid w:val="00623DF2"/>
    <w:rsid w:val="00631F2E"/>
    <w:rsid w:val="00633ABD"/>
    <w:rsid w:val="006457C0"/>
    <w:rsid w:val="00646FB2"/>
    <w:rsid w:val="00652BB7"/>
    <w:rsid w:val="00661296"/>
    <w:rsid w:val="00661758"/>
    <w:rsid w:val="00672F2D"/>
    <w:rsid w:val="0067612C"/>
    <w:rsid w:val="00676FEB"/>
    <w:rsid w:val="006912C4"/>
    <w:rsid w:val="0069131D"/>
    <w:rsid w:val="006A2CAE"/>
    <w:rsid w:val="006A5CFC"/>
    <w:rsid w:val="006C5138"/>
    <w:rsid w:val="006C689B"/>
    <w:rsid w:val="006E005C"/>
    <w:rsid w:val="006E6EE5"/>
    <w:rsid w:val="006F0029"/>
    <w:rsid w:val="007138EF"/>
    <w:rsid w:val="0073412C"/>
    <w:rsid w:val="007632A9"/>
    <w:rsid w:val="00763BB6"/>
    <w:rsid w:val="00774092"/>
    <w:rsid w:val="00782830"/>
    <w:rsid w:val="0078664A"/>
    <w:rsid w:val="00793B1C"/>
    <w:rsid w:val="00794D10"/>
    <w:rsid w:val="007B0F6D"/>
    <w:rsid w:val="007C62C3"/>
    <w:rsid w:val="007D25AA"/>
    <w:rsid w:val="007F0873"/>
    <w:rsid w:val="00805726"/>
    <w:rsid w:val="0081273B"/>
    <w:rsid w:val="00815117"/>
    <w:rsid w:val="00824CB1"/>
    <w:rsid w:val="008520F8"/>
    <w:rsid w:val="00855F34"/>
    <w:rsid w:val="00861470"/>
    <w:rsid w:val="008826B6"/>
    <w:rsid w:val="008B0B22"/>
    <w:rsid w:val="008C58B0"/>
    <w:rsid w:val="008C591B"/>
    <w:rsid w:val="008C6182"/>
    <w:rsid w:val="008C61ED"/>
    <w:rsid w:val="008F3B86"/>
    <w:rsid w:val="008F7FBF"/>
    <w:rsid w:val="00905F2A"/>
    <w:rsid w:val="0090779E"/>
    <w:rsid w:val="00923195"/>
    <w:rsid w:val="00926458"/>
    <w:rsid w:val="00933720"/>
    <w:rsid w:val="00941751"/>
    <w:rsid w:val="00980B37"/>
    <w:rsid w:val="00994D5E"/>
    <w:rsid w:val="009C7E52"/>
    <w:rsid w:val="009E4934"/>
    <w:rsid w:val="009F40A7"/>
    <w:rsid w:val="009F5CE6"/>
    <w:rsid w:val="00A035CD"/>
    <w:rsid w:val="00A50E80"/>
    <w:rsid w:val="00A513B0"/>
    <w:rsid w:val="00A52938"/>
    <w:rsid w:val="00A63F7F"/>
    <w:rsid w:val="00A667CE"/>
    <w:rsid w:val="00A67B4D"/>
    <w:rsid w:val="00A75042"/>
    <w:rsid w:val="00A774BC"/>
    <w:rsid w:val="00A82678"/>
    <w:rsid w:val="00A946CB"/>
    <w:rsid w:val="00AA77C8"/>
    <w:rsid w:val="00AC4EF0"/>
    <w:rsid w:val="00AC7BE2"/>
    <w:rsid w:val="00AE35BF"/>
    <w:rsid w:val="00AF5123"/>
    <w:rsid w:val="00B02E89"/>
    <w:rsid w:val="00B1067E"/>
    <w:rsid w:val="00B17789"/>
    <w:rsid w:val="00B46799"/>
    <w:rsid w:val="00B53CC8"/>
    <w:rsid w:val="00B80BC1"/>
    <w:rsid w:val="00B81790"/>
    <w:rsid w:val="00B81BBC"/>
    <w:rsid w:val="00BB4BA2"/>
    <w:rsid w:val="00BD03D5"/>
    <w:rsid w:val="00C3215E"/>
    <w:rsid w:val="00C32FC9"/>
    <w:rsid w:val="00C33EB4"/>
    <w:rsid w:val="00C3678A"/>
    <w:rsid w:val="00C45272"/>
    <w:rsid w:val="00C47770"/>
    <w:rsid w:val="00C52577"/>
    <w:rsid w:val="00C75856"/>
    <w:rsid w:val="00C85A7C"/>
    <w:rsid w:val="00C95214"/>
    <w:rsid w:val="00CC3F59"/>
    <w:rsid w:val="00CD4774"/>
    <w:rsid w:val="00CE1732"/>
    <w:rsid w:val="00D10AAF"/>
    <w:rsid w:val="00D27540"/>
    <w:rsid w:val="00D275BE"/>
    <w:rsid w:val="00D4006B"/>
    <w:rsid w:val="00D40D7A"/>
    <w:rsid w:val="00D50641"/>
    <w:rsid w:val="00D64A0D"/>
    <w:rsid w:val="00D676C3"/>
    <w:rsid w:val="00D67B27"/>
    <w:rsid w:val="00D750B4"/>
    <w:rsid w:val="00D81C18"/>
    <w:rsid w:val="00D8461A"/>
    <w:rsid w:val="00D95CAF"/>
    <w:rsid w:val="00DB1172"/>
    <w:rsid w:val="00DB60B6"/>
    <w:rsid w:val="00DC1CC6"/>
    <w:rsid w:val="00DD5135"/>
    <w:rsid w:val="00E03038"/>
    <w:rsid w:val="00E067A8"/>
    <w:rsid w:val="00E13924"/>
    <w:rsid w:val="00E15FD5"/>
    <w:rsid w:val="00E1725A"/>
    <w:rsid w:val="00E33758"/>
    <w:rsid w:val="00E3471C"/>
    <w:rsid w:val="00E4397D"/>
    <w:rsid w:val="00E53E5E"/>
    <w:rsid w:val="00E64325"/>
    <w:rsid w:val="00E673C5"/>
    <w:rsid w:val="00E67967"/>
    <w:rsid w:val="00E72CA1"/>
    <w:rsid w:val="00E82723"/>
    <w:rsid w:val="00EA29A5"/>
    <w:rsid w:val="00EB1468"/>
    <w:rsid w:val="00EB226B"/>
    <w:rsid w:val="00EC107C"/>
    <w:rsid w:val="00EC1849"/>
    <w:rsid w:val="00EC7EBE"/>
    <w:rsid w:val="00EC7FD2"/>
    <w:rsid w:val="00ED1156"/>
    <w:rsid w:val="00ED5964"/>
    <w:rsid w:val="00EE6E1C"/>
    <w:rsid w:val="00F01012"/>
    <w:rsid w:val="00F02F07"/>
    <w:rsid w:val="00F16F99"/>
    <w:rsid w:val="00F1720B"/>
    <w:rsid w:val="00F23DC3"/>
    <w:rsid w:val="00F313E6"/>
    <w:rsid w:val="00F36ADC"/>
    <w:rsid w:val="00F605C6"/>
    <w:rsid w:val="00F650BA"/>
    <w:rsid w:val="00F6785B"/>
    <w:rsid w:val="00F9012D"/>
    <w:rsid w:val="00F915D6"/>
    <w:rsid w:val="00FA0C42"/>
    <w:rsid w:val="00FA432F"/>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0A69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s.sagepub.com/doi/abs/10.1177/002087281456247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urnals.lww.com/jfmpc/fulltext/2019/08080/Health_problems_in_healthcare_workers__A_review.5.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ristoluniversitypressdigital.com/view/journals/eswr/2/1/article-p53.xm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thelancet.com/journals/lancet/article/PIIS0140-6736(17)30398-7/abstract" TargetMode="External"/><Relationship Id="rId4" Type="http://schemas.openxmlformats.org/officeDocument/2006/relationships/settings" Target="settings.xml"/><Relationship Id="rId9" Type="http://schemas.openxmlformats.org/officeDocument/2006/relationships/hyperlink" Target="https://www.elgaronline.com/edcollchap/book/9781035329274/chapter21.x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7</Pages>
  <Words>1964</Words>
  <Characters>9904</Characters>
  <Application>Microsoft Office Word</Application>
  <DocSecurity>0</DocSecurity>
  <Lines>471</Lines>
  <Paragraphs>257</Paragraphs>
  <ScaleCrop>false</ScaleCrop>
  <Company>University of Wales Trinity Saint David</Company>
  <LinksUpToDate>false</LinksUpToDate>
  <CharactersWithSpaces>11611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Linda Rull</cp:lastModifiedBy>
  <cp:revision>88</cp:revision>
  <dcterms:created xsi:type="dcterms:W3CDTF">2025-11-19T18:30:00Z</dcterms:created>
  <dcterms:modified xsi:type="dcterms:W3CDTF">2026-04-22T19:31:00Z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