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24D19" w14:textId="77777777" w:rsidR="005D4A1A" w:rsidRPr="005D4A1A" w:rsidRDefault="005D4A1A" w:rsidP="005D4A1A">
      <w:pPr>
        <w:rPr>
          <w:b/>
          <w:bCs/>
        </w:rPr>
      </w:pPr>
      <w:r w:rsidRPr="005D4A1A">
        <w:rPr>
          <w:b/>
          <w:bCs/>
        </w:rPr>
        <w:t>Using Psychological Theories to Support Adults Over 65 in a Dementia Care Home</w:t>
      </w:r>
    </w:p>
    <w:p w14:paraId="0F04A0FC" w14:textId="77777777" w:rsidR="005D4A1A" w:rsidRPr="005D4A1A" w:rsidRDefault="005D4A1A" w:rsidP="005D4A1A">
      <w:r w:rsidRPr="005D4A1A">
        <w:t>Older adults living in dementia care homes often face many emotional and behavioural challenges. They may become confused, forgetful, anxious, or withdrawn. Dementia affects memory, thinking, and communication, which can make everyday activities harder. Because of this, health and social care professionals need to understand not only physical care needs but also the psychological needs of older adults. Psychological theories can help explain why certain behaviours happen and how to support residents more effectively. This report focuses on two important theories: Erikson’s Psychosocial Theory and Piaget’s Theory of Cognitive Development. It explains how these theories apply to adults aged 65 and over, and how they can be used in dementia care homes to improve wellbeing and provide person-centred support.</w:t>
      </w:r>
    </w:p>
    <w:p w14:paraId="3FA0A269" w14:textId="46158C20" w:rsidR="005D4A1A" w:rsidRPr="005D4A1A" w:rsidRDefault="005D4A1A" w:rsidP="005D4A1A">
      <w:r w:rsidRPr="005D4A1A">
        <w:t xml:space="preserve">Erikson’s Psychosocial Theory describes human development across eight stages. The final stage, called “Integrity vs Despair,” usually begins around the age of 65. In this stage, older adults reflect on their past life and think about what they achieved, what they enjoyed, and what they might regret. If they feel satisfied and proud of their life, they reach a sense of integrity. This brings feelings of peace, acceptance, and wisdom. If they feel that life has been difficult or disappointing, they may experience despair. This can lead to sadness, low </w:t>
      </w:r>
      <w:proofErr w:type="spellStart"/>
      <w:r w:rsidRPr="005D4A1A">
        <w:t>self</w:t>
      </w:r>
      <w:r w:rsidR="00A848D8">
        <w:t xml:space="preserve"> </w:t>
      </w:r>
      <w:r w:rsidRPr="005D4A1A">
        <w:t>esteem</w:t>
      </w:r>
      <w:proofErr w:type="spellEnd"/>
      <w:r w:rsidRPr="005D4A1A">
        <w:t>, and fear of the future (Erikson, 1982). Even though dementia affects memory, older adults still hold emotional memories and can feel pride or regret based on their past experiences. Research shows that life review and reminiscence can help older adults feel more positive and improve their emotional wellbeing (Westerhof &amp; Bohlmeijer, 2014). More recent studies continue to support the importance of meaning</w:t>
      </w:r>
      <w:r w:rsidR="00A848D8">
        <w:t xml:space="preserve"> </w:t>
      </w:r>
      <w:r w:rsidRPr="005D4A1A">
        <w:t xml:space="preserve">making in older age (Van der </w:t>
      </w:r>
      <w:proofErr w:type="spellStart"/>
      <w:r w:rsidRPr="005D4A1A">
        <w:t>Kaap-Deeder</w:t>
      </w:r>
      <w:proofErr w:type="spellEnd"/>
      <w:r w:rsidRPr="005D4A1A">
        <w:t xml:space="preserve"> et al., 2021).</w:t>
      </w:r>
    </w:p>
    <w:p w14:paraId="10837F32" w14:textId="77777777" w:rsidR="005D4A1A" w:rsidRPr="005D4A1A" w:rsidRDefault="005D4A1A" w:rsidP="005D4A1A">
      <w:r w:rsidRPr="005D4A1A">
        <w:t xml:space="preserve">Piaget’s Theory of Cognitive Development was originally created to explain how children learn, but later researchers found that some ideas also apply to adults. Piaget described different stages of thinking, such as sensorimotor, preoperational, concrete operational, and formal operational. Adults usually operate at the formal operational stage, which involves solving problems, thinking abstractly, and making decisions. However, dementia can affect these abilities. As dementia progresses, people may move back toward earlier thinking patterns. For example, they may struggle with planning, understanding complex instructions, or remembering new information. This idea has influenced modern theories of cognitive decline, such as the concept of “reverse development,” where adults with dementia gradually lose skills in a pattern </w:t>
      </w:r>
      <w:proofErr w:type="gramStart"/>
      <w:r w:rsidRPr="005D4A1A">
        <w:t>similar to</w:t>
      </w:r>
      <w:proofErr w:type="gramEnd"/>
      <w:r w:rsidRPr="005D4A1A">
        <w:t xml:space="preserve"> early developmental stages (</w:t>
      </w:r>
      <w:proofErr w:type="spellStart"/>
      <w:r w:rsidRPr="005D4A1A">
        <w:t>Inhelder</w:t>
      </w:r>
      <w:proofErr w:type="spellEnd"/>
      <w:r w:rsidRPr="005D4A1A">
        <w:t xml:space="preserve"> &amp; Piaget, 1958; Ghezzi &amp; Cavallini, 2020).</w:t>
      </w:r>
    </w:p>
    <w:p w14:paraId="1FB36DF8" w14:textId="4E4A138B" w:rsidR="005D4A1A" w:rsidRPr="005D4A1A" w:rsidRDefault="005D4A1A" w:rsidP="005D4A1A">
      <w:r w:rsidRPr="005D4A1A">
        <w:t xml:space="preserve">Understanding Piaget’s theory helps care staff recognise why some tasks are difficult for residents. For example, a resident may struggle to understand a multi-step instruction, </w:t>
      </w:r>
      <w:r w:rsidRPr="005D4A1A">
        <w:lastRenderedPageBreak/>
        <w:t>not because they are being uncooperative, but because their ability to process information is reduced. Research shows that breaking tasks into small, simple steps can reduce stress and improve independence for people with dementia (Spector et al., 2010). Piaget’s ideas also show why familiar routines and hands</w:t>
      </w:r>
      <w:r w:rsidR="00A848D8">
        <w:t xml:space="preserve"> </w:t>
      </w:r>
      <w:r w:rsidRPr="005D4A1A">
        <w:t>on activities are helpful. When cognitive abilities decline, practical tasks such as folding towels, sorting objects, or gardening can feel safer and easier for residents because these activities rely on concrete thinking.</w:t>
      </w:r>
    </w:p>
    <w:p w14:paraId="418E7D8A" w14:textId="77777777" w:rsidR="005D4A1A" w:rsidRPr="005D4A1A" w:rsidRDefault="005D4A1A" w:rsidP="005D4A1A">
      <w:r w:rsidRPr="005D4A1A">
        <w:t>Erikson’s theory has many practical uses in a dementia care home. One of the most common approaches linked to his work is reminiscence therapy. This involves helping residents remember and talk about their past using photos, music, smells, or household objects. For example, listening to music from their youth or looking at old photographs can help residents recall positive memories. Research shows that reminiscence therapy improves mood, reduces depression, and increases life satisfaction in older adults (Wang, 2007; Shin et al., 2023). It also helps residents feel valued and connected to their identity, which supports Erikson’s idea of achieving integrity.</w:t>
      </w:r>
    </w:p>
    <w:p w14:paraId="1272E4B0" w14:textId="77777777" w:rsidR="005D4A1A" w:rsidRPr="005D4A1A" w:rsidRDefault="005D4A1A" w:rsidP="005D4A1A">
      <w:r w:rsidRPr="005D4A1A">
        <w:t>Life story books can also be created, often with the support of family members. These books include important memories, milestones, and preferences. Staff can use life story books to understand each resident as a person, not just as someone with dementia. For example, staff may learn that a resident used to be a teacher, loves gardening, or enjoyed dancing. Using these details in daily care builds strong emotional connections and helps the resident maintain their sense of self. Studies show that life story work improves communication and reduces behavioural distress in dementia care settings (McKeown et al., 2006).</w:t>
      </w:r>
    </w:p>
    <w:p w14:paraId="5CBBE756" w14:textId="77777777" w:rsidR="005D4A1A" w:rsidRPr="005D4A1A" w:rsidRDefault="005D4A1A" w:rsidP="005D4A1A">
      <w:r w:rsidRPr="005D4A1A">
        <w:t>Another part of Erikson’s theory is supporting dignity and autonomy. Even small choices, such as choosing clothes, picking a favourite snack, or deciding when to take part in an activity, help residents feel more in control. This supports feelings of integrity and reduces anxiety. Social interaction is also important, as positive relationships help older adults feel valued and connected.</w:t>
      </w:r>
    </w:p>
    <w:p w14:paraId="2FA6BF4F" w14:textId="4B87D3D8" w:rsidR="005D4A1A" w:rsidRPr="005D4A1A" w:rsidRDefault="005D4A1A" w:rsidP="005D4A1A">
      <w:r w:rsidRPr="005D4A1A">
        <w:t>Piaget’s theory can also be applied in several ways. First, staff can simplify communication. Dementia often affects a person’s ability to process language, so short, clear sentences are easier to understand. Demonstrating tasks rather than giving verbal instructions is also helpful. For example, instead of saying, “Please wash your face,” staff can demonstrate gently with a warm cloth. This approach is linked to Piaget’s idea that concrete, hands</w:t>
      </w:r>
      <w:r w:rsidR="00A848D8">
        <w:t xml:space="preserve"> </w:t>
      </w:r>
      <w:r w:rsidRPr="005D4A1A">
        <w:t>on learning works better when cognitive abilities decline.</w:t>
      </w:r>
    </w:p>
    <w:p w14:paraId="2B061736" w14:textId="77777777" w:rsidR="005D4A1A" w:rsidRPr="005D4A1A" w:rsidRDefault="005D4A1A" w:rsidP="005D4A1A">
      <w:r w:rsidRPr="005D4A1A">
        <w:lastRenderedPageBreak/>
        <w:t>Creating structured routines is another practical application of Piaget’s ideas. Predictable routines reduce stress because residents do not need to solve new problems or remember new information. Activities that use familiar skills, such as sorting, painting, or singing, help maintain confidence. Research supports the idea that cognitive stimulation activities can slow cognitive decline and improve daily functioning in people with dementia (Spector et al., 2003).</w:t>
      </w:r>
    </w:p>
    <w:p w14:paraId="23B54078" w14:textId="27641F4F" w:rsidR="005D4A1A" w:rsidRPr="005D4A1A" w:rsidRDefault="005D4A1A" w:rsidP="005D4A1A">
      <w:r w:rsidRPr="005D4A1A">
        <w:t xml:space="preserve">Environmental design can also be guided by Piaget’s thinking. </w:t>
      </w:r>
      <w:r>
        <w:t>D</w:t>
      </w:r>
      <w:r w:rsidRPr="005D4A1A">
        <w:t>ementia reduces abstract reasoning, clear signs, colour cues, and simple room layouts help residents understand their surroundings. For example, painting bathroom doors a bright colour or using pictures instead of written signs helps residents find their way more easily.</w:t>
      </w:r>
    </w:p>
    <w:p w14:paraId="7B770ADD" w14:textId="77777777" w:rsidR="005D4A1A" w:rsidRPr="005D4A1A" w:rsidRDefault="005D4A1A" w:rsidP="005D4A1A">
      <w:r w:rsidRPr="005D4A1A">
        <w:t>There are challenges when applying Erikson’s theory. Some residents may struggle to remember their past, while others may become upset by certain memories. Staff may also feel short of time in busy care settings. To manage these issues, reminiscence activities should be gentle and not forced. Staff can focus on sensory triggers rather than detailed facts. Families can also help create life story materials, reducing pressure on staff. Training can also help staff respond calmly to emotional reactions.</w:t>
      </w:r>
    </w:p>
    <w:p w14:paraId="20E8C73C" w14:textId="77777777" w:rsidR="005D4A1A" w:rsidRPr="005D4A1A" w:rsidRDefault="005D4A1A" w:rsidP="005D4A1A">
      <w:r w:rsidRPr="005D4A1A">
        <w:t>Applying Piaget’s theory also has challenges. Each resident is different, and cognitive abilities can change from day to day. What works one day may not work the next. Staff may also need extra training to understand how to communicate more effectively with residents who have cognitive difficulties. To overcome these challenges, care homes can offer simple training sessions, provide communication tools, and encourage teamwork so staff can share strategies that work well.</w:t>
      </w:r>
    </w:p>
    <w:p w14:paraId="1D300185" w14:textId="77777777" w:rsidR="005D4A1A" w:rsidRPr="005D4A1A" w:rsidRDefault="005D4A1A" w:rsidP="005D4A1A">
      <w:r w:rsidRPr="005D4A1A">
        <w:t>Both theories are very helpful in dementia care. Erikson’s theory focuses on identity, meaning, and emotional wellbeing. Piaget’s theory focuses on thinking, memory, and problem-solving abilities. When used together, these theories help staff understand both the emotional and cognitive needs of residents. This leads to more compassionate, patient, and effective care. Although applying psychological theories takes time and effort, the benefits for residents are clear. Residents feel more understood, more supported, and more connected to who they are.</w:t>
      </w:r>
    </w:p>
    <w:p w14:paraId="55B7120C" w14:textId="77777777" w:rsidR="005D4A1A" w:rsidRPr="005D4A1A" w:rsidRDefault="005D4A1A" w:rsidP="005D4A1A">
      <w:r w:rsidRPr="005D4A1A">
        <w:t>In conclusion, psychological theories have an important role in dementia care. Erikson’s theory supports life review, identity, autonomy, and emotional wellbeing. Piaget’s theory helps staff understand cognitive changes and adapt communication, routines, and activities. When care is guided by these theories, residents experience better quality of life, and staff are better prepared to meet their needs in a thoughtful and person-centred way.</w:t>
      </w:r>
    </w:p>
    <w:p w14:paraId="6B3C422E" w14:textId="2F891B23" w:rsidR="005D4A1A" w:rsidRPr="005D4A1A" w:rsidRDefault="005D4A1A" w:rsidP="005D4A1A"/>
    <w:p w14:paraId="01C3C72A" w14:textId="77777777" w:rsidR="005D4A1A" w:rsidRPr="005D4A1A" w:rsidRDefault="005D4A1A" w:rsidP="005D4A1A">
      <w:pPr>
        <w:rPr>
          <w:b/>
          <w:bCs/>
        </w:rPr>
      </w:pPr>
      <w:r w:rsidRPr="005D4A1A">
        <w:rPr>
          <w:b/>
          <w:bCs/>
        </w:rPr>
        <w:lastRenderedPageBreak/>
        <w:t>References</w:t>
      </w:r>
    </w:p>
    <w:p w14:paraId="1E0B38A7" w14:textId="77777777" w:rsidR="005D4A1A" w:rsidRPr="005D4A1A" w:rsidRDefault="005D4A1A" w:rsidP="005D4A1A">
      <w:pPr>
        <w:rPr>
          <w:sz w:val="22"/>
          <w:szCs w:val="22"/>
        </w:rPr>
      </w:pPr>
      <w:r w:rsidRPr="005D4A1A">
        <w:rPr>
          <w:sz w:val="22"/>
          <w:szCs w:val="22"/>
        </w:rPr>
        <w:t xml:space="preserve">Erikson, E.H. (1982) </w:t>
      </w:r>
      <w:r w:rsidRPr="005D4A1A">
        <w:rPr>
          <w:i/>
          <w:iCs/>
          <w:sz w:val="22"/>
          <w:szCs w:val="22"/>
        </w:rPr>
        <w:t>The Life Cycle Completed</w:t>
      </w:r>
      <w:r w:rsidRPr="005D4A1A">
        <w:rPr>
          <w:sz w:val="22"/>
          <w:szCs w:val="22"/>
        </w:rPr>
        <w:t>. New York: Norton.</w:t>
      </w:r>
    </w:p>
    <w:p w14:paraId="4D9896EA" w14:textId="5ABCF4E1" w:rsidR="005D4A1A" w:rsidRPr="005D4A1A" w:rsidRDefault="005D4A1A" w:rsidP="005D4A1A">
      <w:pPr>
        <w:rPr>
          <w:sz w:val="22"/>
          <w:szCs w:val="22"/>
        </w:rPr>
      </w:pPr>
      <w:r w:rsidRPr="005D4A1A">
        <w:rPr>
          <w:sz w:val="22"/>
          <w:szCs w:val="22"/>
        </w:rPr>
        <w:br/>
        <w:t xml:space="preserve">Ghezzi, L. &amp; Cavallini, E. (2020) ‘Cognitive decline and developmental theories’, </w:t>
      </w:r>
      <w:r w:rsidRPr="005D4A1A">
        <w:rPr>
          <w:i/>
          <w:iCs/>
          <w:sz w:val="22"/>
          <w:szCs w:val="22"/>
        </w:rPr>
        <w:t>Aging, Neuropsychology, and Cognition</w:t>
      </w:r>
      <w:r w:rsidRPr="005D4A1A">
        <w:rPr>
          <w:sz w:val="22"/>
          <w:szCs w:val="22"/>
        </w:rPr>
        <w:t>, 27(3), pp. 321–340.</w:t>
      </w:r>
    </w:p>
    <w:p w14:paraId="173EAE9A" w14:textId="77777777" w:rsidR="005D4A1A" w:rsidRPr="005D4A1A" w:rsidRDefault="005D4A1A" w:rsidP="005D4A1A">
      <w:pPr>
        <w:rPr>
          <w:sz w:val="22"/>
          <w:szCs w:val="22"/>
        </w:rPr>
      </w:pPr>
      <w:r w:rsidRPr="005D4A1A">
        <w:rPr>
          <w:sz w:val="22"/>
          <w:szCs w:val="22"/>
        </w:rPr>
        <w:br/>
      </w:r>
      <w:proofErr w:type="spellStart"/>
      <w:r w:rsidRPr="005D4A1A">
        <w:rPr>
          <w:sz w:val="22"/>
          <w:szCs w:val="22"/>
        </w:rPr>
        <w:t>Inhelder</w:t>
      </w:r>
      <w:proofErr w:type="spellEnd"/>
      <w:r w:rsidRPr="005D4A1A">
        <w:rPr>
          <w:sz w:val="22"/>
          <w:szCs w:val="22"/>
        </w:rPr>
        <w:t xml:space="preserve">, B. &amp; Piaget, J. (1958) </w:t>
      </w:r>
      <w:r w:rsidRPr="005D4A1A">
        <w:rPr>
          <w:i/>
          <w:iCs/>
          <w:sz w:val="22"/>
          <w:szCs w:val="22"/>
        </w:rPr>
        <w:t>The Growth of Logical Thinking</w:t>
      </w:r>
      <w:r w:rsidRPr="005D4A1A">
        <w:rPr>
          <w:sz w:val="22"/>
          <w:szCs w:val="22"/>
        </w:rPr>
        <w:t>. New York: Basic Books.</w:t>
      </w:r>
    </w:p>
    <w:p w14:paraId="78DFA430" w14:textId="71E2720F" w:rsidR="005D4A1A" w:rsidRPr="005D4A1A" w:rsidRDefault="005D4A1A" w:rsidP="005D4A1A">
      <w:pPr>
        <w:rPr>
          <w:sz w:val="22"/>
          <w:szCs w:val="22"/>
        </w:rPr>
      </w:pPr>
      <w:r w:rsidRPr="005D4A1A">
        <w:rPr>
          <w:sz w:val="22"/>
          <w:szCs w:val="22"/>
        </w:rPr>
        <w:br/>
        <w:t xml:space="preserve">McKeown, J. et al. (2006) ‘Life story work in dementia care’, </w:t>
      </w:r>
      <w:r w:rsidRPr="005D4A1A">
        <w:rPr>
          <w:i/>
          <w:iCs/>
          <w:sz w:val="22"/>
          <w:szCs w:val="22"/>
        </w:rPr>
        <w:t>Journal of Advanced Nursing</w:t>
      </w:r>
      <w:r w:rsidRPr="005D4A1A">
        <w:rPr>
          <w:sz w:val="22"/>
          <w:szCs w:val="22"/>
        </w:rPr>
        <w:t>, 55(2), pp. 237–247.</w:t>
      </w:r>
    </w:p>
    <w:p w14:paraId="613E177B" w14:textId="2617C4A5" w:rsidR="005D4A1A" w:rsidRPr="005D4A1A" w:rsidRDefault="005D4A1A" w:rsidP="005D4A1A">
      <w:pPr>
        <w:rPr>
          <w:sz w:val="22"/>
          <w:szCs w:val="22"/>
        </w:rPr>
      </w:pPr>
      <w:r w:rsidRPr="005D4A1A">
        <w:rPr>
          <w:sz w:val="22"/>
          <w:szCs w:val="22"/>
        </w:rPr>
        <w:br/>
        <w:t xml:space="preserve">Shin, J. et al. (2023) ‘Reminiscence therapy for elderly quality of life’, </w:t>
      </w:r>
      <w:r w:rsidRPr="005D4A1A">
        <w:rPr>
          <w:i/>
          <w:iCs/>
          <w:sz w:val="22"/>
          <w:szCs w:val="22"/>
        </w:rPr>
        <w:t>BMC Geriatrics</w:t>
      </w:r>
      <w:r w:rsidRPr="005D4A1A">
        <w:rPr>
          <w:sz w:val="22"/>
          <w:szCs w:val="22"/>
        </w:rPr>
        <w:t>, 23(420).</w:t>
      </w:r>
    </w:p>
    <w:p w14:paraId="21904BFE" w14:textId="37C02451" w:rsidR="005D4A1A" w:rsidRPr="005D4A1A" w:rsidRDefault="005D4A1A" w:rsidP="005D4A1A">
      <w:pPr>
        <w:rPr>
          <w:sz w:val="22"/>
          <w:szCs w:val="22"/>
        </w:rPr>
      </w:pPr>
      <w:r w:rsidRPr="005D4A1A">
        <w:rPr>
          <w:sz w:val="22"/>
          <w:szCs w:val="22"/>
        </w:rPr>
        <w:br/>
        <w:t xml:space="preserve">Spector, A. et al. (2003) ‘Cognitive stimulation therapy for dementia’, </w:t>
      </w:r>
      <w:r w:rsidRPr="005D4A1A">
        <w:rPr>
          <w:i/>
          <w:iCs/>
          <w:sz w:val="22"/>
          <w:szCs w:val="22"/>
        </w:rPr>
        <w:t>The British Journal of Psychiatry</w:t>
      </w:r>
      <w:r w:rsidRPr="005D4A1A">
        <w:rPr>
          <w:sz w:val="22"/>
          <w:szCs w:val="22"/>
        </w:rPr>
        <w:t>, 183(3), pp. 248–254.</w:t>
      </w:r>
    </w:p>
    <w:p w14:paraId="465C4635" w14:textId="5CFE4455" w:rsidR="005D4A1A" w:rsidRPr="005D4A1A" w:rsidRDefault="005D4A1A" w:rsidP="005D4A1A">
      <w:pPr>
        <w:rPr>
          <w:sz w:val="22"/>
          <w:szCs w:val="22"/>
        </w:rPr>
      </w:pPr>
      <w:r w:rsidRPr="005D4A1A">
        <w:rPr>
          <w:sz w:val="22"/>
          <w:szCs w:val="22"/>
        </w:rPr>
        <w:br/>
        <w:t xml:space="preserve">Spector, A. et al. (2010) </w:t>
      </w:r>
      <w:r w:rsidRPr="005D4A1A">
        <w:rPr>
          <w:i/>
          <w:iCs/>
          <w:sz w:val="22"/>
          <w:szCs w:val="22"/>
        </w:rPr>
        <w:t>Dementia: The International Journal of Social Research and Practice</w:t>
      </w:r>
      <w:r w:rsidRPr="005D4A1A">
        <w:rPr>
          <w:sz w:val="22"/>
          <w:szCs w:val="22"/>
        </w:rPr>
        <w:t>, 9(2), pp. 143–153.</w:t>
      </w:r>
    </w:p>
    <w:p w14:paraId="433E7F0B" w14:textId="4F9C9DBD" w:rsidR="005D4A1A" w:rsidRPr="005D4A1A" w:rsidRDefault="005D4A1A" w:rsidP="005D4A1A">
      <w:pPr>
        <w:rPr>
          <w:sz w:val="22"/>
          <w:szCs w:val="22"/>
        </w:rPr>
      </w:pPr>
      <w:r w:rsidRPr="005D4A1A">
        <w:rPr>
          <w:sz w:val="22"/>
          <w:szCs w:val="22"/>
        </w:rPr>
        <w:br/>
        <w:t xml:space="preserve">Van der </w:t>
      </w:r>
      <w:proofErr w:type="spellStart"/>
      <w:r w:rsidRPr="005D4A1A">
        <w:rPr>
          <w:sz w:val="22"/>
          <w:szCs w:val="22"/>
        </w:rPr>
        <w:t>Kaap-Deeder</w:t>
      </w:r>
      <w:proofErr w:type="spellEnd"/>
      <w:r w:rsidRPr="005D4A1A">
        <w:rPr>
          <w:sz w:val="22"/>
          <w:szCs w:val="22"/>
        </w:rPr>
        <w:t xml:space="preserve">, J. et al. (2021) ‘Ego integrity and wellbeing in older adults’, </w:t>
      </w:r>
      <w:r w:rsidRPr="005D4A1A">
        <w:rPr>
          <w:i/>
          <w:iCs/>
          <w:sz w:val="22"/>
          <w:szCs w:val="22"/>
        </w:rPr>
        <w:t>European Journal of Ageing</w:t>
      </w:r>
      <w:r w:rsidRPr="005D4A1A">
        <w:rPr>
          <w:sz w:val="22"/>
          <w:szCs w:val="22"/>
        </w:rPr>
        <w:t>, 19, pp. 117–129.</w:t>
      </w:r>
    </w:p>
    <w:p w14:paraId="31862D82" w14:textId="038C950B" w:rsidR="005D4A1A" w:rsidRPr="005D4A1A" w:rsidRDefault="005D4A1A" w:rsidP="005D4A1A">
      <w:pPr>
        <w:rPr>
          <w:sz w:val="22"/>
          <w:szCs w:val="22"/>
        </w:rPr>
      </w:pPr>
      <w:r w:rsidRPr="005D4A1A">
        <w:rPr>
          <w:sz w:val="22"/>
          <w:szCs w:val="22"/>
        </w:rPr>
        <w:br/>
        <w:t xml:space="preserve">Wang, J. (2007) ‘Group reminiscence therapy for older adults’, </w:t>
      </w:r>
      <w:r w:rsidRPr="005D4A1A">
        <w:rPr>
          <w:i/>
          <w:iCs/>
          <w:sz w:val="22"/>
          <w:szCs w:val="22"/>
        </w:rPr>
        <w:t>Aging &amp; Mental Health</w:t>
      </w:r>
      <w:r w:rsidRPr="005D4A1A">
        <w:rPr>
          <w:sz w:val="22"/>
          <w:szCs w:val="22"/>
        </w:rPr>
        <w:t>, 11(6), pp. 622–627.</w:t>
      </w:r>
    </w:p>
    <w:p w14:paraId="4EBC51D3" w14:textId="51C5EF9D" w:rsidR="005D4A1A" w:rsidRPr="005D4A1A" w:rsidRDefault="005D4A1A" w:rsidP="005D4A1A">
      <w:pPr>
        <w:rPr>
          <w:sz w:val="22"/>
          <w:szCs w:val="22"/>
        </w:rPr>
      </w:pPr>
      <w:r w:rsidRPr="005D4A1A">
        <w:rPr>
          <w:sz w:val="22"/>
          <w:szCs w:val="22"/>
        </w:rPr>
        <w:br/>
        <w:t xml:space="preserve">Westerhof, G. &amp; Bohlmeijer, E. (2014) ‘Life review and meaning in old age’, </w:t>
      </w:r>
      <w:r w:rsidRPr="005D4A1A">
        <w:rPr>
          <w:i/>
          <w:iCs/>
          <w:sz w:val="22"/>
          <w:szCs w:val="22"/>
        </w:rPr>
        <w:t>Gerontologist</w:t>
      </w:r>
      <w:r w:rsidRPr="005D4A1A">
        <w:rPr>
          <w:sz w:val="22"/>
          <w:szCs w:val="22"/>
        </w:rPr>
        <w:t>, 54(2), pp. 291–300.</w:t>
      </w:r>
    </w:p>
    <w:p w14:paraId="46DF7CC1" w14:textId="77777777" w:rsidR="00FC710C" w:rsidRDefault="00FC710C"/>
    <w:sectPr w:rsidR="00FC710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AF994" w14:textId="77777777" w:rsidR="007E4E61" w:rsidRDefault="007E4E61" w:rsidP="00FC710C">
      <w:pPr>
        <w:spacing w:after="0" w:line="240" w:lineRule="auto"/>
      </w:pPr>
      <w:r>
        <w:separator/>
      </w:r>
    </w:p>
  </w:endnote>
  <w:endnote w:type="continuationSeparator" w:id="0">
    <w:p w14:paraId="644B5340" w14:textId="77777777" w:rsidR="007E4E61" w:rsidRDefault="007E4E61" w:rsidP="00FC7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9C149" w14:textId="77777777" w:rsidR="007E4E61" w:rsidRDefault="007E4E61" w:rsidP="00FC710C">
      <w:pPr>
        <w:spacing w:after="0" w:line="240" w:lineRule="auto"/>
      </w:pPr>
      <w:r>
        <w:separator/>
      </w:r>
    </w:p>
  </w:footnote>
  <w:footnote w:type="continuationSeparator" w:id="0">
    <w:p w14:paraId="72CECA7D" w14:textId="77777777" w:rsidR="007E4E61" w:rsidRDefault="007E4E61" w:rsidP="00FC71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9E1BC" w14:textId="0B32B6D5" w:rsidR="00FC710C" w:rsidRDefault="00FC710C">
    <w:pPr>
      <w:pStyle w:val="Header"/>
    </w:pPr>
    <w:r w:rsidRPr="00FC710C">
      <w:t>24</w:t>
    </w:r>
    <w:r w:rsidR="00A848D8">
      <w:t>14</w:t>
    </w:r>
    <w:r w:rsidR="005D4A1A">
      <w:t>992</w:t>
    </w:r>
  </w:p>
  <w:p w14:paraId="48A7159C" w14:textId="140ADF00" w:rsidR="00FC710C" w:rsidRDefault="005D4A1A">
    <w:pPr>
      <w:pStyle w:val="Header"/>
    </w:pPr>
    <w:r>
      <w:t>Robina Shaheen</w:t>
    </w:r>
  </w:p>
  <w:p w14:paraId="13F7603F" w14:textId="242DE03F" w:rsidR="00FC710C" w:rsidRDefault="00FC710C">
    <w:pPr>
      <w:pStyle w:val="Header"/>
    </w:pPr>
    <w:r>
      <w:t>P</w:t>
    </w:r>
    <w:r w:rsidR="004956F1">
      <w:t xml:space="preserve">rofessional </w:t>
    </w:r>
    <w:proofErr w:type="spellStart"/>
    <w:r w:rsidR="004956F1">
      <w:t>deveopment</w:t>
    </w:r>
    <w:proofErr w:type="spellEnd"/>
  </w:p>
  <w:p w14:paraId="0863F5A4" w14:textId="00B2FF0A" w:rsidR="00FC710C" w:rsidRDefault="00FC710C">
    <w:pPr>
      <w:pStyle w:val="Header"/>
    </w:pPr>
    <w:r>
      <w:t>LCHS4</w:t>
    </w:r>
    <w:r w:rsidR="004956F1">
      <w:t>009</w:t>
    </w:r>
  </w:p>
  <w:p w14:paraId="5F3D4BDC" w14:textId="77777777" w:rsidR="00FC710C" w:rsidRDefault="00FC7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A5F39"/>
    <w:multiLevelType w:val="multilevel"/>
    <w:tmpl w:val="8946D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A55C6C"/>
    <w:multiLevelType w:val="multilevel"/>
    <w:tmpl w:val="B732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1080441">
    <w:abstractNumId w:val="0"/>
  </w:num>
  <w:num w:numId="2" w16cid:durableId="291331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10C"/>
    <w:rsid w:val="00065E9B"/>
    <w:rsid w:val="000B41F7"/>
    <w:rsid w:val="004956F1"/>
    <w:rsid w:val="00551087"/>
    <w:rsid w:val="005D4A1A"/>
    <w:rsid w:val="007E4E61"/>
    <w:rsid w:val="009E7C25"/>
    <w:rsid w:val="00A848D8"/>
    <w:rsid w:val="00FC710C"/>
    <w:rsid w:val="00FD4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3F220"/>
  <w15:chartTrackingRefBased/>
  <w15:docId w15:val="{CEDBC57D-F921-469E-ACC6-3018E70D5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1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71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1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1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1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1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1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1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1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1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71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1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1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1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1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1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1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10C"/>
    <w:rPr>
      <w:rFonts w:eastAsiaTheme="majorEastAsia" w:cstheme="majorBidi"/>
      <w:color w:val="272727" w:themeColor="text1" w:themeTint="D8"/>
    </w:rPr>
  </w:style>
  <w:style w:type="paragraph" w:styleId="Title">
    <w:name w:val="Title"/>
    <w:basedOn w:val="Normal"/>
    <w:next w:val="Normal"/>
    <w:link w:val="TitleChar"/>
    <w:uiPriority w:val="10"/>
    <w:qFormat/>
    <w:rsid w:val="00FC71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1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1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1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10C"/>
    <w:pPr>
      <w:spacing w:before="160"/>
      <w:jc w:val="center"/>
    </w:pPr>
    <w:rPr>
      <w:i/>
      <w:iCs/>
      <w:color w:val="404040" w:themeColor="text1" w:themeTint="BF"/>
    </w:rPr>
  </w:style>
  <w:style w:type="character" w:customStyle="1" w:styleId="QuoteChar">
    <w:name w:val="Quote Char"/>
    <w:basedOn w:val="DefaultParagraphFont"/>
    <w:link w:val="Quote"/>
    <w:uiPriority w:val="29"/>
    <w:rsid w:val="00FC710C"/>
    <w:rPr>
      <w:i/>
      <w:iCs/>
      <w:color w:val="404040" w:themeColor="text1" w:themeTint="BF"/>
    </w:rPr>
  </w:style>
  <w:style w:type="paragraph" w:styleId="ListParagraph">
    <w:name w:val="List Paragraph"/>
    <w:basedOn w:val="Normal"/>
    <w:uiPriority w:val="34"/>
    <w:qFormat/>
    <w:rsid w:val="00FC710C"/>
    <w:pPr>
      <w:ind w:left="720"/>
      <w:contextualSpacing/>
    </w:pPr>
  </w:style>
  <w:style w:type="character" w:styleId="IntenseEmphasis">
    <w:name w:val="Intense Emphasis"/>
    <w:basedOn w:val="DefaultParagraphFont"/>
    <w:uiPriority w:val="21"/>
    <w:qFormat/>
    <w:rsid w:val="00FC710C"/>
    <w:rPr>
      <w:i/>
      <w:iCs/>
      <w:color w:val="0F4761" w:themeColor="accent1" w:themeShade="BF"/>
    </w:rPr>
  </w:style>
  <w:style w:type="paragraph" w:styleId="IntenseQuote">
    <w:name w:val="Intense Quote"/>
    <w:basedOn w:val="Normal"/>
    <w:next w:val="Normal"/>
    <w:link w:val="IntenseQuoteChar"/>
    <w:uiPriority w:val="30"/>
    <w:qFormat/>
    <w:rsid w:val="00FC71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10C"/>
    <w:rPr>
      <w:i/>
      <w:iCs/>
      <w:color w:val="0F4761" w:themeColor="accent1" w:themeShade="BF"/>
    </w:rPr>
  </w:style>
  <w:style w:type="character" w:styleId="IntenseReference">
    <w:name w:val="Intense Reference"/>
    <w:basedOn w:val="DefaultParagraphFont"/>
    <w:uiPriority w:val="32"/>
    <w:qFormat/>
    <w:rsid w:val="00FC710C"/>
    <w:rPr>
      <w:b/>
      <w:bCs/>
      <w:smallCaps/>
      <w:color w:val="0F4761" w:themeColor="accent1" w:themeShade="BF"/>
      <w:spacing w:val="5"/>
    </w:rPr>
  </w:style>
  <w:style w:type="paragraph" w:styleId="Header">
    <w:name w:val="header"/>
    <w:basedOn w:val="Normal"/>
    <w:link w:val="HeaderChar"/>
    <w:uiPriority w:val="99"/>
    <w:unhideWhenUsed/>
    <w:rsid w:val="00FC7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10C"/>
  </w:style>
  <w:style w:type="paragraph" w:styleId="Footer">
    <w:name w:val="footer"/>
    <w:basedOn w:val="Normal"/>
    <w:link w:val="FooterChar"/>
    <w:uiPriority w:val="99"/>
    <w:unhideWhenUsed/>
    <w:rsid w:val="00FC7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10C"/>
  </w:style>
  <w:style w:type="character" w:styleId="Hyperlink">
    <w:name w:val="Hyperlink"/>
    <w:basedOn w:val="DefaultParagraphFont"/>
    <w:uiPriority w:val="99"/>
    <w:unhideWhenUsed/>
    <w:rsid w:val="004956F1"/>
    <w:rPr>
      <w:color w:val="467886" w:themeColor="hyperlink"/>
      <w:u w:val="single"/>
    </w:rPr>
  </w:style>
  <w:style w:type="character" w:styleId="UnresolvedMention">
    <w:name w:val="Unresolved Mention"/>
    <w:basedOn w:val="DefaultParagraphFont"/>
    <w:uiPriority w:val="99"/>
    <w:semiHidden/>
    <w:unhideWhenUsed/>
    <w:rsid w:val="004956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1441</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Robina</dc:creator>
  <cp:keywords/>
  <dc:description/>
  <cp:lastModifiedBy>Aiman</cp:lastModifiedBy>
  <cp:revision>2</cp:revision>
  <dcterms:created xsi:type="dcterms:W3CDTF">2025-11-15T20:11:00Z</dcterms:created>
  <dcterms:modified xsi:type="dcterms:W3CDTF">2025-11-15T20:11:00Z</dcterms:modified>
</cp:coreProperties>
</file>