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181ACC" w14:textId="6057B062" w:rsidR="00583635" w:rsidRDefault="00583635" w:rsidP="00583635">
      <w:pPr>
        <w:jc w:val="center"/>
        <w:rPr>
          <w:b/>
          <w:bCs/>
          <w:sz w:val="52"/>
          <w:szCs w:val="52"/>
        </w:rPr>
      </w:pPr>
      <w:r w:rsidRPr="00E76AEC">
        <w:rPr>
          <w:b/>
          <w:bCs/>
          <w:sz w:val="52"/>
          <w:szCs w:val="52"/>
        </w:rPr>
        <w:t xml:space="preserve">Module Title – </w:t>
      </w:r>
      <w:r w:rsidR="00C92914">
        <w:rPr>
          <w:b/>
          <w:bCs/>
          <w:sz w:val="52"/>
          <w:szCs w:val="52"/>
        </w:rPr>
        <w:t>Psychology in Health And Social Care</w:t>
      </w:r>
    </w:p>
    <w:p w14:paraId="4CC8B650" w14:textId="77777777" w:rsidR="00583635" w:rsidRPr="00E76AEC" w:rsidRDefault="00583635" w:rsidP="00583635">
      <w:pPr>
        <w:jc w:val="center"/>
        <w:rPr>
          <w:b/>
          <w:bCs/>
          <w:sz w:val="52"/>
          <w:szCs w:val="52"/>
        </w:rPr>
      </w:pPr>
    </w:p>
    <w:p w14:paraId="4B06E95D" w14:textId="1D8C05F6" w:rsidR="00583635" w:rsidRDefault="00583635" w:rsidP="00583635">
      <w:pPr>
        <w:jc w:val="center"/>
        <w:rPr>
          <w:b/>
          <w:bCs/>
          <w:sz w:val="52"/>
          <w:szCs w:val="52"/>
        </w:rPr>
      </w:pPr>
      <w:r w:rsidRPr="00E76AEC">
        <w:rPr>
          <w:b/>
          <w:bCs/>
          <w:sz w:val="52"/>
          <w:szCs w:val="52"/>
        </w:rPr>
        <w:t>Study Module Code – LCHS</w:t>
      </w:r>
      <w:r w:rsidR="00C92914">
        <w:rPr>
          <w:b/>
          <w:bCs/>
          <w:sz w:val="52"/>
          <w:szCs w:val="52"/>
        </w:rPr>
        <w:t>4010</w:t>
      </w:r>
    </w:p>
    <w:p w14:paraId="63336781" w14:textId="77777777" w:rsidR="00583635" w:rsidRPr="00E76AEC" w:rsidRDefault="00583635" w:rsidP="00583635">
      <w:pPr>
        <w:jc w:val="center"/>
        <w:rPr>
          <w:b/>
          <w:bCs/>
          <w:sz w:val="52"/>
          <w:szCs w:val="52"/>
        </w:rPr>
      </w:pPr>
    </w:p>
    <w:p w14:paraId="4616AE15" w14:textId="55C11D8E" w:rsidR="00583635" w:rsidRDefault="00583635" w:rsidP="00583635">
      <w:pPr>
        <w:jc w:val="center"/>
        <w:rPr>
          <w:b/>
          <w:bCs/>
          <w:sz w:val="52"/>
          <w:szCs w:val="52"/>
        </w:rPr>
      </w:pPr>
      <w:r w:rsidRPr="00E76AEC">
        <w:rPr>
          <w:b/>
          <w:bCs/>
          <w:sz w:val="52"/>
          <w:szCs w:val="52"/>
        </w:rPr>
        <w:t xml:space="preserve">Assignment Title – </w:t>
      </w:r>
      <w:r w:rsidR="00A00BC0">
        <w:rPr>
          <w:b/>
          <w:bCs/>
          <w:sz w:val="52"/>
          <w:szCs w:val="52"/>
        </w:rPr>
        <w:t>Bibliography and  Report</w:t>
      </w:r>
    </w:p>
    <w:p w14:paraId="6F213CE2" w14:textId="77777777" w:rsidR="00583635" w:rsidRPr="00E76AEC" w:rsidRDefault="00583635" w:rsidP="00583635">
      <w:pPr>
        <w:jc w:val="center"/>
        <w:rPr>
          <w:b/>
          <w:bCs/>
          <w:sz w:val="52"/>
          <w:szCs w:val="52"/>
        </w:rPr>
      </w:pPr>
    </w:p>
    <w:p w14:paraId="6929A176" w14:textId="77777777" w:rsidR="00583635" w:rsidRDefault="00583635" w:rsidP="00583635">
      <w:pPr>
        <w:jc w:val="center"/>
        <w:rPr>
          <w:b/>
          <w:bCs/>
          <w:sz w:val="52"/>
          <w:szCs w:val="52"/>
        </w:rPr>
      </w:pPr>
      <w:r w:rsidRPr="00E76AEC">
        <w:rPr>
          <w:b/>
          <w:bCs/>
          <w:sz w:val="52"/>
          <w:szCs w:val="52"/>
        </w:rPr>
        <w:t>Student Name – Tayyaba Arshad</w:t>
      </w:r>
    </w:p>
    <w:p w14:paraId="7D241357" w14:textId="77777777" w:rsidR="00583635" w:rsidRPr="00E76AEC" w:rsidRDefault="00583635" w:rsidP="00583635">
      <w:pPr>
        <w:jc w:val="center"/>
        <w:rPr>
          <w:b/>
          <w:bCs/>
          <w:sz w:val="52"/>
          <w:szCs w:val="52"/>
        </w:rPr>
      </w:pPr>
    </w:p>
    <w:p w14:paraId="6C06EAE3" w14:textId="77777777" w:rsidR="00583635" w:rsidRDefault="00583635" w:rsidP="00583635">
      <w:pPr>
        <w:jc w:val="center"/>
        <w:rPr>
          <w:b/>
          <w:bCs/>
          <w:sz w:val="52"/>
          <w:szCs w:val="52"/>
        </w:rPr>
      </w:pPr>
      <w:r w:rsidRPr="00E76AEC">
        <w:rPr>
          <w:b/>
          <w:bCs/>
          <w:sz w:val="52"/>
          <w:szCs w:val="52"/>
        </w:rPr>
        <w:t>Student No – 2437578</w:t>
      </w:r>
    </w:p>
    <w:p w14:paraId="606DF116" w14:textId="77777777" w:rsidR="00583635" w:rsidRPr="00E76AEC" w:rsidRDefault="00583635" w:rsidP="00583635">
      <w:pPr>
        <w:jc w:val="center"/>
        <w:rPr>
          <w:b/>
          <w:bCs/>
          <w:sz w:val="52"/>
          <w:szCs w:val="52"/>
        </w:rPr>
      </w:pPr>
    </w:p>
    <w:p w14:paraId="74C6C51C" w14:textId="3CE537AD" w:rsidR="00583635" w:rsidRPr="00E76AEC" w:rsidRDefault="00583635" w:rsidP="00583635">
      <w:pPr>
        <w:jc w:val="center"/>
        <w:rPr>
          <w:b/>
          <w:bCs/>
          <w:sz w:val="52"/>
          <w:szCs w:val="52"/>
        </w:rPr>
      </w:pPr>
      <w:r w:rsidRPr="00E76AEC">
        <w:rPr>
          <w:b/>
          <w:bCs/>
          <w:sz w:val="52"/>
          <w:szCs w:val="52"/>
        </w:rPr>
        <w:t>Lecturer Name-</w:t>
      </w:r>
      <w:r w:rsidR="00E6263A">
        <w:rPr>
          <w:b/>
          <w:bCs/>
          <w:sz w:val="52"/>
          <w:szCs w:val="52"/>
        </w:rPr>
        <w:t>Rizwan Nadim</w:t>
      </w:r>
    </w:p>
    <w:p w14:paraId="0884C780" w14:textId="77777777" w:rsidR="00583635" w:rsidRDefault="00583635" w:rsidP="00583635"/>
    <w:p w14:paraId="68E62495" w14:textId="77777777" w:rsidR="00583635" w:rsidRDefault="00583635" w:rsidP="00583635"/>
    <w:p w14:paraId="601652FA" w14:textId="77777777" w:rsidR="00583635" w:rsidRDefault="00583635" w:rsidP="00583635"/>
    <w:p w14:paraId="537A1B68" w14:textId="77777777" w:rsidR="00583635" w:rsidRDefault="00583635" w:rsidP="00583635"/>
    <w:p w14:paraId="20322F4F" w14:textId="77777777" w:rsidR="00583635" w:rsidRDefault="00583635" w:rsidP="00192BCD">
      <w:pPr>
        <w:spacing w:line="360" w:lineRule="auto"/>
        <w:rPr>
          <w:rFonts w:ascii="Arial" w:hAnsi="Arial" w:cs="Arial"/>
          <w:sz w:val="22"/>
          <w:szCs w:val="22"/>
        </w:rPr>
      </w:pPr>
    </w:p>
    <w:p w14:paraId="5C592C93" w14:textId="164CED24" w:rsidR="00E62714" w:rsidRPr="00192BCD" w:rsidRDefault="00387959" w:rsidP="00192BCD">
      <w:pPr>
        <w:spacing w:line="360" w:lineRule="auto"/>
        <w:rPr>
          <w:rFonts w:ascii="Arial" w:hAnsi="Arial" w:cs="Arial"/>
          <w:sz w:val="22"/>
          <w:szCs w:val="22"/>
        </w:rPr>
      </w:pPr>
      <w:r w:rsidRPr="00192BCD">
        <w:rPr>
          <w:rFonts w:ascii="Arial" w:hAnsi="Arial" w:cs="Arial"/>
          <w:sz w:val="22"/>
          <w:szCs w:val="22"/>
        </w:rPr>
        <w:lastRenderedPageBreak/>
        <w:t>Part A</w:t>
      </w:r>
    </w:p>
    <w:p w14:paraId="552CCEEE" w14:textId="0A958AC7" w:rsidR="00387959" w:rsidRPr="0066439E" w:rsidRDefault="00387959" w:rsidP="00192BCD">
      <w:pPr>
        <w:spacing w:line="360" w:lineRule="auto"/>
        <w:rPr>
          <w:rFonts w:ascii="Arial" w:hAnsi="Arial" w:cs="Arial"/>
          <w:sz w:val="22"/>
          <w:szCs w:val="22"/>
        </w:rPr>
      </w:pPr>
      <w:r w:rsidRPr="00192BCD">
        <w:rPr>
          <w:rFonts w:ascii="Arial" w:hAnsi="Arial" w:cs="Arial"/>
          <w:sz w:val="22"/>
          <w:szCs w:val="22"/>
        </w:rPr>
        <w:t>Introduction Understanding psychological theories is essential in health and social care because they help explain how adults think, feel, and behave throughout their lives. Older adults often experience major transitions such as illness, loss of independence, and moving into care settings. These changes can affect their emotional wellbeing and behaviour. Using theories such as Bowlby’s Attachment Theory and Ajzen’s Theory of Planned Behaviour (TPB) helps carers provide more sensitive, person</w:t>
      </w:r>
      <w:r w:rsidRPr="00192BCD">
        <w:rPr>
          <w:rFonts w:ascii="Arial" w:hAnsi="Arial" w:cs="Arial"/>
          <w:sz w:val="22"/>
          <w:szCs w:val="22"/>
        </w:rPr>
        <w:noBreakHyphen/>
        <w:t>centred support. This annotated bibliography reviews four recent academic sources and evaluates how each one can inform care for older adults.</w:t>
      </w:r>
    </w:p>
    <w:p w14:paraId="58260ABA" w14:textId="77777777" w:rsidR="0070103C" w:rsidRPr="0070103C" w:rsidRDefault="0070103C" w:rsidP="00192BCD">
      <w:pPr>
        <w:spacing w:line="360" w:lineRule="auto"/>
        <w:rPr>
          <w:rFonts w:ascii="Arial" w:hAnsi="Arial" w:cs="Arial"/>
          <w:sz w:val="22"/>
          <w:szCs w:val="22"/>
        </w:rPr>
      </w:pPr>
      <w:r w:rsidRPr="0070103C">
        <w:rPr>
          <w:rFonts w:ascii="Arial" w:hAnsi="Arial" w:cs="Arial"/>
          <w:sz w:val="22"/>
          <w:szCs w:val="22"/>
        </w:rPr>
        <w:t>1. Van Assche, L., Luyten, P. and Vliegen, N. (2023)</w:t>
      </w:r>
    </w:p>
    <w:p w14:paraId="46767662" w14:textId="77777777" w:rsidR="0070103C" w:rsidRPr="0070103C" w:rsidRDefault="0070103C" w:rsidP="00192BCD">
      <w:pPr>
        <w:spacing w:line="360" w:lineRule="auto"/>
        <w:rPr>
          <w:rFonts w:ascii="Arial" w:hAnsi="Arial" w:cs="Arial"/>
          <w:sz w:val="22"/>
          <w:szCs w:val="22"/>
        </w:rPr>
      </w:pPr>
      <w:r w:rsidRPr="0070103C">
        <w:rPr>
          <w:rFonts w:ascii="Arial" w:hAnsi="Arial" w:cs="Arial"/>
          <w:sz w:val="22"/>
          <w:szCs w:val="22"/>
        </w:rPr>
        <w:t>‘Attachment and wellbeing across the adult lifespan’, Clinical Psychology Review, 101, pp. 1–12.</w:t>
      </w:r>
    </w:p>
    <w:p w14:paraId="49A86E42" w14:textId="77777777" w:rsidR="0070103C" w:rsidRPr="0070103C" w:rsidRDefault="0070103C" w:rsidP="00192BCD">
      <w:pPr>
        <w:spacing w:line="360" w:lineRule="auto"/>
        <w:rPr>
          <w:rFonts w:ascii="Arial" w:hAnsi="Arial" w:cs="Arial"/>
          <w:sz w:val="22"/>
          <w:szCs w:val="22"/>
        </w:rPr>
      </w:pPr>
      <w:r w:rsidRPr="0070103C">
        <w:rPr>
          <w:rFonts w:ascii="Arial" w:hAnsi="Arial" w:cs="Arial"/>
          <w:sz w:val="22"/>
          <w:szCs w:val="22"/>
        </w:rPr>
        <w:t>Summary This review brings together recent research showing that attachment patterns continue to influence adults throughout life. The authors report that secure attachment is linked to better emotional regulation, stronger coping skills, and healthier relationships. In contrast, anxious and avoidant attachment styles are associated with loneliness, stress, and difficulties trusting others. The review highlights that attachment needs often become stronger in later life due to increased dependency and vulnerability.</w:t>
      </w:r>
    </w:p>
    <w:p w14:paraId="598290C8" w14:textId="77777777" w:rsidR="00062B45" w:rsidRPr="00062B45" w:rsidRDefault="00062B45" w:rsidP="00192BCD">
      <w:pPr>
        <w:spacing w:line="360" w:lineRule="auto"/>
        <w:rPr>
          <w:rFonts w:ascii="Arial" w:hAnsi="Arial" w:cs="Arial"/>
          <w:sz w:val="22"/>
          <w:szCs w:val="22"/>
        </w:rPr>
      </w:pPr>
      <w:r w:rsidRPr="00062B45">
        <w:rPr>
          <w:rFonts w:ascii="Arial" w:hAnsi="Arial" w:cs="Arial"/>
          <w:sz w:val="22"/>
          <w:szCs w:val="22"/>
        </w:rPr>
        <w:t>Evaluation A major strength of this article is that it is a recent, peer</w:t>
      </w:r>
      <w:r w:rsidRPr="00062B45">
        <w:rPr>
          <w:rFonts w:ascii="Arial" w:hAnsi="Arial" w:cs="Arial"/>
          <w:sz w:val="22"/>
          <w:szCs w:val="22"/>
        </w:rPr>
        <w:noBreakHyphen/>
        <w:t>reviewed review drawing on a wide range of studies, which provides strong evidence that attachment remains important in older adulthood. This makes the findings reliable for informing care practice. A limitation is that the paper focuses mainly on theory and does not offer practical strategies for carers. However, the overall judgement is that the source is highly useful because it clearly explains why attachment</w:t>
      </w:r>
      <w:r w:rsidRPr="00062B45">
        <w:rPr>
          <w:rFonts w:ascii="Arial" w:hAnsi="Arial" w:cs="Arial"/>
          <w:sz w:val="22"/>
          <w:szCs w:val="22"/>
        </w:rPr>
        <w:noBreakHyphen/>
        <w:t>informed care is essential when supporting older adults who may rely heavily on staff for emotional security.</w:t>
      </w:r>
    </w:p>
    <w:p w14:paraId="00F94198" w14:textId="77777777" w:rsidR="00062B45" w:rsidRPr="00192BCD" w:rsidRDefault="00062B45" w:rsidP="00192BCD">
      <w:pPr>
        <w:spacing w:line="360" w:lineRule="auto"/>
        <w:rPr>
          <w:rFonts w:ascii="Arial" w:hAnsi="Arial" w:cs="Arial"/>
          <w:sz w:val="22"/>
          <w:szCs w:val="22"/>
        </w:rPr>
      </w:pPr>
      <w:r w:rsidRPr="00062B45">
        <w:rPr>
          <w:rFonts w:ascii="Arial" w:hAnsi="Arial" w:cs="Arial"/>
          <w:sz w:val="22"/>
          <w:szCs w:val="22"/>
        </w:rPr>
        <w:t>Real</w:t>
      </w:r>
      <w:r w:rsidRPr="00062B45">
        <w:rPr>
          <w:rFonts w:ascii="Arial" w:hAnsi="Arial" w:cs="Arial"/>
          <w:sz w:val="22"/>
          <w:szCs w:val="22"/>
        </w:rPr>
        <w:noBreakHyphen/>
        <w:t>life example linked to theory A resident who becomes distressed when a familiar carer is absent may be showing signs of anxious attachment, such as fear of abandonment and a strong need for reassurance. Consistent staffing and clear communication can help meet these attachment needs and reduce anxiety.</w:t>
      </w:r>
    </w:p>
    <w:p w14:paraId="531C4713" w14:textId="77777777" w:rsidR="00062B45" w:rsidRPr="00062B45" w:rsidRDefault="00062B45" w:rsidP="00192BCD">
      <w:pPr>
        <w:spacing w:line="360" w:lineRule="auto"/>
        <w:rPr>
          <w:rFonts w:ascii="Arial" w:hAnsi="Arial" w:cs="Arial"/>
          <w:sz w:val="22"/>
          <w:szCs w:val="22"/>
        </w:rPr>
      </w:pPr>
      <w:r w:rsidRPr="00062B45">
        <w:rPr>
          <w:rFonts w:ascii="Arial" w:hAnsi="Arial" w:cs="Arial"/>
          <w:sz w:val="22"/>
          <w:szCs w:val="22"/>
        </w:rPr>
        <w:t>2. Worsley, J. and Corcoran, R. (2024)</w:t>
      </w:r>
    </w:p>
    <w:p w14:paraId="7EDF8814" w14:textId="77777777" w:rsidR="00062B45" w:rsidRPr="00062B45" w:rsidRDefault="00062B45" w:rsidP="00192BCD">
      <w:pPr>
        <w:spacing w:line="360" w:lineRule="auto"/>
        <w:rPr>
          <w:rFonts w:ascii="Arial" w:hAnsi="Arial" w:cs="Arial"/>
          <w:sz w:val="22"/>
          <w:szCs w:val="22"/>
        </w:rPr>
      </w:pPr>
      <w:r w:rsidRPr="00062B45">
        <w:rPr>
          <w:rFonts w:ascii="Arial" w:hAnsi="Arial" w:cs="Arial"/>
          <w:sz w:val="22"/>
          <w:szCs w:val="22"/>
        </w:rPr>
        <w:t>‘Attachment, loneliness and mental health in later life’, Aging &amp; Mental Health, 28(2), pp. 145–156.</w:t>
      </w:r>
    </w:p>
    <w:p w14:paraId="607461D9" w14:textId="77777777" w:rsidR="00062B45" w:rsidRPr="00062B45" w:rsidRDefault="00062B45" w:rsidP="00192BCD">
      <w:pPr>
        <w:spacing w:line="360" w:lineRule="auto"/>
        <w:rPr>
          <w:rFonts w:ascii="Arial" w:hAnsi="Arial" w:cs="Arial"/>
          <w:sz w:val="22"/>
          <w:szCs w:val="22"/>
        </w:rPr>
      </w:pPr>
      <w:r w:rsidRPr="00062B45">
        <w:rPr>
          <w:rFonts w:ascii="Arial" w:hAnsi="Arial" w:cs="Arial"/>
          <w:sz w:val="22"/>
          <w:szCs w:val="22"/>
        </w:rPr>
        <w:lastRenderedPageBreak/>
        <w:t>Summary This study examines how attachment styles relate to loneliness and mental health in older adults. The authors found that insecure attachment—especially anxious attachment—is strongly linked to higher levels of loneliness, depression, and social withdrawal. They also show that supportive relationships, including positive interactions with carers, can reduce loneliness even when early attachment experiences were negative.</w:t>
      </w:r>
    </w:p>
    <w:p w14:paraId="6650DF49" w14:textId="77777777" w:rsidR="00E52E37" w:rsidRPr="00E52E37" w:rsidRDefault="00E52E37" w:rsidP="00192BCD">
      <w:pPr>
        <w:spacing w:line="360" w:lineRule="auto"/>
        <w:rPr>
          <w:rFonts w:ascii="Arial" w:hAnsi="Arial" w:cs="Arial"/>
          <w:sz w:val="22"/>
          <w:szCs w:val="22"/>
        </w:rPr>
      </w:pPr>
      <w:r w:rsidRPr="00E52E37">
        <w:rPr>
          <w:rFonts w:ascii="Arial" w:hAnsi="Arial" w:cs="Arial"/>
          <w:sz w:val="22"/>
          <w:szCs w:val="22"/>
        </w:rPr>
        <w:t>Evaluation A key strength of this study is that it focuses specifically on older adults, making the findings directly relevant to care settings. The research provides clear evidence that insecure attachment increases vulnerability to loneliness, a major issue in residential care. A limitation is that the study relies on self</w:t>
      </w:r>
      <w:r w:rsidRPr="00E52E37">
        <w:rPr>
          <w:rFonts w:ascii="Arial" w:hAnsi="Arial" w:cs="Arial"/>
          <w:sz w:val="22"/>
          <w:szCs w:val="22"/>
        </w:rPr>
        <w:noBreakHyphen/>
        <w:t>report questionnaires, which may not always reflect real behaviour. Despite this, the overall judgement is that the article is very useful because it highlights how carers can act as important attachment figures who help reduce loneliness and improve emotional wellbeing.</w:t>
      </w:r>
    </w:p>
    <w:p w14:paraId="4792F37F" w14:textId="77777777" w:rsidR="00E52E37" w:rsidRPr="00192BCD" w:rsidRDefault="00E52E37" w:rsidP="00192BCD">
      <w:pPr>
        <w:spacing w:line="360" w:lineRule="auto"/>
        <w:rPr>
          <w:rFonts w:ascii="Arial" w:hAnsi="Arial" w:cs="Arial"/>
          <w:sz w:val="22"/>
          <w:szCs w:val="22"/>
        </w:rPr>
      </w:pPr>
      <w:r w:rsidRPr="00E52E37">
        <w:rPr>
          <w:rFonts w:ascii="Arial" w:hAnsi="Arial" w:cs="Arial"/>
          <w:sz w:val="22"/>
          <w:szCs w:val="22"/>
        </w:rPr>
        <w:t>Real</w:t>
      </w:r>
      <w:r w:rsidRPr="00E52E37">
        <w:rPr>
          <w:rFonts w:ascii="Arial" w:hAnsi="Arial" w:cs="Arial"/>
          <w:sz w:val="22"/>
          <w:szCs w:val="22"/>
        </w:rPr>
        <w:noBreakHyphen/>
        <w:t>life example linked to theory A resident who repeatedly seeks reassurance from staff may not be “attention seeking” but instead showing anxious attachment behaviours. Offering consistent emotional support can help them feel more secure and reduce distress.</w:t>
      </w:r>
    </w:p>
    <w:p w14:paraId="35C72BD1" w14:textId="77777777" w:rsidR="00E52E37" w:rsidRPr="00E52E37" w:rsidRDefault="00E52E37" w:rsidP="00192BCD">
      <w:pPr>
        <w:spacing w:line="360" w:lineRule="auto"/>
        <w:rPr>
          <w:rFonts w:ascii="Arial" w:hAnsi="Arial" w:cs="Arial"/>
          <w:sz w:val="22"/>
          <w:szCs w:val="22"/>
        </w:rPr>
      </w:pPr>
      <w:r w:rsidRPr="00E52E37">
        <w:rPr>
          <w:rFonts w:ascii="Arial" w:hAnsi="Arial" w:cs="Arial"/>
          <w:sz w:val="22"/>
          <w:szCs w:val="22"/>
        </w:rPr>
        <w:t>3. Ajzen, I. (2020)</w:t>
      </w:r>
    </w:p>
    <w:p w14:paraId="34E8CA04" w14:textId="77777777" w:rsidR="00E52E37" w:rsidRPr="00E52E37" w:rsidRDefault="00E52E37" w:rsidP="00192BCD">
      <w:pPr>
        <w:spacing w:line="360" w:lineRule="auto"/>
        <w:rPr>
          <w:rFonts w:ascii="Arial" w:hAnsi="Arial" w:cs="Arial"/>
          <w:sz w:val="22"/>
          <w:szCs w:val="22"/>
        </w:rPr>
      </w:pPr>
      <w:r w:rsidRPr="00E52E37">
        <w:rPr>
          <w:rFonts w:ascii="Arial" w:hAnsi="Arial" w:cs="Arial"/>
          <w:sz w:val="22"/>
          <w:szCs w:val="22"/>
        </w:rPr>
        <w:t>‘The theory of planned behaviour: Frequently asked questions’, Human Behaviour and Emerging Technologies, 2(4), pp. 314–324.</w:t>
      </w:r>
    </w:p>
    <w:p w14:paraId="619AD42B" w14:textId="77777777" w:rsidR="00E52E37" w:rsidRPr="00192BCD" w:rsidRDefault="00E52E37" w:rsidP="00192BCD">
      <w:pPr>
        <w:spacing w:line="360" w:lineRule="auto"/>
        <w:rPr>
          <w:rFonts w:ascii="Arial" w:hAnsi="Arial" w:cs="Arial"/>
          <w:sz w:val="22"/>
          <w:szCs w:val="22"/>
        </w:rPr>
      </w:pPr>
      <w:r w:rsidRPr="00E52E37">
        <w:rPr>
          <w:rFonts w:ascii="Arial" w:hAnsi="Arial" w:cs="Arial"/>
          <w:sz w:val="22"/>
          <w:szCs w:val="22"/>
        </w:rPr>
        <w:t>Summary Ajzen explains how the Theory of Planned Behaviour predicts human behaviour through three factors: attitudes, subjective norms, and perceived behavioural control. These shape a person’s intentions, which then influence behaviour. Ajzen also discusses how TPB can be applied to health</w:t>
      </w:r>
      <w:r w:rsidRPr="00E52E37">
        <w:rPr>
          <w:rFonts w:ascii="Arial" w:hAnsi="Arial" w:cs="Arial"/>
          <w:sz w:val="22"/>
          <w:szCs w:val="22"/>
        </w:rPr>
        <w:noBreakHyphen/>
        <w:t>related decisions</w:t>
      </w:r>
    </w:p>
    <w:p w14:paraId="2E5A632A" w14:textId="77777777" w:rsidR="00310C73" w:rsidRPr="00310C73" w:rsidRDefault="00310C73" w:rsidP="00192BCD">
      <w:pPr>
        <w:spacing w:line="360" w:lineRule="auto"/>
        <w:rPr>
          <w:rFonts w:ascii="Arial" w:hAnsi="Arial" w:cs="Arial"/>
          <w:sz w:val="22"/>
          <w:szCs w:val="22"/>
        </w:rPr>
      </w:pPr>
      <w:r w:rsidRPr="00310C73">
        <w:rPr>
          <w:rFonts w:ascii="Arial" w:hAnsi="Arial" w:cs="Arial"/>
          <w:sz w:val="22"/>
          <w:szCs w:val="22"/>
        </w:rPr>
        <w:t>Evaluation A strength of this article is that it is written by the creator of TPB, providing a clear and authoritative explanation of the theory. This makes it a reliable foundation for understanding behaviour in care settings. A limitation is that TPB does not fully account for emotions or habits, which often influence older adults’ behaviour. Overall, the article is useful because it helps carers understand why older adults may struggle to follow health advice even when they have positive intentions.</w:t>
      </w:r>
    </w:p>
    <w:p w14:paraId="5C9B1042" w14:textId="77777777" w:rsidR="00310C73" w:rsidRPr="00310C73" w:rsidRDefault="00310C73" w:rsidP="00192BCD">
      <w:pPr>
        <w:spacing w:line="360" w:lineRule="auto"/>
        <w:rPr>
          <w:rFonts w:ascii="Arial" w:hAnsi="Arial" w:cs="Arial"/>
          <w:sz w:val="22"/>
          <w:szCs w:val="22"/>
        </w:rPr>
      </w:pPr>
      <w:r w:rsidRPr="00310C73">
        <w:rPr>
          <w:rFonts w:ascii="Arial" w:hAnsi="Arial" w:cs="Arial"/>
          <w:sz w:val="22"/>
          <w:szCs w:val="22"/>
        </w:rPr>
        <w:t>Real</w:t>
      </w:r>
      <w:r w:rsidRPr="00310C73">
        <w:rPr>
          <w:rFonts w:ascii="Arial" w:hAnsi="Arial" w:cs="Arial"/>
          <w:sz w:val="22"/>
          <w:szCs w:val="22"/>
        </w:rPr>
        <w:noBreakHyphen/>
        <w:t>life example linked to theory An older adult may intend to take their medication but forget due to low perceived behavioural control, such as low confidence or memory difficulties. Tools like pill organisers can increase perceived control and improve adherence.</w:t>
      </w:r>
    </w:p>
    <w:p w14:paraId="0EDBD98B" w14:textId="77777777" w:rsidR="00701795" w:rsidRPr="00701795" w:rsidRDefault="00701795" w:rsidP="00192BCD">
      <w:pPr>
        <w:spacing w:line="360" w:lineRule="auto"/>
        <w:rPr>
          <w:rFonts w:ascii="Arial" w:hAnsi="Arial" w:cs="Arial"/>
          <w:sz w:val="22"/>
          <w:szCs w:val="22"/>
        </w:rPr>
      </w:pPr>
      <w:r w:rsidRPr="00701795">
        <w:rPr>
          <w:rFonts w:ascii="Arial" w:hAnsi="Arial" w:cs="Arial"/>
          <w:sz w:val="22"/>
          <w:szCs w:val="22"/>
        </w:rPr>
        <w:t>4. Hagger, M.S. and Hamilton, K. (2024)</w:t>
      </w:r>
    </w:p>
    <w:p w14:paraId="23356451" w14:textId="77777777" w:rsidR="00701795" w:rsidRPr="00701795" w:rsidRDefault="00701795" w:rsidP="00192BCD">
      <w:pPr>
        <w:spacing w:line="360" w:lineRule="auto"/>
        <w:rPr>
          <w:rFonts w:ascii="Arial" w:hAnsi="Arial" w:cs="Arial"/>
          <w:sz w:val="22"/>
          <w:szCs w:val="22"/>
        </w:rPr>
      </w:pPr>
      <w:r w:rsidRPr="00701795">
        <w:rPr>
          <w:rFonts w:ascii="Arial" w:hAnsi="Arial" w:cs="Arial"/>
          <w:sz w:val="22"/>
          <w:szCs w:val="22"/>
        </w:rPr>
        <w:lastRenderedPageBreak/>
        <w:t>‘Theory of planned behaviour and health behaviour: A comprehensive review’, Health Psychology Review, 18(1), pp. 1–28.</w:t>
      </w:r>
    </w:p>
    <w:p w14:paraId="52564174" w14:textId="77777777" w:rsidR="00701795" w:rsidRPr="00701795" w:rsidRDefault="00701795" w:rsidP="00192BCD">
      <w:pPr>
        <w:spacing w:line="360" w:lineRule="auto"/>
        <w:rPr>
          <w:rFonts w:ascii="Arial" w:hAnsi="Arial" w:cs="Arial"/>
          <w:sz w:val="22"/>
          <w:szCs w:val="22"/>
        </w:rPr>
      </w:pPr>
      <w:r w:rsidRPr="00701795">
        <w:rPr>
          <w:rFonts w:ascii="Arial" w:hAnsi="Arial" w:cs="Arial"/>
          <w:sz w:val="22"/>
          <w:szCs w:val="22"/>
        </w:rPr>
        <w:t>Summary This review evaluates how TPB has been used to understand health behaviours such as exercise, diet, and medication adherence. The authors conclude that TPB is a strong predictor of intentions but note that real behaviour is also influenced by habits, emotions, and environmental barriers</w:t>
      </w:r>
    </w:p>
    <w:p w14:paraId="482CF42B" w14:textId="77777777" w:rsidR="00E57A1F" w:rsidRPr="00E57A1F" w:rsidRDefault="00E57A1F" w:rsidP="00192BCD">
      <w:pPr>
        <w:spacing w:line="360" w:lineRule="auto"/>
        <w:rPr>
          <w:rFonts w:ascii="Arial" w:hAnsi="Arial" w:cs="Arial"/>
          <w:sz w:val="22"/>
          <w:szCs w:val="22"/>
        </w:rPr>
      </w:pPr>
      <w:r w:rsidRPr="00E57A1F">
        <w:rPr>
          <w:rFonts w:ascii="Arial" w:hAnsi="Arial" w:cs="Arial"/>
          <w:sz w:val="22"/>
          <w:szCs w:val="22"/>
        </w:rPr>
        <w:t>Evaluation A strength of this review is that it synthesises a large body of research, offering strong evidence about when TPB works well and when it is limited. A limitation is that TPB may oversimplify complex behaviours, especially in older adults with multiple health needs. The overall judgement is that the source is valuable because it highlights the importance of improving confidence and removing practical barriers when supporting older adults.</w:t>
      </w:r>
    </w:p>
    <w:p w14:paraId="7F9FE0EC" w14:textId="77777777" w:rsidR="00E57A1F" w:rsidRPr="00E57A1F" w:rsidRDefault="00E57A1F" w:rsidP="00192BCD">
      <w:pPr>
        <w:spacing w:line="360" w:lineRule="auto"/>
        <w:rPr>
          <w:rFonts w:ascii="Arial" w:hAnsi="Arial" w:cs="Arial"/>
          <w:sz w:val="22"/>
          <w:szCs w:val="22"/>
        </w:rPr>
      </w:pPr>
      <w:r w:rsidRPr="00E57A1F">
        <w:rPr>
          <w:rFonts w:ascii="Arial" w:hAnsi="Arial" w:cs="Arial"/>
          <w:sz w:val="22"/>
          <w:szCs w:val="22"/>
        </w:rPr>
        <w:t>Real</w:t>
      </w:r>
      <w:r w:rsidRPr="00E57A1F">
        <w:rPr>
          <w:rFonts w:ascii="Arial" w:hAnsi="Arial" w:cs="Arial"/>
          <w:sz w:val="22"/>
          <w:szCs w:val="22"/>
        </w:rPr>
        <w:noBreakHyphen/>
        <w:t>life example linked to theory A falls</w:t>
      </w:r>
      <w:r w:rsidRPr="00E57A1F">
        <w:rPr>
          <w:rFonts w:ascii="Arial" w:hAnsi="Arial" w:cs="Arial"/>
          <w:sz w:val="22"/>
          <w:szCs w:val="22"/>
        </w:rPr>
        <w:noBreakHyphen/>
        <w:t>prevention programme may be more effective if staff help older adults feel confident using mobility aids (increasing perceived behavioural control) and provide encouragement from peers or family (strengthening subjective norms).</w:t>
      </w:r>
    </w:p>
    <w:p w14:paraId="603D7631" w14:textId="77777777" w:rsidR="00310C73" w:rsidRPr="00E52E37" w:rsidRDefault="00310C73" w:rsidP="00192BCD">
      <w:pPr>
        <w:spacing w:line="360" w:lineRule="auto"/>
        <w:rPr>
          <w:rFonts w:ascii="Arial" w:hAnsi="Arial" w:cs="Arial"/>
          <w:sz w:val="22"/>
          <w:szCs w:val="22"/>
        </w:rPr>
      </w:pPr>
    </w:p>
    <w:p w14:paraId="4A9F2B8B" w14:textId="77777777" w:rsidR="00E52E37" w:rsidRPr="00E52E37" w:rsidRDefault="00E52E37" w:rsidP="00192BCD">
      <w:pPr>
        <w:spacing w:line="360" w:lineRule="auto"/>
        <w:rPr>
          <w:rFonts w:ascii="Arial" w:hAnsi="Arial" w:cs="Arial"/>
          <w:sz w:val="22"/>
          <w:szCs w:val="22"/>
        </w:rPr>
      </w:pPr>
    </w:p>
    <w:p w14:paraId="36A44DA2" w14:textId="77777777" w:rsidR="00062B45" w:rsidRPr="00062B45" w:rsidRDefault="00062B45" w:rsidP="00062B45"/>
    <w:p w14:paraId="3A3C815C" w14:textId="77777777" w:rsidR="000E1786" w:rsidRDefault="000E1786"/>
    <w:p w14:paraId="0C389611" w14:textId="77777777" w:rsidR="000E1786" w:rsidRDefault="000E1786"/>
    <w:p w14:paraId="7C7A7E3C" w14:textId="77777777" w:rsidR="000E1786" w:rsidRDefault="000E1786"/>
    <w:p w14:paraId="5F92AC8B" w14:textId="77777777" w:rsidR="000E1786" w:rsidRDefault="000E1786"/>
    <w:p w14:paraId="1F9693AB" w14:textId="77777777" w:rsidR="000E1786" w:rsidRDefault="000E1786"/>
    <w:p w14:paraId="4CD1D4E0" w14:textId="77777777" w:rsidR="000E1786" w:rsidRDefault="000E1786"/>
    <w:p w14:paraId="451762A7" w14:textId="77777777" w:rsidR="000E1786" w:rsidRDefault="000E1786"/>
    <w:p w14:paraId="37C75FAD" w14:textId="77777777" w:rsidR="000E1786" w:rsidRDefault="000E1786"/>
    <w:p w14:paraId="15314EED" w14:textId="77777777" w:rsidR="000E1786" w:rsidRDefault="000E1786"/>
    <w:p w14:paraId="613105A8" w14:textId="77777777" w:rsidR="000E1786" w:rsidRDefault="000E1786"/>
    <w:p w14:paraId="5BF2EAEF" w14:textId="77777777" w:rsidR="000E1786" w:rsidRDefault="000E1786"/>
    <w:p w14:paraId="5843111D" w14:textId="77777777" w:rsidR="000E1786" w:rsidRDefault="000E1786"/>
    <w:p w14:paraId="3805BA6E" w14:textId="77777777" w:rsidR="00242714" w:rsidRDefault="00242714"/>
    <w:p w14:paraId="6D9AD2A3" w14:textId="627B8763" w:rsidR="000E1786" w:rsidRDefault="000212F2">
      <w:r>
        <w:lastRenderedPageBreak/>
        <w:t xml:space="preserve">References </w:t>
      </w:r>
    </w:p>
    <w:p w14:paraId="587D9EF2" w14:textId="77777777" w:rsidR="000212F2" w:rsidRPr="000212F2" w:rsidRDefault="000212F2" w:rsidP="000212F2">
      <w:r w:rsidRPr="000212F2">
        <w:t xml:space="preserve">Ajzen, I. (2020) ‘The theory of planned behaviour: Frequently asked questions’, </w:t>
      </w:r>
      <w:r w:rsidRPr="000212F2">
        <w:rPr>
          <w:i/>
          <w:iCs/>
        </w:rPr>
        <w:t>Human Behaviour and Emerging Technologies</w:t>
      </w:r>
      <w:r w:rsidRPr="000212F2">
        <w:t>, 2(4), pp. 314–324.</w:t>
      </w:r>
    </w:p>
    <w:p w14:paraId="664793DC" w14:textId="77777777" w:rsidR="000212F2" w:rsidRPr="000212F2" w:rsidRDefault="000212F2" w:rsidP="000212F2">
      <w:r w:rsidRPr="000212F2">
        <w:t xml:space="preserve">Hagger, M.S. and Hamilton, K. (2024) ‘Theory of planned behaviour and health behaviour: A comprehensive review’, </w:t>
      </w:r>
      <w:r w:rsidRPr="000212F2">
        <w:rPr>
          <w:i/>
          <w:iCs/>
        </w:rPr>
        <w:t>Health Psychology Review</w:t>
      </w:r>
      <w:r w:rsidRPr="000212F2">
        <w:t>, 18(1), pp. 1–28.</w:t>
      </w:r>
    </w:p>
    <w:p w14:paraId="630058FA" w14:textId="77777777" w:rsidR="000212F2" w:rsidRPr="000212F2" w:rsidRDefault="000212F2" w:rsidP="000212F2">
      <w:r w:rsidRPr="000212F2">
        <w:t xml:space="preserve">Van Assche, L., Luyten, P. and Vliegen, N. (2023) ‘Attachment and wellbeing across the adult lifespan’, </w:t>
      </w:r>
      <w:r w:rsidRPr="000212F2">
        <w:rPr>
          <w:i/>
          <w:iCs/>
        </w:rPr>
        <w:t>Clinical Psychology Review</w:t>
      </w:r>
      <w:r w:rsidRPr="000212F2">
        <w:t>, 101, pp. 1–12.</w:t>
      </w:r>
    </w:p>
    <w:p w14:paraId="1F626AE7" w14:textId="77777777" w:rsidR="000212F2" w:rsidRPr="000212F2" w:rsidRDefault="000212F2" w:rsidP="000212F2">
      <w:r w:rsidRPr="000212F2">
        <w:t xml:space="preserve">Worsley, J. and Corcoran, R. (2024) ‘Attachment, loneliness and mental health in later life’, </w:t>
      </w:r>
      <w:r w:rsidRPr="000212F2">
        <w:rPr>
          <w:i/>
          <w:iCs/>
        </w:rPr>
        <w:t>Aging &amp; Mental Health</w:t>
      </w:r>
      <w:r w:rsidRPr="000212F2">
        <w:t>, 28(2), pp. 145–156.</w:t>
      </w:r>
    </w:p>
    <w:p w14:paraId="1A8126B0" w14:textId="77777777" w:rsidR="000212F2" w:rsidRDefault="000212F2"/>
    <w:p w14:paraId="0EC45DE6" w14:textId="77777777" w:rsidR="000E1786" w:rsidRDefault="000E1786"/>
    <w:p w14:paraId="6FAAC59A" w14:textId="77777777" w:rsidR="000E1786" w:rsidRDefault="000E1786"/>
    <w:p w14:paraId="0AE5746C" w14:textId="77777777" w:rsidR="000E1786" w:rsidRDefault="000E1786"/>
    <w:p w14:paraId="41FDC342" w14:textId="77777777" w:rsidR="000E1786" w:rsidRDefault="000E1786"/>
    <w:p w14:paraId="7A75334A" w14:textId="77777777" w:rsidR="000E1786" w:rsidRDefault="000E1786"/>
    <w:p w14:paraId="409B9BAB" w14:textId="77777777" w:rsidR="000E1786" w:rsidRDefault="000E1786"/>
    <w:p w14:paraId="6C5BF274" w14:textId="77777777" w:rsidR="000E1786" w:rsidRDefault="000E1786"/>
    <w:p w14:paraId="7A2BED7D" w14:textId="77777777" w:rsidR="000E1786" w:rsidRDefault="000E1786"/>
    <w:p w14:paraId="5A78AA79" w14:textId="77777777" w:rsidR="000E1786" w:rsidRDefault="000E1786"/>
    <w:p w14:paraId="02054E44" w14:textId="77777777" w:rsidR="000E1786" w:rsidRDefault="000E1786"/>
    <w:p w14:paraId="07D7EC9A" w14:textId="77777777" w:rsidR="000E1786" w:rsidRDefault="000E1786"/>
    <w:p w14:paraId="6A7F0E05" w14:textId="77777777" w:rsidR="000E1786" w:rsidRDefault="000E1786"/>
    <w:p w14:paraId="52F2A580" w14:textId="77777777" w:rsidR="000E1786" w:rsidRDefault="000E1786"/>
    <w:p w14:paraId="16F38843" w14:textId="77777777" w:rsidR="000E1786" w:rsidRDefault="000E1786"/>
    <w:p w14:paraId="1CFD7EE0" w14:textId="77777777" w:rsidR="000E1786" w:rsidRDefault="000E1786"/>
    <w:p w14:paraId="43CBE2BF" w14:textId="77777777" w:rsidR="000E1786" w:rsidRDefault="000E1786"/>
    <w:p w14:paraId="01415BC7" w14:textId="77777777" w:rsidR="000E1786" w:rsidRDefault="000E1786"/>
    <w:p w14:paraId="40989EB4" w14:textId="77777777" w:rsidR="00AE29C7" w:rsidRDefault="00AE29C7"/>
    <w:p w14:paraId="26B2D11E" w14:textId="77777777" w:rsidR="00AE29C7" w:rsidRDefault="00AE29C7"/>
    <w:p w14:paraId="503134ED" w14:textId="3A0D2E37" w:rsidR="00871AA1" w:rsidRDefault="00871AA1">
      <w:r>
        <w:lastRenderedPageBreak/>
        <w:t>Part B</w:t>
      </w:r>
    </w:p>
    <w:p w14:paraId="56A1CE25" w14:textId="0A84D7D2" w:rsidR="00871AA1" w:rsidRPr="00E87F0A" w:rsidRDefault="00871AA1" w:rsidP="00E87F0A">
      <w:pPr>
        <w:spacing w:line="360" w:lineRule="auto"/>
        <w:rPr>
          <w:rFonts w:ascii="Arial" w:hAnsi="Arial" w:cs="Arial"/>
          <w:sz w:val="22"/>
          <w:szCs w:val="22"/>
        </w:rPr>
      </w:pPr>
      <w:r w:rsidRPr="00E87F0A">
        <w:rPr>
          <w:rFonts w:ascii="Arial" w:hAnsi="Arial" w:cs="Arial"/>
          <w:sz w:val="22"/>
          <w:szCs w:val="22"/>
        </w:rPr>
        <w:t>Older adults who move into residential care often face major emotional challenges. They may lose independence, leave familiar surroundings, and have less contact with family. These changes can affect their confidence and psychological wellbeing. Using psychological theories can help staff understand these experiences and offer more sensitive support. This report explains how Bowlby’s Attachment Theory can be used in care homes to improve the wellbeing of older adults. A case example is included to show how the theory works in practice. The report also discusses one challenge staff may face and suggests a strategy to overcome it.</w:t>
      </w:r>
    </w:p>
    <w:p w14:paraId="4F8F0A24" w14:textId="0C394028" w:rsidR="00871AA1" w:rsidRPr="00E87F0A" w:rsidRDefault="00871AA1" w:rsidP="00E87F0A">
      <w:pPr>
        <w:spacing w:line="360" w:lineRule="auto"/>
        <w:rPr>
          <w:rFonts w:ascii="Arial" w:hAnsi="Arial" w:cs="Arial"/>
          <w:sz w:val="22"/>
          <w:szCs w:val="22"/>
        </w:rPr>
      </w:pPr>
      <w:r w:rsidRPr="00E87F0A">
        <w:rPr>
          <w:rFonts w:ascii="Arial" w:hAnsi="Arial" w:cs="Arial"/>
          <w:sz w:val="22"/>
          <w:szCs w:val="22"/>
        </w:rPr>
        <w:t>Attachment Theory suggests that people need stable, trusting relationships throughout their lives. Although the theory was first developed to explain relationships in childhood, research shows that attachment needs continue into adulthood and later life. Van Assche, Luyten and Vliegen (2023) explain that older adults may rely even more on attachment figures because of illness, memory loss or increased dependency. This means that older people in care homes may feel especially vulnerable when they are separated from familiar people or routines.</w:t>
      </w:r>
    </w:p>
    <w:p w14:paraId="1AB85F12" w14:textId="634D7B58" w:rsidR="00871AA1" w:rsidRPr="00E87F0A" w:rsidRDefault="00871AA1" w:rsidP="00E87F0A">
      <w:pPr>
        <w:spacing w:line="360" w:lineRule="auto"/>
        <w:rPr>
          <w:rFonts w:ascii="Arial" w:hAnsi="Arial" w:cs="Arial"/>
          <w:sz w:val="22"/>
          <w:szCs w:val="22"/>
        </w:rPr>
      </w:pPr>
      <w:r w:rsidRPr="00E87F0A">
        <w:rPr>
          <w:rFonts w:ascii="Arial" w:hAnsi="Arial" w:cs="Arial"/>
          <w:sz w:val="22"/>
          <w:szCs w:val="22"/>
        </w:rPr>
        <w:t>Many older adults in residential care experience situations that activate their attachment needs. For example, they may feel anxious when meeting new carers, confused by unfamiliar surroundings or distressed by health problems. When attachment needs are not met, residents may show signs of withdrawal, fear or behaviour that staff see as “challenging”. Understanding attachment patterns can help staff respond in ways that make residents feel safe and supported.</w:t>
      </w:r>
    </w:p>
    <w:p w14:paraId="6AEFCE70" w14:textId="5A6F6C92" w:rsidR="00871AA1" w:rsidRPr="00E87F0A" w:rsidRDefault="00871AA1" w:rsidP="00E87F0A">
      <w:pPr>
        <w:spacing w:line="360" w:lineRule="auto"/>
        <w:rPr>
          <w:rFonts w:ascii="Arial" w:hAnsi="Arial" w:cs="Arial"/>
          <w:sz w:val="22"/>
          <w:szCs w:val="22"/>
        </w:rPr>
      </w:pPr>
      <w:r w:rsidRPr="00E87F0A">
        <w:rPr>
          <w:rFonts w:ascii="Arial" w:hAnsi="Arial" w:cs="Arial"/>
          <w:sz w:val="22"/>
          <w:szCs w:val="22"/>
        </w:rPr>
        <w:t>However, it is important to note that much of the research on attachment in later life is based on older adults living in the community rather than in care homes. This means that although attachment theory is a useful framework, more research is needed to understand exactly how it works in residential settings. This is a limitation that should be recognised when applying the theory in practice.</w:t>
      </w:r>
    </w:p>
    <w:p w14:paraId="6C59F830" w14:textId="46EB83C1" w:rsidR="00871AA1" w:rsidRPr="00E87F0A" w:rsidRDefault="00871AA1" w:rsidP="00E87F0A">
      <w:pPr>
        <w:spacing w:line="360" w:lineRule="auto"/>
        <w:rPr>
          <w:rFonts w:ascii="Arial" w:hAnsi="Arial" w:cs="Arial"/>
          <w:sz w:val="22"/>
          <w:szCs w:val="22"/>
        </w:rPr>
      </w:pPr>
      <w:r w:rsidRPr="00E87F0A">
        <w:rPr>
          <w:rFonts w:ascii="Arial" w:hAnsi="Arial" w:cs="Arial"/>
          <w:sz w:val="22"/>
          <w:szCs w:val="22"/>
        </w:rPr>
        <w:t>Attachment</w:t>
      </w:r>
      <w:r w:rsidRPr="00E87F0A">
        <w:rPr>
          <w:rFonts w:ascii="Arial" w:hAnsi="Arial" w:cs="Arial"/>
          <w:sz w:val="22"/>
          <w:szCs w:val="22"/>
        </w:rPr>
        <w:noBreakHyphen/>
        <w:t>informed care can support wellbeing in several ways. First, consistent and warm interactions help residents feel emotionally secure. A predictable routine and familiar carers can reduce anxiety. Second, attachment</w:t>
      </w:r>
      <w:r w:rsidRPr="00E87F0A">
        <w:rPr>
          <w:rFonts w:ascii="Arial" w:hAnsi="Arial" w:cs="Arial"/>
          <w:sz w:val="22"/>
          <w:szCs w:val="22"/>
        </w:rPr>
        <w:noBreakHyphen/>
        <w:t xml:space="preserve">informed care can reduce loneliness. Worsley and Corcoran (2024) found that older adults with insecure attachment are more likely to feel lonely and distressed. Positive relationships with staff can help reduce these feelings, especially for residents who have little family contact. Third, when residents feel secure, they are more likely to trust staff and accept help with personal care. Attachment theory also </w:t>
      </w:r>
      <w:r w:rsidRPr="00E87F0A">
        <w:rPr>
          <w:rFonts w:ascii="Arial" w:hAnsi="Arial" w:cs="Arial"/>
          <w:sz w:val="22"/>
          <w:szCs w:val="22"/>
        </w:rPr>
        <w:lastRenderedPageBreak/>
        <w:t>encourages staff to see behaviour as communication. For example,</w:t>
      </w:r>
      <w:r w:rsidRPr="00E87F0A">
        <w:rPr>
          <w:rFonts w:ascii="Arial" w:hAnsi="Arial" w:cs="Arial"/>
          <w:sz w:val="22"/>
          <w:szCs w:val="22"/>
        </w:rPr>
        <w:t xml:space="preserve"> </w:t>
      </w:r>
      <w:r w:rsidRPr="00E87F0A">
        <w:rPr>
          <w:rFonts w:ascii="Arial" w:hAnsi="Arial" w:cs="Arial"/>
          <w:sz w:val="22"/>
          <w:szCs w:val="22"/>
        </w:rPr>
        <w:t>a resident who refuses care may be expressing fear or uncertainty rather than being “difficult”.</w:t>
      </w:r>
    </w:p>
    <w:p w14:paraId="7C60604F" w14:textId="77777777" w:rsidR="00871AA1" w:rsidRPr="00871AA1" w:rsidRDefault="00871AA1" w:rsidP="00E87F0A">
      <w:pPr>
        <w:spacing w:line="360" w:lineRule="auto"/>
        <w:rPr>
          <w:rFonts w:ascii="Arial" w:hAnsi="Arial" w:cs="Arial"/>
          <w:sz w:val="22"/>
          <w:szCs w:val="22"/>
        </w:rPr>
      </w:pPr>
      <w:r w:rsidRPr="00871AA1">
        <w:rPr>
          <w:rFonts w:ascii="Arial" w:hAnsi="Arial" w:cs="Arial"/>
          <w:sz w:val="22"/>
          <w:szCs w:val="22"/>
        </w:rPr>
        <w:t>Although these ideas are supported by theory and some research, the evidence base in care homes is still limited. Many studies focus on general attachment patterns rather than specific interventions in residential care. More research is needed to measure outcomes such as reduced distress, improved engagement or better quality of life.</w:t>
      </w:r>
    </w:p>
    <w:p w14:paraId="185BA260" w14:textId="77777777" w:rsidR="00871AA1" w:rsidRPr="00871AA1" w:rsidRDefault="00871AA1" w:rsidP="00E87F0A">
      <w:pPr>
        <w:spacing w:line="360" w:lineRule="auto"/>
        <w:rPr>
          <w:rFonts w:ascii="Arial" w:hAnsi="Arial" w:cs="Arial"/>
          <w:sz w:val="22"/>
          <w:szCs w:val="22"/>
        </w:rPr>
      </w:pPr>
      <w:r w:rsidRPr="00871AA1">
        <w:rPr>
          <w:rFonts w:ascii="Arial" w:hAnsi="Arial" w:cs="Arial"/>
          <w:sz w:val="22"/>
          <w:szCs w:val="22"/>
        </w:rPr>
        <w:t>A case scenario helps show how attachment theory can be used in practice. Mrs A, aged 84, recently moved into a residential care home after a fall. She has no close family nearby. Staff notice that she becomes anxious when unfamiliar carers approach, refuses help with washing and dressing, and becomes tearful in the evenings. Using attachment theory, staff think she may have an anxious attachment style, meaning she needs reassurance and consistency. They assign a small, consistent team of carers, use predictable routines, explain each step of personal care and spend time building a warm connection. After several weeks, Mrs A becomes more relaxed, accepts help more easily and joins group activities.</w:t>
      </w:r>
    </w:p>
    <w:p w14:paraId="290E0617" w14:textId="77777777" w:rsidR="00871AA1" w:rsidRPr="00871AA1" w:rsidRDefault="00871AA1" w:rsidP="00E87F0A">
      <w:pPr>
        <w:spacing w:line="360" w:lineRule="auto"/>
        <w:rPr>
          <w:rFonts w:ascii="Arial" w:hAnsi="Arial" w:cs="Arial"/>
          <w:sz w:val="22"/>
          <w:szCs w:val="22"/>
        </w:rPr>
      </w:pPr>
      <w:r w:rsidRPr="00871AA1">
        <w:rPr>
          <w:rFonts w:ascii="Arial" w:hAnsi="Arial" w:cs="Arial"/>
          <w:sz w:val="22"/>
          <w:szCs w:val="22"/>
        </w:rPr>
        <w:t>This example shows how attachment</w:t>
      </w:r>
      <w:r w:rsidRPr="00871AA1">
        <w:rPr>
          <w:rFonts w:ascii="Arial" w:hAnsi="Arial" w:cs="Arial"/>
          <w:sz w:val="22"/>
          <w:szCs w:val="22"/>
        </w:rPr>
        <w:noBreakHyphen/>
        <w:t>informed care can improve wellbeing, but it is only one case. Improvements may also be due to natural adjustment or other factors. Case studies are useful for illustration but do not provide strong evidence on their own.</w:t>
      </w:r>
    </w:p>
    <w:p w14:paraId="1A0C5B07" w14:textId="77777777" w:rsidR="00871AA1" w:rsidRPr="00871AA1" w:rsidRDefault="00871AA1" w:rsidP="00E87F0A">
      <w:pPr>
        <w:spacing w:line="360" w:lineRule="auto"/>
        <w:rPr>
          <w:rFonts w:ascii="Arial" w:hAnsi="Arial" w:cs="Arial"/>
          <w:sz w:val="22"/>
          <w:szCs w:val="22"/>
        </w:rPr>
      </w:pPr>
      <w:r w:rsidRPr="00871AA1">
        <w:rPr>
          <w:rFonts w:ascii="Arial" w:hAnsi="Arial" w:cs="Arial"/>
          <w:sz w:val="22"/>
          <w:szCs w:val="22"/>
        </w:rPr>
        <w:t>One major challenge in applying attachment theory is staff shortages. High turnover and the use of agency workers mean residents often see many different carers. This makes it harder to build trusting relationships. Research shows that older adults with insecure attachment are more likely to feel distressed when relationships are inconsistent (Worsley &amp; Corcoran, 2024). This suggests that staffing problems can directly undermine attachment</w:t>
      </w:r>
      <w:r w:rsidRPr="00871AA1">
        <w:rPr>
          <w:rFonts w:ascii="Arial" w:hAnsi="Arial" w:cs="Arial"/>
          <w:sz w:val="22"/>
          <w:szCs w:val="22"/>
        </w:rPr>
        <w:noBreakHyphen/>
        <w:t>informed care.</w:t>
      </w:r>
    </w:p>
    <w:p w14:paraId="6A391C30" w14:textId="77777777" w:rsidR="00871AA1" w:rsidRPr="00871AA1" w:rsidRDefault="00871AA1" w:rsidP="00E87F0A">
      <w:pPr>
        <w:spacing w:line="360" w:lineRule="auto"/>
        <w:rPr>
          <w:rFonts w:ascii="Arial" w:hAnsi="Arial" w:cs="Arial"/>
          <w:sz w:val="22"/>
          <w:szCs w:val="22"/>
        </w:rPr>
      </w:pPr>
      <w:r w:rsidRPr="00871AA1">
        <w:rPr>
          <w:rFonts w:ascii="Arial" w:hAnsi="Arial" w:cs="Arial"/>
          <w:sz w:val="22"/>
          <w:szCs w:val="22"/>
        </w:rPr>
        <w:t>A practical strategy to address this challenge is relationship</w:t>
      </w:r>
      <w:r w:rsidRPr="00871AA1">
        <w:rPr>
          <w:rFonts w:ascii="Arial" w:hAnsi="Arial" w:cs="Arial"/>
          <w:sz w:val="22"/>
          <w:szCs w:val="22"/>
        </w:rPr>
        <w:noBreakHyphen/>
        <w:t>based care planning. A key worker system gives each resident a consistent staff member who understands their emotional needs. Consistent staffing rotas help residents see the same carers regularly. Staff training can help carers recognise signs of attachment</w:t>
      </w:r>
      <w:r w:rsidRPr="00871AA1">
        <w:rPr>
          <w:rFonts w:ascii="Arial" w:hAnsi="Arial" w:cs="Arial"/>
          <w:sz w:val="22"/>
          <w:szCs w:val="22"/>
        </w:rPr>
        <w:noBreakHyphen/>
        <w:t>related distress and respond with empathy. Good communication between staff teams ensures that residents’ emotional needs are understood across shifts. However, these strategies require organisational support and enough staff. Without this, attachment</w:t>
      </w:r>
      <w:r w:rsidRPr="00871AA1">
        <w:rPr>
          <w:rFonts w:ascii="Arial" w:hAnsi="Arial" w:cs="Arial"/>
          <w:sz w:val="22"/>
          <w:szCs w:val="22"/>
        </w:rPr>
        <w:noBreakHyphen/>
        <w:t>informed care may be difficult to maintain.</w:t>
      </w:r>
    </w:p>
    <w:p w14:paraId="2BFB454A" w14:textId="77777777" w:rsidR="00871AA1" w:rsidRPr="00871AA1" w:rsidRDefault="00871AA1" w:rsidP="00E87F0A">
      <w:pPr>
        <w:spacing w:line="360" w:lineRule="auto"/>
        <w:rPr>
          <w:rFonts w:ascii="Arial" w:hAnsi="Arial" w:cs="Arial"/>
          <w:sz w:val="22"/>
          <w:szCs w:val="22"/>
        </w:rPr>
      </w:pPr>
      <w:r w:rsidRPr="00871AA1">
        <w:rPr>
          <w:rFonts w:ascii="Arial" w:hAnsi="Arial" w:cs="Arial"/>
          <w:sz w:val="22"/>
          <w:szCs w:val="22"/>
        </w:rPr>
        <w:t xml:space="preserve">In conclusion, Attachment Theory offers a helpful framework for understanding the emotional needs of older adults in residential care. Evidence suggests that secure relationships support wellbeing in later life. Although challenges such as staff shortages can make this </w:t>
      </w:r>
      <w:r w:rsidRPr="00871AA1">
        <w:rPr>
          <w:rFonts w:ascii="Arial" w:hAnsi="Arial" w:cs="Arial"/>
          <w:sz w:val="22"/>
          <w:szCs w:val="22"/>
        </w:rPr>
        <w:lastRenderedPageBreak/>
        <w:t>difficult, strategies like key worker systems and consistent rotas can help. When applied thoughtfully, attachment</w:t>
      </w:r>
      <w:r w:rsidRPr="00871AA1">
        <w:rPr>
          <w:rFonts w:ascii="Arial" w:hAnsi="Arial" w:cs="Arial"/>
          <w:sz w:val="22"/>
          <w:szCs w:val="22"/>
        </w:rPr>
        <w:noBreakHyphen/>
        <w:t>informed care can improve the quality of life of older adults.</w:t>
      </w:r>
    </w:p>
    <w:p w14:paraId="7C011CA8" w14:textId="77777777" w:rsidR="00871AA1" w:rsidRPr="00E87F0A" w:rsidRDefault="00871AA1" w:rsidP="00E87F0A">
      <w:pPr>
        <w:spacing w:line="360" w:lineRule="auto"/>
        <w:rPr>
          <w:rFonts w:ascii="Arial" w:hAnsi="Arial" w:cs="Arial"/>
          <w:sz w:val="22"/>
          <w:szCs w:val="22"/>
        </w:rPr>
      </w:pPr>
    </w:p>
    <w:p w14:paraId="5B4E3A7E" w14:textId="77777777" w:rsidR="00871AA1" w:rsidRPr="00E87F0A" w:rsidRDefault="00871AA1" w:rsidP="00E87F0A">
      <w:pPr>
        <w:spacing w:line="360" w:lineRule="auto"/>
        <w:rPr>
          <w:rFonts w:ascii="Arial" w:hAnsi="Arial" w:cs="Arial"/>
          <w:sz w:val="22"/>
          <w:szCs w:val="22"/>
        </w:rPr>
      </w:pPr>
    </w:p>
    <w:p w14:paraId="6403C230" w14:textId="77777777" w:rsidR="00871AA1" w:rsidRDefault="00871AA1" w:rsidP="00E87F0A">
      <w:pPr>
        <w:spacing w:line="360" w:lineRule="auto"/>
      </w:pPr>
    </w:p>
    <w:p w14:paraId="76BE7FFF" w14:textId="77777777" w:rsidR="00871AA1" w:rsidRDefault="00871AA1" w:rsidP="00E87F0A">
      <w:pPr>
        <w:spacing w:line="360" w:lineRule="auto"/>
      </w:pPr>
    </w:p>
    <w:p w14:paraId="34ECF833" w14:textId="77777777" w:rsidR="00871AA1" w:rsidRDefault="00871AA1" w:rsidP="00E87F0A">
      <w:pPr>
        <w:spacing w:line="360" w:lineRule="auto"/>
      </w:pPr>
    </w:p>
    <w:p w14:paraId="06B1F6F4" w14:textId="77777777" w:rsidR="00871AA1" w:rsidRDefault="00871AA1" w:rsidP="00E87F0A">
      <w:pPr>
        <w:spacing w:line="360" w:lineRule="auto"/>
      </w:pPr>
    </w:p>
    <w:p w14:paraId="784DB9BF" w14:textId="77777777" w:rsidR="00871AA1" w:rsidRDefault="00871AA1" w:rsidP="00E87F0A">
      <w:pPr>
        <w:spacing w:line="360" w:lineRule="auto"/>
      </w:pPr>
    </w:p>
    <w:p w14:paraId="01471B56" w14:textId="77777777" w:rsidR="00871AA1" w:rsidRDefault="00871AA1" w:rsidP="00E87F0A">
      <w:pPr>
        <w:spacing w:line="360" w:lineRule="auto"/>
      </w:pPr>
    </w:p>
    <w:p w14:paraId="62A0CADB" w14:textId="77777777" w:rsidR="00871AA1" w:rsidRDefault="00871AA1" w:rsidP="00E87F0A">
      <w:pPr>
        <w:spacing w:line="360" w:lineRule="auto"/>
      </w:pPr>
    </w:p>
    <w:p w14:paraId="1D8882DA" w14:textId="77777777" w:rsidR="00871AA1" w:rsidRDefault="00871AA1" w:rsidP="00871AA1"/>
    <w:p w14:paraId="2DE302F7" w14:textId="77777777" w:rsidR="00871AA1" w:rsidRDefault="00871AA1" w:rsidP="00871AA1"/>
    <w:p w14:paraId="00F28BA5" w14:textId="77777777" w:rsidR="00871AA1" w:rsidRDefault="00871AA1" w:rsidP="00871AA1"/>
    <w:p w14:paraId="0B840471" w14:textId="77777777" w:rsidR="00871AA1" w:rsidRDefault="00871AA1" w:rsidP="00871AA1"/>
    <w:p w14:paraId="59FBFA29" w14:textId="77777777" w:rsidR="00871AA1" w:rsidRDefault="00871AA1" w:rsidP="00871AA1"/>
    <w:p w14:paraId="788B3E30" w14:textId="77777777" w:rsidR="00871AA1" w:rsidRDefault="00871AA1" w:rsidP="00871AA1"/>
    <w:p w14:paraId="242E6816" w14:textId="77777777" w:rsidR="00871AA1" w:rsidRDefault="00871AA1" w:rsidP="00871AA1"/>
    <w:p w14:paraId="16898F88" w14:textId="77777777" w:rsidR="00871AA1" w:rsidRDefault="00871AA1" w:rsidP="00871AA1"/>
    <w:p w14:paraId="519C90D1" w14:textId="77777777" w:rsidR="00871AA1" w:rsidRDefault="00871AA1" w:rsidP="00871AA1"/>
    <w:p w14:paraId="213412A1" w14:textId="77777777" w:rsidR="00871AA1" w:rsidRDefault="00871AA1" w:rsidP="00871AA1"/>
    <w:p w14:paraId="635238E5" w14:textId="77777777" w:rsidR="00871AA1" w:rsidRDefault="00871AA1" w:rsidP="00871AA1"/>
    <w:p w14:paraId="7746E439" w14:textId="77777777" w:rsidR="00871AA1" w:rsidRDefault="00871AA1" w:rsidP="00871AA1"/>
    <w:p w14:paraId="3D8D219E" w14:textId="77777777" w:rsidR="00871AA1" w:rsidRDefault="00871AA1" w:rsidP="00871AA1"/>
    <w:p w14:paraId="04D94922" w14:textId="77777777" w:rsidR="00871AA1" w:rsidRDefault="00871AA1" w:rsidP="00871AA1"/>
    <w:p w14:paraId="69850DC9" w14:textId="77777777" w:rsidR="009F72F9" w:rsidRDefault="009F72F9" w:rsidP="00871AA1"/>
    <w:p w14:paraId="590DD369" w14:textId="583AF991" w:rsidR="00871AA1" w:rsidRDefault="00871AA1" w:rsidP="00871AA1">
      <w:r>
        <w:lastRenderedPageBreak/>
        <w:t xml:space="preserve">References </w:t>
      </w:r>
    </w:p>
    <w:p w14:paraId="3CA18E82" w14:textId="36042BB7" w:rsidR="00871AA1" w:rsidRPr="00871AA1" w:rsidRDefault="00871AA1" w:rsidP="00871AA1">
      <w:r w:rsidRPr="00871AA1">
        <w:t xml:space="preserve">Beattie, A. and West, M. (2021) </w:t>
      </w:r>
      <w:r w:rsidRPr="00871AA1">
        <w:rPr>
          <w:i/>
          <w:iCs/>
        </w:rPr>
        <w:t>Attachment and dementia care: Understanding emotional needs in later life</w:t>
      </w:r>
      <w:r w:rsidRPr="00871AA1">
        <w:t>. London: Routledge.</w:t>
      </w:r>
    </w:p>
    <w:p w14:paraId="1CE4E2AD" w14:textId="77777777" w:rsidR="00871AA1" w:rsidRPr="00871AA1" w:rsidRDefault="00871AA1" w:rsidP="00871AA1">
      <w:r w:rsidRPr="00871AA1">
        <w:t xml:space="preserve">Guthrie, L. and Blood, I. (2018) </w:t>
      </w:r>
      <w:r w:rsidRPr="00871AA1">
        <w:rPr>
          <w:i/>
          <w:iCs/>
        </w:rPr>
        <w:t>Attachment</w:t>
      </w:r>
      <w:r w:rsidRPr="00871AA1">
        <w:rPr>
          <w:i/>
          <w:iCs/>
        </w:rPr>
        <w:noBreakHyphen/>
        <w:t>informed practice with adults: Understanding strategies for supporting emotional needs</w:t>
      </w:r>
      <w:r w:rsidRPr="00871AA1">
        <w:t>. Bristol: Policy Press.</w:t>
      </w:r>
    </w:p>
    <w:p w14:paraId="13D8CB56" w14:textId="77777777" w:rsidR="00871AA1" w:rsidRPr="00871AA1" w:rsidRDefault="00871AA1" w:rsidP="00871AA1">
      <w:r w:rsidRPr="00871AA1">
        <w:t>Platts, L.G., Webb, E., Zaninotto, P. and Carvalho, L.A. (2023) ‘Adult attachment style and trajectories of mental and physical health in later life: Findings from a 14</w:t>
      </w:r>
      <w:r w:rsidRPr="00871AA1">
        <w:noBreakHyphen/>
        <w:t xml:space="preserve">year longitudinal study’, </w:t>
      </w:r>
      <w:r w:rsidRPr="00871AA1">
        <w:rPr>
          <w:i/>
          <w:iCs/>
        </w:rPr>
        <w:t>Journal of Health Psychology</w:t>
      </w:r>
      <w:r w:rsidRPr="00871AA1">
        <w:t>, 28(6), pp. 1234–1249.</w:t>
      </w:r>
    </w:p>
    <w:p w14:paraId="7EFD5677" w14:textId="77777777" w:rsidR="00871AA1" w:rsidRPr="00871AA1" w:rsidRDefault="00871AA1" w:rsidP="00871AA1">
      <w:r w:rsidRPr="00871AA1">
        <w:t xml:space="preserve">Rodway, C. (2025) ‘Attachment across the lifespan: Implications for health and social care practice’, </w:t>
      </w:r>
      <w:r w:rsidRPr="00871AA1">
        <w:rPr>
          <w:i/>
          <w:iCs/>
        </w:rPr>
        <w:t>British Journal of Social Work</w:t>
      </w:r>
      <w:r w:rsidRPr="00871AA1">
        <w:t>, 55(1), pp. 112–129.</w:t>
      </w:r>
    </w:p>
    <w:p w14:paraId="240FD3E4" w14:textId="77777777" w:rsidR="00871AA1" w:rsidRPr="00871AA1" w:rsidRDefault="00871AA1" w:rsidP="00871AA1">
      <w:r w:rsidRPr="00871AA1">
        <w:t xml:space="preserve">Van Assche, E., Luyten, P. and Vliegen, N. (2023) ‘Attachment in later life: A lifespan perspective on vulnerability, dependency and emotional regulation’, </w:t>
      </w:r>
      <w:r w:rsidRPr="00871AA1">
        <w:rPr>
          <w:i/>
          <w:iCs/>
        </w:rPr>
        <w:t>Aging &amp; Mental Health</w:t>
      </w:r>
      <w:r w:rsidRPr="00871AA1">
        <w:t>, 27(4), pp. 789–798.</w:t>
      </w:r>
    </w:p>
    <w:p w14:paraId="0E40999D" w14:textId="77777777" w:rsidR="00871AA1" w:rsidRPr="00871AA1" w:rsidRDefault="00871AA1" w:rsidP="00871AA1">
      <w:r w:rsidRPr="00871AA1">
        <w:t xml:space="preserve">Worsley, J. and Corcoran, R. (2024) ‘Loneliness, attachment insecurity and wellbeing in older adults: A relational perspective’, </w:t>
      </w:r>
      <w:r w:rsidRPr="00871AA1">
        <w:rPr>
          <w:i/>
          <w:iCs/>
        </w:rPr>
        <w:t>Ageing &amp; Society</w:t>
      </w:r>
      <w:r w:rsidRPr="00871AA1">
        <w:t>, 44(2), pp. 355–372.</w:t>
      </w:r>
    </w:p>
    <w:p w14:paraId="11CF601C" w14:textId="77777777" w:rsidR="00871AA1" w:rsidRDefault="00871AA1"/>
    <w:sectPr w:rsidR="00871A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1AA1"/>
    <w:rsid w:val="000212F2"/>
    <w:rsid w:val="00062B45"/>
    <w:rsid w:val="000E1786"/>
    <w:rsid w:val="00192BCD"/>
    <w:rsid w:val="00242714"/>
    <w:rsid w:val="00244737"/>
    <w:rsid w:val="00310C73"/>
    <w:rsid w:val="00387959"/>
    <w:rsid w:val="00403BED"/>
    <w:rsid w:val="00453141"/>
    <w:rsid w:val="00583635"/>
    <w:rsid w:val="0066439E"/>
    <w:rsid w:val="0070103C"/>
    <w:rsid w:val="00701795"/>
    <w:rsid w:val="00867972"/>
    <w:rsid w:val="00871AA1"/>
    <w:rsid w:val="008B138C"/>
    <w:rsid w:val="009F72F9"/>
    <w:rsid w:val="00A00BC0"/>
    <w:rsid w:val="00A749A2"/>
    <w:rsid w:val="00AE29C7"/>
    <w:rsid w:val="00C92914"/>
    <w:rsid w:val="00D2192C"/>
    <w:rsid w:val="00E52E37"/>
    <w:rsid w:val="00E57A1F"/>
    <w:rsid w:val="00E6263A"/>
    <w:rsid w:val="00E62714"/>
    <w:rsid w:val="00E87F0A"/>
    <w:rsid w:val="00F747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52D999"/>
  <w15:chartTrackingRefBased/>
  <w15:docId w15:val="{AC7E94C3-50E4-4A6D-BAD1-C7AD416246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1A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71A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71A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71A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71A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71A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1A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1A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1A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1A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71A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71A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71A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71A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71A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1A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1A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1AA1"/>
    <w:rPr>
      <w:rFonts w:eastAsiaTheme="majorEastAsia" w:cstheme="majorBidi"/>
      <w:color w:val="272727" w:themeColor="text1" w:themeTint="D8"/>
    </w:rPr>
  </w:style>
  <w:style w:type="paragraph" w:styleId="Title">
    <w:name w:val="Title"/>
    <w:basedOn w:val="Normal"/>
    <w:next w:val="Normal"/>
    <w:link w:val="TitleChar"/>
    <w:uiPriority w:val="10"/>
    <w:qFormat/>
    <w:rsid w:val="00871A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1A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1A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1A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1AA1"/>
    <w:pPr>
      <w:spacing w:before="160"/>
      <w:jc w:val="center"/>
    </w:pPr>
    <w:rPr>
      <w:i/>
      <w:iCs/>
      <w:color w:val="404040" w:themeColor="text1" w:themeTint="BF"/>
    </w:rPr>
  </w:style>
  <w:style w:type="character" w:customStyle="1" w:styleId="QuoteChar">
    <w:name w:val="Quote Char"/>
    <w:basedOn w:val="DefaultParagraphFont"/>
    <w:link w:val="Quote"/>
    <w:uiPriority w:val="29"/>
    <w:rsid w:val="00871AA1"/>
    <w:rPr>
      <w:i/>
      <w:iCs/>
      <w:color w:val="404040" w:themeColor="text1" w:themeTint="BF"/>
    </w:rPr>
  </w:style>
  <w:style w:type="paragraph" w:styleId="ListParagraph">
    <w:name w:val="List Paragraph"/>
    <w:basedOn w:val="Normal"/>
    <w:uiPriority w:val="34"/>
    <w:qFormat/>
    <w:rsid w:val="00871AA1"/>
    <w:pPr>
      <w:ind w:left="720"/>
      <w:contextualSpacing/>
    </w:pPr>
  </w:style>
  <w:style w:type="character" w:styleId="IntenseEmphasis">
    <w:name w:val="Intense Emphasis"/>
    <w:basedOn w:val="DefaultParagraphFont"/>
    <w:uiPriority w:val="21"/>
    <w:qFormat/>
    <w:rsid w:val="00871AA1"/>
    <w:rPr>
      <w:i/>
      <w:iCs/>
      <w:color w:val="0F4761" w:themeColor="accent1" w:themeShade="BF"/>
    </w:rPr>
  </w:style>
  <w:style w:type="paragraph" w:styleId="IntenseQuote">
    <w:name w:val="Intense Quote"/>
    <w:basedOn w:val="Normal"/>
    <w:next w:val="Normal"/>
    <w:link w:val="IntenseQuoteChar"/>
    <w:uiPriority w:val="30"/>
    <w:qFormat/>
    <w:rsid w:val="00871A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71AA1"/>
    <w:rPr>
      <w:i/>
      <w:iCs/>
      <w:color w:val="0F4761" w:themeColor="accent1" w:themeShade="BF"/>
    </w:rPr>
  </w:style>
  <w:style w:type="character" w:styleId="IntenseReference">
    <w:name w:val="Intense Reference"/>
    <w:basedOn w:val="DefaultParagraphFont"/>
    <w:uiPriority w:val="32"/>
    <w:qFormat/>
    <w:rsid w:val="00871AA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30</TotalTime>
  <Pages>9</Pages>
  <Words>2041</Words>
  <Characters>11640</Characters>
  <Application>Microsoft Office Word</Application>
  <DocSecurity>0</DocSecurity>
  <Lines>97</Lines>
  <Paragraphs>27</Paragraphs>
  <ScaleCrop>false</ScaleCrop>
  <Company/>
  <LinksUpToDate>false</LinksUpToDate>
  <CharactersWithSpaces>13654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Tayyaba Arshad</dc:creator>
  <cp:keywords/>
  <dc:description/>
  <cp:lastModifiedBy>Tayyaba Arshad</cp:lastModifiedBy>
  <cp:revision>31</cp:revision>
  <dcterms:created xsi:type="dcterms:W3CDTF">2026-03-22T22:36:00Z</dcterms:created>
  <dcterms:modified xsi:type="dcterms:W3CDTF">2026-03-22T23:07:00Z</dcterms:modified>
</cp:coreProperties>
</file>