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5CAC" w:rsidRPr="00494493" w:rsidRDefault="00BE5CAC" w:rsidP="00BE5CAC">
      <w:pPr>
        <w:rPr>
          <w:sz w:val="28"/>
          <w:szCs w:val="28"/>
        </w:rPr>
      </w:pPr>
    </w:p>
    <w:sdt>
      <w:sdtPr>
        <w:rPr>
          <w:sz w:val="28"/>
          <w:szCs w:val="28"/>
        </w:rPr>
        <w:id w:val="1870026428"/>
        <w:docPartObj>
          <w:docPartGallery w:val="Cover Pages"/>
          <w:docPartUnique/>
        </w:docPartObj>
      </w:sdtPr>
      <w:sdtEndPr>
        <w:rPr>
          <w:rFonts w:cs="Times New Roman"/>
        </w:rPr>
      </w:sdtEndPr>
      <w:sdtContent>
        <w:p w:rsidR="0034651A" w:rsidRPr="00494493" w:rsidRDefault="0034651A" w:rsidP="0034651A">
          <w:pPr>
            <w:jc w:val="center"/>
            <w:rPr>
              <w:sz w:val="28"/>
              <w:szCs w:val="28"/>
            </w:rPr>
          </w:pPr>
          <w:r w:rsidRPr="00494493">
            <w:rPr>
              <w:sz w:val="28"/>
              <w:szCs w:val="28"/>
              <w:lang w:val="en-US"/>
            </w:rPr>
            <w:drawing>
              <wp:inline distT="0" distB="0" distL="0" distR="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tretch>
                          <a:fillRect/>
                        </a:stretch>
                      </pic:blipFill>
                      <pic:spPr>
                        <a:xfrm>
                          <a:off x="0" y="0"/>
                          <a:ext cx="2176392" cy="871109"/>
                        </a:xfrm>
                        <a:prstGeom prst="rect">
                          <a:avLst/>
                        </a:prstGeom>
                      </pic:spPr>
                    </pic:pic>
                  </a:graphicData>
                </a:graphic>
              </wp:inline>
            </w:drawing>
          </w:r>
        </w:p>
        <w:p w:rsidR="0034651A" w:rsidRPr="00494493" w:rsidRDefault="0034651A">
          <w:pPr>
            <w:rPr>
              <w:sz w:val="28"/>
              <w:szCs w:val="28"/>
            </w:rPr>
          </w:pPr>
        </w:p>
        <w:p w:rsidR="0034651A" w:rsidRPr="00494493" w:rsidRDefault="0034651A" w:rsidP="00265005">
          <w:pPr>
            <w:jc w:val="right"/>
            <w:rPr>
              <w:rFonts w:cs="Times New Roman"/>
              <w:sz w:val="28"/>
              <w:szCs w:val="28"/>
            </w:rPr>
          </w:pPr>
        </w:p>
        <w:p w:rsidR="00F0563E" w:rsidRPr="00494493" w:rsidRDefault="00306CE9" w:rsidP="00DE3072">
          <w:pPr>
            <w:tabs>
              <w:tab w:val="left" w:pos="2768"/>
            </w:tabs>
            <w:jc w:val="center"/>
            <w:rPr>
              <w:rFonts w:cs="Times New Roman"/>
              <w:sz w:val="28"/>
              <w:szCs w:val="28"/>
            </w:rPr>
          </w:pPr>
          <w:r w:rsidRPr="00494493">
            <w:rPr>
              <w:rFonts w:cs="Times New Roman"/>
              <w:sz w:val="28"/>
              <w:szCs w:val="28"/>
            </w:rPr>
            <w:t>International Business</w:t>
          </w:r>
          <w:r w:rsidR="00F0563E" w:rsidRPr="00494493">
            <w:rPr>
              <w:rFonts w:cs="Times New Roman"/>
              <w:sz w:val="28"/>
              <w:szCs w:val="28"/>
            </w:rPr>
            <w:t xml:space="preserve"> </w:t>
          </w:r>
        </w:p>
        <w:p w:rsidR="0034651A" w:rsidRPr="00494493" w:rsidRDefault="00306CE9" w:rsidP="00DE3072">
          <w:pPr>
            <w:tabs>
              <w:tab w:val="left" w:pos="2768"/>
            </w:tabs>
            <w:jc w:val="center"/>
            <w:rPr>
              <w:rFonts w:cs="Times New Roman"/>
              <w:sz w:val="28"/>
              <w:szCs w:val="28"/>
            </w:rPr>
          </w:pPr>
          <w:r w:rsidRPr="00494493">
            <w:rPr>
              <w:rFonts w:cs="Times New Roman"/>
              <w:sz w:val="28"/>
              <w:szCs w:val="28"/>
            </w:rPr>
            <w:t>LCMB7014</w:t>
          </w:r>
        </w:p>
        <w:p w:rsidR="0034651A" w:rsidRPr="00494493" w:rsidRDefault="0034651A" w:rsidP="00265005">
          <w:pPr>
            <w:jc w:val="right"/>
            <w:rPr>
              <w:rFonts w:cs="Times New Roman"/>
              <w:sz w:val="28"/>
              <w:szCs w:val="28"/>
            </w:rPr>
          </w:pPr>
        </w:p>
        <w:p w:rsidR="0034651A" w:rsidRPr="00494493" w:rsidRDefault="0034651A" w:rsidP="00265005">
          <w:pPr>
            <w:jc w:val="right"/>
            <w:rPr>
              <w:rFonts w:cs="Times New Roman"/>
              <w:sz w:val="28"/>
              <w:szCs w:val="28"/>
            </w:rPr>
          </w:pPr>
        </w:p>
        <w:p w:rsidR="0034651A" w:rsidRPr="00494493" w:rsidRDefault="000C6549" w:rsidP="00D3435F">
          <w:pPr>
            <w:jc w:val="center"/>
            <w:rPr>
              <w:rFonts w:ascii="Arial Black" w:hAnsi="Arial Black" w:cs="Times New Roman"/>
              <w:color w:val="00B050"/>
              <w:sz w:val="28"/>
              <w:szCs w:val="28"/>
            </w:rPr>
          </w:pPr>
          <w:r w:rsidRPr="00494493">
            <w:rPr>
              <w:rFonts w:ascii="Arial Black" w:hAnsi="Arial Black" w:cs="Times New Roman"/>
              <w:color w:val="00B050"/>
              <w:sz w:val="28"/>
              <w:szCs w:val="28"/>
            </w:rPr>
            <w:t>AstraZeneca International Business in India</w:t>
          </w:r>
        </w:p>
        <w:p w:rsidR="00306CE9" w:rsidRPr="00494493" w:rsidRDefault="00306CE9" w:rsidP="00D3435F">
          <w:pPr>
            <w:jc w:val="center"/>
            <w:rPr>
              <w:rFonts w:ascii="Arial Black" w:hAnsi="Arial Black" w:cs="Times New Roman"/>
              <w:sz w:val="28"/>
              <w:szCs w:val="28"/>
            </w:rPr>
          </w:pPr>
        </w:p>
        <w:p w:rsidR="00DE3072" w:rsidRPr="00494493" w:rsidRDefault="000E5019" w:rsidP="00265005">
          <w:pPr>
            <w:jc w:val="right"/>
            <w:rPr>
              <w:rFonts w:cs="Times New Roman"/>
              <w:sz w:val="28"/>
              <w:szCs w:val="28"/>
            </w:rPr>
          </w:pPr>
          <w:r w:rsidRPr="00494493">
            <w:rPr>
              <w:rFonts w:ascii="Arial Black" w:hAnsi="Arial Black" w:cs="Times New Roman"/>
              <w:sz w:val="28"/>
              <w:szCs w:val="28"/>
              <w:lang w:val="en-US"/>
            </w:rPr>
            <w:drawing>
              <wp:inline distT="0" distB="0" distL="0" distR="0">
                <wp:extent cx="5731510" cy="3056809"/>
                <wp:effectExtent l="19050" t="0" r="2540" b="0"/>
                <wp:docPr id="1" name="Picture 0" descr="AZ_RGB_H_COL_600x3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Z_RGB_H_COL_600x315.jpg"/>
                        <pic:cNvPicPr/>
                      </pic:nvPicPr>
                      <pic:blipFill>
                        <a:blip r:embed="rId10"/>
                        <a:stretch>
                          <a:fillRect/>
                        </a:stretch>
                      </pic:blipFill>
                      <pic:spPr>
                        <a:xfrm>
                          <a:off x="0" y="0"/>
                          <a:ext cx="5731510" cy="3056809"/>
                        </a:xfrm>
                        <a:prstGeom prst="rect">
                          <a:avLst/>
                        </a:prstGeom>
                      </pic:spPr>
                    </pic:pic>
                  </a:graphicData>
                </a:graphic>
              </wp:inline>
            </w:drawing>
          </w:r>
        </w:p>
        <w:p w:rsidR="000E5019" w:rsidRPr="00494493" w:rsidRDefault="000E5019" w:rsidP="000E5019">
          <w:pPr>
            <w:rPr>
              <w:rFonts w:cs="Times New Roman"/>
              <w:sz w:val="28"/>
              <w:szCs w:val="28"/>
            </w:rPr>
          </w:pPr>
          <w:r w:rsidRPr="00494493">
            <w:rPr>
              <w:rFonts w:cs="Times New Roman"/>
              <w:sz w:val="28"/>
              <w:szCs w:val="28"/>
            </w:rPr>
            <w:t>Student name: Rajbhai Baraiya</w:t>
          </w:r>
        </w:p>
        <w:p w:rsidR="000E5019" w:rsidRPr="00494493" w:rsidRDefault="000E5019" w:rsidP="000E5019">
          <w:pPr>
            <w:rPr>
              <w:rFonts w:cs="Times New Roman"/>
              <w:sz w:val="28"/>
              <w:szCs w:val="28"/>
            </w:rPr>
          </w:pPr>
          <w:r w:rsidRPr="00494493">
            <w:rPr>
              <w:rFonts w:cs="Times New Roman"/>
              <w:sz w:val="28"/>
              <w:szCs w:val="28"/>
            </w:rPr>
            <w:t>Student Number: 2133402</w:t>
          </w:r>
        </w:p>
        <w:p w:rsidR="000E5019" w:rsidRPr="00494493" w:rsidRDefault="000E5019" w:rsidP="000E5019">
          <w:pPr>
            <w:rPr>
              <w:rFonts w:cs="Times New Roman"/>
              <w:sz w:val="28"/>
              <w:szCs w:val="28"/>
            </w:rPr>
          </w:pPr>
          <w:r w:rsidRPr="00494493">
            <w:rPr>
              <w:rFonts w:cs="Times New Roman"/>
              <w:sz w:val="28"/>
              <w:szCs w:val="28"/>
            </w:rPr>
            <w:t>Lecturer: Dr Hossein Shokri</w:t>
          </w:r>
        </w:p>
        <w:p w:rsidR="001B41B6" w:rsidRPr="00494493" w:rsidRDefault="000E5019" w:rsidP="000E5019">
          <w:pPr>
            <w:rPr>
              <w:rFonts w:cs="Times New Roman"/>
              <w:sz w:val="28"/>
              <w:szCs w:val="28"/>
            </w:rPr>
          </w:pPr>
          <w:r w:rsidRPr="00494493">
            <w:rPr>
              <w:rFonts w:cs="Times New Roman"/>
              <w:sz w:val="28"/>
              <w:szCs w:val="28"/>
            </w:rPr>
            <w:lastRenderedPageBreak/>
            <w:t xml:space="preserve">Submission Date: </w:t>
          </w:r>
          <w:r w:rsidR="00BE5CAC" w:rsidRPr="00494493">
            <w:rPr>
              <w:rFonts w:cs="Times New Roman"/>
              <w:sz w:val="28"/>
              <w:szCs w:val="28"/>
            </w:rPr>
            <w:t>03/05/2023</w:t>
          </w:r>
        </w:p>
        <w:p w:rsidR="001B41B6" w:rsidRPr="00494493" w:rsidRDefault="001B41B6" w:rsidP="00265005">
          <w:pPr>
            <w:jc w:val="right"/>
            <w:rPr>
              <w:rFonts w:cs="Times New Roman"/>
              <w:sz w:val="28"/>
              <w:szCs w:val="28"/>
            </w:rPr>
          </w:pPr>
        </w:p>
        <w:sdt>
          <w:sdtPr>
            <w:rPr>
              <w:rFonts w:asciiTheme="minorHAnsi" w:eastAsiaTheme="minorHAnsi" w:hAnsiTheme="minorHAnsi" w:cstheme="minorBidi"/>
              <w:color w:val="auto"/>
              <w:sz w:val="28"/>
              <w:szCs w:val="28"/>
            </w:rPr>
            <w:id w:val="-1516920417"/>
            <w:docPartObj>
              <w:docPartGallery w:val="Table of Contents"/>
              <w:docPartUnique/>
            </w:docPartObj>
          </w:sdtPr>
          <w:sdtEndPr>
            <w:rPr>
              <w:rFonts w:ascii="Times New Roman" w:hAnsi="Times New Roman" w:cs="Times New Roman"/>
              <w:b/>
              <w:bCs/>
            </w:rPr>
          </w:sdtEndPr>
          <w:sdtContent>
            <w:p w:rsidR="007F19BE" w:rsidRPr="00494493" w:rsidRDefault="007F19BE" w:rsidP="00927F56">
              <w:pPr>
                <w:pStyle w:val="TOCHeading"/>
                <w:rPr>
                  <w:rStyle w:val="Heading1Char"/>
                  <w:sz w:val="28"/>
                  <w:szCs w:val="28"/>
                </w:rPr>
              </w:pPr>
              <w:r w:rsidRPr="00494493">
                <w:rPr>
                  <w:rStyle w:val="Heading1Char"/>
                  <w:sz w:val="28"/>
                  <w:szCs w:val="28"/>
                </w:rPr>
                <w:t>Table of Contents</w:t>
              </w:r>
            </w:p>
            <w:p w:rsidR="008D6651" w:rsidRPr="00494493" w:rsidRDefault="00793C7B">
              <w:pPr>
                <w:pStyle w:val="TOC1"/>
                <w:tabs>
                  <w:tab w:val="right" w:leader="dot" w:pos="9016"/>
                </w:tabs>
                <w:rPr>
                  <w:rFonts w:eastAsiaTheme="minorEastAsia" w:cs="Times New Roman"/>
                  <w:sz w:val="28"/>
                  <w:szCs w:val="28"/>
                  <w:lang w:val="en-US"/>
                </w:rPr>
              </w:pPr>
              <w:r w:rsidRPr="00494493">
                <w:rPr>
                  <w:rFonts w:cs="Times New Roman"/>
                  <w:sz w:val="28"/>
                  <w:szCs w:val="28"/>
                </w:rPr>
                <w:fldChar w:fldCharType="begin"/>
              </w:r>
              <w:r w:rsidR="004165E8" w:rsidRPr="00494493">
                <w:rPr>
                  <w:rFonts w:cs="Times New Roman"/>
                  <w:sz w:val="28"/>
                  <w:szCs w:val="28"/>
                </w:rPr>
                <w:instrText xml:space="preserve"> TOC \o "1-4" \h \z \u </w:instrText>
              </w:r>
              <w:r w:rsidRPr="00494493">
                <w:rPr>
                  <w:rFonts w:cs="Times New Roman"/>
                  <w:sz w:val="28"/>
                  <w:szCs w:val="28"/>
                </w:rPr>
                <w:fldChar w:fldCharType="separate"/>
              </w:r>
              <w:hyperlink w:anchor="_Toc131431291" w:history="1">
                <w:r w:rsidR="008D6651" w:rsidRPr="00494493">
                  <w:rPr>
                    <w:rStyle w:val="Hyperlink"/>
                    <w:rFonts w:cs="Times New Roman"/>
                    <w:sz w:val="28"/>
                    <w:szCs w:val="28"/>
                  </w:rPr>
                  <w:t>Introduction</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_Toc131431291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1</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292" w:history="1">
                <w:r w:rsidR="008D6651" w:rsidRPr="00494493">
                  <w:rPr>
                    <w:rStyle w:val="Hyperlink"/>
                    <w:rFonts w:cs="Times New Roman"/>
                    <w:sz w:val="28"/>
                    <w:szCs w:val="28"/>
                  </w:rPr>
                  <w:t>Company Background</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_Toc131431292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2</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293" w:history="1">
                <w:r w:rsidR="008D6651" w:rsidRPr="00494493">
                  <w:rPr>
                    <w:rStyle w:val="Hyperlink"/>
                    <w:rFonts w:cs="Times New Roman"/>
                    <w:sz w:val="28"/>
                    <w:szCs w:val="28"/>
                  </w:rPr>
                  <w:t>Company’s Objectives and Strategies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_Toc131431293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3</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294" w:history="1">
                <w:r w:rsidR="008D6651" w:rsidRPr="00494493">
                  <w:rPr>
                    <w:rStyle w:val="Hyperlink"/>
                    <w:rFonts w:cs="Times New Roman"/>
                    <w:sz w:val="28"/>
                    <w:szCs w:val="28"/>
                  </w:rPr>
                  <w:t>Countries’ Specifications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_Toc131431294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4</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295" w:history="1">
                <w:r w:rsidR="008D6651" w:rsidRPr="00494493">
                  <w:rPr>
                    <w:rStyle w:val="Hyperlink"/>
                    <w:rFonts w:cs="Times New Roman"/>
                    <w:sz w:val="28"/>
                    <w:szCs w:val="28"/>
                  </w:rPr>
                  <w:t>Home Country</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_Toc131431295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4</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296" w:history="1">
                <w:r w:rsidR="008D6651" w:rsidRPr="00494493">
                  <w:rPr>
                    <w:rStyle w:val="Hyperlink"/>
                    <w:rFonts w:cs="Times New Roman"/>
                    <w:sz w:val="28"/>
                    <w:szCs w:val="28"/>
                  </w:rPr>
                  <w:t>External Analysis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_Toc131431296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4</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297" w:history="1">
                <w:r w:rsidR="008D6651" w:rsidRPr="00494493">
                  <w:rPr>
                    <w:rStyle w:val="Hyperlink"/>
                    <w:rFonts w:cs="Times New Roman"/>
                    <w:sz w:val="28"/>
                    <w:szCs w:val="28"/>
                  </w:rPr>
                  <w:t>A Comparative PESTEL Analysis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_Toc131431297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4</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298" w:history="1">
                <w:r w:rsidR="008D6651" w:rsidRPr="00494493">
                  <w:rPr>
                    <w:rStyle w:val="Hyperlink"/>
                    <w:rFonts w:cs="Times New Roman"/>
                    <w:sz w:val="28"/>
                    <w:szCs w:val="28"/>
                  </w:rPr>
                  <w:t>Industry Five Forces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_Toc131431298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4</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299" w:history="1">
                <w:r w:rsidR="008D6651" w:rsidRPr="00494493">
                  <w:rPr>
                    <w:rStyle w:val="Hyperlink"/>
                    <w:rFonts w:cs="Times New Roman"/>
                    <w:sz w:val="28"/>
                    <w:szCs w:val="28"/>
                  </w:rPr>
                  <w:t>Market Analysis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_Toc131431299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00" w:history="1">
                <w:r w:rsidR="008D6651" w:rsidRPr="00494493">
                  <w:rPr>
                    <w:rStyle w:val="Hyperlink"/>
                    <w:rFonts w:cs="Times New Roman"/>
                    <w:sz w:val="28"/>
                    <w:szCs w:val="28"/>
                  </w:rPr>
                  <w:t>Host Country Analysis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_Toc131431300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301" w:history="1">
                <w:r w:rsidR="008D6651" w:rsidRPr="00494493">
                  <w:rPr>
                    <w:rStyle w:val="Hyperlink"/>
                    <w:rFonts w:cs="Times New Roman"/>
                    <w:sz w:val="28"/>
                    <w:szCs w:val="28"/>
                  </w:rPr>
                  <w:t>Country’s National Diamond</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_Toc131431301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302" w:history="1">
                <w:r w:rsidR="008D6651" w:rsidRPr="00494493">
                  <w:rPr>
                    <w:rStyle w:val="Hyperlink"/>
                    <w:rFonts w:cs="Times New Roman"/>
                    <w:sz w:val="28"/>
                    <w:szCs w:val="28"/>
                  </w:rPr>
                  <w:t>Country Business Risks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_Toc131431302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03" w:history="1">
                <w:r w:rsidR="008D6651" w:rsidRPr="00494493">
                  <w:rPr>
                    <w:rStyle w:val="Hyperlink"/>
                    <w:rFonts w:cs="Times New Roman"/>
                    <w:sz w:val="28"/>
                    <w:szCs w:val="28"/>
                  </w:rPr>
                  <w:t>Internal Analysis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_Toc131431303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304" w:history="1">
                <w:r w:rsidR="008D6651" w:rsidRPr="00494493">
                  <w:rPr>
                    <w:rStyle w:val="Hyperlink"/>
                    <w:rFonts w:cs="Times New Roman"/>
                    <w:sz w:val="28"/>
                    <w:szCs w:val="28"/>
                  </w:rPr>
                  <w:t>Global value chain</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_Toc131431304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305" w:history="1">
                <w:r w:rsidR="008D6651" w:rsidRPr="00494493">
                  <w:rPr>
                    <w:rStyle w:val="Hyperlink"/>
                    <w:rFonts w:cs="Times New Roman"/>
                    <w:sz w:val="28"/>
                    <w:szCs w:val="28"/>
                  </w:rPr>
                  <w:t>SWOT analysis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_Toc131431305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5</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06" w:history="1">
                <w:r w:rsidR="008D6651" w:rsidRPr="00494493">
                  <w:rPr>
                    <w:rStyle w:val="Hyperlink"/>
                    <w:rFonts w:cs="Times New Roman"/>
                    <w:sz w:val="28"/>
                    <w:szCs w:val="28"/>
                  </w:rPr>
                  <w:t>International Strategies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_Toc131431306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6</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07" w:history="1">
                <w:r w:rsidR="008D6651" w:rsidRPr="00494493">
                  <w:rPr>
                    <w:rStyle w:val="Hyperlink"/>
                    <w:rFonts w:cs="Times New Roman"/>
                    <w:sz w:val="28"/>
                    <w:szCs w:val="28"/>
                  </w:rPr>
                  <w:t>Entry Modes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_Toc131431307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6</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08" w:history="1">
                <w:r w:rsidR="008D6651" w:rsidRPr="00494493">
                  <w:rPr>
                    <w:rStyle w:val="Hyperlink"/>
                    <w:rFonts w:cs="Times New Roman"/>
                    <w:sz w:val="28"/>
                    <w:szCs w:val="28"/>
                  </w:rPr>
                  <w:t>Corporate Social Responsibility</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_Toc131431308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8</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09" w:history="1">
                <w:r w:rsidR="008D6651" w:rsidRPr="00494493">
                  <w:rPr>
                    <w:rStyle w:val="Hyperlink"/>
                    <w:rFonts w:cs="Times New Roman"/>
                    <w:sz w:val="28"/>
                    <w:szCs w:val="28"/>
                  </w:rPr>
                  <w:t>Conclusion</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_Toc131431309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9</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10" w:history="1">
                <w:r w:rsidR="008D6651" w:rsidRPr="00494493">
                  <w:rPr>
                    <w:rStyle w:val="Hyperlink"/>
                    <w:rFonts w:cs="Times New Roman"/>
                    <w:sz w:val="28"/>
                    <w:szCs w:val="28"/>
                  </w:rPr>
                  <w:t>References</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_Toc131431310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11</w:t>
                </w:r>
                <w:r w:rsidRPr="00494493">
                  <w:rPr>
                    <w:rFonts w:cs="Times New Roman"/>
                    <w:webHidden/>
                    <w:sz w:val="28"/>
                    <w:szCs w:val="28"/>
                  </w:rPr>
                  <w:fldChar w:fldCharType="end"/>
                </w:r>
              </w:hyperlink>
            </w:p>
            <w:p w:rsidR="008D6651" w:rsidRPr="00494493" w:rsidRDefault="00793C7B">
              <w:pPr>
                <w:pStyle w:val="TOC1"/>
                <w:tabs>
                  <w:tab w:val="right" w:leader="dot" w:pos="9016"/>
                </w:tabs>
                <w:rPr>
                  <w:rFonts w:eastAsiaTheme="minorEastAsia" w:cs="Times New Roman"/>
                  <w:sz w:val="28"/>
                  <w:szCs w:val="28"/>
                  <w:lang w:val="en-US"/>
                </w:rPr>
              </w:pPr>
              <w:hyperlink w:anchor="_Toc131431311" w:history="1">
                <w:r w:rsidR="008D6651" w:rsidRPr="00494493">
                  <w:rPr>
                    <w:rStyle w:val="Hyperlink"/>
                    <w:rFonts w:cs="Times New Roman"/>
                    <w:sz w:val="28"/>
                    <w:szCs w:val="28"/>
                  </w:rPr>
                  <w:t>Appendix</w:t>
                </w:r>
                <w:r w:rsidR="008D6651" w:rsidRPr="00494493">
                  <w:rPr>
                    <w:rFonts w:cs="Times New Roman"/>
                    <w:webHidden/>
                    <w:sz w:val="28"/>
                    <w:szCs w:val="28"/>
                  </w:rPr>
                  <w:tab/>
                </w:r>
                <w:r w:rsidRPr="00494493">
                  <w:rPr>
                    <w:rFonts w:cs="Times New Roman"/>
                    <w:webHidden/>
                    <w:sz w:val="28"/>
                    <w:szCs w:val="28"/>
                  </w:rPr>
                  <w:fldChar w:fldCharType="begin"/>
                </w:r>
                <w:r w:rsidR="008D6651" w:rsidRPr="00494493">
                  <w:rPr>
                    <w:rFonts w:cs="Times New Roman"/>
                    <w:webHidden/>
                    <w:sz w:val="28"/>
                    <w:szCs w:val="28"/>
                  </w:rPr>
                  <w:instrText xml:space="preserve"> PAGEREF _Toc131431311 \h </w:instrText>
                </w:r>
                <w:r w:rsidRPr="00494493">
                  <w:rPr>
                    <w:rFonts w:cs="Times New Roman"/>
                    <w:webHidden/>
                    <w:sz w:val="28"/>
                    <w:szCs w:val="28"/>
                  </w:rPr>
                </w:r>
                <w:r w:rsidRPr="00494493">
                  <w:rPr>
                    <w:rFonts w:cs="Times New Roman"/>
                    <w:webHidden/>
                    <w:sz w:val="28"/>
                    <w:szCs w:val="28"/>
                  </w:rPr>
                  <w:fldChar w:fldCharType="separate"/>
                </w:r>
                <w:r w:rsidR="008D6651" w:rsidRPr="00494493">
                  <w:rPr>
                    <w:rFonts w:cs="Times New Roman"/>
                    <w:webHidden/>
                    <w:sz w:val="28"/>
                    <w:szCs w:val="28"/>
                  </w:rPr>
                  <w:t>13</w:t>
                </w:r>
                <w:r w:rsidRPr="00494493">
                  <w:rPr>
                    <w:rFonts w:cs="Times New Roman"/>
                    <w:webHidden/>
                    <w:sz w:val="28"/>
                    <w:szCs w:val="28"/>
                  </w:rPr>
                  <w:fldChar w:fldCharType="end"/>
                </w:r>
              </w:hyperlink>
            </w:p>
            <w:p w:rsidR="008D6651" w:rsidRPr="00494493" w:rsidRDefault="00793C7B">
              <w:pPr>
                <w:pStyle w:val="TOC2"/>
                <w:tabs>
                  <w:tab w:val="right" w:leader="dot" w:pos="9016"/>
                </w:tabs>
                <w:rPr>
                  <w:rFonts w:eastAsiaTheme="minorEastAsia" w:cs="Times New Roman"/>
                  <w:sz w:val="28"/>
                  <w:szCs w:val="28"/>
                  <w:lang w:val="en-US"/>
                </w:rPr>
              </w:pPr>
              <w:hyperlink w:anchor="_Toc131431313" w:history="1"/>
            </w:p>
            <w:p w:rsidR="000E5019" w:rsidRPr="00494493" w:rsidRDefault="00793C7B" w:rsidP="000E5019">
              <w:pPr>
                <w:rPr>
                  <w:rFonts w:cs="Times New Roman"/>
                  <w:sz w:val="28"/>
                  <w:szCs w:val="28"/>
                </w:rPr>
              </w:pPr>
              <w:r w:rsidRPr="00494493">
                <w:rPr>
                  <w:rFonts w:cs="Times New Roman"/>
                  <w:sz w:val="28"/>
                  <w:szCs w:val="28"/>
                </w:rPr>
                <w:fldChar w:fldCharType="end"/>
              </w:r>
            </w:p>
          </w:sdtContent>
        </w:sdt>
        <w:p w:rsidR="00625D95" w:rsidRPr="00494493" w:rsidRDefault="00625D95" w:rsidP="00927F56">
          <w:pPr>
            <w:pStyle w:val="Heading1"/>
            <w:rPr>
              <w:sz w:val="28"/>
              <w:szCs w:val="28"/>
            </w:rPr>
          </w:pPr>
          <w:bookmarkStart w:id="0" w:name="_Toc131431291"/>
          <w:r w:rsidRPr="00494493">
            <w:rPr>
              <w:sz w:val="28"/>
              <w:szCs w:val="28"/>
            </w:rPr>
            <w:lastRenderedPageBreak/>
            <w:t>Introduction</w:t>
          </w:r>
          <w:bookmarkEnd w:id="0"/>
        </w:p>
        <w:p w:rsidR="00E316D4" w:rsidRPr="00494493" w:rsidRDefault="00523EFA" w:rsidP="00523EFA">
          <w:pPr>
            <w:spacing w:line="360" w:lineRule="auto"/>
            <w:jc w:val="both"/>
            <w:rPr>
              <w:rFonts w:cs="Times New Roman"/>
              <w:sz w:val="28"/>
              <w:szCs w:val="28"/>
            </w:rPr>
          </w:pPr>
          <w:r w:rsidRPr="00494493">
            <w:rPr>
              <w:rFonts w:cs="Times New Roman"/>
              <w:color w:val="000000"/>
              <w:sz w:val="28"/>
              <w:szCs w:val="28"/>
            </w:rPr>
            <w:t>This report has claim to highlight host and home country of Astrazeneca</w:t>
          </w:r>
          <w:r w:rsidR="00BB3689" w:rsidRPr="00494493">
            <w:rPr>
              <w:rFonts w:cs="Times New Roman"/>
              <w:color w:val="000000"/>
              <w:sz w:val="28"/>
              <w:szCs w:val="28"/>
            </w:rPr>
            <w:t>, Also this report will show company background, stretagies.</w:t>
          </w:r>
          <w:r w:rsidRPr="00494493">
            <w:rPr>
              <w:rFonts w:cs="Times New Roman"/>
              <w:color w:val="000000"/>
              <w:sz w:val="28"/>
              <w:szCs w:val="28"/>
            </w:rPr>
            <w:t xml:space="preserve"> This report Two commonly used analyses are PESTEL and SWOT. PESTEL analysis examines the external environment while SWOT analysis focuses on the internal environment. This essay provides an overview of both analyses and their applications in business.</w:t>
          </w:r>
        </w:p>
        <w:p w:rsidR="00625D95" w:rsidRPr="00494493" w:rsidRDefault="00625D95" w:rsidP="00E316D4">
          <w:pPr>
            <w:pStyle w:val="Heading1"/>
            <w:rPr>
              <w:sz w:val="28"/>
              <w:szCs w:val="28"/>
            </w:rPr>
          </w:pPr>
          <w:bookmarkStart w:id="1" w:name="_Toc131431292"/>
          <w:r w:rsidRPr="00494493">
            <w:rPr>
              <w:sz w:val="28"/>
              <w:szCs w:val="28"/>
            </w:rPr>
            <w:t>Company Background</w:t>
          </w:r>
          <w:bookmarkEnd w:id="1"/>
        </w:p>
        <w:p w:rsidR="00B54E8E" w:rsidRPr="00494493" w:rsidRDefault="00B54E8E" w:rsidP="00B54E8E">
          <w:pPr>
            <w:spacing w:line="360" w:lineRule="auto"/>
            <w:jc w:val="both"/>
            <w:rPr>
              <w:sz w:val="28"/>
              <w:szCs w:val="28"/>
            </w:rPr>
          </w:pPr>
          <w:r w:rsidRPr="00494493">
            <w:rPr>
              <w:sz w:val="28"/>
              <w:szCs w:val="28"/>
            </w:rPr>
            <w:t>Astrazeneca is a global, science-led,patient-focused pharmaceutical company.</w:t>
          </w:r>
          <w:r w:rsidRPr="00494493">
            <w:rPr>
              <w:rFonts w:ascii="Georgia" w:hAnsi="Georgia"/>
              <w:color w:val="191B37"/>
              <w:sz w:val="28"/>
              <w:szCs w:val="28"/>
              <w:shd w:val="clear" w:color="auto" w:fill="FFFFFF"/>
            </w:rPr>
            <w:t xml:space="preserve"> </w:t>
          </w:r>
          <w:r w:rsidRPr="00494493">
            <w:rPr>
              <w:sz w:val="28"/>
              <w:szCs w:val="28"/>
            </w:rPr>
            <w:t>United Kingdom based drug company AstraZeneca focuses on drugs that treat Type 2 diabetes, cancer and respiratory issues. The company’s first blockbuster drug was the numbing agent lidocaine, developed in 1948. In 2020, AstraZeneca began developing a COVID-19 vaccine candidate, and it may be ready for use in early 2021.</w:t>
          </w:r>
        </w:p>
        <w:p w:rsidR="00A726C7" w:rsidRPr="00494493" w:rsidRDefault="00A726C7" w:rsidP="00A726C7">
          <w:pPr>
            <w:spacing w:line="360" w:lineRule="auto"/>
            <w:jc w:val="both"/>
            <w:rPr>
              <w:rFonts w:cs="Times New Roman"/>
              <w:sz w:val="28"/>
              <w:szCs w:val="28"/>
            </w:rPr>
          </w:pPr>
          <w:r w:rsidRPr="00494493">
            <w:rPr>
              <w:rFonts w:cs="Times New Roman"/>
              <w:sz w:val="28"/>
              <w:szCs w:val="28"/>
            </w:rPr>
            <w:t>AstraZeneca is a global biopharmaceutical firm that manufactures and distributes medications that are used by millions of people worldwide. The company's mission and values call for adhering to science and prioritising patients.</w:t>
          </w:r>
        </w:p>
        <w:p w:rsidR="00784799" w:rsidRPr="00494493" w:rsidRDefault="00A726C7" w:rsidP="00A726C7">
          <w:pPr>
            <w:spacing w:line="360" w:lineRule="auto"/>
            <w:jc w:val="both"/>
            <w:rPr>
              <w:rFonts w:cs="Times New Roman"/>
              <w:sz w:val="28"/>
              <w:szCs w:val="28"/>
            </w:rPr>
          </w:pPr>
          <w:r w:rsidRPr="00494493">
            <w:rPr>
              <w:rFonts w:cs="Times New Roman"/>
              <w:sz w:val="28"/>
              <w:szCs w:val="28"/>
            </w:rPr>
            <w:t>The Cambridge-based pharmaceutical company, which has more over $24 billion in revenue and 70,600 workers, is still one of the biggest pharmaceutical businesses in the world. The company, which was established in 1999 through the union of two businesses, Astra AB and Zeneca Group PLC, saw early success with medicines including the analgesic lidocaine.</w:t>
          </w:r>
          <w:r w:rsidR="00E657B9" w:rsidRPr="00494493">
            <w:rPr>
              <w:rStyle w:val="EndnoteReference"/>
              <w:rFonts w:cs="Times New Roman"/>
              <w:sz w:val="28"/>
              <w:szCs w:val="28"/>
            </w:rPr>
            <w:endnoteReference w:id="2"/>
          </w:r>
        </w:p>
        <w:p w:rsidR="00E316D4" w:rsidRPr="00494493" w:rsidRDefault="00E316D4" w:rsidP="00E316D4">
          <w:pPr>
            <w:pStyle w:val="Heading2"/>
            <w:rPr>
              <w:sz w:val="28"/>
              <w:szCs w:val="28"/>
            </w:rPr>
          </w:pPr>
          <w:bookmarkStart w:id="2" w:name="_Toc131431293"/>
          <w:r w:rsidRPr="00494493">
            <w:rPr>
              <w:sz w:val="28"/>
              <w:szCs w:val="28"/>
            </w:rPr>
            <w:lastRenderedPageBreak/>
            <w:t>Company’s Objectives and Strategies</w:t>
          </w:r>
          <w:bookmarkEnd w:id="2"/>
        </w:p>
        <w:p w:rsidR="00E316D4" w:rsidRPr="00494493" w:rsidRDefault="000C6549" w:rsidP="00E316D4">
          <w:pPr>
            <w:spacing w:line="360" w:lineRule="auto"/>
            <w:jc w:val="both"/>
            <w:rPr>
              <w:rFonts w:cs="Times New Roman"/>
              <w:sz w:val="28"/>
              <w:szCs w:val="28"/>
            </w:rPr>
          </w:pPr>
          <w:r w:rsidRPr="00494493">
            <w:rPr>
              <w:rFonts w:cs="Times New Roman"/>
              <w:sz w:val="28"/>
              <w:szCs w:val="28"/>
            </w:rPr>
            <w:t>Our main priorities are developing genuinely novel treatments and expanding patient access to them. By doing this, we assist patients, healthcare systems, and society around the world the most.</w:t>
          </w:r>
        </w:p>
        <w:p w:rsidR="00EF08C8" w:rsidRPr="00494493" w:rsidRDefault="00EF08C8" w:rsidP="00E316D4">
          <w:pPr>
            <w:spacing w:line="360" w:lineRule="auto"/>
            <w:jc w:val="both"/>
            <w:rPr>
              <w:rFonts w:cs="Times New Roman"/>
              <w:sz w:val="28"/>
              <w:szCs w:val="28"/>
            </w:rPr>
          </w:pPr>
          <w:r w:rsidRPr="00494493">
            <w:rPr>
              <w:rFonts w:cs="Times New Roman"/>
              <w:sz w:val="28"/>
              <w:szCs w:val="28"/>
            </w:rPr>
            <w:t>AstraZeneca has catchy tagline – what science can do.</w:t>
          </w:r>
        </w:p>
        <w:p w:rsidR="00EF08C8" w:rsidRPr="00494493" w:rsidRDefault="00876D69" w:rsidP="00E316D4">
          <w:pPr>
            <w:spacing w:line="360" w:lineRule="auto"/>
            <w:jc w:val="both"/>
            <w:rPr>
              <w:rFonts w:cs="Times New Roman"/>
              <w:sz w:val="28"/>
              <w:szCs w:val="28"/>
            </w:rPr>
          </w:pPr>
          <w:r w:rsidRPr="00494493">
            <w:rPr>
              <w:rFonts w:cs="Times New Roman"/>
              <w:sz w:val="28"/>
              <w:szCs w:val="28"/>
            </w:rPr>
            <w:t>The main strategies are</w:t>
          </w:r>
        </w:p>
        <w:p w:rsidR="00876D69" w:rsidRPr="00494493" w:rsidRDefault="00876D69" w:rsidP="00E316D4">
          <w:pPr>
            <w:spacing w:line="360" w:lineRule="auto"/>
            <w:jc w:val="both"/>
            <w:rPr>
              <w:rFonts w:cs="Times New Roman"/>
              <w:sz w:val="28"/>
              <w:szCs w:val="28"/>
            </w:rPr>
          </w:pPr>
          <w:r w:rsidRPr="00494493">
            <w:rPr>
              <w:rFonts w:cs="Times New Roman"/>
              <w:sz w:val="28"/>
              <w:szCs w:val="28"/>
            </w:rPr>
            <w:t xml:space="preserve">- Accelerate innovative science </w:t>
          </w:r>
        </w:p>
        <w:p w:rsidR="00876D69" w:rsidRPr="00494493" w:rsidRDefault="00876D69" w:rsidP="00E316D4">
          <w:pPr>
            <w:spacing w:line="360" w:lineRule="auto"/>
            <w:jc w:val="both"/>
            <w:rPr>
              <w:rFonts w:cs="Times New Roman"/>
              <w:spacing w:val="5"/>
              <w:sz w:val="28"/>
              <w:szCs w:val="28"/>
              <w:shd w:val="clear" w:color="auto" w:fill="FFFFFF"/>
            </w:rPr>
          </w:pPr>
          <w:r w:rsidRPr="00494493">
            <w:rPr>
              <w:rFonts w:cs="Times New Roman"/>
              <w:spacing w:val="5"/>
              <w:sz w:val="28"/>
              <w:szCs w:val="28"/>
              <w:shd w:val="clear" w:color="auto" w:fill="FFFFFF"/>
            </w:rPr>
            <w:t>Accelerating the next wave of new molecular entities, building our capabilities in immunology and rare diseases, pursuing new scientific modalities and driving R&amp;D productivity.</w:t>
          </w:r>
        </w:p>
        <w:p w:rsidR="00876D69" w:rsidRPr="00494493" w:rsidRDefault="00876D69" w:rsidP="00E316D4">
          <w:pPr>
            <w:spacing w:line="360" w:lineRule="auto"/>
            <w:jc w:val="both"/>
            <w:rPr>
              <w:rFonts w:cs="Times New Roman"/>
              <w:spacing w:val="5"/>
              <w:sz w:val="28"/>
              <w:szCs w:val="28"/>
              <w:shd w:val="clear" w:color="auto" w:fill="FFFFFF"/>
            </w:rPr>
          </w:pPr>
          <w:r w:rsidRPr="00494493">
            <w:rPr>
              <w:rFonts w:cs="Times New Roman"/>
              <w:spacing w:val="5"/>
              <w:sz w:val="28"/>
              <w:szCs w:val="28"/>
              <w:shd w:val="clear" w:color="auto" w:fill="FFFFFF"/>
            </w:rPr>
            <w:t>- Deliver growth and therapy area Leadership</w:t>
          </w:r>
        </w:p>
        <w:p w:rsidR="00876D69" w:rsidRPr="00494493" w:rsidRDefault="00876D69" w:rsidP="00E316D4">
          <w:pPr>
            <w:spacing w:line="360" w:lineRule="auto"/>
            <w:jc w:val="both"/>
            <w:rPr>
              <w:rFonts w:cs="Times New Roman"/>
              <w:sz w:val="28"/>
              <w:szCs w:val="28"/>
            </w:rPr>
          </w:pPr>
          <w:r w:rsidRPr="00494493">
            <w:rPr>
              <w:rFonts w:cs="Times New Roman"/>
              <w:spacing w:val="5"/>
              <w:sz w:val="28"/>
              <w:szCs w:val="28"/>
              <w:shd w:val="clear" w:color="auto" w:fill="FFFFFF"/>
            </w:rPr>
            <w:t>Meeting our growth and profitability goals through successful innovation and commercial excellence, as well as completing the Alexion acquisition</w:t>
          </w:r>
        </w:p>
        <w:p w:rsidR="00E316D4" w:rsidRPr="00494493" w:rsidRDefault="00876D69" w:rsidP="00E316D4">
          <w:pPr>
            <w:spacing w:line="360" w:lineRule="auto"/>
            <w:jc w:val="both"/>
            <w:rPr>
              <w:rFonts w:cs="Times New Roman"/>
              <w:sz w:val="28"/>
              <w:szCs w:val="28"/>
            </w:rPr>
          </w:pPr>
          <w:r w:rsidRPr="00494493">
            <w:rPr>
              <w:rFonts w:cs="Times New Roman"/>
              <w:sz w:val="28"/>
              <w:szCs w:val="28"/>
            </w:rPr>
            <w:t>- Be a Great place to work</w:t>
          </w:r>
        </w:p>
        <w:p w:rsidR="00876D69" w:rsidRPr="00494493" w:rsidRDefault="00876D69" w:rsidP="00E316D4">
          <w:pPr>
            <w:spacing w:line="360" w:lineRule="auto"/>
            <w:jc w:val="both"/>
            <w:rPr>
              <w:rFonts w:cs="Times New Roman"/>
              <w:spacing w:val="5"/>
              <w:sz w:val="28"/>
              <w:szCs w:val="28"/>
              <w:shd w:val="clear" w:color="auto" w:fill="FFFFFF"/>
            </w:rPr>
          </w:pPr>
          <w:r w:rsidRPr="00494493">
            <w:rPr>
              <w:rFonts w:cs="Times New Roman"/>
              <w:spacing w:val="5"/>
              <w:sz w:val="28"/>
              <w:szCs w:val="28"/>
              <w:shd w:val="clear" w:color="auto" w:fill="FFFFFF"/>
            </w:rPr>
            <w:t>Contributing to the enterprise and to society, with a focus on inclusion and diversity, lifelong learning, improving access to healthcare, environmental protection, and ethics and transparency, as well as delivering our Ambition Zero Carbon programme</w:t>
          </w:r>
          <w:r w:rsidRPr="00494493">
            <w:rPr>
              <w:rStyle w:val="EndnoteReference"/>
              <w:rFonts w:cs="Times New Roman"/>
              <w:spacing w:val="5"/>
              <w:sz w:val="28"/>
              <w:szCs w:val="28"/>
              <w:shd w:val="clear" w:color="auto" w:fill="FFFFFF"/>
            </w:rPr>
            <w:endnoteReference w:id="3"/>
          </w:r>
        </w:p>
        <w:p w:rsidR="00E316D4" w:rsidRPr="00494493" w:rsidRDefault="00E316D4" w:rsidP="00876D69">
          <w:pPr>
            <w:pStyle w:val="Heading1"/>
            <w:rPr>
              <w:sz w:val="28"/>
              <w:szCs w:val="28"/>
            </w:rPr>
          </w:pPr>
          <w:bookmarkStart w:id="3" w:name="_Toc131431294"/>
          <w:r w:rsidRPr="00494493">
            <w:rPr>
              <w:sz w:val="28"/>
              <w:szCs w:val="28"/>
            </w:rPr>
            <w:t>Countries’ Specifications</w:t>
          </w:r>
          <w:bookmarkEnd w:id="3"/>
        </w:p>
        <w:p w:rsidR="00E316D4" w:rsidRPr="00494493" w:rsidRDefault="0041268A" w:rsidP="0041268A">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This study has considered two countries those are the UK and India, this study would focus on the external analysis of AstraZeneca based on these countries. The main objective for this company is expanding its healthcare services by this company; therefore, managing the external analysis for this company based on the two countries is important for increasing the growth of the company. In this </w:t>
          </w:r>
          <w:r w:rsidRPr="00494493">
            <w:rPr>
              <w:rFonts w:eastAsia="Times New Roman" w:cs="Times New Roman"/>
              <w:noProof w:val="0"/>
              <w:sz w:val="28"/>
              <w:szCs w:val="28"/>
            </w:rPr>
            <w:lastRenderedPageBreak/>
            <w:t xml:space="preserve">regard, the home country would be the UK and the host country would be India. As mentioned by Wise, (2021), this can be helpful for managing the external analysis of the company; moreover, managing porter’s five forces can be effective for analysing the market for this company. Moreover, the market analysis would be effective for analysing the markets of the UK and India for developing the business strategies for AstraZeneca. </w:t>
          </w:r>
        </w:p>
        <w:p w:rsidR="00805AC7" w:rsidRPr="00494493" w:rsidRDefault="00805AC7" w:rsidP="006B2E77">
          <w:pPr>
            <w:pStyle w:val="Heading2"/>
            <w:rPr>
              <w:sz w:val="28"/>
              <w:szCs w:val="28"/>
            </w:rPr>
          </w:pPr>
          <w:bookmarkStart w:id="4" w:name="_Toc131431296"/>
          <w:r w:rsidRPr="00494493">
            <w:rPr>
              <w:sz w:val="28"/>
              <w:szCs w:val="28"/>
            </w:rPr>
            <w:t xml:space="preserve">External </w:t>
          </w:r>
          <w:r w:rsidR="006B2E77" w:rsidRPr="00494493">
            <w:rPr>
              <w:sz w:val="28"/>
              <w:szCs w:val="28"/>
            </w:rPr>
            <w:t>Analysis</w:t>
          </w:r>
          <w:bookmarkEnd w:id="4"/>
        </w:p>
        <w:p w:rsidR="00E316D4" w:rsidRPr="00494493" w:rsidRDefault="0041268A" w:rsidP="0041268A">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External analysis is important for managing the growth of the company by considering the pestle analysis and porters’ five forces analysis. Moreover, understanding the market analysis for the company can be important for understanding the competitors for the markets, identifying the market size of AstraZeneca and identifying the success factors for this company. </w:t>
          </w:r>
        </w:p>
        <w:p w:rsidR="00E316D4" w:rsidRPr="00494493" w:rsidRDefault="00E316D4" w:rsidP="00E316D4">
          <w:pPr>
            <w:pStyle w:val="Heading2"/>
            <w:rPr>
              <w:sz w:val="28"/>
              <w:szCs w:val="28"/>
            </w:rPr>
          </w:pPr>
          <w:bookmarkStart w:id="5" w:name="_Toc131431297"/>
          <w:r w:rsidRPr="00494493">
            <w:rPr>
              <w:sz w:val="28"/>
              <w:szCs w:val="28"/>
            </w:rPr>
            <w:t>A Comparative PESTEL Analysis</w:t>
          </w:r>
          <w:bookmarkEnd w:id="5"/>
        </w:p>
        <w:p w:rsidR="0041268A" w:rsidRPr="00494493" w:rsidRDefault="0041268A" w:rsidP="00774494">
          <w:pPr>
            <w:keepNext/>
            <w:keepLines/>
            <w:spacing w:after="0" w:line="360" w:lineRule="auto"/>
            <w:jc w:val="both"/>
            <w:outlineLvl w:val="1"/>
            <w:rPr>
              <w:rFonts w:eastAsia="Times New Roman" w:cs="Times New Roman"/>
              <w:b/>
              <w:noProof w:val="0"/>
              <w:sz w:val="28"/>
              <w:szCs w:val="28"/>
            </w:rPr>
          </w:pPr>
          <w:r w:rsidRPr="00494493">
            <w:rPr>
              <w:rFonts w:eastAsia="Times New Roman" w:cs="Times New Roman"/>
              <w:b/>
              <w:noProof w:val="0"/>
              <w:sz w:val="28"/>
              <w:szCs w:val="28"/>
            </w:rPr>
            <w:t>A Comp</w:t>
          </w:r>
          <w:r w:rsidR="004D787C" w:rsidRPr="00494493">
            <w:rPr>
              <w:rFonts w:eastAsia="Times New Roman" w:cs="Times New Roman"/>
              <w:b/>
              <w:noProof w:val="0"/>
              <w:sz w:val="28"/>
              <w:szCs w:val="28"/>
            </w:rPr>
            <w:t xml:space="preserve">arative PESTEL Analysis </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1827"/>
            <w:gridCol w:w="1187"/>
            <w:gridCol w:w="3256"/>
            <w:gridCol w:w="2956"/>
          </w:tblGrid>
          <w:tr w:rsidR="0041268A" w:rsidRPr="00494493" w:rsidTr="002859C9">
            <w:trPr>
              <w:cantSplit/>
              <w:tblHeader/>
              <w:jc w:val="center"/>
            </w:trPr>
            <w:tc>
              <w:tcPr>
                <w:tcW w:w="582"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External Drivers</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1596"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United Kingdom</w:t>
                </w:r>
              </w:p>
            </w:tc>
            <w:tc>
              <w:tcPr>
                <w:tcW w:w="2234"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India</w:t>
                </w:r>
              </w:p>
            </w:tc>
          </w:tr>
          <w:tr w:rsidR="0041268A" w:rsidRPr="00494493" w:rsidTr="002859C9">
            <w:trPr>
              <w:cantSplit/>
              <w:trHeight w:val="440"/>
              <w:tblHeader/>
              <w:jc w:val="center"/>
            </w:trPr>
            <w:tc>
              <w:tcPr>
                <w:tcW w:w="582" w:type="pct"/>
                <w:vMerge w:val="restar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Political</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Positive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9"/>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Political stability in the health sector</w:t>
                </w:r>
              </w:p>
              <w:p w:rsidR="0041268A" w:rsidRPr="00494493" w:rsidRDefault="0041268A" w:rsidP="00286954">
                <w:pPr>
                  <w:widowControl w:val="0"/>
                  <w:numPr>
                    <w:ilvl w:val="0"/>
                    <w:numId w:val="9"/>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Strong demographic influence on the health sector</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0"/>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Policies, and programmes by the government for developing health services</w:t>
                </w:r>
              </w:p>
            </w:tc>
          </w:tr>
          <w:tr w:rsidR="0041268A" w:rsidRPr="00494493" w:rsidTr="002859C9">
            <w:trPr>
              <w:cantSplit/>
              <w:trHeight w:val="440"/>
              <w:tblHeader/>
              <w:jc w:val="center"/>
            </w:trPr>
            <w:tc>
              <w:tcPr>
                <w:tcW w:w="582" w:type="pct"/>
                <w:vMerge/>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589"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Negative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4"/>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18% income tax towards health services (Vankar, 2022)</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4"/>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Political instability in the health sector</w:t>
                </w:r>
              </w:p>
              <w:p w:rsidR="0041268A" w:rsidRPr="00494493" w:rsidRDefault="0041268A" w:rsidP="00286954">
                <w:pPr>
                  <w:widowControl w:val="0"/>
                  <w:numPr>
                    <w:ilvl w:val="0"/>
                    <w:numId w:val="4"/>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The corporate tax rate is 25% (Rathore, 2022)</w:t>
                </w:r>
              </w:p>
            </w:tc>
          </w:tr>
          <w:tr w:rsidR="0041268A" w:rsidRPr="00494493" w:rsidTr="002859C9">
            <w:trPr>
              <w:cantSplit/>
              <w:trHeight w:val="440"/>
              <w:tblHeader/>
              <w:jc w:val="center"/>
            </w:trPr>
            <w:tc>
              <w:tcPr>
                <w:tcW w:w="582" w:type="pct"/>
                <w:vMerge w:val="restar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lastRenderedPageBreak/>
                  <w:t>Economic</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Positive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5"/>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The exchange rate decreased by 1.0% (parliament.uk, 2023)</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6"/>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The economic growth rate is 4.4% in the year 2022 (weforum.org, 2023)</w:t>
                </w:r>
              </w:p>
            </w:tc>
          </w:tr>
          <w:tr w:rsidR="0041268A" w:rsidRPr="00494493" w:rsidTr="002859C9">
            <w:trPr>
              <w:cantSplit/>
              <w:trHeight w:val="440"/>
              <w:tblHeader/>
              <w:jc w:val="center"/>
            </w:trPr>
            <w:tc>
              <w:tcPr>
                <w:tcW w:w="582" w:type="pct"/>
                <w:vMerge/>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Negative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9"/>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Inflation rate  rose from 5.3% to 5.7% (ons.gov.uk, 2023)</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9"/>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Infrastructure qualities low</w:t>
                </w:r>
              </w:p>
              <w:p w:rsidR="0041268A" w:rsidRPr="00494493" w:rsidRDefault="0041268A" w:rsidP="00286954">
                <w:pPr>
                  <w:widowControl w:val="0"/>
                  <w:numPr>
                    <w:ilvl w:val="0"/>
                    <w:numId w:val="19"/>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Unemployment rate higher considering that it is higher about 7.8 per cent in March 2023 (indiatimes.com, 2023)</w:t>
                </w:r>
                <w:r w:rsidRPr="00494493">
                  <w:rPr>
                    <w:rFonts w:eastAsia="Times New Roman" w:cs="Times New Roman"/>
                    <w:noProof w:val="0"/>
                    <w:sz w:val="28"/>
                    <w:szCs w:val="28"/>
                  </w:rPr>
                  <w:tab/>
                </w:r>
              </w:p>
            </w:tc>
          </w:tr>
          <w:tr w:rsidR="0041268A" w:rsidRPr="00494493" w:rsidTr="002859C9">
            <w:trPr>
              <w:cantSplit/>
              <w:trHeight w:val="440"/>
              <w:tblHeader/>
              <w:jc w:val="center"/>
            </w:trPr>
            <w:tc>
              <w:tcPr>
                <w:tcW w:w="582"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Social</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Positive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2"/>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High level of the demographic</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2"/>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Follows seven types of the intellectual property rights</w:t>
                </w:r>
              </w:p>
            </w:tc>
          </w:tr>
          <w:tr w:rsidR="0041268A" w:rsidRPr="00494493" w:rsidTr="002859C9">
            <w:trPr>
              <w:cantSplit/>
              <w:trHeight w:val="440"/>
              <w:tblHeader/>
              <w:jc w:val="center"/>
            </w:trPr>
            <w:tc>
              <w:tcPr>
                <w:tcW w:w="582"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Negative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3"/>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Leisure interests level is high</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3"/>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Below poverty line in India is  16.4 per cent in the year of 2019-2021 (indiatimes.com, 2022)</w:t>
                </w:r>
              </w:p>
            </w:tc>
          </w:tr>
          <w:tr w:rsidR="0041268A" w:rsidRPr="00494493" w:rsidTr="002859C9">
            <w:trPr>
              <w:cantSplit/>
              <w:trHeight w:val="440"/>
              <w:tblHeader/>
              <w:jc w:val="center"/>
            </w:trPr>
            <w:tc>
              <w:tcPr>
                <w:tcW w:w="582" w:type="pct"/>
                <w:vMerge w:val="restar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lastRenderedPageBreak/>
                  <w:t xml:space="preserve">Technological </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Positive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Higher level of technological supports</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5"/>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Population is higher therefore, the supply chain management is higher </w:t>
                </w:r>
              </w:p>
            </w:tc>
          </w:tr>
          <w:tr w:rsidR="0041268A" w:rsidRPr="00494493" w:rsidTr="002859C9">
            <w:trPr>
              <w:cantSplit/>
              <w:trHeight w:val="440"/>
              <w:tblHeader/>
              <w:jc w:val="center"/>
            </w:trPr>
            <w:tc>
              <w:tcPr>
                <w:tcW w:w="582" w:type="pct"/>
                <w:vMerge/>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Negative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4"/>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Diffusion rates for the technological values vary widely which has the 50% penetration ranges (economicdynamics.org, 2018)</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1"/>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Product Management Education has been given by this country</w:t>
                </w:r>
              </w:p>
            </w:tc>
          </w:tr>
          <w:tr w:rsidR="0041268A" w:rsidRPr="00494493" w:rsidTr="002859C9">
            <w:trPr>
              <w:cantSplit/>
              <w:trHeight w:val="440"/>
              <w:tblHeader/>
              <w:jc w:val="center"/>
            </w:trPr>
            <w:tc>
              <w:tcPr>
                <w:tcW w:w="582" w:type="pct"/>
                <w:vMerge w:val="restar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Environmental</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Positive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7"/>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Ecological products have been used this country</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6"/>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Recycling measurements has been taken by this company</w:t>
                </w:r>
              </w:p>
              <w:p w:rsidR="0041268A" w:rsidRPr="00494493" w:rsidRDefault="0041268A" w:rsidP="00286954">
                <w:pPr>
                  <w:widowControl w:val="0"/>
                  <w:numPr>
                    <w:ilvl w:val="0"/>
                    <w:numId w:val="6"/>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Waste management  approaches taken by this country</w:t>
                </w:r>
              </w:p>
            </w:tc>
          </w:tr>
          <w:tr w:rsidR="0041268A" w:rsidRPr="00494493" w:rsidTr="002859C9">
            <w:trPr>
              <w:cantSplit/>
              <w:trHeight w:val="440"/>
              <w:tblHeader/>
              <w:jc w:val="center"/>
            </w:trPr>
            <w:tc>
              <w:tcPr>
                <w:tcW w:w="582" w:type="pct"/>
                <w:vMerge/>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Negative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7"/>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Frequently climate changing factors</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7"/>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Endangered species have the threats</w:t>
                </w:r>
              </w:p>
            </w:tc>
          </w:tr>
          <w:tr w:rsidR="0041268A" w:rsidRPr="00494493" w:rsidTr="002859C9">
            <w:trPr>
              <w:cantSplit/>
              <w:trHeight w:val="440"/>
              <w:tblHeader/>
              <w:jc w:val="center"/>
            </w:trPr>
            <w:tc>
              <w:tcPr>
                <w:tcW w:w="582"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r w:rsidRPr="00494493">
                  <w:rPr>
                    <w:rFonts w:eastAsia="Times New Roman" w:cs="Times New Roman"/>
                    <w:noProof w:val="0"/>
                    <w:sz w:val="28"/>
                    <w:szCs w:val="28"/>
                  </w:rPr>
                  <w:t>Legal</w:t>
                </w: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Positive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8"/>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Anti-trust law taken by UK (Johnson, 2022)</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8"/>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Data Protection law taken this country</w:t>
                </w:r>
              </w:p>
            </w:tc>
          </w:tr>
          <w:tr w:rsidR="0041268A" w:rsidRPr="00494493" w:rsidTr="002859C9">
            <w:trPr>
              <w:cantSplit/>
              <w:trHeight w:val="440"/>
              <w:tblHeader/>
              <w:jc w:val="center"/>
            </w:trPr>
            <w:tc>
              <w:tcPr>
                <w:tcW w:w="582" w:type="pct"/>
                <w:shd w:val="clear" w:color="auto" w:fill="auto"/>
                <w:tcMar>
                  <w:top w:w="100" w:type="dxa"/>
                  <w:left w:w="100" w:type="dxa"/>
                  <w:bottom w:w="100" w:type="dxa"/>
                  <w:right w:w="100" w:type="dxa"/>
                </w:tcMar>
              </w:tcPr>
              <w:p w:rsidR="0041268A" w:rsidRPr="00494493" w:rsidRDefault="0041268A" w:rsidP="0041268A">
                <w:pPr>
                  <w:widowControl w:val="0"/>
                  <w:pBdr>
                    <w:top w:val="nil"/>
                    <w:left w:val="nil"/>
                    <w:bottom w:val="nil"/>
                    <w:right w:val="nil"/>
                    <w:between w:val="nil"/>
                  </w:pBdr>
                  <w:spacing w:after="0" w:line="360" w:lineRule="auto"/>
                  <w:rPr>
                    <w:rFonts w:eastAsia="Times New Roman" w:cs="Times New Roman"/>
                    <w:noProof w:val="0"/>
                    <w:sz w:val="28"/>
                    <w:szCs w:val="28"/>
                  </w:rPr>
                </w:pPr>
              </w:p>
            </w:tc>
            <w:tc>
              <w:tcPr>
                <w:tcW w:w="589" w:type="pct"/>
                <w:shd w:val="clear" w:color="auto" w:fill="auto"/>
                <w:tcMar>
                  <w:top w:w="100" w:type="dxa"/>
                  <w:left w:w="100" w:type="dxa"/>
                  <w:bottom w:w="100" w:type="dxa"/>
                  <w:right w:w="100" w:type="dxa"/>
                </w:tcMar>
              </w:tcPr>
              <w:p w:rsidR="0041268A" w:rsidRPr="00494493" w:rsidRDefault="0041268A" w:rsidP="0041268A">
                <w:pPr>
                  <w:widowControl w:val="0"/>
                  <w:spacing w:after="0" w:line="360" w:lineRule="auto"/>
                  <w:rPr>
                    <w:rFonts w:eastAsia="Times New Roman" w:cs="Times New Roman"/>
                    <w:noProof w:val="0"/>
                    <w:sz w:val="28"/>
                    <w:szCs w:val="28"/>
                  </w:rPr>
                </w:pPr>
                <w:r w:rsidRPr="00494493">
                  <w:rPr>
                    <w:rFonts w:eastAsia="Times New Roman" w:cs="Times New Roman"/>
                    <w:noProof w:val="0"/>
                    <w:sz w:val="28"/>
                    <w:szCs w:val="28"/>
                  </w:rPr>
                  <w:t>Negative</w:t>
                </w:r>
              </w:p>
            </w:tc>
            <w:tc>
              <w:tcPr>
                <w:tcW w:w="1596" w:type="pct"/>
                <w:shd w:val="clear" w:color="auto" w:fill="auto"/>
                <w:tcMar>
                  <w:top w:w="100" w:type="dxa"/>
                  <w:left w:w="100" w:type="dxa"/>
                  <w:bottom w:w="100" w:type="dxa"/>
                  <w:right w:w="100" w:type="dxa"/>
                </w:tcMar>
              </w:tcPr>
              <w:p w:rsidR="0041268A" w:rsidRPr="00494493" w:rsidRDefault="0041268A" w:rsidP="00286954">
                <w:pPr>
                  <w:widowControl w:val="0"/>
                  <w:numPr>
                    <w:ilvl w:val="0"/>
                    <w:numId w:val="3"/>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Intellectual property laws sometimes prevent to take decisions for the company (Bently </w:t>
                </w:r>
                <w:r w:rsidRPr="00494493">
                  <w:rPr>
                    <w:rFonts w:eastAsia="Times New Roman" w:cs="Times New Roman"/>
                    <w:i/>
                    <w:noProof w:val="0"/>
                    <w:sz w:val="28"/>
                    <w:szCs w:val="28"/>
                  </w:rPr>
                  <w:t xml:space="preserve">et al. </w:t>
                </w:r>
                <w:r w:rsidRPr="00494493">
                  <w:rPr>
                    <w:rFonts w:eastAsia="Times New Roman" w:cs="Times New Roman"/>
                    <w:noProof w:val="0"/>
                    <w:sz w:val="28"/>
                    <w:szCs w:val="28"/>
                  </w:rPr>
                  <w:t>2022)</w:t>
                </w:r>
              </w:p>
            </w:tc>
            <w:tc>
              <w:tcPr>
                <w:tcW w:w="2234" w:type="pct"/>
                <w:shd w:val="clear" w:color="auto" w:fill="auto"/>
                <w:tcMar>
                  <w:top w:w="100" w:type="dxa"/>
                  <w:left w:w="100" w:type="dxa"/>
                  <w:bottom w:w="100" w:type="dxa"/>
                  <w:right w:w="100" w:type="dxa"/>
                </w:tcMar>
              </w:tcPr>
              <w:p w:rsidR="0041268A" w:rsidRPr="00494493" w:rsidRDefault="0041268A" w:rsidP="00286954">
                <w:pPr>
                  <w:widowControl w:val="0"/>
                  <w:numPr>
                    <w:ilvl w:val="0"/>
                    <w:numId w:val="12"/>
                  </w:numPr>
                  <w:pBdr>
                    <w:top w:val="nil"/>
                    <w:left w:val="nil"/>
                    <w:bottom w:val="nil"/>
                    <w:right w:val="nil"/>
                    <w:between w:val="nil"/>
                  </w:pBd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Decreasing growth in consumer protections</w:t>
                </w:r>
              </w:p>
            </w:tc>
          </w:tr>
        </w:tbl>
        <w:p w:rsidR="0041268A" w:rsidRPr="00494493" w:rsidRDefault="0041268A" w:rsidP="0041268A">
          <w:pPr>
            <w:spacing w:after="0" w:line="360" w:lineRule="auto"/>
            <w:jc w:val="center"/>
            <w:outlineLvl w:val="5"/>
            <w:rPr>
              <w:rFonts w:eastAsia="Times New Roman" w:cs="Times New Roman"/>
              <w:b/>
              <w:noProof w:val="0"/>
              <w:sz w:val="28"/>
              <w:szCs w:val="28"/>
            </w:rPr>
          </w:pPr>
          <w:r w:rsidRPr="00494493">
            <w:rPr>
              <w:rFonts w:eastAsia="Times New Roman" w:cs="Times New Roman"/>
              <w:b/>
              <w:noProof w:val="0"/>
              <w:sz w:val="28"/>
              <w:szCs w:val="28"/>
            </w:rPr>
            <w:t>Table 1:  PESTEL Analysis</w:t>
          </w:r>
        </w:p>
        <w:p w:rsidR="0041268A" w:rsidRPr="00494493" w:rsidRDefault="0041268A" w:rsidP="0041268A">
          <w:pPr>
            <w:spacing w:after="0" w:line="360" w:lineRule="auto"/>
            <w:jc w:val="center"/>
            <w:rPr>
              <w:rFonts w:eastAsia="Times New Roman" w:cs="Times New Roman"/>
              <w:noProof w:val="0"/>
              <w:sz w:val="28"/>
              <w:szCs w:val="28"/>
            </w:rPr>
          </w:pPr>
          <w:r w:rsidRPr="00494493">
            <w:rPr>
              <w:rFonts w:eastAsia="Times New Roman" w:cs="Times New Roman"/>
              <w:noProof w:val="0"/>
              <w:sz w:val="28"/>
              <w:szCs w:val="28"/>
            </w:rPr>
            <w:t>(Source: self-made)</w:t>
          </w:r>
        </w:p>
        <w:p w:rsidR="00E316D4" w:rsidRPr="00494493" w:rsidRDefault="0041268A" w:rsidP="0041268A">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In this table, the pestle analysis considering the UK and India for the AstraZeneca has been considered where, the various factors like the political factors, economical factors, environmental factors for both countries and the positive and the negative impacts for these have been considered. As mentioned by Mohamed and Abdelaziz, (2022), the pestle analysis can give an understanding nature of the specific country for developing the business process. It can be seen that the UK is the main country and have the most opportunities for developing the business; on the other hand, it has some negative impacts on managing the business strategies. Considering the performance of India, there have some opportunities in managing the growth of the business; on the other hand, it has some negative factors that can prevent the business process. Therefore, AstraZeneca needs to take strategies for reducing the negative factors and take the opportunities for expanding the business processes. </w:t>
          </w:r>
        </w:p>
        <w:p w:rsidR="00E316D4" w:rsidRPr="00494493" w:rsidRDefault="00E316D4" w:rsidP="00E316D4">
          <w:pPr>
            <w:pStyle w:val="Heading2"/>
            <w:rPr>
              <w:sz w:val="28"/>
              <w:szCs w:val="28"/>
            </w:rPr>
          </w:pPr>
          <w:bookmarkStart w:id="6" w:name="_Toc131431298"/>
          <w:r w:rsidRPr="00494493">
            <w:rPr>
              <w:sz w:val="28"/>
              <w:szCs w:val="28"/>
            </w:rPr>
            <w:t>Industry Five Forces</w:t>
          </w:r>
          <w:bookmarkEnd w:id="6"/>
        </w:p>
        <w:p w:rsidR="006045B4" w:rsidRPr="00494493" w:rsidRDefault="006045B4" w:rsidP="006045B4">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This is effective for managing the industry analysis for this company using the United Kingdom as the home country and India as the host country. This process includes various factors like the Threat of New Entrants, the Bargaining Power of Buyers, the Bargaining Power of Suppliers, the Threat from Substitute Products, Rivalry among the existing players and others. As stated by Alajmi </w:t>
          </w:r>
          <w:r w:rsidRPr="00494493">
            <w:rPr>
              <w:rFonts w:eastAsia="Times New Roman" w:cs="Times New Roman"/>
              <w:i/>
              <w:noProof w:val="0"/>
              <w:sz w:val="28"/>
              <w:szCs w:val="28"/>
            </w:rPr>
            <w:t xml:space="preserve">et </w:t>
          </w:r>
          <w:r w:rsidRPr="00494493">
            <w:rPr>
              <w:rFonts w:eastAsia="Times New Roman" w:cs="Times New Roman"/>
              <w:i/>
              <w:noProof w:val="0"/>
              <w:sz w:val="28"/>
              <w:szCs w:val="28"/>
            </w:rPr>
            <w:lastRenderedPageBreak/>
            <w:t xml:space="preserve">al. </w:t>
          </w:r>
          <w:r w:rsidRPr="00494493">
            <w:rPr>
              <w:rFonts w:eastAsia="Times New Roman" w:cs="Times New Roman"/>
              <w:noProof w:val="0"/>
              <w:sz w:val="28"/>
              <w:szCs w:val="28"/>
            </w:rPr>
            <w:t xml:space="preserve">(2023), these factors are helpful for analysing the industry analysis for this company. AstraZeneca Plc is an Anglo-Swedish multinational pharmaceutical and biotechnology company; therefore, in managing the industry analysis, this process is effective. </w:t>
          </w:r>
        </w:p>
        <w:p w:rsidR="006045B4" w:rsidRPr="00494493" w:rsidRDefault="006045B4" w:rsidP="006045B4">
          <w:pPr>
            <w:spacing w:after="0" w:line="360" w:lineRule="auto"/>
            <w:jc w:val="center"/>
            <w:rPr>
              <w:rFonts w:eastAsia="Times New Roman" w:cs="Times New Roman"/>
              <w:noProof w:val="0"/>
              <w:sz w:val="28"/>
              <w:szCs w:val="28"/>
            </w:rPr>
          </w:pPr>
          <w:r w:rsidRPr="00494493">
            <w:rPr>
              <w:rFonts w:eastAsia="Times New Roman" w:cs="Times New Roman"/>
              <w:sz w:val="28"/>
              <w:szCs w:val="28"/>
              <w:lang w:val="en-US"/>
            </w:rPr>
            <w:drawing>
              <wp:inline distT="114300" distB="114300" distL="114300" distR="114300">
                <wp:extent cx="4672013" cy="2292231"/>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72013" cy="2292231"/>
                        </a:xfrm>
                        <a:prstGeom prst="rect">
                          <a:avLst/>
                        </a:prstGeom>
                        <a:ln w="25400">
                          <a:solidFill>
                            <a:srgbClr val="000000"/>
                          </a:solidFill>
                          <a:prstDash val="solid"/>
                        </a:ln>
                      </pic:spPr>
                    </pic:pic>
                  </a:graphicData>
                </a:graphic>
              </wp:inline>
            </w:drawing>
          </w:r>
        </w:p>
        <w:p w:rsidR="006045B4" w:rsidRPr="00494493" w:rsidRDefault="006045B4" w:rsidP="006045B4">
          <w:pPr>
            <w:keepNext/>
            <w:keepLines/>
            <w:spacing w:before="240" w:after="80" w:line="360" w:lineRule="auto"/>
            <w:jc w:val="center"/>
            <w:outlineLvl w:val="4"/>
            <w:rPr>
              <w:rFonts w:eastAsia="Times New Roman" w:cs="Times New Roman"/>
              <w:b/>
              <w:noProof w:val="0"/>
              <w:sz w:val="28"/>
              <w:szCs w:val="28"/>
            </w:rPr>
          </w:pPr>
          <w:r w:rsidRPr="00494493">
            <w:rPr>
              <w:rFonts w:eastAsia="Times New Roman" w:cs="Times New Roman"/>
              <w:b/>
              <w:noProof w:val="0"/>
              <w:sz w:val="28"/>
              <w:szCs w:val="28"/>
            </w:rPr>
            <w:t>Figure 1: Forces driving competition in the biotechnology industry in the UK</w:t>
          </w:r>
        </w:p>
        <w:p w:rsidR="006045B4" w:rsidRPr="00494493" w:rsidRDefault="006045B4" w:rsidP="006045B4">
          <w:pPr>
            <w:spacing w:after="0" w:line="360" w:lineRule="auto"/>
            <w:jc w:val="center"/>
            <w:rPr>
              <w:rFonts w:eastAsia="Times New Roman" w:cs="Times New Roman"/>
              <w:noProof w:val="0"/>
              <w:sz w:val="28"/>
              <w:szCs w:val="28"/>
            </w:rPr>
          </w:pPr>
          <w:r w:rsidRPr="00494493">
            <w:rPr>
              <w:rFonts w:eastAsia="Times New Roman" w:cs="Times New Roman"/>
              <w:noProof w:val="0"/>
              <w:sz w:val="28"/>
              <w:szCs w:val="28"/>
            </w:rPr>
            <w:t>(Source: Marketline, 2019)</w:t>
          </w:r>
        </w:p>
        <w:p w:rsidR="006045B4" w:rsidRPr="00494493" w:rsidRDefault="006045B4" w:rsidP="006045B4">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In this figure, the main forces drive for the biotechnological factors in the UK, considering the year 2018, have been shown. It has shown the overall five factors like the suppliers' powers, buyer powers, rivalry for this industry, a new entrance for this sector, substitute’s values and others. Therefore, this can manage the external industry analysis for the pharmaceutical sectors. </w:t>
          </w:r>
        </w:p>
        <w:p w:rsidR="006045B4" w:rsidRPr="00494493" w:rsidRDefault="006045B4" w:rsidP="006045B4">
          <w:pPr>
            <w:spacing w:after="0" w:line="360" w:lineRule="auto"/>
            <w:jc w:val="both"/>
            <w:rPr>
              <w:rFonts w:eastAsia="Times New Roman" w:cs="Times New Roman"/>
              <w:b/>
              <w:i/>
              <w:noProof w:val="0"/>
              <w:sz w:val="28"/>
              <w:szCs w:val="28"/>
              <w:lang w:val="en-US"/>
            </w:rPr>
          </w:pPr>
          <w:r w:rsidRPr="00494493">
            <w:rPr>
              <w:rFonts w:eastAsia="Times New Roman" w:cs="Times New Roman"/>
              <w:b/>
              <w:i/>
              <w:noProof w:val="0"/>
              <w:sz w:val="28"/>
              <w:szCs w:val="28"/>
              <w:lang w:val="en-US"/>
            </w:rPr>
            <w:t>Threat of New Entrants</w:t>
          </w:r>
        </w:p>
        <w:p w:rsidR="006045B4" w:rsidRPr="00494493" w:rsidRDefault="006045B4" w:rsidP="006045B4">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This company is a pharmaceutical and biotechnological company; therefore, this company has some threats to having new entrants. These include having huge market growth, and supplier accessibilities that can make the huge new entrants for this company. Moreover, being a pharmaceutical this company is influenced by innovative measurements for considering new products and services. As mentioned by Börjesson and Sarge, (2022), this can bring new customers to this industry, also this industry needed the R&amp;D process that can </w:t>
          </w:r>
          <w:r w:rsidRPr="00494493">
            <w:rPr>
              <w:rFonts w:eastAsia="Times New Roman" w:cs="Times New Roman"/>
              <w:noProof w:val="0"/>
              <w:sz w:val="28"/>
              <w:szCs w:val="28"/>
            </w:rPr>
            <w:lastRenderedPageBreak/>
            <w:t xml:space="preserve">make this industry a dynamic industry but new entrance discourages it from entering the dynamic industry. Moreover, having weak brands, few regulations, and low fixed costs in the UK can reduce the opportunities for new entrants into this industry. Therefore, the Threat of New Entrants in this pharmaceutical industry is weak. </w:t>
          </w:r>
        </w:p>
        <w:p w:rsidR="006045B4" w:rsidRPr="00494493" w:rsidRDefault="006045B4" w:rsidP="006045B4">
          <w:pPr>
            <w:spacing w:after="0" w:line="360" w:lineRule="auto"/>
            <w:jc w:val="both"/>
            <w:rPr>
              <w:rFonts w:eastAsia="Times New Roman" w:cs="Times New Roman"/>
              <w:b/>
              <w:i/>
              <w:noProof w:val="0"/>
              <w:sz w:val="28"/>
              <w:szCs w:val="28"/>
              <w:lang w:val="en-US"/>
            </w:rPr>
          </w:pPr>
          <w:r w:rsidRPr="00494493">
            <w:rPr>
              <w:rFonts w:eastAsia="Times New Roman" w:cs="Times New Roman"/>
              <w:noProof w:val="0"/>
              <w:sz w:val="28"/>
              <w:szCs w:val="28"/>
            </w:rPr>
            <w:t xml:space="preserve"> </w:t>
          </w:r>
          <w:r w:rsidRPr="00494493">
            <w:rPr>
              <w:rFonts w:eastAsia="Times New Roman" w:cs="Times New Roman"/>
              <w:b/>
              <w:i/>
              <w:noProof w:val="0"/>
              <w:sz w:val="28"/>
              <w:szCs w:val="28"/>
              <w:lang w:val="en-US"/>
            </w:rPr>
            <w:t>Bargaining Power of Buyers</w:t>
          </w:r>
        </w:p>
        <w:p w:rsidR="006045B4" w:rsidRPr="00494493" w:rsidRDefault="006045B4" w:rsidP="006045B4">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This factor for this industry is influenced by various factors like the buyer sizes for this industry, price sensitivities for this industry, product dispensability and others. Buyers mainly want huge offers by considering the low prices, which can increase the pressure on the profits of the pharmaceutical industry. The buyers are higher in this industry, and the UK has taken some Regulation Schemes that can affect the pricing level for this industry. However, the number of buyers is higher but the negotiation level is low therefore, it can be said that the “Bargaining Power of Buyers” for the pharmaceutical and the biotechnological industry is moderate. </w:t>
          </w:r>
        </w:p>
        <w:p w:rsidR="006045B4" w:rsidRPr="00494493" w:rsidRDefault="006045B4" w:rsidP="006045B4">
          <w:pPr>
            <w:spacing w:after="0" w:line="360" w:lineRule="auto"/>
            <w:jc w:val="both"/>
            <w:rPr>
              <w:rFonts w:eastAsia="Times New Roman" w:cs="Times New Roman"/>
              <w:b/>
              <w:i/>
              <w:noProof w:val="0"/>
              <w:sz w:val="28"/>
              <w:szCs w:val="28"/>
              <w:lang w:val="en-US"/>
            </w:rPr>
          </w:pPr>
          <w:r w:rsidRPr="00494493">
            <w:rPr>
              <w:rFonts w:eastAsia="Times New Roman" w:cs="Times New Roman"/>
              <w:noProof w:val="0"/>
              <w:sz w:val="28"/>
              <w:szCs w:val="28"/>
            </w:rPr>
            <w:t xml:space="preserve"> </w:t>
          </w:r>
          <w:r w:rsidRPr="00494493">
            <w:rPr>
              <w:rFonts w:eastAsia="Times New Roman" w:cs="Times New Roman"/>
              <w:b/>
              <w:i/>
              <w:noProof w:val="0"/>
              <w:sz w:val="28"/>
              <w:szCs w:val="28"/>
              <w:lang w:val="en-US"/>
            </w:rPr>
            <w:t>Bargaining Power of Suppliers</w:t>
          </w:r>
        </w:p>
        <w:p w:rsidR="006045B4" w:rsidRPr="00494493" w:rsidRDefault="006045B4" w:rsidP="006045B4">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The supplier's powers in this industry depend on various factors like the importance of quality control, having no substitutes, the interdependence of customers, supplier size for this industry and others. As commented by Benchekroun </w:t>
          </w:r>
          <w:r w:rsidRPr="00494493">
            <w:rPr>
              <w:rFonts w:eastAsia="Times New Roman" w:cs="Times New Roman"/>
              <w:i/>
              <w:noProof w:val="0"/>
              <w:sz w:val="28"/>
              <w:szCs w:val="28"/>
            </w:rPr>
            <w:t xml:space="preserve">et al. </w:t>
          </w:r>
          <w:r w:rsidRPr="00494493">
            <w:rPr>
              <w:rFonts w:eastAsia="Times New Roman" w:cs="Times New Roman"/>
              <w:noProof w:val="0"/>
              <w:sz w:val="28"/>
              <w:szCs w:val="28"/>
            </w:rPr>
            <w:t xml:space="preserve">(2022), Suppliers are higher in this industry providing raw material suppliers to the health care services, therefore, the negotiating power is higher in this industry. However, the pharmaceutical industry does not have the opportunities for promoting its products therefore; this can be considered lowing the powers of the suppliers. Therefore, the powers of the suppliers would be moderate level in the industry of the pharmaceutical industry. </w:t>
          </w:r>
        </w:p>
        <w:p w:rsidR="006045B4" w:rsidRPr="00494493" w:rsidRDefault="006045B4" w:rsidP="006045B4">
          <w:pPr>
            <w:spacing w:after="0" w:line="360" w:lineRule="auto"/>
            <w:jc w:val="both"/>
            <w:rPr>
              <w:rFonts w:eastAsia="Times New Roman" w:cs="Times New Roman"/>
              <w:b/>
              <w:i/>
              <w:noProof w:val="0"/>
              <w:sz w:val="28"/>
              <w:szCs w:val="28"/>
              <w:lang w:val="en-US"/>
            </w:rPr>
          </w:pPr>
          <w:r w:rsidRPr="00494493">
            <w:rPr>
              <w:rFonts w:eastAsia="Times New Roman" w:cs="Times New Roman"/>
              <w:b/>
              <w:i/>
              <w:noProof w:val="0"/>
              <w:sz w:val="28"/>
              <w:szCs w:val="28"/>
              <w:lang w:val="en-US"/>
            </w:rPr>
            <w:t>Threat from Substitute Products</w:t>
          </w:r>
        </w:p>
        <w:p w:rsidR="006045B4" w:rsidRPr="00494493" w:rsidRDefault="006045B4" w:rsidP="006045B4">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This can be influenced by various factors like low-cost switching, cheap alternatives of the products, and beneficial alternatives for the products. Therefore, this is higher in the pharmaceutical industry, which can create a </w:t>
          </w:r>
          <w:r w:rsidRPr="00494493">
            <w:rPr>
              <w:rFonts w:eastAsia="Times New Roman" w:cs="Times New Roman"/>
              <w:noProof w:val="0"/>
              <w:sz w:val="28"/>
              <w:szCs w:val="28"/>
            </w:rPr>
            <w:lastRenderedPageBreak/>
            <w:t xml:space="preserve">threat to this industry. As opined by Lindenmeyer </w:t>
          </w:r>
          <w:r w:rsidRPr="00494493">
            <w:rPr>
              <w:rFonts w:eastAsia="Times New Roman" w:cs="Times New Roman"/>
              <w:i/>
              <w:noProof w:val="0"/>
              <w:sz w:val="28"/>
              <w:szCs w:val="28"/>
            </w:rPr>
            <w:t xml:space="preserve">et al. </w:t>
          </w:r>
          <w:r w:rsidRPr="00494493">
            <w:rPr>
              <w:rFonts w:eastAsia="Times New Roman" w:cs="Times New Roman"/>
              <w:noProof w:val="0"/>
              <w:sz w:val="28"/>
              <w:szCs w:val="28"/>
            </w:rPr>
            <w:t xml:space="preserve">(2020), this industry mainly focuses on service-related performance rather than product-related issues. Moreover, this industry mainly focuses on the core need of the customers therefore; this can increase the substitute products for this industry. Therefore, this can be said that the Threat from Substitute Products in this industry is moderate level. </w:t>
          </w:r>
        </w:p>
        <w:p w:rsidR="006045B4" w:rsidRPr="00494493" w:rsidRDefault="006045B4" w:rsidP="006045B4">
          <w:pPr>
            <w:spacing w:after="0" w:line="360" w:lineRule="auto"/>
            <w:jc w:val="both"/>
            <w:rPr>
              <w:rFonts w:eastAsia="Times New Roman" w:cs="Times New Roman"/>
              <w:b/>
              <w:i/>
              <w:noProof w:val="0"/>
              <w:sz w:val="28"/>
              <w:szCs w:val="28"/>
              <w:lang w:val="en-US"/>
            </w:rPr>
          </w:pPr>
          <w:r w:rsidRPr="00494493">
            <w:rPr>
              <w:rFonts w:eastAsia="Times New Roman" w:cs="Times New Roman"/>
              <w:b/>
              <w:i/>
              <w:noProof w:val="0"/>
              <w:sz w:val="28"/>
              <w:szCs w:val="28"/>
              <w:lang w:val="en-US"/>
            </w:rPr>
            <w:t>Rivalry among the existing players</w:t>
          </w:r>
        </w:p>
        <w:p w:rsidR="00E316D4" w:rsidRPr="00494493" w:rsidRDefault="006045B4" w:rsidP="00E62B09">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The influence factors for increasing the rivalry for these products include the storage costs of the products, lack of diversity level is higher, and the similarity of the products is higher for this sector. However, the competitors' size is low, expansion level for this industry is low therefore, and this can create a lower rivalry level for this company. However, making sustainable differentiation, and increasing the collaboration with the competitors can increase the rivalry level for this company. Moreover, this can increase the overall market size for this company and the competitors in this industry can be increased in this process. Therefore, Rivalry among the existing players in the pharmaceutical industry is at a moderate level. </w:t>
          </w:r>
        </w:p>
        <w:p w:rsidR="00655450" w:rsidRPr="00494493" w:rsidRDefault="00E316D4" w:rsidP="00E62B09">
          <w:pPr>
            <w:spacing w:line="360" w:lineRule="auto"/>
            <w:rPr>
              <w:sz w:val="28"/>
              <w:szCs w:val="28"/>
            </w:rPr>
          </w:pPr>
          <w:bookmarkStart w:id="7" w:name="_Toc131431299"/>
          <w:r w:rsidRPr="00494493">
            <w:rPr>
              <w:rStyle w:val="Heading2Char"/>
              <w:sz w:val="28"/>
              <w:szCs w:val="28"/>
            </w:rPr>
            <w:t>Market Analysis</w:t>
          </w:r>
          <w:bookmarkEnd w:id="7"/>
          <w:r w:rsidRPr="00494493">
            <w:rPr>
              <w:sz w:val="28"/>
              <w:szCs w:val="28"/>
            </w:rPr>
            <w:t xml:space="preserve"> </w:t>
          </w:r>
          <w:bookmarkStart w:id="8" w:name="_Toc131431300"/>
        </w:p>
        <w:p w:rsidR="00655450" w:rsidRPr="00494493" w:rsidRDefault="00655450" w:rsidP="00E62B09">
          <w:pPr>
            <w:spacing w:line="360" w:lineRule="auto"/>
            <w:rPr>
              <w:rFonts w:eastAsia="Times New Roman" w:cs="Times New Roman"/>
              <w:noProof w:val="0"/>
              <w:sz w:val="28"/>
              <w:szCs w:val="28"/>
            </w:rPr>
          </w:pPr>
          <w:r w:rsidRPr="00494493">
            <w:rPr>
              <w:rFonts w:eastAsia="Times New Roman" w:cs="Times New Roman"/>
              <w:noProof w:val="0"/>
              <w:sz w:val="28"/>
              <w:szCs w:val="28"/>
            </w:rPr>
            <w:t xml:space="preserve">The competitors for AstraZeneca include Bristol-Myers Squibb, Daiichi Sankyo, Novartis, Sanofi, Amgen, Boehringer Ingelheim, Bayer and Teva Pharmaceuticals. As commented by Tobaiqy </w:t>
          </w:r>
          <w:r w:rsidRPr="00494493">
            <w:rPr>
              <w:rFonts w:eastAsia="Times New Roman" w:cs="Times New Roman"/>
              <w:i/>
              <w:noProof w:val="0"/>
              <w:sz w:val="28"/>
              <w:szCs w:val="28"/>
            </w:rPr>
            <w:t xml:space="preserve">et al. </w:t>
          </w:r>
          <w:r w:rsidRPr="00494493">
            <w:rPr>
              <w:rFonts w:eastAsia="Times New Roman" w:cs="Times New Roman"/>
              <w:noProof w:val="0"/>
              <w:sz w:val="28"/>
              <w:szCs w:val="28"/>
            </w:rPr>
            <w:t xml:space="preserve">(2021), these are also the pharmaceutical and biotechnology companies providing the services to the customers. There have many competitors for this company providing the same products and services to the customers. However, this company provides some services related to vaccines to the customers, these also have some competitors in the market. </w:t>
          </w:r>
        </w:p>
        <w:p w:rsidR="00655450" w:rsidRPr="00494493" w:rsidRDefault="00655450" w:rsidP="00655450">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Considering the market size of this company, this has a huge market size for providing services to customers. AstraZeneca has loyal customers that can </w:t>
          </w:r>
          <w:r w:rsidRPr="00494493">
            <w:rPr>
              <w:rFonts w:eastAsia="Times New Roman" w:cs="Times New Roman"/>
              <w:noProof w:val="0"/>
              <w:sz w:val="28"/>
              <w:szCs w:val="28"/>
            </w:rPr>
            <w:lastRenderedPageBreak/>
            <w:t xml:space="preserve">increase the overall market size of this company therefore; this can improve the expansion level of the company. </w:t>
          </w:r>
        </w:p>
        <w:p w:rsidR="00655450" w:rsidRPr="00494493" w:rsidRDefault="00655450" w:rsidP="00655450">
          <w:pPr>
            <w:spacing w:after="0" w:line="360" w:lineRule="auto"/>
            <w:jc w:val="center"/>
            <w:rPr>
              <w:rFonts w:eastAsia="Times New Roman" w:cs="Times New Roman"/>
              <w:noProof w:val="0"/>
              <w:sz w:val="28"/>
              <w:szCs w:val="28"/>
            </w:rPr>
          </w:pPr>
          <w:r w:rsidRPr="00494493">
            <w:rPr>
              <w:rFonts w:eastAsia="Times New Roman" w:cs="Times New Roman"/>
              <w:sz w:val="28"/>
              <w:szCs w:val="28"/>
              <w:lang w:val="en-US"/>
            </w:rPr>
            <w:drawing>
              <wp:inline distT="114300" distB="114300" distL="114300" distR="114300">
                <wp:extent cx="4662488" cy="2887063"/>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662488" cy="2887063"/>
                        </a:xfrm>
                        <a:prstGeom prst="rect">
                          <a:avLst/>
                        </a:prstGeom>
                        <a:ln w="25400">
                          <a:solidFill>
                            <a:srgbClr val="000000"/>
                          </a:solidFill>
                          <a:prstDash val="solid"/>
                        </a:ln>
                      </pic:spPr>
                    </pic:pic>
                  </a:graphicData>
                </a:graphic>
              </wp:inline>
            </w:drawing>
          </w:r>
        </w:p>
        <w:p w:rsidR="00655450" w:rsidRPr="00494493" w:rsidRDefault="00655450" w:rsidP="00655450">
          <w:pPr>
            <w:keepNext/>
            <w:keepLines/>
            <w:spacing w:before="240" w:after="80" w:line="360" w:lineRule="auto"/>
            <w:jc w:val="center"/>
            <w:outlineLvl w:val="4"/>
            <w:rPr>
              <w:rFonts w:eastAsia="Times New Roman" w:cs="Times New Roman"/>
              <w:b/>
              <w:noProof w:val="0"/>
              <w:sz w:val="28"/>
              <w:szCs w:val="28"/>
            </w:rPr>
          </w:pPr>
          <w:r w:rsidRPr="00494493">
            <w:rPr>
              <w:rFonts w:eastAsia="Times New Roman" w:cs="Times New Roman"/>
              <w:b/>
              <w:noProof w:val="0"/>
              <w:sz w:val="28"/>
              <w:szCs w:val="28"/>
            </w:rPr>
            <w:t>Figure 2: AstraZeneca's revenue from 2013 to 2022 considering regions</w:t>
          </w:r>
        </w:p>
        <w:p w:rsidR="00655450" w:rsidRPr="00494493" w:rsidRDefault="00655450" w:rsidP="00655450">
          <w:pPr>
            <w:spacing w:after="0" w:line="360" w:lineRule="auto"/>
            <w:jc w:val="center"/>
            <w:rPr>
              <w:rFonts w:eastAsia="Times New Roman" w:cs="Times New Roman"/>
              <w:noProof w:val="0"/>
              <w:sz w:val="28"/>
              <w:szCs w:val="28"/>
            </w:rPr>
          </w:pPr>
          <w:r w:rsidRPr="00494493">
            <w:rPr>
              <w:rFonts w:eastAsia="Times New Roman" w:cs="Times New Roman"/>
              <w:noProof w:val="0"/>
              <w:sz w:val="28"/>
              <w:szCs w:val="28"/>
            </w:rPr>
            <w:t>(Source: Mikulic, 2023)</w:t>
          </w:r>
        </w:p>
        <w:p w:rsidR="00655450" w:rsidRPr="00494493" w:rsidRDefault="00655450" w:rsidP="00655450">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In this figure, the revenues of AstraZeneca in the different markets have been shown, where, it can be seen that the US has a huge market size as the revenue growth for this region is higher. Moreover, there have other markets of this AstraZeneca, this includes Europe, and there have other markets have been emerging for this company. This figure shows the market established in the rest of the world is also huge. Therefore, it can be said that this company has a huge market size for providing services to customers. </w:t>
          </w:r>
        </w:p>
        <w:p w:rsidR="00655450" w:rsidRPr="00494493" w:rsidRDefault="00655450" w:rsidP="00655450">
          <w:pPr>
            <w:spacing w:after="0" w:line="360" w:lineRule="auto"/>
            <w:jc w:val="center"/>
            <w:rPr>
              <w:rFonts w:eastAsia="Times New Roman" w:cs="Times New Roman"/>
              <w:noProof w:val="0"/>
              <w:sz w:val="28"/>
              <w:szCs w:val="28"/>
            </w:rPr>
          </w:pPr>
          <w:r w:rsidRPr="00494493">
            <w:rPr>
              <w:rFonts w:eastAsia="Times New Roman" w:cs="Times New Roman"/>
              <w:sz w:val="28"/>
              <w:szCs w:val="28"/>
              <w:lang w:val="en-US"/>
            </w:rPr>
            <w:lastRenderedPageBreak/>
            <w:drawing>
              <wp:inline distT="114300" distB="114300" distL="114300" distR="114300">
                <wp:extent cx="4842966" cy="3195638"/>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842966" cy="3195638"/>
                        </a:xfrm>
                        <a:prstGeom prst="rect">
                          <a:avLst/>
                        </a:prstGeom>
                        <a:ln w="25400">
                          <a:solidFill>
                            <a:srgbClr val="000000"/>
                          </a:solidFill>
                          <a:prstDash val="solid"/>
                        </a:ln>
                      </pic:spPr>
                    </pic:pic>
                  </a:graphicData>
                </a:graphic>
              </wp:inline>
            </w:drawing>
          </w:r>
        </w:p>
        <w:p w:rsidR="00655450" w:rsidRPr="00494493" w:rsidRDefault="00655450" w:rsidP="00655450">
          <w:pPr>
            <w:keepNext/>
            <w:keepLines/>
            <w:spacing w:before="240" w:after="80" w:line="360" w:lineRule="auto"/>
            <w:jc w:val="center"/>
            <w:outlineLvl w:val="4"/>
            <w:rPr>
              <w:rFonts w:eastAsia="Times New Roman" w:cs="Times New Roman"/>
              <w:b/>
              <w:noProof w:val="0"/>
              <w:sz w:val="28"/>
              <w:szCs w:val="28"/>
            </w:rPr>
          </w:pPr>
          <w:r w:rsidRPr="00494493">
            <w:rPr>
              <w:rFonts w:eastAsia="Times New Roman" w:cs="Times New Roman"/>
              <w:b/>
              <w:noProof w:val="0"/>
              <w:sz w:val="28"/>
              <w:szCs w:val="28"/>
            </w:rPr>
            <w:t>Figure 3: Countries Have Stopped Using the AstraZeneca Vaccine</w:t>
          </w:r>
        </w:p>
        <w:p w:rsidR="00655450" w:rsidRPr="00494493" w:rsidRDefault="00655450" w:rsidP="00655450">
          <w:pPr>
            <w:spacing w:after="0" w:line="360" w:lineRule="auto"/>
            <w:jc w:val="center"/>
            <w:rPr>
              <w:rFonts w:eastAsia="Times New Roman" w:cs="Times New Roman"/>
              <w:noProof w:val="0"/>
              <w:sz w:val="28"/>
              <w:szCs w:val="28"/>
            </w:rPr>
          </w:pPr>
          <w:r w:rsidRPr="00494493">
            <w:rPr>
              <w:rFonts w:eastAsia="Times New Roman" w:cs="Times New Roman"/>
              <w:noProof w:val="0"/>
              <w:sz w:val="28"/>
              <w:szCs w:val="28"/>
            </w:rPr>
            <w:t>(Source: McCarthy, 2021)</w:t>
          </w:r>
        </w:p>
        <w:p w:rsidR="00655450" w:rsidRPr="00494493" w:rsidRDefault="00655450" w:rsidP="00655450">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In this figure, the AstraZeneca Vaccines used by the countries have been shown, where, various countries have been shown. These countries use the AstraZeneca Vaccines for reducing the risks of the diseases. Therefore, this can evaluate the market sizes of the AstraZeneca Vaccine in the world. </w:t>
          </w:r>
        </w:p>
        <w:p w:rsidR="00655450" w:rsidRPr="00494493" w:rsidRDefault="00655450" w:rsidP="00655450">
          <w:pPr>
            <w:spacing w:after="0" w:line="360" w:lineRule="auto"/>
            <w:jc w:val="center"/>
            <w:rPr>
              <w:rFonts w:eastAsia="Times New Roman" w:cs="Times New Roman"/>
              <w:noProof w:val="0"/>
              <w:sz w:val="28"/>
              <w:szCs w:val="28"/>
            </w:rPr>
          </w:pPr>
          <w:r w:rsidRPr="00494493">
            <w:rPr>
              <w:rFonts w:eastAsia="Times New Roman" w:cs="Times New Roman"/>
              <w:sz w:val="28"/>
              <w:szCs w:val="28"/>
              <w:lang w:val="en-US"/>
            </w:rPr>
            <w:drawing>
              <wp:inline distT="114300" distB="114300" distL="114300" distR="114300">
                <wp:extent cx="5205919" cy="1176338"/>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205919" cy="1176338"/>
                        </a:xfrm>
                        <a:prstGeom prst="rect">
                          <a:avLst/>
                        </a:prstGeom>
                        <a:ln w="25400">
                          <a:solidFill>
                            <a:srgbClr val="000000"/>
                          </a:solidFill>
                          <a:prstDash val="solid"/>
                        </a:ln>
                      </pic:spPr>
                    </pic:pic>
                  </a:graphicData>
                </a:graphic>
              </wp:inline>
            </w:drawing>
          </w:r>
        </w:p>
        <w:p w:rsidR="00655450" w:rsidRPr="00494493" w:rsidRDefault="00655450" w:rsidP="00655450">
          <w:pPr>
            <w:keepNext/>
            <w:keepLines/>
            <w:spacing w:before="240" w:after="80" w:line="360" w:lineRule="auto"/>
            <w:jc w:val="center"/>
            <w:outlineLvl w:val="4"/>
            <w:rPr>
              <w:rFonts w:eastAsia="Times New Roman" w:cs="Times New Roman"/>
              <w:b/>
              <w:noProof w:val="0"/>
              <w:sz w:val="28"/>
              <w:szCs w:val="28"/>
            </w:rPr>
          </w:pPr>
          <w:r w:rsidRPr="00494493">
            <w:rPr>
              <w:rFonts w:eastAsia="Times New Roman" w:cs="Times New Roman"/>
              <w:b/>
              <w:noProof w:val="0"/>
              <w:sz w:val="28"/>
              <w:szCs w:val="28"/>
            </w:rPr>
            <w:t>Figure 4: Growth rates of AstraZeneca</w:t>
          </w:r>
        </w:p>
        <w:p w:rsidR="00655450" w:rsidRPr="00494493" w:rsidRDefault="00655450" w:rsidP="00655450">
          <w:pPr>
            <w:spacing w:after="0" w:line="360" w:lineRule="auto"/>
            <w:jc w:val="center"/>
            <w:rPr>
              <w:rFonts w:eastAsia="Times New Roman" w:cs="Times New Roman"/>
              <w:noProof w:val="0"/>
              <w:sz w:val="28"/>
              <w:szCs w:val="28"/>
            </w:rPr>
          </w:pPr>
          <w:r w:rsidRPr="00494493">
            <w:rPr>
              <w:rFonts w:eastAsia="Times New Roman" w:cs="Times New Roman"/>
              <w:noProof w:val="0"/>
              <w:sz w:val="28"/>
              <w:szCs w:val="28"/>
            </w:rPr>
            <w:t xml:space="preserve">(Source: </w:t>
          </w:r>
          <w:r w:rsidRPr="00494493">
            <w:rPr>
              <w:rFonts w:eastAsia="Times New Roman" w:cs="Times New Roman"/>
              <w:noProof w:val="0"/>
              <w:sz w:val="28"/>
              <w:szCs w:val="28"/>
              <w:vertAlign w:val="superscript"/>
            </w:rPr>
            <w:footnoteReference w:id="2"/>
          </w:r>
          <w:r w:rsidRPr="00494493">
            <w:rPr>
              <w:rFonts w:eastAsia="Times New Roman" w:cs="Times New Roman"/>
              <w:noProof w:val="0"/>
              <w:sz w:val="28"/>
              <w:szCs w:val="28"/>
            </w:rPr>
            <w:t>)</w:t>
          </w:r>
        </w:p>
        <w:p w:rsidR="00655450" w:rsidRPr="00494493" w:rsidRDefault="00655450" w:rsidP="00655450">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Identifying the success factors for this company includes considering the competitive advantages of AstraZeneca. This company has taken strategies for differentiating the products like introducing different vaccines and taking the </w:t>
          </w:r>
          <w:r w:rsidRPr="00494493">
            <w:rPr>
              <w:rFonts w:eastAsia="Times New Roman" w:cs="Times New Roman"/>
              <w:noProof w:val="0"/>
              <w:sz w:val="28"/>
              <w:szCs w:val="28"/>
            </w:rPr>
            <w:lastRenderedPageBreak/>
            <w:t xml:space="preserve">charge of the premium changes for providing the services with this company (Astrazeneca, 2023). Moreover, this company has provided better services to the customers and provides better products to the customers. Therefore, this can be effective for managing the competitive advantage of this company. This is considered a success factor for this company. This can increase the overall profits of the customers. </w:t>
          </w:r>
        </w:p>
        <w:p w:rsidR="00E316D4" w:rsidRPr="00494493" w:rsidRDefault="00E316D4" w:rsidP="00655450">
          <w:pPr>
            <w:rPr>
              <w:sz w:val="28"/>
              <w:szCs w:val="28"/>
            </w:rPr>
          </w:pPr>
          <w:r w:rsidRPr="00494493">
            <w:rPr>
              <w:sz w:val="28"/>
              <w:szCs w:val="28"/>
            </w:rPr>
            <w:t>Host Country Analysis</w:t>
          </w:r>
          <w:bookmarkEnd w:id="8"/>
        </w:p>
        <w:p w:rsidR="00E316D4" w:rsidRPr="00494493" w:rsidRDefault="00E316D4" w:rsidP="00E316D4">
          <w:pPr>
            <w:spacing w:after="160" w:line="360" w:lineRule="auto"/>
            <w:rPr>
              <w:sz w:val="28"/>
              <w:szCs w:val="28"/>
            </w:rPr>
          </w:pPr>
          <w:bookmarkStart w:id="9" w:name="_Toc131431301"/>
          <w:r w:rsidRPr="00494493">
            <w:rPr>
              <w:rStyle w:val="Heading2Char"/>
              <w:sz w:val="28"/>
              <w:szCs w:val="28"/>
            </w:rPr>
            <w:t>Country’s National Diamond</w:t>
          </w:r>
          <w:bookmarkEnd w:id="9"/>
          <w:r w:rsidRPr="00494493">
            <w:rPr>
              <w:sz w:val="28"/>
              <w:szCs w:val="28"/>
            </w:rPr>
            <w:t xml:space="preserve"> (host country)</w:t>
          </w:r>
        </w:p>
        <w:p w:rsidR="003775E0" w:rsidRPr="00494493" w:rsidRDefault="003775E0" w:rsidP="003775E0">
          <w:pPr>
            <w:spacing w:after="160" w:line="360" w:lineRule="auto"/>
            <w:rPr>
              <w:sz w:val="28"/>
              <w:szCs w:val="28"/>
            </w:rPr>
          </w:pPr>
          <w:r w:rsidRPr="00494493">
            <w:rPr>
              <w:sz w:val="28"/>
              <w:szCs w:val="28"/>
            </w:rPr>
            <w:t>Economist Michael Porter introduced the concept of a national diamond. In this case, the four factors are considered to be of much interest, which includes “</w:t>
          </w:r>
          <w:r w:rsidRPr="00494493">
            <w:rPr>
              <w:b/>
              <w:i/>
              <w:sz w:val="28"/>
              <w:szCs w:val="28"/>
            </w:rPr>
            <w:t>factor conditions</w:t>
          </w:r>
          <w:r w:rsidRPr="00494493">
            <w:rPr>
              <w:sz w:val="28"/>
              <w:szCs w:val="28"/>
            </w:rPr>
            <w:t>”, “</w:t>
          </w:r>
          <w:r w:rsidRPr="00494493">
            <w:rPr>
              <w:b/>
              <w:i/>
              <w:sz w:val="28"/>
              <w:szCs w:val="28"/>
            </w:rPr>
            <w:t>demand conditions</w:t>
          </w:r>
          <w:r w:rsidRPr="00494493">
            <w:rPr>
              <w:sz w:val="28"/>
              <w:szCs w:val="28"/>
            </w:rPr>
            <w:t>”, “</w:t>
          </w:r>
          <w:r w:rsidRPr="00494493">
            <w:rPr>
              <w:b/>
              <w:i/>
              <w:sz w:val="28"/>
              <w:szCs w:val="28"/>
            </w:rPr>
            <w:t>related and supporting industries</w:t>
          </w:r>
          <w:r w:rsidRPr="00494493">
            <w:rPr>
              <w:sz w:val="28"/>
              <w:szCs w:val="28"/>
            </w:rPr>
            <w:t>” and “</w:t>
          </w:r>
          <w:r w:rsidRPr="00494493">
            <w:rPr>
              <w:b/>
              <w:i/>
              <w:sz w:val="28"/>
              <w:szCs w:val="28"/>
            </w:rPr>
            <w:t>firm strategy, structure and rivalry</w:t>
          </w:r>
          <w:r w:rsidRPr="00494493">
            <w:rPr>
              <w:sz w:val="28"/>
              <w:szCs w:val="28"/>
            </w:rPr>
            <w:t xml:space="preserve">”. </w:t>
          </w:r>
        </w:p>
        <w:p w:rsidR="003775E0" w:rsidRPr="00494493" w:rsidRDefault="003775E0" w:rsidP="003775E0">
          <w:pPr>
            <w:spacing w:after="160" w:line="360" w:lineRule="auto"/>
            <w:rPr>
              <w:b/>
              <w:sz w:val="28"/>
              <w:szCs w:val="28"/>
            </w:rPr>
          </w:pPr>
          <w:r w:rsidRPr="00494493">
            <w:rPr>
              <w:b/>
              <w:sz w:val="28"/>
              <w:szCs w:val="28"/>
            </w:rPr>
            <w:t>Factor conditions</w:t>
          </w:r>
        </w:p>
        <w:p w:rsidR="003775E0" w:rsidRPr="00494493" w:rsidRDefault="003775E0" w:rsidP="003775E0">
          <w:pPr>
            <w:spacing w:after="160" w:line="360" w:lineRule="auto"/>
            <w:rPr>
              <w:sz w:val="28"/>
              <w:szCs w:val="28"/>
            </w:rPr>
          </w:pPr>
          <w:r w:rsidRPr="00494493">
            <w:rPr>
              <w:sz w:val="28"/>
              <w:szCs w:val="28"/>
            </w:rPr>
            <w:t>India has several factors contributing to its competitive advantage in various industries. These include a large and diverse workforce, a well-developed educational system that produces skilled workers, and access to natural resources such as iron ore, coal, and oil. India's geographic location also provides it with a strategic advantage, as it serves as a gateway to Southeast Asia and the Middle East.</w:t>
          </w:r>
        </w:p>
        <w:p w:rsidR="003775E0" w:rsidRPr="00494493" w:rsidRDefault="003775E0" w:rsidP="003775E0">
          <w:pPr>
            <w:spacing w:after="160" w:line="360" w:lineRule="auto"/>
            <w:rPr>
              <w:b/>
              <w:sz w:val="28"/>
              <w:szCs w:val="28"/>
            </w:rPr>
          </w:pPr>
          <w:r w:rsidRPr="00494493">
            <w:rPr>
              <w:b/>
              <w:sz w:val="28"/>
              <w:szCs w:val="28"/>
            </w:rPr>
            <w:t>Demand conditions</w:t>
          </w:r>
        </w:p>
        <w:p w:rsidR="003775E0" w:rsidRPr="00494493" w:rsidRDefault="003775E0" w:rsidP="003775E0">
          <w:pPr>
            <w:spacing w:after="160" w:line="360" w:lineRule="auto"/>
            <w:rPr>
              <w:sz w:val="28"/>
              <w:szCs w:val="28"/>
            </w:rPr>
          </w:pPr>
          <w:r w:rsidRPr="00494493">
            <w:rPr>
              <w:sz w:val="28"/>
              <w:szCs w:val="28"/>
            </w:rPr>
            <w:t xml:space="preserve">According to Shingare and Kanoi (2020), India's large and growing population, which is expected to exceed </w:t>
          </w:r>
          <w:r w:rsidRPr="00494493">
            <w:rPr>
              <w:b/>
              <w:i/>
              <w:sz w:val="28"/>
              <w:szCs w:val="28"/>
            </w:rPr>
            <w:t>1.5 billion by 2030</w:t>
          </w:r>
          <w:r w:rsidRPr="00494493">
            <w:rPr>
              <w:sz w:val="28"/>
              <w:szCs w:val="28"/>
            </w:rPr>
            <w:t>, provides a significant domestic market for industries such as agriculture, consumer goods, and healthcare. This demand creates opportunities for companies to develop products and services that meet the unique needs of Indian consumers.</w:t>
          </w:r>
        </w:p>
        <w:p w:rsidR="003775E0" w:rsidRPr="00494493" w:rsidRDefault="003775E0" w:rsidP="003775E0">
          <w:pPr>
            <w:spacing w:after="160" w:line="360" w:lineRule="auto"/>
            <w:rPr>
              <w:b/>
              <w:sz w:val="28"/>
              <w:szCs w:val="28"/>
            </w:rPr>
          </w:pPr>
          <w:r w:rsidRPr="00494493">
            <w:rPr>
              <w:b/>
              <w:sz w:val="28"/>
              <w:szCs w:val="28"/>
            </w:rPr>
            <w:t>Related and supporting industries</w:t>
          </w:r>
        </w:p>
        <w:p w:rsidR="003775E0" w:rsidRPr="00494493" w:rsidRDefault="003775E0" w:rsidP="003775E0">
          <w:pPr>
            <w:spacing w:after="160" w:line="360" w:lineRule="auto"/>
            <w:rPr>
              <w:sz w:val="28"/>
              <w:szCs w:val="28"/>
            </w:rPr>
          </w:pPr>
          <w:r w:rsidRPr="00494493">
            <w:rPr>
              <w:sz w:val="28"/>
              <w:szCs w:val="28"/>
            </w:rPr>
            <w:lastRenderedPageBreak/>
            <w:t>India has a well-developed information technology (IT) sector, which provides support to other industries such as finance, healthcare, and retail. The country also has a strong pharmaceutical industry, which is supported by a network of research and development centres and manufacturing facilities.</w:t>
          </w:r>
        </w:p>
        <w:p w:rsidR="003775E0" w:rsidRPr="00494493" w:rsidRDefault="003775E0" w:rsidP="003775E0">
          <w:pPr>
            <w:spacing w:after="160" w:line="360" w:lineRule="auto"/>
            <w:rPr>
              <w:b/>
              <w:sz w:val="28"/>
              <w:szCs w:val="28"/>
            </w:rPr>
          </w:pPr>
          <w:r w:rsidRPr="00494493">
            <w:rPr>
              <w:b/>
              <w:sz w:val="28"/>
              <w:szCs w:val="28"/>
            </w:rPr>
            <w:t>Firm strategy, structure, and rivalry</w:t>
          </w:r>
        </w:p>
        <w:p w:rsidR="003775E0" w:rsidRPr="00494493" w:rsidRDefault="003775E0" w:rsidP="003775E0">
          <w:pPr>
            <w:spacing w:after="160" w:line="360" w:lineRule="auto"/>
            <w:rPr>
              <w:sz w:val="28"/>
              <w:szCs w:val="28"/>
            </w:rPr>
          </w:pPr>
          <w:r w:rsidRPr="00494493">
            <w:rPr>
              <w:sz w:val="28"/>
              <w:szCs w:val="28"/>
            </w:rPr>
            <w:t xml:space="preserve">According to Sathish </w:t>
          </w:r>
          <w:r w:rsidRPr="00494493">
            <w:rPr>
              <w:i/>
              <w:sz w:val="28"/>
              <w:szCs w:val="28"/>
            </w:rPr>
            <w:t>et al.</w:t>
          </w:r>
          <w:r w:rsidRPr="00494493">
            <w:rPr>
              <w:sz w:val="28"/>
              <w:szCs w:val="28"/>
            </w:rPr>
            <w:t xml:space="preserve"> (2020), India has a diverse and competitive business environment, with companies operating in various sectors such as IT, manufacturing, and services. This competition has led to the development of innovative business strategies and structures and has encouraged companies to invest in research and development to stay ahead of their competitors.</w:t>
          </w:r>
        </w:p>
        <w:p w:rsidR="003775E0" w:rsidRPr="00494493" w:rsidRDefault="003775E0" w:rsidP="003775E0">
          <w:pPr>
            <w:spacing w:after="160" w:line="360" w:lineRule="auto"/>
            <w:rPr>
              <w:sz w:val="28"/>
              <w:szCs w:val="28"/>
            </w:rPr>
          </w:pPr>
          <w:r w:rsidRPr="00494493">
            <w:rPr>
              <w:sz w:val="28"/>
              <w:szCs w:val="28"/>
            </w:rPr>
            <w:t>Overall, India's national diamond provides a competitive advantage for industries such as IT, pharmaceuticals, and manufacturing. According to Shingare and Kanoi (2020), there are also challenges, such as infrastructure constraints, bureaucratic red tape, and regulatory issues that can hinder business growth. Nevertheless, India's unique combination of factors and conditions makes it an attractive destination for businesses investing in the country.</w:t>
          </w:r>
        </w:p>
        <w:p w:rsidR="00E316D4" w:rsidRPr="00494493" w:rsidRDefault="00E316D4" w:rsidP="00E316D4">
          <w:pPr>
            <w:spacing w:after="160" w:line="360" w:lineRule="auto"/>
            <w:rPr>
              <w:sz w:val="28"/>
              <w:szCs w:val="28"/>
            </w:rPr>
          </w:pPr>
          <w:bookmarkStart w:id="10" w:name="_Toc131431302"/>
          <w:r w:rsidRPr="00494493">
            <w:rPr>
              <w:rStyle w:val="Heading2Char"/>
              <w:sz w:val="28"/>
              <w:szCs w:val="28"/>
            </w:rPr>
            <w:t>Country Business Risks</w:t>
          </w:r>
          <w:bookmarkEnd w:id="10"/>
          <w:r w:rsidRPr="00494493">
            <w:rPr>
              <w:sz w:val="28"/>
              <w:szCs w:val="28"/>
            </w:rPr>
            <w:t xml:space="preserve"> (host country)</w:t>
          </w:r>
        </w:p>
        <w:p w:rsidR="003775E0" w:rsidRPr="00494493" w:rsidRDefault="003775E0" w:rsidP="003775E0">
          <w:pPr>
            <w:spacing w:line="360" w:lineRule="auto"/>
            <w:rPr>
              <w:sz w:val="28"/>
              <w:szCs w:val="28"/>
            </w:rPr>
          </w:pPr>
          <w:r w:rsidRPr="00494493">
            <w:rPr>
              <w:sz w:val="28"/>
              <w:szCs w:val="28"/>
            </w:rPr>
            <w:t>Every country presents a unique set of business risks that companies need to consider when operating in that country. In the case of a host country, which is a country in which a foreign company operates, the risks can be even more complex. Considering India as an example of a host country and examining some of the business risks that foreign companies may face:</w:t>
          </w:r>
        </w:p>
        <w:p w:rsidR="003775E0" w:rsidRPr="00494493" w:rsidRDefault="003775E0" w:rsidP="003775E0">
          <w:pPr>
            <w:spacing w:line="360" w:lineRule="auto"/>
            <w:rPr>
              <w:sz w:val="28"/>
              <w:szCs w:val="28"/>
            </w:rPr>
          </w:pPr>
          <w:r w:rsidRPr="00494493">
            <w:rPr>
              <w:b/>
              <w:i/>
              <w:sz w:val="28"/>
              <w:szCs w:val="28"/>
            </w:rPr>
            <w:t>Political risks:</w:t>
          </w:r>
          <w:r w:rsidRPr="00494493">
            <w:rPr>
              <w:sz w:val="28"/>
              <w:szCs w:val="28"/>
            </w:rPr>
            <w:t xml:space="preserve"> According to Alam (2020), India has a diverse and complex political landscape, with frequent changes in government and policies. This can create instability and uncertainties for foreign companies, especially in industries that are highly regulated or have government involvement.</w:t>
          </w:r>
        </w:p>
        <w:p w:rsidR="003775E0" w:rsidRPr="00494493" w:rsidRDefault="003775E0" w:rsidP="003775E0">
          <w:pPr>
            <w:spacing w:line="360" w:lineRule="auto"/>
            <w:rPr>
              <w:sz w:val="28"/>
              <w:szCs w:val="28"/>
            </w:rPr>
          </w:pPr>
          <w:r w:rsidRPr="00494493">
            <w:rPr>
              <w:b/>
              <w:i/>
              <w:sz w:val="28"/>
              <w:szCs w:val="28"/>
            </w:rPr>
            <w:lastRenderedPageBreak/>
            <w:t>Economic risks:</w:t>
          </w:r>
          <w:r w:rsidRPr="00494493">
            <w:rPr>
              <w:sz w:val="28"/>
              <w:szCs w:val="28"/>
            </w:rPr>
            <w:t xml:space="preserve"> India's economy has been growing rapidly in recent years, but there are still challenges such as inflation, currency fluctuations, and infrastructure constraints that can impact business operations.</w:t>
          </w:r>
        </w:p>
        <w:p w:rsidR="003775E0" w:rsidRPr="00494493" w:rsidRDefault="003775E0" w:rsidP="003775E0">
          <w:pPr>
            <w:spacing w:line="360" w:lineRule="auto"/>
            <w:rPr>
              <w:sz w:val="28"/>
              <w:szCs w:val="28"/>
            </w:rPr>
          </w:pPr>
          <w:r w:rsidRPr="00494493">
            <w:rPr>
              <w:b/>
              <w:i/>
              <w:sz w:val="28"/>
              <w:szCs w:val="28"/>
            </w:rPr>
            <w:t>Cultural risks:</w:t>
          </w:r>
          <w:r w:rsidRPr="00494493">
            <w:rPr>
              <w:sz w:val="28"/>
              <w:szCs w:val="28"/>
            </w:rPr>
            <w:t xml:space="preserve"> According to Rana </w:t>
          </w:r>
          <w:r w:rsidRPr="00494493">
            <w:rPr>
              <w:i/>
              <w:sz w:val="28"/>
              <w:szCs w:val="28"/>
            </w:rPr>
            <w:t xml:space="preserve">et al. </w:t>
          </w:r>
          <w:r w:rsidRPr="00494493">
            <w:rPr>
              <w:sz w:val="28"/>
              <w:szCs w:val="28"/>
            </w:rPr>
            <w:t>(2022), India has a rich and diverse culture, which can present challenges for foreign companies operating in the country. Companies need to understand and respect local customs and traditions, as well as language and communication barriers.</w:t>
          </w:r>
        </w:p>
        <w:p w:rsidR="003775E0" w:rsidRPr="00494493" w:rsidRDefault="003775E0" w:rsidP="003775E0">
          <w:pPr>
            <w:spacing w:line="360" w:lineRule="auto"/>
            <w:rPr>
              <w:sz w:val="28"/>
              <w:szCs w:val="28"/>
            </w:rPr>
          </w:pPr>
          <w:r w:rsidRPr="00494493">
            <w:rPr>
              <w:b/>
              <w:i/>
              <w:sz w:val="28"/>
              <w:szCs w:val="28"/>
            </w:rPr>
            <w:t>Operational risks:</w:t>
          </w:r>
          <w:r w:rsidRPr="00494493">
            <w:rPr>
              <w:sz w:val="28"/>
              <w:szCs w:val="28"/>
            </w:rPr>
            <w:t xml:space="preserve"> India's infrastructure can be inadequate, especially in rural areas, which can create challenges for logistics and supply chain management. Companies also need to be aware of issues such as corruption, intellectual property theft, and labour laws.</w:t>
          </w:r>
        </w:p>
        <w:p w:rsidR="003775E0" w:rsidRPr="00494493" w:rsidRDefault="003775E0" w:rsidP="003775E0">
          <w:pPr>
            <w:spacing w:line="360" w:lineRule="auto"/>
            <w:rPr>
              <w:sz w:val="28"/>
              <w:szCs w:val="28"/>
            </w:rPr>
          </w:pPr>
          <w:r w:rsidRPr="00494493">
            <w:rPr>
              <w:b/>
              <w:i/>
              <w:sz w:val="28"/>
              <w:szCs w:val="28"/>
            </w:rPr>
            <w:t>Security risks:</w:t>
          </w:r>
          <w:r w:rsidRPr="00494493">
            <w:rPr>
              <w:sz w:val="28"/>
              <w:szCs w:val="28"/>
            </w:rPr>
            <w:t xml:space="preserve"> According to Masood </w:t>
          </w:r>
          <w:r w:rsidRPr="00494493">
            <w:rPr>
              <w:i/>
              <w:sz w:val="28"/>
              <w:szCs w:val="28"/>
            </w:rPr>
            <w:t>et al.</w:t>
          </w:r>
          <w:r w:rsidRPr="00494493">
            <w:rPr>
              <w:sz w:val="28"/>
              <w:szCs w:val="28"/>
            </w:rPr>
            <w:t xml:space="preserve"> (2020), India faces security risks such as terrorism, civil unrest, and crime, which can impact business operations and the safety of employees.</w:t>
          </w:r>
        </w:p>
        <w:p w:rsidR="003775E0" w:rsidRPr="00494493" w:rsidRDefault="003775E0" w:rsidP="003775E0">
          <w:pPr>
            <w:spacing w:line="360" w:lineRule="auto"/>
            <w:rPr>
              <w:b/>
              <w:sz w:val="28"/>
              <w:szCs w:val="28"/>
            </w:rPr>
          </w:pPr>
          <w:r w:rsidRPr="00494493">
            <w:rPr>
              <w:sz w:val="28"/>
              <w:szCs w:val="28"/>
            </w:rPr>
            <w:t xml:space="preserve">Overall, India presents a unique set of business risks for foreign companies operating in the country. However, with careful planning, risk assessment, and mitigation strategies, companies can navigate these risks and take advantage of the opportunities that India's growing economy and market offer. </w:t>
          </w:r>
          <w:r w:rsidRPr="00494493">
            <w:rPr>
              <w:b/>
              <w:sz w:val="28"/>
              <w:szCs w:val="28"/>
            </w:rPr>
            <w:t xml:space="preserve">Internal Analysis          </w:t>
          </w:r>
        </w:p>
        <w:p w:rsidR="003775E0" w:rsidRPr="00494493" w:rsidRDefault="003775E0" w:rsidP="003775E0">
          <w:pPr>
            <w:spacing w:line="360" w:lineRule="auto"/>
            <w:rPr>
              <w:b/>
              <w:sz w:val="28"/>
              <w:szCs w:val="28"/>
            </w:rPr>
          </w:pPr>
          <w:bookmarkStart w:id="11" w:name="_vlyyou4j9jyi" w:colFirst="0" w:colLast="0"/>
          <w:bookmarkEnd w:id="11"/>
          <w:r w:rsidRPr="00494493">
            <w:rPr>
              <w:b/>
              <w:sz w:val="28"/>
              <w:szCs w:val="28"/>
            </w:rPr>
            <w:t>Global value chain</w:t>
          </w:r>
        </w:p>
        <w:p w:rsidR="003775E0" w:rsidRPr="00494493" w:rsidRDefault="003775E0" w:rsidP="003775E0">
          <w:pPr>
            <w:spacing w:line="360" w:lineRule="auto"/>
            <w:rPr>
              <w:b/>
              <w:sz w:val="28"/>
              <w:szCs w:val="28"/>
            </w:rPr>
          </w:pPr>
          <w:bookmarkStart w:id="12" w:name="_6hyaryj4b1vy" w:colFirst="0" w:colLast="0"/>
          <w:bookmarkEnd w:id="12"/>
          <w:r w:rsidRPr="00494493">
            <w:rPr>
              <w:b/>
              <w:sz w:val="28"/>
              <w:szCs w:val="28"/>
            </w:rPr>
            <w:t>Global Production</w:t>
          </w:r>
        </w:p>
        <w:p w:rsidR="003775E0" w:rsidRPr="00494493" w:rsidRDefault="003775E0" w:rsidP="003775E0">
          <w:pPr>
            <w:spacing w:line="360" w:lineRule="auto"/>
            <w:rPr>
              <w:sz w:val="28"/>
              <w:szCs w:val="28"/>
            </w:rPr>
          </w:pPr>
          <w:r w:rsidRPr="00494493">
            <w:rPr>
              <w:sz w:val="28"/>
              <w:szCs w:val="28"/>
            </w:rPr>
            <w:t xml:space="preserve">AstraZeneca's global production activities involve research and development, manufacturing, and distribution of pharmaceutical products to customers around the world. This involves identifying the most efficient suppliers, logistics partners, and manufacturing facilities. AstraZeneca needs to balance cost </w:t>
          </w:r>
          <w:r w:rsidRPr="00494493">
            <w:rPr>
              <w:sz w:val="28"/>
              <w:szCs w:val="28"/>
            </w:rPr>
            <w:lastRenderedPageBreak/>
            <w:t xml:space="preserve">savings with quality control and regulatory compliance to ensure customer satisfaction and mitigate risks. </w:t>
          </w:r>
        </w:p>
        <w:p w:rsidR="003775E0" w:rsidRPr="00494493" w:rsidRDefault="003775E0" w:rsidP="007D45AB">
          <w:pPr>
            <w:spacing w:line="360" w:lineRule="auto"/>
            <w:jc w:val="center"/>
            <w:rPr>
              <w:sz w:val="28"/>
              <w:szCs w:val="28"/>
            </w:rPr>
          </w:pPr>
          <w:r w:rsidRPr="00494493">
            <w:rPr>
              <w:sz w:val="28"/>
              <w:szCs w:val="28"/>
              <w:lang w:val="en-US"/>
            </w:rPr>
            <w:drawing>
              <wp:inline distT="114300" distB="114300" distL="114300" distR="114300">
                <wp:extent cx="5238750" cy="28194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238750" cy="2819400"/>
                        </a:xfrm>
                        <a:prstGeom prst="rect">
                          <a:avLst/>
                        </a:prstGeom>
                        <a:ln/>
                      </pic:spPr>
                    </pic:pic>
                  </a:graphicData>
                </a:graphic>
              </wp:inline>
            </w:drawing>
          </w:r>
        </w:p>
        <w:p w:rsidR="003775E0" w:rsidRPr="00494493" w:rsidRDefault="003775E0" w:rsidP="003775E0">
          <w:pPr>
            <w:spacing w:line="360" w:lineRule="auto"/>
            <w:rPr>
              <w:b/>
              <w:sz w:val="28"/>
              <w:szCs w:val="28"/>
            </w:rPr>
          </w:pPr>
          <w:bookmarkStart w:id="13" w:name="_ucm0ihw63inh" w:colFirst="0" w:colLast="0"/>
          <w:bookmarkEnd w:id="13"/>
          <w:r w:rsidRPr="00494493">
            <w:rPr>
              <w:b/>
              <w:sz w:val="28"/>
              <w:szCs w:val="28"/>
            </w:rPr>
            <w:t xml:space="preserve">Figure </w:t>
          </w:r>
          <w:r w:rsidR="002013E4" w:rsidRPr="00494493">
            <w:rPr>
              <w:b/>
              <w:sz w:val="28"/>
              <w:szCs w:val="28"/>
            </w:rPr>
            <w:t>5</w:t>
          </w:r>
          <w:r w:rsidRPr="00494493">
            <w:rPr>
              <w:b/>
              <w:sz w:val="28"/>
              <w:szCs w:val="28"/>
            </w:rPr>
            <w:t>: Biotechnology industry in the UK</w:t>
          </w:r>
        </w:p>
        <w:p w:rsidR="003775E0" w:rsidRPr="00494493" w:rsidRDefault="003775E0" w:rsidP="003775E0">
          <w:pPr>
            <w:spacing w:line="360" w:lineRule="auto"/>
            <w:rPr>
              <w:sz w:val="28"/>
              <w:szCs w:val="28"/>
            </w:rPr>
          </w:pPr>
          <w:r w:rsidRPr="00494493">
            <w:rPr>
              <w:sz w:val="28"/>
              <w:szCs w:val="28"/>
            </w:rPr>
            <w:t>(Source: Marketline, 2019)</w:t>
          </w:r>
        </w:p>
        <w:p w:rsidR="003775E0" w:rsidRPr="00494493" w:rsidRDefault="003775E0" w:rsidP="003775E0">
          <w:pPr>
            <w:spacing w:line="360" w:lineRule="auto"/>
            <w:rPr>
              <w:sz w:val="28"/>
              <w:szCs w:val="28"/>
            </w:rPr>
          </w:pPr>
          <w:r w:rsidRPr="00494493">
            <w:rPr>
              <w:b/>
              <w:i/>
              <w:sz w:val="28"/>
              <w:szCs w:val="28"/>
            </w:rPr>
            <w:t>66%</w:t>
          </w:r>
          <w:r w:rsidRPr="00494493">
            <w:rPr>
              <w:sz w:val="28"/>
              <w:szCs w:val="28"/>
            </w:rPr>
            <w:t xml:space="preserve"> of market segmentation is addressed in Medical, </w:t>
          </w:r>
          <w:r w:rsidRPr="00494493">
            <w:rPr>
              <w:b/>
              <w:i/>
              <w:sz w:val="28"/>
              <w:szCs w:val="28"/>
            </w:rPr>
            <w:t>18.7%</w:t>
          </w:r>
          <w:r w:rsidRPr="00494493">
            <w:rPr>
              <w:sz w:val="28"/>
              <w:szCs w:val="28"/>
            </w:rPr>
            <w:t xml:space="preserve"> in the service providers. AstraZeneca has a global manufacturing footprint that includes over 20 sites in more than 10 countries. AstraZeneca's largest manufacturing site is located in Macclesfield, UK, and produces more than 25% of the company's total drug supply. In 2022, AstraZeneca produced </w:t>
          </w:r>
          <w:r w:rsidRPr="00494493">
            <w:rPr>
              <w:b/>
              <w:i/>
              <w:sz w:val="28"/>
              <w:szCs w:val="28"/>
            </w:rPr>
            <w:t>43 billion U.S. dollars</w:t>
          </w:r>
          <w:r w:rsidRPr="00494493">
            <w:rPr>
              <w:sz w:val="28"/>
              <w:szCs w:val="28"/>
            </w:rPr>
            <w:t xml:space="preserve"> and become the leading vaccine manufacturer (Mikulic, 2023). The company has invested over $1.5 billion in new and upgraded manufacturing facilities over the past five years. </w:t>
          </w:r>
        </w:p>
        <w:p w:rsidR="003775E0" w:rsidRPr="00494493" w:rsidRDefault="003775E0" w:rsidP="003775E0">
          <w:pPr>
            <w:spacing w:line="360" w:lineRule="auto"/>
            <w:rPr>
              <w:b/>
              <w:sz w:val="28"/>
              <w:szCs w:val="28"/>
            </w:rPr>
          </w:pPr>
          <w:bookmarkStart w:id="14" w:name="_w8670y6kbrwr" w:colFirst="0" w:colLast="0"/>
          <w:bookmarkEnd w:id="14"/>
          <w:r w:rsidRPr="00494493">
            <w:rPr>
              <w:b/>
              <w:sz w:val="28"/>
              <w:szCs w:val="28"/>
            </w:rPr>
            <w:t>Global Marketing</w:t>
          </w:r>
        </w:p>
        <w:p w:rsidR="003775E0" w:rsidRPr="00494493" w:rsidRDefault="003775E0" w:rsidP="003775E0">
          <w:pPr>
            <w:spacing w:line="360" w:lineRule="auto"/>
            <w:rPr>
              <w:sz w:val="28"/>
              <w:szCs w:val="28"/>
            </w:rPr>
          </w:pPr>
          <w:r w:rsidRPr="00494493">
            <w:rPr>
              <w:sz w:val="28"/>
              <w:szCs w:val="28"/>
            </w:rPr>
            <w:t xml:space="preserve">According to Sami (2022), AstraZeneca's global marketing activities involve developing and promoting pharmaceutical products to customers in different countries and regions. The company needs to tailor its marketing strategies to local market conditions, including cultural, linguistic, and legal differences. </w:t>
          </w:r>
          <w:r w:rsidRPr="00494493">
            <w:rPr>
              <w:sz w:val="28"/>
              <w:szCs w:val="28"/>
            </w:rPr>
            <w:lastRenderedPageBreak/>
            <w:t xml:space="preserve">This involves understanding local customer needs and preferences, as well as identifying the most effective channels for advertising and communication. AstraZeneca also needs to comply with local regulations and market access requirements to ensure product availability and market penetration. </w:t>
          </w:r>
        </w:p>
        <w:p w:rsidR="003775E0" w:rsidRPr="00494493" w:rsidRDefault="003775E0" w:rsidP="003775E0">
          <w:pPr>
            <w:spacing w:line="360" w:lineRule="auto"/>
            <w:rPr>
              <w:sz w:val="28"/>
              <w:szCs w:val="28"/>
            </w:rPr>
          </w:pPr>
          <w:r w:rsidRPr="00494493">
            <w:rPr>
              <w:sz w:val="28"/>
              <w:szCs w:val="28"/>
              <w:lang w:val="en-US"/>
            </w:rPr>
            <w:drawing>
              <wp:inline distT="114300" distB="114300" distL="114300" distR="114300">
                <wp:extent cx="5400675" cy="5019675"/>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400675" cy="5019675"/>
                        </a:xfrm>
                        <a:prstGeom prst="rect">
                          <a:avLst/>
                        </a:prstGeom>
                        <a:ln/>
                      </pic:spPr>
                    </pic:pic>
                  </a:graphicData>
                </a:graphic>
              </wp:inline>
            </w:drawing>
          </w:r>
        </w:p>
        <w:p w:rsidR="003775E0" w:rsidRPr="00494493" w:rsidRDefault="003775E0" w:rsidP="003775E0">
          <w:pPr>
            <w:spacing w:line="360" w:lineRule="auto"/>
            <w:rPr>
              <w:b/>
              <w:sz w:val="28"/>
              <w:szCs w:val="28"/>
            </w:rPr>
          </w:pPr>
          <w:bookmarkStart w:id="15" w:name="_l2hgy7w9bh0k" w:colFirst="0" w:colLast="0"/>
          <w:bookmarkEnd w:id="15"/>
          <w:r w:rsidRPr="00494493">
            <w:rPr>
              <w:b/>
              <w:sz w:val="28"/>
              <w:szCs w:val="28"/>
            </w:rPr>
            <w:t xml:space="preserve">Figure </w:t>
          </w:r>
          <w:r w:rsidR="002013E4" w:rsidRPr="00494493">
            <w:rPr>
              <w:b/>
              <w:sz w:val="28"/>
              <w:szCs w:val="28"/>
            </w:rPr>
            <w:t>6</w:t>
          </w:r>
          <w:r w:rsidRPr="00494493">
            <w:rPr>
              <w:b/>
              <w:sz w:val="28"/>
              <w:szCs w:val="28"/>
            </w:rPr>
            <w:t>: The top-selling products of AstraZeneca</w:t>
          </w:r>
        </w:p>
        <w:p w:rsidR="003775E0" w:rsidRPr="00494493" w:rsidRDefault="003775E0" w:rsidP="003775E0">
          <w:pPr>
            <w:spacing w:line="360" w:lineRule="auto"/>
            <w:rPr>
              <w:sz w:val="28"/>
              <w:szCs w:val="28"/>
            </w:rPr>
          </w:pPr>
          <w:r w:rsidRPr="00494493">
            <w:rPr>
              <w:sz w:val="28"/>
              <w:szCs w:val="28"/>
            </w:rPr>
            <w:t>(Source: Mikulic, 2023)</w:t>
          </w:r>
        </w:p>
        <w:p w:rsidR="003775E0" w:rsidRPr="00494493" w:rsidRDefault="003775E0" w:rsidP="003775E0">
          <w:pPr>
            <w:spacing w:line="360" w:lineRule="auto"/>
            <w:rPr>
              <w:sz w:val="28"/>
              <w:szCs w:val="28"/>
            </w:rPr>
          </w:pPr>
          <w:r w:rsidRPr="00494493">
            <w:rPr>
              <w:sz w:val="28"/>
              <w:szCs w:val="28"/>
            </w:rPr>
            <w:t>The company generated  £ 8.3 million in 2018, £8.9 million in 2019, and £12.6 million in 2023. Thus, the market value is rising.</w:t>
          </w:r>
        </w:p>
        <w:p w:rsidR="003775E0" w:rsidRPr="00494493" w:rsidRDefault="003775E0" w:rsidP="003775E0">
          <w:pPr>
            <w:spacing w:line="360" w:lineRule="auto"/>
            <w:rPr>
              <w:b/>
              <w:sz w:val="28"/>
              <w:szCs w:val="28"/>
            </w:rPr>
          </w:pPr>
          <w:bookmarkStart w:id="16" w:name="_h1xqbj7algt5" w:colFirst="0" w:colLast="0"/>
          <w:bookmarkEnd w:id="16"/>
          <w:r w:rsidRPr="00494493">
            <w:rPr>
              <w:b/>
              <w:sz w:val="28"/>
              <w:szCs w:val="28"/>
            </w:rPr>
            <w:t>Global HRM</w:t>
          </w:r>
        </w:p>
        <w:p w:rsidR="003775E0" w:rsidRPr="00494493" w:rsidRDefault="003775E0" w:rsidP="003775E0">
          <w:pPr>
            <w:spacing w:line="360" w:lineRule="auto"/>
            <w:rPr>
              <w:sz w:val="28"/>
              <w:szCs w:val="28"/>
            </w:rPr>
          </w:pPr>
          <w:r w:rsidRPr="00494493">
            <w:rPr>
              <w:sz w:val="28"/>
              <w:szCs w:val="28"/>
            </w:rPr>
            <w:lastRenderedPageBreak/>
            <w:t xml:space="preserve">According to Tobaiqy </w:t>
          </w:r>
          <w:r w:rsidRPr="00494493">
            <w:rPr>
              <w:i/>
              <w:sz w:val="28"/>
              <w:szCs w:val="28"/>
            </w:rPr>
            <w:t>et al.</w:t>
          </w:r>
          <w:r w:rsidRPr="00494493">
            <w:rPr>
              <w:sz w:val="28"/>
              <w:szCs w:val="28"/>
            </w:rPr>
            <w:t xml:space="preserve"> (2021), AstraZeneca's global human resource management activities involve managing a diverse workforce across different countries and regions. The company needs to develop HR strategies that take into account local labour laws, cultural differences, and other factors that impact employee motivation and retention. This involves identifying the most effective talent management practices, compensation and benefits schemes, and training and development programs to ensure a high-performing and engaged workforce. AstraZeneca also needs to comply with local labour laws and regulations, including those related to diversity and inclusion, to ensure a positive corporate image and reputation. </w:t>
          </w:r>
        </w:p>
        <w:p w:rsidR="003775E0" w:rsidRPr="00494493" w:rsidRDefault="003775E0" w:rsidP="003775E0">
          <w:pPr>
            <w:spacing w:line="360" w:lineRule="auto"/>
            <w:rPr>
              <w:sz w:val="28"/>
              <w:szCs w:val="28"/>
            </w:rPr>
          </w:pPr>
          <w:r w:rsidRPr="00494493">
            <w:rPr>
              <w:sz w:val="28"/>
              <w:szCs w:val="28"/>
              <w:lang w:val="en-US"/>
            </w:rPr>
            <w:drawing>
              <wp:inline distT="114300" distB="114300" distL="114300" distR="114300">
                <wp:extent cx="5731200" cy="281940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200" cy="2819400"/>
                        </a:xfrm>
                        <a:prstGeom prst="rect">
                          <a:avLst/>
                        </a:prstGeom>
                        <a:ln/>
                      </pic:spPr>
                    </pic:pic>
                  </a:graphicData>
                </a:graphic>
              </wp:inline>
            </w:drawing>
          </w:r>
        </w:p>
        <w:p w:rsidR="003775E0" w:rsidRPr="00494493" w:rsidRDefault="003775E0" w:rsidP="003775E0">
          <w:pPr>
            <w:spacing w:line="360" w:lineRule="auto"/>
            <w:rPr>
              <w:b/>
              <w:sz w:val="28"/>
              <w:szCs w:val="28"/>
            </w:rPr>
          </w:pPr>
          <w:bookmarkStart w:id="17" w:name="_ec2h3dlfl5gi" w:colFirst="0" w:colLast="0"/>
          <w:bookmarkEnd w:id="17"/>
          <w:r w:rsidRPr="00494493">
            <w:rPr>
              <w:b/>
              <w:sz w:val="28"/>
              <w:szCs w:val="28"/>
            </w:rPr>
            <w:t>Figure</w:t>
          </w:r>
          <w:r w:rsidR="002013E4" w:rsidRPr="00494493">
            <w:rPr>
              <w:b/>
              <w:sz w:val="28"/>
              <w:szCs w:val="28"/>
            </w:rPr>
            <w:t xml:space="preserve"> 7</w:t>
          </w:r>
          <w:r w:rsidRPr="00494493">
            <w:rPr>
              <w:b/>
              <w:sz w:val="28"/>
              <w:szCs w:val="28"/>
            </w:rPr>
            <w:t>: The total global operating of AstraZeneca</w:t>
          </w:r>
        </w:p>
        <w:p w:rsidR="003775E0" w:rsidRPr="00494493" w:rsidRDefault="003775E0" w:rsidP="003775E0">
          <w:pPr>
            <w:spacing w:line="360" w:lineRule="auto"/>
            <w:rPr>
              <w:sz w:val="28"/>
              <w:szCs w:val="28"/>
            </w:rPr>
          </w:pPr>
          <w:r w:rsidRPr="00494493">
            <w:rPr>
              <w:sz w:val="28"/>
              <w:szCs w:val="28"/>
            </w:rPr>
            <w:t>(Source: AstraZeneca, 2021)</w:t>
          </w:r>
        </w:p>
        <w:p w:rsidR="00E316D4" w:rsidRPr="00494493" w:rsidRDefault="003775E0" w:rsidP="003775E0">
          <w:pPr>
            <w:spacing w:line="360" w:lineRule="auto"/>
            <w:rPr>
              <w:sz w:val="28"/>
              <w:szCs w:val="28"/>
            </w:rPr>
          </w:pPr>
          <w:r w:rsidRPr="00494493">
            <w:rPr>
              <w:sz w:val="28"/>
              <w:szCs w:val="28"/>
            </w:rPr>
            <w:t xml:space="preserve">As per the above figure, the company has made </w:t>
          </w:r>
          <w:r w:rsidRPr="00494493">
            <w:rPr>
              <w:b/>
              <w:i/>
              <w:sz w:val="28"/>
              <w:szCs w:val="28"/>
            </w:rPr>
            <w:t>$1.1bn</w:t>
          </w:r>
          <w:r w:rsidRPr="00494493">
            <w:rPr>
              <w:sz w:val="28"/>
              <w:szCs w:val="28"/>
            </w:rPr>
            <w:t xml:space="preserve"> with an exchange of  </w:t>
          </w:r>
          <w:r w:rsidRPr="00494493">
            <w:rPr>
              <w:b/>
              <w:i/>
              <w:sz w:val="28"/>
              <w:szCs w:val="28"/>
            </w:rPr>
            <w:t>$1056 million</w:t>
          </w:r>
          <w:r w:rsidRPr="00494493">
            <w:rPr>
              <w:sz w:val="28"/>
              <w:szCs w:val="28"/>
            </w:rPr>
            <w:t xml:space="preserve">. Moreover, the “core operating profit” of the company has become </w:t>
          </w:r>
          <w:r w:rsidRPr="00494493">
            <w:rPr>
              <w:b/>
              <w:i/>
              <w:sz w:val="28"/>
              <w:szCs w:val="28"/>
            </w:rPr>
            <w:t>$9.9bn</w:t>
          </w:r>
          <w:r w:rsidRPr="00494493">
            <w:rPr>
              <w:sz w:val="28"/>
              <w:szCs w:val="28"/>
            </w:rPr>
            <w:t>. This enhances the HRM practices within the company.</w:t>
          </w:r>
        </w:p>
        <w:p w:rsidR="00E316D4" w:rsidRPr="00494493" w:rsidRDefault="00E316D4" w:rsidP="00E316D4">
          <w:pPr>
            <w:pStyle w:val="Heading2"/>
            <w:rPr>
              <w:sz w:val="28"/>
              <w:szCs w:val="28"/>
            </w:rPr>
          </w:pPr>
          <w:bookmarkStart w:id="18" w:name="_Toc131431305"/>
          <w:r w:rsidRPr="00494493">
            <w:rPr>
              <w:sz w:val="28"/>
              <w:szCs w:val="28"/>
            </w:rPr>
            <w:lastRenderedPageBreak/>
            <w:t>SWOT analysis</w:t>
          </w:r>
          <w:bookmarkEnd w:id="18"/>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7376B5" w:rsidRPr="00494493" w:rsidTr="00BE5CAC">
            <w:trPr>
              <w:cantSplit/>
              <w:tblHeader/>
            </w:trPr>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b/>
                    <w:sz w:val="28"/>
                    <w:szCs w:val="28"/>
                  </w:rPr>
                </w:pPr>
                <w:r w:rsidRPr="00494493">
                  <w:rPr>
                    <w:b/>
                    <w:sz w:val="28"/>
                    <w:szCs w:val="28"/>
                  </w:rPr>
                  <w:t>Strength</w:t>
                </w:r>
                <w:r w:rsidR="004960CC" w:rsidRPr="00494493">
                  <w:rPr>
                    <w:b/>
                    <w:sz w:val="28"/>
                    <w:szCs w:val="28"/>
                  </w:rPr>
                  <w:t>s</w:t>
                </w:r>
              </w:p>
            </w:tc>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b/>
                    <w:sz w:val="28"/>
                    <w:szCs w:val="28"/>
                  </w:rPr>
                </w:pPr>
                <w:r w:rsidRPr="00494493">
                  <w:rPr>
                    <w:b/>
                    <w:sz w:val="28"/>
                    <w:szCs w:val="28"/>
                  </w:rPr>
                  <w:t>Weakness</w:t>
                </w:r>
                <w:r w:rsidR="00B45BBE" w:rsidRPr="00494493">
                  <w:rPr>
                    <w:b/>
                    <w:sz w:val="28"/>
                    <w:szCs w:val="28"/>
                  </w:rPr>
                  <w:t>es</w:t>
                </w:r>
              </w:p>
            </w:tc>
          </w:tr>
          <w:tr w:rsidR="007376B5" w:rsidRPr="00494493" w:rsidTr="00BE5CAC">
            <w:trPr>
              <w:cantSplit/>
              <w:tblHeader/>
            </w:trPr>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sz w:val="28"/>
                    <w:szCs w:val="28"/>
                  </w:rPr>
                </w:pPr>
                <w:r w:rsidRPr="00494493">
                  <w:rPr>
                    <w:sz w:val="28"/>
                    <w:szCs w:val="28"/>
                  </w:rPr>
                  <w:t xml:space="preserve">According to Dowden and Munro (2019), AstraZeneca has over 160 projects in clinical development, with 20 projects in late-stage development. In 2018, the report says </w:t>
                </w:r>
                <w:r w:rsidRPr="00494493">
                  <w:rPr>
                    <w:b/>
                    <w:i/>
                    <w:sz w:val="28"/>
                    <w:szCs w:val="28"/>
                  </w:rPr>
                  <w:t>38.6%</w:t>
                </w:r>
                <w:r w:rsidRPr="00494493">
                  <w:rPr>
                    <w:sz w:val="28"/>
                    <w:szCs w:val="28"/>
                  </w:rPr>
                  <w:t xml:space="preserve"> of the company’s earnings came from Asia, Africa and Australia region.</w:t>
                </w:r>
              </w:p>
              <w:p w:rsidR="007376B5" w:rsidRPr="00494493" w:rsidRDefault="007376B5" w:rsidP="007376B5">
                <w:pPr>
                  <w:spacing w:line="360" w:lineRule="auto"/>
                  <w:rPr>
                    <w:sz w:val="28"/>
                    <w:szCs w:val="28"/>
                  </w:rPr>
                </w:pPr>
                <w:r w:rsidRPr="00494493">
                  <w:rPr>
                    <w:sz w:val="28"/>
                    <w:szCs w:val="28"/>
                  </w:rPr>
                  <w:t xml:space="preserve">The company is also recognized for its innovation and sustainability efforts, ranking in the top 25 on Forbes' 2021 list of the “World's Most Innovative Companies” and ranked </w:t>
                </w:r>
                <w:r w:rsidRPr="00494493">
                  <w:rPr>
                    <w:b/>
                    <w:i/>
                    <w:sz w:val="28"/>
                    <w:szCs w:val="28"/>
                  </w:rPr>
                  <w:t>91</w:t>
                </w:r>
                <w:r w:rsidRPr="00494493">
                  <w:rPr>
                    <w:sz w:val="28"/>
                    <w:szCs w:val="28"/>
                  </w:rPr>
                  <w:t xml:space="preserve"> on “Corporate Knights' 2021 Global 100 index of most sustainable companies” (CK STAFF, 2022).</w:t>
                </w:r>
              </w:p>
              <w:p w:rsidR="007376B5" w:rsidRPr="00494493" w:rsidRDefault="007376B5" w:rsidP="007376B5">
                <w:pPr>
                  <w:spacing w:line="360" w:lineRule="auto"/>
                  <w:rPr>
                    <w:sz w:val="28"/>
                    <w:szCs w:val="28"/>
                  </w:rPr>
                </w:pPr>
                <w:r w:rsidRPr="00494493">
                  <w:rPr>
                    <w:sz w:val="28"/>
                    <w:szCs w:val="28"/>
                  </w:rPr>
                  <w:t>In 2020, AstraZeneca generated £9.7 million. The company's top-selling drugs in 2020 were Tagrisso for non-small cell lung cancer, Imfinzi for lung cancer and bladder cancer, and Lynparza for ovarian and breast cancer.</w:t>
                </w:r>
              </w:p>
            </w:tc>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sz w:val="28"/>
                    <w:szCs w:val="28"/>
                  </w:rPr>
                </w:pPr>
                <w:r w:rsidRPr="00494493">
                  <w:rPr>
                    <w:sz w:val="28"/>
                    <w:szCs w:val="28"/>
                  </w:rPr>
                  <w:t>AstraZeneca's top three products accounted for 37% of the company's total revenue in 2020 (Pharma, 2022). The patent for Crestor, one of AstraZeneca's top-selling drugs, expired in 2016, leading to a decline in revenue.</w:t>
                </w:r>
              </w:p>
              <w:p w:rsidR="007376B5" w:rsidRPr="00494493" w:rsidRDefault="007376B5" w:rsidP="007376B5">
                <w:pPr>
                  <w:spacing w:line="360" w:lineRule="auto"/>
                  <w:rPr>
                    <w:sz w:val="28"/>
                    <w:szCs w:val="28"/>
                  </w:rPr>
                </w:pPr>
                <w:r w:rsidRPr="00494493">
                  <w:rPr>
                    <w:sz w:val="28"/>
                    <w:szCs w:val="28"/>
                  </w:rPr>
                  <w:t>AstraZeneca generated 64% of its total revenue from the US and Europe in 2020. The company faces risks associated with economic and political conditions in these regions, such as changes in healthcare policies and pricing pressures.</w:t>
                </w:r>
              </w:p>
              <w:p w:rsidR="007376B5" w:rsidRPr="00494493" w:rsidRDefault="007376B5" w:rsidP="007376B5">
                <w:pPr>
                  <w:spacing w:line="360" w:lineRule="auto"/>
                  <w:rPr>
                    <w:sz w:val="28"/>
                    <w:szCs w:val="28"/>
                  </w:rPr>
                </w:pPr>
                <w:r w:rsidRPr="00494493">
                  <w:rPr>
                    <w:sz w:val="28"/>
                    <w:szCs w:val="28"/>
                  </w:rPr>
                  <w:t>AstraZeneca faces patent expiration for several key products in the coming years, including 33,000 patients in “</w:t>
                </w:r>
                <w:r w:rsidRPr="00494493">
                  <w:rPr>
                    <w:b/>
                    <w:i/>
                    <w:sz w:val="28"/>
                    <w:szCs w:val="28"/>
                  </w:rPr>
                  <w:t>Phase I-IV respiratory clinical trials</w:t>
                </w:r>
                <w:r w:rsidRPr="00494493">
                  <w:rPr>
                    <w:sz w:val="28"/>
                    <w:szCs w:val="28"/>
                  </w:rPr>
                  <w:t>”. This may result in increased competition and revenue decline.</w:t>
                </w:r>
              </w:p>
            </w:tc>
          </w:tr>
          <w:tr w:rsidR="007376B5" w:rsidRPr="00494493" w:rsidTr="00BE5CAC">
            <w:trPr>
              <w:cantSplit/>
              <w:tblHeader/>
            </w:trPr>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b/>
                    <w:sz w:val="28"/>
                    <w:szCs w:val="28"/>
                  </w:rPr>
                </w:pPr>
                <w:r w:rsidRPr="00494493">
                  <w:rPr>
                    <w:b/>
                    <w:sz w:val="28"/>
                    <w:szCs w:val="28"/>
                  </w:rPr>
                  <w:t>Opportunit</w:t>
                </w:r>
                <w:r w:rsidR="00433FCF" w:rsidRPr="00494493">
                  <w:rPr>
                    <w:b/>
                    <w:sz w:val="28"/>
                    <w:szCs w:val="28"/>
                  </w:rPr>
                  <w:t>ies</w:t>
                </w:r>
              </w:p>
            </w:tc>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b/>
                    <w:sz w:val="28"/>
                    <w:szCs w:val="28"/>
                  </w:rPr>
                </w:pPr>
                <w:r w:rsidRPr="00494493">
                  <w:rPr>
                    <w:b/>
                    <w:sz w:val="28"/>
                    <w:szCs w:val="28"/>
                  </w:rPr>
                  <w:t>Threat</w:t>
                </w:r>
                <w:r w:rsidR="005D0133" w:rsidRPr="00494493">
                  <w:rPr>
                    <w:b/>
                    <w:sz w:val="28"/>
                    <w:szCs w:val="28"/>
                  </w:rPr>
                  <w:t>s</w:t>
                </w:r>
              </w:p>
            </w:tc>
          </w:tr>
          <w:tr w:rsidR="007376B5" w:rsidRPr="00494493" w:rsidTr="00BE5CAC">
            <w:trPr>
              <w:cantSplit/>
              <w:tblHeader/>
            </w:trPr>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sz w:val="28"/>
                    <w:szCs w:val="28"/>
                  </w:rPr>
                </w:pPr>
                <w:r w:rsidRPr="00494493">
                  <w:rPr>
                    <w:sz w:val="28"/>
                    <w:szCs w:val="28"/>
                  </w:rPr>
                  <w:lastRenderedPageBreak/>
                  <w:t>AstraZeneca can explore mergers and acquisitions to expand its product portfolio and geographic presence, particularly in the areas of oncology and biotechnology. In 2020, AstraZeneca acquired Alexion Pharmaceuticals for $39 billion, expanding its presence in the rare disease market.</w:t>
                </w:r>
              </w:p>
              <w:p w:rsidR="007376B5" w:rsidRPr="00494493" w:rsidRDefault="007376B5" w:rsidP="007376B5">
                <w:pPr>
                  <w:spacing w:line="360" w:lineRule="auto"/>
                  <w:rPr>
                    <w:sz w:val="28"/>
                    <w:szCs w:val="28"/>
                  </w:rPr>
                </w:pPr>
                <w:r w:rsidRPr="00494493">
                  <w:rPr>
                    <w:sz w:val="28"/>
                    <w:szCs w:val="28"/>
                  </w:rPr>
                  <w:t xml:space="preserve">UK Government has invested </w:t>
                </w:r>
                <w:r w:rsidRPr="00494493">
                  <w:rPr>
                    <w:b/>
                    <w:i/>
                    <w:sz w:val="28"/>
                    <w:szCs w:val="28"/>
                  </w:rPr>
                  <w:t>1.7%</w:t>
                </w:r>
                <w:r w:rsidRPr="00494493">
                  <w:rPr>
                    <w:sz w:val="28"/>
                    <w:szCs w:val="28"/>
                  </w:rPr>
                  <w:t xml:space="preserve"> of all GDP in 2017 and targeted to increase this amount to </w:t>
                </w:r>
                <w:r w:rsidRPr="00494493">
                  <w:rPr>
                    <w:b/>
                    <w:i/>
                    <w:sz w:val="28"/>
                    <w:szCs w:val="28"/>
                  </w:rPr>
                  <w:t>2.4%</w:t>
                </w:r>
                <w:r w:rsidRPr="00494493">
                  <w:rPr>
                    <w:sz w:val="28"/>
                    <w:szCs w:val="28"/>
                  </w:rPr>
                  <w:t xml:space="preserve"> of GDP by 2027.</w:t>
                </w:r>
              </w:p>
              <w:p w:rsidR="007376B5" w:rsidRPr="00494493" w:rsidRDefault="007376B5" w:rsidP="007376B5">
                <w:pPr>
                  <w:spacing w:line="360" w:lineRule="auto"/>
                  <w:rPr>
                    <w:sz w:val="28"/>
                    <w:szCs w:val="28"/>
                  </w:rPr>
                </w:pPr>
                <w:r w:rsidRPr="00494493">
                  <w:rPr>
                    <w:sz w:val="28"/>
                    <w:szCs w:val="28"/>
                  </w:rPr>
                  <w:t xml:space="preserve">According to Tromp </w:t>
                </w:r>
                <w:r w:rsidRPr="00494493">
                  <w:rPr>
                    <w:i/>
                    <w:sz w:val="28"/>
                    <w:szCs w:val="28"/>
                  </w:rPr>
                  <w:t>et al.</w:t>
                </w:r>
                <w:r w:rsidRPr="00494493">
                  <w:rPr>
                    <w:sz w:val="28"/>
                    <w:szCs w:val="28"/>
                  </w:rPr>
                  <w:t xml:space="preserve"> (2022), AstraZeneca can leverage “digital health technologies” to improve the patient recovery rate and lower the “healthcare cost”, particularly in the areas of chronic diseases and patient monitoring. The company has launched several digital health initiatives, such as the Connected Respiratory program for patients with asthma and COPD.</w:t>
                </w:r>
              </w:p>
            </w:tc>
            <w:tc>
              <w:tcPr>
                <w:tcW w:w="4514" w:type="dxa"/>
                <w:shd w:val="clear" w:color="auto" w:fill="auto"/>
                <w:tcMar>
                  <w:top w:w="100" w:type="dxa"/>
                  <w:left w:w="100" w:type="dxa"/>
                  <w:bottom w:w="100" w:type="dxa"/>
                  <w:right w:w="100" w:type="dxa"/>
                </w:tcMar>
              </w:tcPr>
              <w:p w:rsidR="007376B5" w:rsidRPr="00494493" w:rsidRDefault="007376B5" w:rsidP="007376B5">
                <w:pPr>
                  <w:spacing w:line="360" w:lineRule="auto"/>
                  <w:rPr>
                    <w:sz w:val="28"/>
                    <w:szCs w:val="28"/>
                  </w:rPr>
                </w:pPr>
                <w:r w:rsidRPr="00494493">
                  <w:rPr>
                    <w:sz w:val="28"/>
                    <w:szCs w:val="28"/>
                  </w:rPr>
                  <w:t>AstraZeneca faces intense competition from other global pharmaceutical companies, particularly in the areas of oncology and immunology. According to a report by GlobalData, AstraZeneca ranked fifth among the top 10 pharmaceutical companies in terms of sales in 2020, behind Pfizer, Roche, Novartis, and Merck &amp; Co. The major threat is a “</w:t>
                </w:r>
                <w:r w:rsidRPr="00494493">
                  <w:rPr>
                    <w:b/>
                    <w:i/>
                    <w:sz w:val="28"/>
                    <w:szCs w:val="28"/>
                  </w:rPr>
                  <w:t>higher degree of rivalry</w:t>
                </w:r>
                <w:r w:rsidRPr="00494493">
                  <w:rPr>
                    <w:sz w:val="28"/>
                    <w:szCs w:val="28"/>
                  </w:rPr>
                  <w:t xml:space="preserve">”. </w:t>
                </w:r>
              </w:p>
              <w:p w:rsidR="007376B5" w:rsidRPr="00494493" w:rsidRDefault="007376B5" w:rsidP="007376B5">
                <w:pPr>
                  <w:spacing w:line="360" w:lineRule="auto"/>
                  <w:rPr>
                    <w:sz w:val="28"/>
                    <w:szCs w:val="28"/>
                  </w:rPr>
                </w:pPr>
                <w:r w:rsidRPr="00494493">
                  <w:rPr>
                    <w:sz w:val="28"/>
                    <w:szCs w:val="28"/>
                  </w:rPr>
                  <w:t>AstraZeneca faces regulatory and legal risks associated with drug development, approval, and safety, which can result in significant financial and reputational damage. In 2021, AstraZeneca faced regulatory scrutiny and public scrutiny over the safety of its COVID-19 vaccine, leading to a temporary halt in the vaccine's use in some countries. The company also faced lawsuits and investigations related to the safety and marketing of some of its other drugs, such as “</w:t>
                </w:r>
                <w:r w:rsidRPr="00494493">
                  <w:rPr>
                    <w:b/>
                    <w:i/>
                    <w:sz w:val="28"/>
                    <w:szCs w:val="28"/>
                  </w:rPr>
                  <w:t>Seroquel IR</w:t>
                </w:r>
                <w:r w:rsidRPr="00494493">
                  <w:rPr>
                    <w:sz w:val="28"/>
                    <w:szCs w:val="28"/>
                  </w:rPr>
                  <w:t xml:space="preserve"> (</w:t>
                </w:r>
                <w:r w:rsidRPr="00494493">
                  <w:rPr>
                    <w:b/>
                    <w:i/>
                    <w:sz w:val="28"/>
                    <w:szCs w:val="28"/>
                  </w:rPr>
                  <w:t>quetiapine fumarate</w:t>
                </w:r>
                <w:r w:rsidRPr="00494493">
                  <w:rPr>
                    <w:sz w:val="28"/>
                    <w:szCs w:val="28"/>
                  </w:rPr>
                  <w:t>)”.</w:t>
                </w:r>
              </w:p>
            </w:tc>
          </w:tr>
        </w:tbl>
        <w:p w:rsidR="00054048" w:rsidRPr="00494493" w:rsidRDefault="00054048" w:rsidP="00E316D4">
          <w:pPr>
            <w:pStyle w:val="Heading1"/>
            <w:rPr>
              <w:sz w:val="28"/>
              <w:szCs w:val="28"/>
            </w:rPr>
          </w:pPr>
          <w:bookmarkStart w:id="19" w:name="_Toc131431306"/>
          <w:r w:rsidRPr="00494493">
            <w:rPr>
              <w:sz w:val="28"/>
              <w:szCs w:val="28"/>
            </w:rPr>
            <w:lastRenderedPageBreak/>
            <w:t xml:space="preserve">Table 1: SWOT Analysis of </w:t>
          </w:r>
          <w:r w:rsidR="00A15FD6" w:rsidRPr="00494493">
            <w:rPr>
              <w:sz w:val="28"/>
              <w:szCs w:val="28"/>
            </w:rPr>
            <w:t>AstraZeneca</w:t>
          </w:r>
        </w:p>
        <w:p w:rsidR="00E316D4" w:rsidRPr="00494493" w:rsidRDefault="00E316D4" w:rsidP="00E316D4">
          <w:pPr>
            <w:pStyle w:val="Heading1"/>
            <w:rPr>
              <w:sz w:val="28"/>
              <w:szCs w:val="28"/>
            </w:rPr>
          </w:pPr>
          <w:r w:rsidRPr="00494493">
            <w:rPr>
              <w:sz w:val="28"/>
              <w:szCs w:val="28"/>
            </w:rPr>
            <w:t>International Strategies</w:t>
          </w:r>
          <w:bookmarkEnd w:id="19"/>
        </w:p>
        <w:p w:rsidR="00791D9B" w:rsidRPr="00494493" w:rsidRDefault="00791D9B" w:rsidP="00791D9B">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 xml:space="preserve">The host country that has been chosen is India for developing the business values including the various international strategies for expanding the business processes. India has taken the “free trade agreements” that can effective for developing the business processes with various countries in the world. As opined by Pouchain </w:t>
          </w:r>
          <w:r w:rsidRPr="00494493">
            <w:rPr>
              <w:rFonts w:eastAsia="Times New Roman" w:cs="Times New Roman"/>
              <w:i/>
              <w:noProof w:val="0"/>
              <w:sz w:val="28"/>
              <w:szCs w:val="28"/>
            </w:rPr>
            <w:t xml:space="preserve">et al. </w:t>
          </w:r>
          <w:r w:rsidRPr="00494493">
            <w:rPr>
              <w:rFonts w:eastAsia="Times New Roman" w:cs="Times New Roman"/>
              <w:noProof w:val="0"/>
              <w:sz w:val="28"/>
              <w:szCs w:val="28"/>
            </w:rPr>
            <w:t xml:space="preserve">(2021), the advantage includes consumers can get absolute advantages like taking foreign products but it can increase the comparative strategies among the countries. Therefore, this can increase AstraZeneca’s production and develop the market expansions by these companies. However, AstraZeneca has taken the “Global Business Strategy” for providing the services to the customers and developing the stakeholders by this company. Moreover, considering the innovative strategies, making partnerships with various companies can be effective for managing the internal strategies of this company. </w:t>
          </w:r>
        </w:p>
        <w:p w:rsidR="00E316D4" w:rsidRPr="00494493" w:rsidRDefault="00791D9B" w:rsidP="00791D9B">
          <w:pPr>
            <w:spacing w:after="0" w:line="360" w:lineRule="auto"/>
            <w:jc w:val="both"/>
            <w:rPr>
              <w:rFonts w:eastAsia="Times New Roman" w:cs="Times New Roman"/>
              <w:noProof w:val="0"/>
              <w:sz w:val="28"/>
              <w:szCs w:val="28"/>
            </w:rPr>
          </w:pPr>
          <w:r w:rsidRPr="00494493">
            <w:rPr>
              <w:rFonts w:eastAsia="Times New Roman" w:cs="Times New Roman"/>
              <w:noProof w:val="0"/>
              <w:sz w:val="28"/>
              <w:szCs w:val="28"/>
            </w:rPr>
            <w:t>In addition to that, this company has taken the organisational structure-related flexibility that can be helpful for managing the international business by this company. Moreover, the urgency approaches are helpful for providing services to the healthcare department effectively. Therefore, this can manage the international business by this company</w:t>
          </w:r>
          <w:r w:rsidRPr="00494493">
            <w:rPr>
              <w:rFonts w:eastAsia="Times New Roman" w:cs="Times New Roman"/>
              <w:noProof w:val="0"/>
              <w:sz w:val="28"/>
              <w:szCs w:val="28"/>
              <w:vertAlign w:val="superscript"/>
            </w:rPr>
            <w:footnoteReference w:id="3"/>
          </w:r>
          <w:r w:rsidRPr="00494493">
            <w:rPr>
              <w:rFonts w:eastAsia="Times New Roman" w:cs="Times New Roman"/>
              <w:noProof w:val="0"/>
              <w:sz w:val="28"/>
              <w:szCs w:val="28"/>
            </w:rPr>
            <w:t xml:space="preserve">. Moreover, this company mainly focuses on innovative measurements, environmental protection acts, maintaining transparency and others. This can improve the international measurements by this company. Moreover, identifying the market analysis for any country can be effective for managing the services for the international strategies by the company. In this regard, this company has taken the services related to developing various policies that can measure the international process </w:t>
          </w:r>
          <w:r w:rsidRPr="00494493">
            <w:rPr>
              <w:rFonts w:eastAsia="Times New Roman" w:cs="Times New Roman"/>
              <w:noProof w:val="0"/>
              <w:sz w:val="28"/>
              <w:szCs w:val="28"/>
            </w:rPr>
            <w:lastRenderedPageBreak/>
            <w:t xml:space="preserve">by this company. Moreover, developing vaccines is effective in increasing the international business of this company. </w:t>
          </w:r>
        </w:p>
        <w:p w:rsidR="00E316D4" w:rsidRPr="00494493" w:rsidRDefault="00E316D4" w:rsidP="00E316D4">
          <w:pPr>
            <w:pStyle w:val="Heading1"/>
            <w:rPr>
              <w:sz w:val="28"/>
              <w:szCs w:val="28"/>
            </w:rPr>
          </w:pPr>
          <w:bookmarkStart w:id="20" w:name="_Toc131431307"/>
          <w:r w:rsidRPr="00494493">
            <w:rPr>
              <w:sz w:val="28"/>
              <w:szCs w:val="28"/>
            </w:rPr>
            <w:t>Entry Modes</w:t>
          </w:r>
          <w:bookmarkEnd w:id="20"/>
        </w:p>
        <w:p w:rsidR="001A250D" w:rsidRPr="00494493" w:rsidRDefault="001A250D" w:rsidP="001A250D">
          <w:pPr>
            <w:jc w:val="both"/>
            <w:rPr>
              <w:sz w:val="28"/>
              <w:szCs w:val="28"/>
            </w:rPr>
          </w:pPr>
          <w:r w:rsidRPr="00494493">
            <w:rPr>
              <w:sz w:val="28"/>
              <w:szCs w:val="28"/>
            </w:rPr>
            <w:t xml:space="preserve">AstraZeneca is a multinational pharmaceutical company that is headquartered in the United Kingdom and operates in various countries across the world. When it comes to entering a new market, companies can use various entry modes, such as “licensing, franchising, joint ventures, and wholly-owned subsidiaries are examples of exporting”. As stated by Cross </w:t>
          </w:r>
          <w:r w:rsidRPr="00494493">
            <w:rPr>
              <w:i/>
              <w:sz w:val="28"/>
              <w:szCs w:val="28"/>
            </w:rPr>
            <w:t xml:space="preserve">et al. </w:t>
          </w:r>
          <w:r w:rsidRPr="00494493">
            <w:rPr>
              <w:sz w:val="28"/>
              <w:szCs w:val="28"/>
            </w:rPr>
            <w:t xml:space="preserve">(2021), “wholly-owned subsidiaries, joint ventures, exporting, licensing, and franchising” are other common entry modes that companies use to expand their operations into new markets. </w:t>
          </w:r>
          <w:r w:rsidR="006B4CD8" w:rsidRPr="00494493">
            <w:rPr>
              <w:sz w:val="28"/>
              <w:szCs w:val="28"/>
            </w:rPr>
            <w:t xml:space="preserve">Some of the </w:t>
          </w:r>
          <w:r w:rsidRPr="00494493">
            <w:rPr>
              <w:sz w:val="28"/>
              <w:szCs w:val="28"/>
            </w:rPr>
            <w:t>additional detai</w:t>
          </w:r>
          <w:r w:rsidR="00E60A58" w:rsidRPr="00494493">
            <w:rPr>
              <w:sz w:val="28"/>
              <w:szCs w:val="28"/>
            </w:rPr>
            <w:t>ls on each of these entry modes are</w:t>
          </w:r>
        </w:p>
        <w:p w:rsidR="00A06C11" w:rsidRPr="00494493" w:rsidRDefault="00A06C11" w:rsidP="001A250D">
          <w:pPr>
            <w:jc w:val="both"/>
            <w:rPr>
              <w:sz w:val="28"/>
              <w:szCs w:val="28"/>
            </w:rPr>
          </w:pPr>
        </w:p>
        <w:p w:rsidR="001A250D" w:rsidRPr="00494493" w:rsidRDefault="001A250D" w:rsidP="001A250D">
          <w:pPr>
            <w:jc w:val="both"/>
            <w:rPr>
              <w:sz w:val="28"/>
              <w:szCs w:val="28"/>
            </w:rPr>
          </w:pPr>
          <w:r w:rsidRPr="00494493">
            <w:rPr>
              <w:b/>
              <w:i/>
              <w:sz w:val="28"/>
              <w:szCs w:val="28"/>
            </w:rPr>
            <w:t>Joint Ventures</w:t>
          </w:r>
        </w:p>
        <w:p w:rsidR="001A250D" w:rsidRPr="00494493" w:rsidRDefault="001A250D" w:rsidP="001A250D">
          <w:pPr>
            <w:jc w:val="both"/>
            <w:rPr>
              <w:sz w:val="28"/>
              <w:szCs w:val="28"/>
            </w:rPr>
          </w:pPr>
          <w:r w:rsidRPr="00494493">
            <w:rPr>
              <w:sz w:val="28"/>
              <w:szCs w:val="28"/>
            </w:rPr>
            <w:t xml:space="preserve">A joint venture entails “two or more businesses” working together to launch a “new company” in a “foreign market” (Safi </w:t>
          </w:r>
          <w:r w:rsidRPr="00494493">
            <w:rPr>
              <w:i/>
              <w:sz w:val="28"/>
              <w:szCs w:val="28"/>
            </w:rPr>
            <w:t xml:space="preserve">et al. </w:t>
          </w:r>
          <w:r w:rsidRPr="00494493">
            <w:rPr>
              <w:sz w:val="28"/>
              <w:szCs w:val="28"/>
            </w:rPr>
            <w:t>2021). When entering difficult or dangerous markets where local knowledge is crucial, this entry style enables corporations to share expenses, risks, and expertise.</w:t>
          </w:r>
        </w:p>
        <w:p w:rsidR="00A06C11" w:rsidRPr="00494493" w:rsidRDefault="00A06C11" w:rsidP="001A250D">
          <w:pPr>
            <w:jc w:val="both"/>
            <w:rPr>
              <w:sz w:val="28"/>
              <w:szCs w:val="28"/>
            </w:rPr>
          </w:pPr>
        </w:p>
        <w:p w:rsidR="001A250D" w:rsidRPr="00494493" w:rsidRDefault="001A250D" w:rsidP="001A250D">
          <w:pPr>
            <w:jc w:val="both"/>
            <w:rPr>
              <w:b/>
              <w:i/>
              <w:sz w:val="28"/>
              <w:szCs w:val="28"/>
            </w:rPr>
          </w:pPr>
          <w:r w:rsidRPr="00494493">
            <w:rPr>
              <w:b/>
              <w:i/>
              <w:sz w:val="28"/>
              <w:szCs w:val="28"/>
            </w:rPr>
            <w:t>Exporting</w:t>
          </w:r>
        </w:p>
        <w:p w:rsidR="001A250D" w:rsidRPr="00494493" w:rsidRDefault="001A250D" w:rsidP="001A250D">
          <w:pPr>
            <w:jc w:val="both"/>
            <w:rPr>
              <w:sz w:val="28"/>
              <w:szCs w:val="28"/>
            </w:rPr>
          </w:pPr>
          <w:r w:rsidRPr="00494493">
            <w:rPr>
              <w:sz w:val="28"/>
              <w:szCs w:val="28"/>
            </w:rPr>
            <w:t>Selling products or services made in one's own nation to clients in a foreign market is the process of exporting (Ahmed and Schippert, 2020). This “entry mode” is relatively low-risk and trade barriers, transportation costs, and local competition may limit low-cost but.</w:t>
          </w:r>
        </w:p>
        <w:p w:rsidR="00A06C11" w:rsidRPr="00494493" w:rsidRDefault="00A06C11" w:rsidP="001A250D">
          <w:pPr>
            <w:jc w:val="both"/>
            <w:rPr>
              <w:sz w:val="28"/>
              <w:szCs w:val="28"/>
            </w:rPr>
          </w:pPr>
        </w:p>
        <w:p w:rsidR="001A250D" w:rsidRPr="00494493" w:rsidRDefault="001A250D" w:rsidP="001A250D">
          <w:pPr>
            <w:jc w:val="both"/>
            <w:rPr>
              <w:sz w:val="28"/>
              <w:szCs w:val="28"/>
            </w:rPr>
          </w:pPr>
          <w:r w:rsidRPr="00494493">
            <w:rPr>
              <w:b/>
              <w:i/>
              <w:sz w:val="28"/>
              <w:szCs w:val="28"/>
            </w:rPr>
            <w:t>Licensing</w:t>
          </w:r>
        </w:p>
        <w:p w:rsidR="001A250D" w:rsidRPr="00494493" w:rsidRDefault="001A250D" w:rsidP="001A250D">
          <w:pPr>
            <w:jc w:val="both"/>
            <w:rPr>
              <w:sz w:val="28"/>
              <w:szCs w:val="28"/>
            </w:rPr>
          </w:pPr>
          <w:r w:rsidRPr="00494493">
            <w:rPr>
              <w:sz w:val="28"/>
              <w:szCs w:val="28"/>
            </w:rPr>
            <w:t xml:space="preserve">In a licensing agreement, one business grants permission to another business operating in a different country to utilise its “intellectual property (such as patents, trademarks, or technologies) in return for a fee or royalty” (Tulum </w:t>
          </w:r>
          <w:r w:rsidRPr="00494493">
            <w:rPr>
              <w:i/>
              <w:sz w:val="28"/>
              <w:szCs w:val="28"/>
            </w:rPr>
            <w:t xml:space="preserve">et al. </w:t>
          </w:r>
          <w:r w:rsidRPr="00494493">
            <w:rPr>
              <w:sz w:val="28"/>
              <w:szCs w:val="28"/>
            </w:rPr>
            <w:t>2023). This entry mode is commonly used in industries such as technology, pharmaceuticals, and consumer goods.</w:t>
          </w:r>
        </w:p>
        <w:p w:rsidR="00A06C11" w:rsidRPr="00494493" w:rsidRDefault="00A06C11" w:rsidP="001A250D">
          <w:pPr>
            <w:jc w:val="both"/>
            <w:rPr>
              <w:sz w:val="28"/>
              <w:szCs w:val="28"/>
            </w:rPr>
          </w:pPr>
        </w:p>
        <w:p w:rsidR="001A250D" w:rsidRPr="00494493" w:rsidRDefault="001A250D" w:rsidP="001A250D">
          <w:pPr>
            <w:jc w:val="both"/>
            <w:rPr>
              <w:sz w:val="28"/>
              <w:szCs w:val="28"/>
            </w:rPr>
          </w:pPr>
          <w:r w:rsidRPr="00494493">
            <w:rPr>
              <w:b/>
              <w:i/>
              <w:sz w:val="28"/>
              <w:szCs w:val="28"/>
            </w:rPr>
            <w:t>Franchising</w:t>
          </w:r>
        </w:p>
        <w:p w:rsidR="001A250D" w:rsidRPr="00494493" w:rsidRDefault="001A250D" w:rsidP="001A250D">
          <w:pPr>
            <w:jc w:val="both"/>
            <w:rPr>
              <w:sz w:val="28"/>
              <w:szCs w:val="28"/>
            </w:rPr>
          </w:pPr>
          <w:r w:rsidRPr="00494493">
            <w:rPr>
              <w:sz w:val="28"/>
              <w:szCs w:val="28"/>
            </w:rPr>
            <w:t xml:space="preserve">Franchising involves a company allowing another company in a “foreign market to use its brand, business model, and operating system in exchange for a fee” or percentage of sales. This entry mode is commonly used in the retail and food industries. As stated by Kumar </w:t>
          </w:r>
          <w:r w:rsidRPr="00494493">
            <w:rPr>
              <w:i/>
              <w:sz w:val="28"/>
              <w:szCs w:val="28"/>
            </w:rPr>
            <w:t xml:space="preserve">et al. </w:t>
          </w:r>
          <w:r w:rsidRPr="00494493">
            <w:rPr>
              <w:sz w:val="28"/>
              <w:szCs w:val="28"/>
            </w:rPr>
            <w:t>(2021), when selecting an entry mode, it is important for the companies to consider “a range of factors”, including “the nature of the market”, the level of risk, the availability of local partners, and the company's business goals. Each entry mode has its advantages and disadvantages, and companies need to assess their options carefully before making a decision.</w:t>
          </w:r>
        </w:p>
        <w:p w:rsidR="00655D4D" w:rsidRPr="00494493" w:rsidRDefault="00655D4D" w:rsidP="001A250D">
          <w:pPr>
            <w:jc w:val="both"/>
            <w:rPr>
              <w:sz w:val="28"/>
              <w:szCs w:val="28"/>
            </w:rPr>
          </w:pPr>
        </w:p>
        <w:p w:rsidR="001A250D" w:rsidRPr="00494493" w:rsidRDefault="001A250D" w:rsidP="001A250D">
          <w:pPr>
            <w:jc w:val="both"/>
            <w:rPr>
              <w:sz w:val="28"/>
              <w:szCs w:val="28"/>
            </w:rPr>
          </w:pPr>
          <w:r w:rsidRPr="00494493">
            <w:rPr>
              <w:sz w:val="28"/>
              <w:szCs w:val="28"/>
            </w:rPr>
            <w:t>In India, AstraZeneca has been operating since 1979 and has a significant presence in the country. The company initially entered the Indian market through a joint venture with the Indian company Torrent Pharmaceuticals (Zhang and Haskins, 2021). However, in 1999, AstraZeneca acquired the entire shareholding of Torrent Pharmaceuticals in the joint venture, making it a wholly owned subsidiary of AstraZeneca. Since then, AstraZeneca has continued to operate in India through its wholly owned subsidiary.</w:t>
          </w:r>
        </w:p>
        <w:p w:rsidR="00655D4D" w:rsidRPr="00494493" w:rsidRDefault="00655D4D" w:rsidP="001A250D">
          <w:pPr>
            <w:jc w:val="both"/>
            <w:rPr>
              <w:sz w:val="28"/>
              <w:szCs w:val="28"/>
            </w:rPr>
          </w:pPr>
        </w:p>
        <w:p w:rsidR="00E316D4" w:rsidRPr="00494493" w:rsidRDefault="001A250D" w:rsidP="001A250D">
          <w:pPr>
            <w:jc w:val="both"/>
            <w:rPr>
              <w:sz w:val="28"/>
              <w:szCs w:val="28"/>
            </w:rPr>
          </w:pPr>
          <w:r w:rsidRPr="00494493">
            <w:rPr>
              <w:sz w:val="28"/>
              <w:szCs w:val="28"/>
            </w:rPr>
            <w:t>The decision to acquire the entire shareholding of Torrent Pharmaceuticals in the joint venture was likely driven by AstraZeneca's desire to have complete control over its operations in India. This is common for multinational companies, particularly in industries where intellectual property is critical, such as pharmaceuticals. AstraZeneca can protect its intellectual property and maintain control over its operations in India by having a wholly owned subsidiary.</w:t>
          </w:r>
        </w:p>
        <w:p w:rsidR="00A06C11" w:rsidRPr="00494493" w:rsidRDefault="00A06C11" w:rsidP="001A250D">
          <w:pPr>
            <w:jc w:val="both"/>
            <w:rPr>
              <w:sz w:val="28"/>
              <w:szCs w:val="28"/>
            </w:rPr>
          </w:pPr>
        </w:p>
        <w:p w:rsidR="00E316D4" w:rsidRPr="00494493" w:rsidRDefault="00E316D4" w:rsidP="00E316D4">
          <w:pPr>
            <w:pStyle w:val="Heading1"/>
            <w:rPr>
              <w:sz w:val="28"/>
              <w:szCs w:val="28"/>
            </w:rPr>
          </w:pPr>
          <w:bookmarkStart w:id="21" w:name="_Toc131431308"/>
          <w:r w:rsidRPr="00494493">
            <w:rPr>
              <w:sz w:val="28"/>
              <w:szCs w:val="28"/>
            </w:rPr>
            <w:t>Corporate Social Responsibility</w:t>
          </w:r>
          <w:bookmarkEnd w:id="21"/>
        </w:p>
        <w:p w:rsidR="005C40D8" w:rsidRPr="00494493" w:rsidRDefault="005C40D8" w:rsidP="005C40D8">
          <w:pPr>
            <w:jc w:val="both"/>
            <w:rPr>
              <w:sz w:val="28"/>
              <w:szCs w:val="28"/>
            </w:rPr>
          </w:pPr>
          <w:r w:rsidRPr="00494493">
            <w:rPr>
              <w:sz w:val="28"/>
              <w:szCs w:val="28"/>
            </w:rPr>
            <w:t xml:space="preserve">This can involve various initiatives, such as reducing the company's carbon footprint, supporting local communities, and ensuring that the company's products are safe and ethical (Alajmi </w:t>
          </w:r>
          <w:r w:rsidRPr="00494493">
            <w:rPr>
              <w:i/>
              <w:sz w:val="28"/>
              <w:szCs w:val="28"/>
            </w:rPr>
            <w:t xml:space="preserve">et al. </w:t>
          </w:r>
          <w:r w:rsidRPr="00494493">
            <w:rPr>
              <w:sz w:val="28"/>
              <w:szCs w:val="28"/>
            </w:rPr>
            <w:t xml:space="preserve">2023). CSR is becoming increasingly </w:t>
          </w:r>
          <w:r w:rsidRPr="00494493">
            <w:rPr>
              <w:sz w:val="28"/>
              <w:szCs w:val="28"/>
            </w:rPr>
            <w:lastRenderedPageBreak/>
            <w:t>important for multinational companies, as consumers and stakeholders are demanding that companies operate in a socially responsible way.</w:t>
          </w:r>
        </w:p>
        <w:p w:rsidR="00655D4D" w:rsidRPr="00494493" w:rsidRDefault="00655D4D" w:rsidP="005C40D8">
          <w:pPr>
            <w:jc w:val="both"/>
            <w:rPr>
              <w:sz w:val="28"/>
              <w:szCs w:val="28"/>
            </w:rPr>
          </w:pPr>
        </w:p>
        <w:p w:rsidR="005C40D8" w:rsidRPr="00494493" w:rsidRDefault="005C40D8" w:rsidP="005C40D8">
          <w:pPr>
            <w:jc w:val="both"/>
            <w:rPr>
              <w:sz w:val="28"/>
              <w:szCs w:val="28"/>
            </w:rPr>
          </w:pPr>
          <w:r w:rsidRPr="00494493">
            <w:rPr>
              <w:sz w:val="28"/>
              <w:szCs w:val="28"/>
            </w:rPr>
            <w:t>AstraZeneca is committed to CSR and has various initiatives in place to ensure that it operates in a socially responsible way. Based on the opinion of Sami (2022), AstraZeneca is also committed to supporting the communities where it operates and has various initiatives in place to improve access to healthcare and education. In India, AstraZeneca can focus on improving access to healthcare, which is a significant challenge in the country.</w:t>
          </w:r>
        </w:p>
        <w:p w:rsidR="00655D4D" w:rsidRPr="00494493" w:rsidRDefault="00655D4D" w:rsidP="005C40D8">
          <w:pPr>
            <w:jc w:val="both"/>
            <w:rPr>
              <w:sz w:val="28"/>
              <w:szCs w:val="28"/>
            </w:rPr>
          </w:pPr>
        </w:p>
        <w:p w:rsidR="005C40D8" w:rsidRPr="00494493" w:rsidRDefault="005C40D8" w:rsidP="005C40D8">
          <w:pPr>
            <w:jc w:val="both"/>
            <w:rPr>
              <w:sz w:val="28"/>
              <w:szCs w:val="28"/>
            </w:rPr>
          </w:pPr>
          <w:r w:rsidRPr="00494493">
            <w:rPr>
              <w:sz w:val="28"/>
              <w:szCs w:val="28"/>
            </w:rPr>
            <w:t>The company has various initiatives in place to improve healthcare infrastructure and support healthcare professionals, particularly in rural areas. According to Runiewicz-Wardyn and Eliashvili (2022), AstraZeneca has launched the "Healthy Heart for All" program, which aims to improve the diagnosis and treatment of cardiovascular disease in India. The program includes initiatives to train healthcare professionals, increase awareness of the disease, and improve access to treatment. Overall, AstraZeneca's commitment to CSR is an essential part of its business strategy, and the company is taking concrete steps to operate in a socially responsible way both in its home country of the United Kingdom and in its host country of India.</w:t>
          </w:r>
        </w:p>
        <w:p w:rsidR="00655D4D" w:rsidRPr="00494493" w:rsidRDefault="00655D4D" w:rsidP="005C40D8">
          <w:pPr>
            <w:jc w:val="both"/>
            <w:rPr>
              <w:sz w:val="28"/>
              <w:szCs w:val="28"/>
            </w:rPr>
          </w:pPr>
        </w:p>
        <w:p w:rsidR="00E316D4" w:rsidRPr="00494493" w:rsidRDefault="005C40D8" w:rsidP="005C40D8">
          <w:pPr>
            <w:jc w:val="both"/>
            <w:rPr>
              <w:sz w:val="28"/>
              <w:szCs w:val="28"/>
            </w:rPr>
          </w:pPr>
          <w:r w:rsidRPr="00494493">
            <w:rPr>
              <w:sz w:val="28"/>
              <w:szCs w:val="28"/>
            </w:rPr>
            <w:t>Corporate social responsibility is becoming increasingly important for companies operating in the international market. Companies need to consider the social and environmental impact of their operations and take steps to ensure that they operate in an ethical and sustainable manner. In summary, companies operating in the international market need to analyse the internal and external environment carefully, develop effective international strategies, choose appropriate entry modes, and demonstrate corporate social responsibility.</w:t>
          </w:r>
        </w:p>
        <w:p w:rsidR="00A06C11" w:rsidRPr="00494493" w:rsidRDefault="00A06C11" w:rsidP="005C40D8">
          <w:pPr>
            <w:jc w:val="both"/>
            <w:rPr>
              <w:sz w:val="28"/>
              <w:szCs w:val="28"/>
            </w:rPr>
          </w:pPr>
        </w:p>
        <w:p w:rsidR="00E316D4" w:rsidRPr="00494493" w:rsidRDefault="00E316D4" w:rsidP="00E316D4">
          <w:pPr>
            <w:pStyle w:val="Heading1"/>
            <w:rPr>
              <w:sz w:val="28"/>
              <w:szCs w:val="28"/>
            </w:rPr>
          </w:pPr>
          <w:bookmarkStart w:id="22" w:name="_Toc131431309"/>
          <w:r w:rsidRPr="00494493">
            <w:rPr>
              <w:sz w:val="28"/>
              <w:szCs w:val="28"/>
            </w:rPr>
            <w:t>Conclusion</w:t>
          </w:r>
          <w:bookmarkEnd w:id="22"/>
        </w:p>
        <w:p w:rsidR="00E20106" w:rsidRPr="00494493" w:rsidRDefault="00E316D4" w:rsidP="00E20106">
          <w:pPr>
            <w:jc w:val="both"/>
            <w:rPr>
              <w:sz w:val="28"/>
              <w:szCs w:val="28"/>
            </w:rPr>
          </w:pPr>
          <w:r w:rsidRPr="00494493">
            <w:rPr>
              <w:sz w:val="28"/>
              <w:szCs w:val="28"/>
            </w:rPr>
            <w:t>The</w:t>
          </w:r>
          <w:r w:rsidR="00E20106" w:rsidRPr="00494493">
            <w:rPr>
              <w:sz w:val="28"/>
              <w:szCs w:val="28"/>
            </w:rPr>
            <w:t xml:space="preserve"> A company's success in the international market depends on various factors, including the internal and external environment, international strategies, </w:t>
          </w:r>
          <w:r w:rsidR="00E20106" w:rsidRPr="00494493">
            <w:rPr>
              <w:sz w:val="28"/>
              <w:szCs w:val="28"/>
            </w:rPr>
            <w:lastRenderedPageBreak/>
            <w:t>entry modes, and corporate social responsibility. A company needs to analyse these factors carefully before entering a foreign market to ensure that it aligns with its business goals and values. In terms of the internal environment, a company needs to have a strong and capable team that can manage its operations in a foreign market. It should also have the necessary resources, including finances, technology, and intellectual property, to operate successfully in a foreign market.</w:t>
          </w:r>
        </w:p>
        <w:p w:rsidR="00655D4D" w:rsidRPr="00494493" w:rsidRDefault="00655D4D" w:rsidP="00E20106">
          <w:pPr>
            <w:jc w:val="both"/>
            <w:rPr>
              <w:sz w:val="28"/>
              <w:szCs w:val="28"/>
            </w:rPr>
          </w:pPr>
        </w:p>
        <w:p w:rsidR="00E20106" w:rsidRPr="00494493" w:rsidRDefault="00E20106" w:rsidP="00E20106">
          <w:pPr>
            <w:jc w:val="both"/>
            <w:rPr>
              <w:sz w:val="28"/>
              <w:szCs w:val="28"/>
            </w:rPr>
          </w:pPr>
          <w:r w:rsidRPr="00494493">
            <w:rPr>
              <w:sz w:val="28"/>
              <w:szCs w:val="28"/>
            </w:rPr>
            <w:t>The external environment includes factors such as political stability, economic conditions, cultural differences, and legal and regulatory frameworks. A company needs to understand the external environment of a foreign market to determine the risks and opportunities associated with operating in that market. International strategies are critical to a company's success in the global market. Companies need to develop strategies that align with their business goals, including cost leadership, differentiation, and focus strategies. A company's international strategy should also consider its competitive advantage, market entry modes, and resource allocation.</w:t>
          </w:r>
        </w:p>
        <w:p w:rsidR="00655D4D" w:rsidRPr="00494493" w:rsidRDefault="00655D4D" w:rsidP="00E20106">
          <w:pPr>
            <w:jc w:val="both"/>
            <w:rPr>
              <w:sz w:val="28"/>
              <w:szCs w:val="28"/>
            </w:rPr>
          </w:pPr>
        </w:p>
        <w:p w:rsidR="00E316D4" w:rsidRPr="00494493" w:rsidRDefault="00E20106" w:rsidP="00655D4D">
          <w:pPr>
            <w:jc w:val="both"/>
            <w:rPr>
              <w:sz w:val="28"/>
              <w:szCs w:val="28"/>
            </w:rPr>
          </w:pPr>
          <w:r w:rsidRPr="00494493">
            <w:rPr>
              <w:sz w:val="28"/>
              <w:szCs w:val="28"/>
            </w:rPr>
            <w:t>Entry modes are the means by which a company enters a foreign market. Companies can choose from a range of entry modes, including wholly owned subsidiaries, joint ventures, exporting, licensing, and franchising. AstraZeneca can protect its “intellectual property and maintain control over its operations” in India by having a wholly owned subsidiary. The selection of the entry mode depends on the company's business goals, market conditions, and the availability of local partners.</w:t>
          </w:r>
          <w:r w:rsidRPr="00494493">
            <w:rPr>
              <w:sz w:val="28"/>
              <w:szCs w:val="28"/>
            </w:rPr>
            <w:br w:type="page"/>
          </w:r>
        </w:p>
        <w:p w:rsidR="00E316D4" w:rsidRPr="00494493" w:rsidRDefault="00E316D4" w:rsidP="00E316D4">
          <w:pPr>
            <w:pStyle w:val="Heading1"/>
            <w:rPr>
              <w:sz w:val="28"/>
              <w:szCs w:val="28"/>
            </w:rPr>
          </w:pPr>
          <w:bookmarkStart w:id="23" w:name="_Toc131431310"/>
          <w:r w:rsidRPr="00494493">
            <w:rPr>
              <w:sz w:val="28"/>
              <w:szCs w:val="28"/>
            </w:rPr>
            <w:lastRenderedPageBreak/>
            <w:t>References</w:t>
          </w:r>
          <w:bookmarkEnd w:id="23"/>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bookmarkStart w:id="24" w:name="_Toc131431311"/>
          <w:r w:rsidRPr="00494493">
            <w:rPr>
              <w:rFonts w:eastAsia="Times New Roman" w:cs="Times New Roman"/>
              <w:noProof w:val="0"/>
              <w:color w:val="000000"/>
              <w:sz w:val="28"/>
              <w:szCs w:val="28"/>
              <w:shd w:val="clear" w:color="auto" w:fill="FFFFFF"/>
              <w:lang w:val="en-US"/>
            </w:rPr>
            <w:t xml:space="preserve">Ahmed, S. and Schippert, O., 2020. Improving Planning Stability: A case study of Planning at AstraZeneca. Available at: </w:t>
          </w:r>
          <w:hyperlink r:id="rId18" w:history="1">
            <w:r w:rsidRPr="00494493">
              <w:rPr>
                <w:rFonts w:eastAsia="Times New Roman" w:cs="Times New Roman"/>
                <w:noProof w:val="0"/>
                <w:color w:val="000000"/>
                <w:sz w:val="28"/>
                <w:szCs w:val="28"/>
                <w:lang w:val="en-US"/>
              </w:rPr>
              <w:t>https://www.diva-portal.org/smash/get/diva2:1456024/FULLTEXT01.pdf</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Alajmi, R., Albaseri, S., Alawadhi, R. and Alhabashi, H., 2023. AstraZeneca–The Success Links Back To Organization. </w:t>
          </w:r>
          <w:r w:rsidRPr="00494493">
            <w:rPr>
              <w:rFonts w:eastAsia="Times New Roman" w:cs="Times New Roman"/>
              <w:i/>
              <w:iCs/>
              <w:noProof w:val="0"/>
              <w:color w:val="000000"/>
              <w:sz w:val="28"/>
              <w:szCs w:val="28"/>
              <w:shd w:val="clear" w:color="auto" w:fill="FFFFFF"/>
              <w:lang w:val="en-US"/>
            </w:rPr>
            <w:t>Journal of the Community Development in Asia (JCDA)</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6</w:t>
          </w:r>
          <w:r w:rsidRPr="00494493">
            <w:rPr>
              <w:rFonts w:eastAsia="Times New Roman" w:cs="Times New Roman"/>
              <w:noProof w:val="0"/>
              <w:color w:val="000000"/>
              <w:sz w:val="28"/>
              <w:szCs w:val="28"/>
              <w:shd w:val="clear" w:color="auto" w:fill="FFFFFF"/>
              <w:lang w:val="en-US"/>
            </w:rPr>
            <w:t xml:space="preserve">(1), pp.90-99. Available at: </w:t>
          </w:r>
          <w:hyperlink r:id="rId19" w:history="1">
            <w:r w:rsidRPr="00494493">
              <w:rPr>
                <w:rFonts w:eastAsia="Times New Roman" w:cs="Times New Roman"/>
                <w:noProof w:val="0"/>
                <w:color w:val="000000"/>
                <w:sz w:val="28"/>
                <w:szCs w:val="28"/>
                <w:lang w:val="en-US"/>
              </w:rPr>
              <w:t>https://ejournal.aibpmjournals.com/index.php/JCDA/article/viewFile/1868/1888</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Alajmi, R., Albaseri, S., Alawadhi, R. and Alhabashi, H., 2023. AstraZeneca–The Success Links Back To Organization. </w:t>
          </w:r>
          <w:r w:rsidRPr="00494493">
            <w:rPr>
              <w:rFonts w:eastAsia="Times New Roman" w:cs="Times New Roman"/>
              <w:i/>
              <w:iCs/>
              <w:noProof w:val="0"/>
              <w:color w:val="000000"/>
              <w:sz w:val="28"/>
              <w:szCs w:val="28"/>
              <w:shd w:val="clear" w:color="auto" w:fill="FFFFFF"/>
              <w:lang w:val="en-US"/>
            </w:rPr>
            <w:t>Journal of the Community Development in Asia (JCDA)</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6</w:t>
          </w:r>
          <w:r w:rsidRPr="00494493">
            <w:rPr>
              <w:rFonts w:eastAsia="Times New Roman" w:cs="Times New Roman"/>
              <w:noProof w:val="0"/>
              <w:color w:val="000000"/>
              <w:sz w:val="28"/>
              <w:szCs w:val="28"/>
              <w:shd w:val="clear" w:color="auto" w:fill="FFFFFF"/>
              <w:lang w:val="en-US"/>
            </w:rPr>
            <w:t>(1), pp.90-99.</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20" w:history="1">
            <w:r w:rsidR="00286954" w:rsidRPr="00494493">
              <w:rPr>
                <w:rFonts w:eastAsia="Times New Roman" w:cs="Times New Roman"/>
                <w:noProof w:val="0"/>
                <w:color w:val="000000"/>
                <w:sz w:val="28"/>
                <w:szCs w:val="28"/>
                <w:u w:val="single"/>
                <w:shd w:val="clear" w:color="auto" w:fill="FFFFFF"/>
                <w:lang w:val="en-US"/>
              </w:rPr>
              <w:t>https://ejournal.aibpmjournals.com/index.php/JCDA/article/view/1868</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Alam, A., (2020). Possibilities and challenges of compounding artificial intelligence in India’s educational landscape. </w:t>
          </w:r>
          <w:r w:rsidRPr="00494493">
            <w:rPr>
              <w:rFonts w:eastAsia="Times New Roman" w:cs="Times New Roman"/>
              <w:i/>
              <w:noProof w:val="0"/>
              <w:color w:val="000000"/>
              <w:sz w:val="28"/>
              <w:szCs w:val="28"/>
              <w:highlight w:val="white"/>
            </w:rPr>
            <w:t>Alam, A.(2020). Possibilities and Challenges of Compounding Artificial Intelligence in India’s Educational Landscape. International Journal of Advanced Science and Technology</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29</w:t>
          </w:r>
          <w:r w:rsidRPr="00494493">
            <w:rPr>
              <w:rFonts w:eastAsia="Times New Roman" w:cs="Times New Roman"/>
              <w:noProof w:val="0"/>
              <w:color w:val="000000"/>
              <w:sz w:val="28"/>
              <w:szCs w:val="28"/>
              <w:highlight w:val="white"/>
            </w:rPr>
            <w:t>(5), pp.5077-5094. Available at: https://www.researchgate.net/profile/Ashraf-Alam-2/publication/364817979_Possibilities_and_Challenges_of_Compounding_Artificial_Intelligence_in_India's_Educational_Landscape/links/635bc31012cbac6a3e044a67/Possibilities-and-Challenges-of-Compounding-Artificial-Intelligence-in-Indias-Educational-Landscape.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 xml:space="preserve">Benchekroun, H.T., Benmamoun, Z. and Hachimi, H., 2022. Implementation and Sustainability Assessment of a Public Procurement </w:t>
          </w:r>
          <w:r w:rsidRPr="00494493">
            <w:rPr>
              <w:rFonts w:eastAsia="Times New Roman" w:cs="Times New Roman"/>
              <w:noProof w:val="0"/>
              <w:color w:val="000000"/>
              <w:sz w:val="28"/>
              <w:szCs w:val="28"/>
              <w:shd w:val="clear" w:color="auto" w:fill="FFFFFF"/>
              <w:lang w:val="en-US"/>
            </w:rPr>
            <w:lastRenderedPageBreak/>
            <w:t>Strategy. </w:t>
          </w:r>
          <w:r w:rsidRPr="00494493">
            <w:rPr>
              <w:rFonts w:eastAsia="Times New Roman" w:cs="Times New Roman"/>
              <w:i/>
              <w:iCs/>
              <w:noProof w:val="0"/>
              <w:color w:val="000000"/>
              <w:sz w:val="28"/>
              <w:szCs w:val="28"/>
              <w:shd w:val="clear" w:color="auto" w:fill="FFFFFF"/>
              <w:lang w:val="en-US"/>
            </w:rPr>
            <w:t>Sustainability</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14</w:t>
          </w:r>
          <w:r w:rsidRPr="00494493">
            <w:rPr>
              <w:rFonts w:eastAsia="Times New Roman" w:cs="Times New Roman"/>
              <w:noProof w:val="0"/>
              <w:color w:val="000000"/>
              <w:sz w:val="28"/>
              <w:szCs w:val="28"/>
              <w:shd w:val="clear" w:color="auto" w:fill="FFFFFF"/>
              <w:lang w:val="en-US"/>
            </w:rPr>
            <w:t>(23), p.15565.</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21" w:history="1">
            <w:r w:rsidR="00286954" w:rsidRPr="00494493">
              <w:rPr>
                <w:rFonts w:eastAsia="Times New Roman" w:cs="Times New Roman"/>
                <w:noProof w:val="0"/>
                <w:color w:val="000000"/>
                <w:sz w:val="28"/>
                <w:szCs w:val="28"/>
                <w:u w:val="single"/>
                <w:shd w:val="clear" w:color="auto" w:fill="FFFFFF"/>
                <w:lang w:val="en-US"/>
              </w:rPr>
              <w:t>https://www.mdpi.com/1962748</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Bently, L., Sherman, B., Gangjee, D. and Johnson, P., 2022. </w:t>
          </w:r>
          <w:r w:rsidRPr="00494493">
            <w:rPr>
              <w:rFonts w:eastAsia="Times New Roman" w:cs="Times New Roman"/>
              <w:i/>
              <w:iCs/>
              <w:noProof w:val="0"/>
              <w:color w:val="000000"/>
              <w:sz w:val="28"/>
              <w:szCs w:val="28"/>
              <w:shd w:val="clear" w:color="auto" w:fill="FFFFFF"/>
              <w:lang w:val="en-US"/>
            </w:rPr>
            <w:t>Intellectual property law</w:t>
          </w:r>
          <w:r w:rsidRPr="00494493">
            <w:rPr>
              <w:rFonts w:eastAsia="Times New Roman" w:cs="Times New Roman"/>
              <w:noProof w:val="0"/>
              <w:color w:val="000000"/>
              <w:sz w:val="28"/>
              <w:szCs w:val="28"/>
              <w:shd w:val="clear" w:color="auto" w:fill="FFFFFF"/>
              <w:lang w:val="en-US"/>
            </w:rPr>
            <w:t>. Oxford University Press.</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22" w:history="1">
            <w:r w:rsidR="00286954" w:rsidRPr="00494493">
              <w:rPr>
                <w:rFonts w:eastAsia="Times New Roman" w:cs="Times New Roman"/>
                <w:noProof w:val="0"/>
                <w:color w:val="000000"/>
                <w:sz w:val="28"/>
                <w:szCs w:val="28"/>
                <w:u w:val="single"/>
                <w:shd w:val="clear" w:color="auto" w:fill="FFFFFF"/>
                <w:lang w:val="en-US"/>
              </w:rPr>
              <w:t>https://books.google.com/books?hl=en&amp;lr=&amp;id=rHWVEAAAQBAJ&amp;oi=fnd&amp;pg=PP1&amp;dq=Intellectual+property+laws++by+UK&amp;ots=-Rlpu1p6hl&amp;sig=pN0owHpBlEo46QaIPn25IZm44ZM</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Börjesson, J. and Sarge, J., 2022. How are Swedish healthcare companies entering and operating on the Japanese market.</w:t>
          </w:r>
          <w:r w:rsidRPr="00494493">
            <w:rPr>
              <w:rFonts w:eastAsia="Times New Roman" w:cs="Times New Roman"/>
              <w:noProof w:val="0"/>
              <w:color w:val="000000"/>
              <w:sz w:val="28"/>
              <w:szCs w:val="28"/>
              <w:highlight w:val="white"/>
            </w:rPr>
            <w:t xml:space="preserve"> Available at:  </w:t>
          </w:r>
          <w:r w:rsidRPr="00494493">
            <w:rPr>
              <w:rFonts w:eastAsia="Times New Roman" w:cs="Times New Roman"/>
              <w:noProof w:val="0"/>
              <w:color w:val="000000"/>
              <w:sz w:val="28"/>
              <w:szCs w:val="28"/>
              <w:lang w:val="en-US"/>
            </w:rPr>
            <w:t xml:space="preserve"> </w:t>
          </w:r>
          <w:hyperlink r:id="rId23" w:history="1">
            <w:r w:rsidR="00286954" w:rsidRPr="00494493">
              <w:rPr>
                <w:rFonts w:eastAsia="Times New Roman" w:cs="Times New Roman"/>
                <w:noProof w:val="0"/>
                <w:color w:val="000000"/>
                <w:sz w:val="28"/>
                <w:szCs w:val="28"/>
                <w:u w:val="single"/>
                <w:shd w:val="clear" w:color="auto" w:fill="FFFFFF"/>
                <w:lang w:val="en-US"/>
              </w:rPr>
              <w:t>https://run.unl.pt/handle/10362/144641</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Cross, S., Rho, Y., Reddy, H., Pepperrell, T., Rodgers, F., Osborne, R., Eni-Olotu, A., Banerjee, R., Wimmer, S. and Keestra, S., 2021. Who funded the research behind the Oxford–AstraZeneca COVID-19 vaccine?. </w:t>
          </w:r>
          <w:r w:rsidRPr="00494493">
            <w:rPr>
              <w:rFonts w:eastAsia="Times New Roman" w:cs="Times New Roman"/>
              <w:i/>
              <w:iCs/>
              <w:noProof w:val="0"/>
              <w:color w:val="000000"/>
              <w:sz w:val="28"/>
              <w:szCs w:val="28"/>
              <w:shd w:val="clear" w:color="auto" w:fill="FFFFFF"/>
              <w:lang w:val="en-US"/>
            </w:rPr>
            <w:t>BMJ global health</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6</w:t>
          </w:r>
          <w:r w:rsidRPr="00494493">
            <w:rPr>
              <w:rFonts w:eastAsia="Times New Roman" w:cs="Times New Roman"/>
              <w:noProof w:val="0"/>
              <w:color w:val="000000"/>
              <w:sz w:val="28"/>
              <w:szCs w:val="28"/>
              <w:shd w:val="clear" w:color="auto" w:fill="FFFFFF"/>
              <w:lang w:val="en-US"/>
            </w:rPr>
            <w:t xml:space="preserve">(12), p.e007321. Available at: </w:t>
          </w:r>
          <w:hyperlink r:id="rId24" w:history="1">
            <w:r w:rsidRPr="00494493">
              <w:rPr>
                <w:rFonts w:eastAsia="Times New Roman" w:cs="Times New Roman"/>
                <w:noProof w:val="0"/>
                <w:color w:val="000000"/>
                <w:sz w:val="28"/>
                <w:szCs w:val="28"/>
                <w:lang w:val="en-US"/>
              </w:rPr>
              <w:t>https://gh.bmj.com/content/6/12/e007321.abstract</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Dowden, H. and Munro, J., (2019). Trends in clinical success rates and therapeutic focus. </w:t>
          </w:r>
          <w:r w:rsidRPr="00494493">
            <w:rPr>
              <w:rFonts w:eastAsia="Times New Roman" w:cs="Times New Roman"/>
              <w:i/>
              <w:noProof w:val="0"/>
              <w:color w:val="000000"/>
              <w:sz w:val="28"/>
              <w:szCs w:val="28"/>
              <w:highlight w:val="white"/>
            </w:rPr>
            <w:t>Nat. Rev. Drug Discov</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18</w:t>
          </w:r>
          <w:r w:rsidRPr="00494493">
            <w:rPr>
              <w:rFonts w:eastAsia="Times New Roman" w:cs="Times New Roman"/>
              <w:noProof w:val="0"/>
              <w:color w:val="000000"/>
              <w:sz w:val="28"/>
              <w:szCs w:val="28"/>
              <w:highlight w:val="white"/>
            </w:rPr>
            <w:t>(7), pp.495-6. Available at: https://media.ellinikahoaxes.gr/uploads/2021/08/dowden2019.pdf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Feinmann, J., 2021. Covid-19: global vaccine production is a mess and shortages are down to more than just hoarding. </w:t>
          </w:r>
          <w:r w:rsidRPr="00494493">
            <w:rPr>
              <w:rFonts w:eastAsia="Times New Roman" w:cs="Times New Roman"/>
              <w:i/>
              <w:noProof w:val="0"/>
              <w:color w:val="000000"/>
              <w:sz w:val="28"/>
              <w:szCs w:val="28"/>
              <w:highlight w:val="white"/>
            </w:rPr>
            <w:t>bmj</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375</w:t>
          </w:r>
          <w:r w:rsidRPr="00494493">
            <w:rPr>
              <w:rFonts w:eastAsia="Times New Roman" w:cs="Times New Roman"/>
              <w:noProof w:val="0"/>
              <w:color w:val="000000"/>
              <w:sz w:val="28"/>
              <w:szCs w:val="28"/>
              <w:highlight w:val="white"/>
            </w:rPr>
            <w:t>. Available at:  https://www.bmj.com/content/375/bmj.n2375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Johnson, D., 2022. What Are the Merits of Taking a Hybrid Regulatory Approach Toward the Enforcement of Corporate Financial Crime in the United Kingdom and United States of America?. </w:t>
          </w:r>
          <w:r w:rsidRPr="00494493">
            <w:rPr>
              <w:rFonts w:eastAsia="Times New Roman" w:cs="Times New Roman"/>
              <w:i/>
              <w:iCs/>
              <w:noProof w:val="0"/>
              <w:color w:val="000000"/>
              <w:sz w:val="28"/>
              <w:szCs w:val="28"/>
              <w:shd w:val="clear" w:color="auto" w:fill="FFFFFF"/>
              <w:lang w:val="en-US"/>
            </w:rPr>
            <w:t>Journal of White Collar and Corporate Crime</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3</w:t>
          </w:r>
          <w:r w:rsidRPr="00494493">
            <w:rPr>
              <w:rFonts w:eastAsia="Times New Roman" w:cs="Times New Roman"/>
              <w:noProof w:val="0"/>
              <w:color w:val="000000"/>
              <w:sz w:val="28"/>
              <w:szCs w:val="28"/>
              <w:shd w:val="clear" w:color="auto" w:fill="FFFFFF"/>
              <w:lang w:val="en-US"/>
            </w:rPr>
            <w:t>(1), pp.23-32.</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25" w:history="1">
            <w:r w:rsidR="00286954" w:rsidRPr="00494493">
              <w:rPr>
                <w:rFonts w:eastAsia="Times New Roman" w:cs="Times New Roman"/>
                <w:noProof w:val="0"/>
                <w:color w:val="000000"/>
                <w:sz w:val="28"/>
                <w:szCs w:val="28"/>
                <w:u w:val="single"/>
                <w:shd w:val="clear" w:color="auto" w:fill="FFFFFF"/>
                <w:lang w:val="en-US"/>
              </w:rPr>
              <w:t>https://journals.sagepub.com/doi/pdf/10.1177/2631309X211050013</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Kumar, V.M., Pandi-Perumal, S.R., Trakht, I. and Thyagarajan, S.P., 2021. Strategy for COVID-19 vaccination in India: the country with the second highest population and number of cases. </w:t>
          </w:r>
          <w:r w:rsidRPr="00494493">
            <w:rPr>
              <w:rFonts w:eastAsia="Times New Roman" w:cs="Times New Roman"/>
              <w:i/>
              <w:iCs/>
              <w:noProof w:val="0"/>
              <w:color w:val="000000"/>
              <w:sz w:val="28"/>
              <w:szCs w:val="28"/>
              <w:shd w:val="clear" w:color="auto" w:fill="FFFFFF"/>
              <w:lang w:val="en-US"/>
            </w:rPr>
            <w:t>npj Vaccines</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6</w:t>
          </w:r>
          <w:r w:rsidRPr="00494493">
            <w:rPr>
              <w:rFonts w:eastAsia="Times New Roman" w:cs="Times New Roman"/>
              <w:noProof w:val="0"/>
              <w:color w:val="000000"/>
              <w:sz w:val="28"/>
              <w:szCs w:val="28"/>
              <w:shd w:val="clear" w:color="auto" w:fill="FFFFFF"/>
              <w:lang w:val="en-US"/>
            </w:rPr>
            <w:t xml:space="preserve">(1), p.60. Available at: </w:t>
          </w:r>
          <w:hyperlink r:id="rId26" w:history="1">
            <w:r w:rsidRPr="00494493">
              <w:rPr>
                <w:rFonts w:eastAsia="Times New Roman" w:cs="Times New Roman"/>
                <w:noProof w:val="0"/>
                <w:color w:val="000000"/>
                <w:sz w:val="28"/>
                <w:szCs w:val="28"/>
                <w:lang w:val="en-US"/>
              </w:rPr>
              <w:t>https://www.nature.com/articles/s41541-021-00327-2</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Lindenmeyer Asadi, A. and Stenbom, M., 2020. Development of KPIs for an Innovation Initiative between Big Pharma and SMEs. A case study of AstraZeneca’s BioVentureHub.</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27" w:history="1">
            <w:r w:rsidR="00286954" w:rsidRPr="00494493">
              <w:rPr>
                <w:rFonts w:eastAsia="Times New Roman" w:cs="Times New Roman"/>
                <w:noProof w:val="0"/>
                <w:color w:val="000000"/>
                <w:sz w:val="28"/>
                <w:szCs w:val="28"/>
                <w:u w:val="single"/>
                <w:shd w:val="clear" w:color="auto" w:fill="FFFFFF"/>
                <w:lang w:val="en-US"/>
              </w:rPr>
              <w:t>https://odr.chalmers.se/handle/20.500.12380/300964</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Masood, O., Javaria, K. and Petrenko, Y., (2020). Terrorism activities influence on financial stock markets: an empirical evidence from United Kingdom, India, France, Pakistan, Spain and America. </w:t>
          </w:r>
          <w:r w:rsidRPr="00494493">
            <w:rPr>
              <w:rFonts w:eastAsia="Times New Roman" w:cs="Times New Roman"/>
              <w:i/>
              <w:noProof w:val="0"/>
              <w:color w:val="000000"/>
              <w:sz w:val="28"/>
              <w:szCs w:val="28"/>
              <w:highlight w:val="white"/>
            </w:rPr>
            <w:t>Insights into Regional Development</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2</w:t>
          </w:r>
          <w:r w:rsidRPr="00494493">
            <w:rPr>
              <w:rFonts w:eastAsia="Times New Roman" w:cs="Times New Roman"/>
              <w:noProof w:val="0"/>
              <w:color w:val="000000"/>
              <w:sz w:val="28"/>
              <w:szCs w:val="28"/>
              <w:highlight w:val="white"/>
            </w:rPr>
            <w:t>(1), pp.443-455. Available at: https://hal.science/hal-02569336/document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Mohamed, A.M.A. and Abdelaziz, S.N., 2022. DRIVING MARKET FORCES FOR COVID-19 VACCINES INDUSTRY: THE CASE OF THE COMIRNATY VACCINE. </w:t>
          </w:r>
          <w:r w:rsidRPr="00494493">
            <w:rPr>
              <w:rFonts w:eastAsia="Times New Roman" w:cs="Times New Roman"/>
              <w:i/>
              <w:iCs/>
              <w:noProof w:val="0"/>
              <w:color w:val="000000"/>
              <w:sz w:val="28"/>
              <w:szCs w:val="28"/>
              <w:shd w:val="clear" w:color="auto" w:fill="FFFFFF"/>
              <w:lang w:val="en-US"/>
            </w:rPr>
            <w:t>MSA-Management Sciences Journal</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1</w:t>
          </w:r>
          <w:r w:rsidRPr="00494493">
            <w:rPr>
              <w:rFonts w:eastAsia="Times New Roman" w:cs="Times New Roman"/>
              <w:noProof w:val="0"/>
              <w:color w:val="000000"/>
              <w:sz w:val="28"/>
              <w:szCs w:val="28"/>
              <w:shd w:val="clear" w:color="auto" w:fill="FFFFFF"/>
              <w:lang w:val="en-US"/>
            </w:rPr>
            <w:t>(1), pp.129-144.</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28" w:history="1">
            <w:r w:rsidR="00286954" w:rsidRPr="00494493">
              <w:rPr>
                <w:rFonts w:eastAsia="Times New Roman" w:cs="Times New Roman"/>
                <w:noProof w:val="0"/>
                <w:color w:val="000000"/>
                <w:sz w:val="28"/>
                <w:szCs w:val="28"/>
                <w:u w:val="single"/>
                <w:shd w:val="clear" w:color="auto" w:fill="FFFFFF"/>
                <w:lang w:val="en-US"/>
              </w:rPr>
              <w:t>https://msamsj.journals.ekb.eg/article_276702.html</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Pharma, E., (2022). World Preview 2012. </w:t>
          </w:r>
          <w:r w:rsidRPr="00494493">
            <w:rPr>
              <w:rFonts w:eastAsia="Times New Roman" w:cs="Times New Roman"/>
              <w:i/>
              <w:noProof w:val="0"/>
              <w:color w:val="000000"/>
              <w:sz w:val="28"/>
              <w:szCs w:val="28"/>
              <w:highlight w:val="white"/>
            </w:rPr>
            <w:t>Overview to</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2016</w:t>
          </w:r>
          <w:r w:rsidRPr="00494493">
            <w:rPr>
              <w:rFonts w:eastAsia="Times New Roman" w:cs="Times New Roman"/>
              <w:noProof w:val="0"/>
              <w:color w:val="000000"/>
              <w:sz w:val="28"/>
              <w:szCs w:val="28"/>
              <w:highlight w:val="white"/>
            </w:rPr>
            <w:t>. Available at: https://info.evaluate.com/rs/607-YGS-364/images/Evaluate_World_Preview%20Report_Final_30-09.pdf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lastRenderedPageBreak/>
            <w:t>Pouchain, D., Le Roux, G. and Boussageon, R., 2021. Analysis of published data on AstraZeneca AZD1222 vaccine to prevent Covid-19. </w:t>
          </w:r>
          <w:r w:rsidRPr="00494493">
            <w:rPr>
              <w:rFonts w:eastAsia="Times New Roman" w:cs="Times New Roman"/>
              <w:i/>
              <w:iCs/>
              <w:noProof w:val="0"/>
              <w:color w:val="000000"/>
              <w:sz w:val="28"/>
              <w:szCs w:val="28"/>
              <w:shd w:val="clear" w:color="auto" w:fill="FFFFFF"/>
              <w:lang w:val="en-US"/>
            </w:rPr>
            <w:t>Exercer-La Revue Francophone De Medecine Generale</w:t>
          </w:r>
          <w:r w:rsidRPr="00494493">
            <w:rPr>
              <w:rFonts w:eastAsia="Times New Roman" w:cs="Times New Roman"/>
              <w:noProof w:val="0"/>
              <w:color w:val="000000"/>
              <w:sz w:val="28"/>
              <w:szCs w:val="28"/>
              <w:shd w:val="clear" w:color="auto" w:fill="FFFFFF"/>
              <w:lang w:val="en-US"/>
            </w:rPr>
            <w:t xml:space="preserve">, pp.128-132. </w:t>
          </w:r>
          <w:r w:rsidRPr="00494493">
            <w:rPr>
              <w:rFonts w:eastAsia="Times New Roman" w:cs="Times New Roman"/>
              <w:noProof w:val="0"/>
              <w:color w:val="000000"/>
              <w:sz w:val="28"/>
              <w:szCs w:val="28"/>
              <w:highlight w:val="white"/>
            </w:rPr>
            <w:t xml:space="preserve">Available at:  </w:t>
          </w:r>
          <w:hyperlink r:id="rId29" w:history="1">
            <w:r w:rsidRPr="00494493">
              <w:rPr>
                <w:rFonts w:eastAsia="Times New Roman" w:cs="Times New Roman"/>
                <w:noProof w:val="0"/>
                <w:color w:val="000000"/>
                <w:sz w:val="28"/>
                <w:szCs w:val="28"/>
                <w:u w:val="single"/>
                <w:shd w:val="clear" w:color="auto" w:fill="FFFFFF"/>
                <w:lang w:val="en-US"/>
              </w:rPr>
              <w:t>https://www.mdpi.com/1074744</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Rana, S., Verma, S., Haque, M.M. and Ahmed, G., (2022). Conceptualizing international positioning strategies for Indian higher education institutions. </w:t>
          </w:r>
          <w:r w:rsidRPr="00494493">
            <w:rPr>
              <w:rFonts w:eastAsia="Times New Roman" w:cs="Times New Roman"/>
              <w:i/>
              <w:noProof w:val="0"/>
              <w:color w:val="000000"/>
              <w:sz w:val="28"/>
              <w:szCs w:val="28"/>
              <w:highlight w:val="white"/>
            </w:rPr>
            <w:t>Review of International Business and Strategy</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32</w:t>
          </w:r>
          <w:r w:rsidRPr="00494493">
            <w:rPr>
              <w:rFonts w:eastAsia="Times New Roman" w:cs="Times New Roman"/>
              <w:noProof w:val="0"/>
              <w:color w:val="000000"/>
              <w:sz w:val="28"/>
              <w:szCs w:val="28"/>
              <w:highlight w:val="white"/>
            </w:rPr>
            <w:t>(4), pp.503-519. Available at:  https://www.emerald.com/insight/content/doi/10.1108/RIBS-07-2021-0105/full/html [Accessed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Runiewicz-Wardyn, M. and Eliashvili, T., 2022. Open Innovation Practices and Open Innovation Culture in the Life-Sciences Clusters. The Case of AstraZeneca. </w:t>
          </w:r>
          <w:r w:rsidRPr="00494493">
            <w:rPr>
              <w:rFonts w:eastAsia="Times New Roman" w:cs="Times New Roman"/>
              <w:i/>
              <w:iCs/>
              <w:noProof w:val="0"/>
              <w:color w:val="000000"/>
              <w:sz w:val="28"/>
              <w:szCs w:val="28"/>
              <w:shd w:val="clear" w:color="auto" w:fill="FFFFFF"/>
              <w:lang w:val="en-US"/>
            </w:rPr>
            <w:t>European Journal of Business and Management Research</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7</w:t>
          </w:r>
          <w:r w:rsidRPr="00494493">
            <w:rPr>
              <w:rFonts w:eastAsia="Times New Roman" w:cs="Times New Roman"/>
              <w:noProof w:val="0"/>
              <w:color w:val="000000"/>
              <w:sz w:val="28"/>
              <w:szCs w:val="28"/>
              <w:shd w:val="clear" w:color="auto" w:fill="FFFFFF"/>
              <w:lang w:val="en-US"/>
            </w:rPr>
            <w:t xml:space="preserve">(1), pp.35-43. Available at: </w:t>
          </w:r>
          <w:hyperlink r:id="rId30" w:history="1">
            <w:r w:rsidRPr="00494493">
              <w:rPr>
                <w:rFonts w:eastAsia="Times New Roman" w:cs="Times New Roman"/>
                <w:noProof w:val="0"/>
                <w:color w:val="000000"/>
                <w:sz w:val="28"/>
                <w:szCs w:val="28"/>
                <w:lang w:val="en-US"/>
              </w:rPr>
              <w:t>https://www.ejbmr.org/index.php/ejbmr/article/download/1201/652</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Safi, M., 2021. Oxford/AstraZeneca Covid vaccine research ‘was 97% publicly funded’. </w:t>
          </w:r>
          <w:r w:rsidRPr="00494493">
            <w:rPr>
              <w:rFonts w:eastAsia="Times New Roman" w:cs="Times New Roman"/>
              <w:i/>
              <w:iCs/>
              <w:noProof w:val="0"/>
              <w:color w:val="000000"/>
              <w:sz w:val="28"/>
              <w:szCs w:val="28"/>
              <w:shd w:val="clear" w:color="auto" w:fill="FFFFFF"/>
              <w:lang w:val="en-US"/>
            </w:rPr>
            <w:t>The Guardian</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15</w:t>
          </w:r>
          <w:r w:rsidRPr="00494493">
            <w:rPr>
              <w:rFonts w:eastAsia="Times New Roman" w:cs="Times New Roman"/>
              <w:noProof w:val="0"/>
              <w:color w:val="000000"/>
              <w:sz w:val="28"/>
              <w:szCs w:val="28"/>
              <w:shd w:val="clear" w:color="auto" w:fill="FFFFFF"/>
              <w:lang w:val="en-US"/>
            </w:rPr>
            <w:t xml:space="preserve">. Available at: </w:t>
          </w:r>
          <w:hyperlink r:id="rId31" w:history="1">
            <w:r w:rsidRPr="00494493">
              <w:rPr>
                <w:rFonts w:eastAsia="Times New Roman" w:cs="Times New Roman"/>
                <w:noProof w:val="0"/>
                <w:color w:val="000000"/>
                <w:sz w:val="28"/>
                <w:szCs w:val="28"/>
                <w:lang w:val="en-US"/>
              </w:rPr>
              <w:t>https://www.sofieenterprises.org/files/Exhibit_12_Corrected_Guardian_Article__confirming_the_Gates_influence_and_narrative_.pdf</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Sami, A., (2022). Corporate Social Responsibility is NOT an Option is an Investment: A Study of AstraZeneca. </w:t>
          </w:r>
          <w:r w:rsidRPr="00494493">
            <w:rPr>
              <w:rFonts w:eastAsia="Times New Roman" w:cs="Times New Roman"/>
              <w:i/>
              <w:noProof w:val="0"/>
              <w:color w:val="000000"/>
              <w:sz w:val="28"/>
              <w:szCs w:val="28"/>
              <w:highlight w:val="white"/>
            </w:rPr>
            <w:t>Asian Journal of Economics, Finance and Management</w:t>
          </w:r>
          <w:r w:rsidRPr="00494493">
            <w:rPr>
              <w:rFonts w:eastAsia="Times New Roman" w:cs="Times New Roman"/>
              <w:noProof w:val="0"/>
              <w:color w:val="000000"/>
              <w:sz w:val="28"/>
              <w:szCs w:val="28"/>
              <w:highlight w:val="white"/>
            </w:rPr>
            <w:t>, pp.45-52. Available at: https://www.globalpresshub.com/index.php/AJEFM/article/download/1656/1414   [Accessed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Sami, A., 2022. Corporate Social Responsibility is NOT an Option is an Investment: A Study of AstraZeneca. </w:t>
          </w:r>
          <w:r w:rsidRPr="00494493">
            <w:rPr>
              <w:rFonts w:eastAsia="Times New Roman" w:cs="Times New Roman"/>
              <w:i/>
              <w:iCs/>
              <w:noProof w:val="0"/>
              <w:color w:val="000000"/>
              <w:sz w:val="28"/>
              <w:szCs w:val="28"/>
              <w:shd w:val="clear" w:color="auto" w:fill="FFFFFF"/>
              <w:lang w:val="en-US"/>
            </w:rPr>
            <w:t xml:space="preserve">Asian Journal of Economics, Finance and </w:t>
          </w:r>
          <w:r w:rsidRPr="00494493">
            <w:rPr>
              <w:rFonts w:eastAsia="Times New Roman" w:cs="Times New Roman"/>
              <w:i/>
              <w:iCs/>
              <w:noProof w:val="0"/>
              <w:color w:val="000000"/>
              <w:sz w:val="28"/>
              <w:szCs w:val="28"/>
              <w:shd w:val="clear" w:color="auto" w:fill="FFFFFF"/>
              <w:lang w:val="en-US"/>
            </w:rPr>
            <w:lastRenderedPageBreak/>
            <w:t>Management</w:t>
          </w:r>
          <w:r w:rsidRPr="00494493">
            <w:rPr>
              <w:rFonts w:eastAsia="Times New Roman" w:cs="Times New Roman"/>
              <w:noProof w:val="0"/>
              <w:color w:val="000000"/>
              <w:sz w:val="28"/>
              <w:szCs w:val="28"/>
              <w:shd w:val="clear" w:color="auto" w:fill="FFFFFF"/>
              <w:lang w:val="en-US"/>
            </w:rPr>
            <w:t xml:space="preserve">, pp.45-52. Available at: </w:t>
          </w:r>
          <w:hyperlink r:id="rId32" w:history="1">
            <w:r w:rsidRPr="00494493">
              <w:rPr>
                <w:rFonts w:eastAsia="Times New Roman" w:cs="Times New Roman"/>
                <w:noProof w:val="0"/>
                <w:color w:val="000000"/>
                <w:sz w:val="28"/>
                <w:szCs w:val="28"/>
                <w:lang w:val="en-US"/>
              </w:rPr>
              <w:t>https://www.globalpresshub.com/index.php/AJEFM/article/download/1656/1414</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Sathish, R., Manikandan, R., Priscila, S.S., Sara, B.V. and Mahaveerakannan, R., (2020), December. A report on the impact of information technology and social media on Covid–19. In </w:t>
          </w:r>
          <w:r w:rsidRPr="00494493">
            <w:rPr>
              <w:rFonts w:eastAsia="Times New Roman" w:cs="Times New Roman"/>
              <w:i/>
              <w:noProof w:val="0"/>
              <w:color w:val="000000"/>
              <w:sz w:val="28"/>
              <w:szCs w:val="28"/>
              <w:highlight w:val="white"/>
            </w:rPr>
            <w:t>2020 3rd international conference on intelligent sustainable systems (ICISS)</w:t>
          </w:r>
          <w:r w:rsidRPr="00494493">
            <w:rPr>
              <w:rFonts w:eastAsia="Times New Roman" w:cs="Times New Roman"/>
              <w:noProof w:val="0"/>
              <w:color w:val="000000"/>
              <w:sz w:val="28"/>
              <w:szCs w:val="28"/>
              <w:highlight w:val="white"/>
            </w:rPr>
            <w:t xml:space="preserve"> (pp. 224-230). IEEE. Available at: https://www.academia.edu/download/65557772/IEEE.pdf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Shingare, A.D. and Kanoi, T., (2020). India 2030: the decade ahead. </w:t>
          </w:r>
          <w:r w:rsidRPr="00494493">
            <w:rPr>
              <w:rFonts w:eastAsia="Times New Roman" w:cs="Times New Roman"/>
              <w:i/>
              <w:noProof w:val="0"/>
              <w:color w:val="000000"/>
              <w:sz w:val="28"/>
              <w:szCs w:val="28"/>
              <w:highlight w:val="white"/>
            </w:rPr>
            <w:t>International Journal for Research in Applied Science and Engineering Technology</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8</w:t>
          </w:r>
          <w:r w:rsidRPr="00494493">
            <w:rPr>
              <w:rFonts w:eastAsia="Times New Roman" w:cs="Times New Roman"/>
              <w:noProof w:val="0"/>
              <w:color w:val="000000"/>
              <w:sz w:val="28"/>
              <w:szCs w:val="28"/>
              <w:highlight w:val="white"/>
            </w:rPr>
            <w:t>(7), pp.1503-1514. Available at: https://www.academia.edu/download/64035306/458.pdf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Tobaiqy, M., Elkout, H. and MacLure, K., (2021). Analysis of thrombotic adverse reactions of COVID-19 AstraZeneca vaccine reported to EudraVigilance database. </w:t>
          </w:r>
          <w:r w:rsidRPr="00494493">
            <w:rPr>
              <w:rFonts w:eastAsia="Times New Roman" w:cs="Times New Roman"/>
              <w:i/>
              <w:noProof w:val="0"/>
              <w:color w:val="000000"/>
              <w:sz w:val="28"/>
              <w:szCs w:val="28"/>
              <w:highlight w:val="white"/>
            </w:rPr>
            <w:t>Vaccines</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t>9</w:t>
          </w:r>
          <w:r w:rsidRPr="00494493">
            <w:rPr>
              <w:rFonts w:eastAsia="Times New Roman" w:cs="Times New Roman"/>
              <w:noProof w:val="0"/>
              <w:color w:val="000000"/>
              <w:sz w:val="28"/>
              <w:szCs w:val="28"/>
              <w:highlight w:val="white"/>
            </w:rPr>
            <w:t>(4), p.393. Available at:  https://www.mdpi.com/2076-393X/9/4/393/pdf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Tobaiqy, M., Elkout, H. and MacLure, K., 2021. Analysis of thrombotic adverse reactions of COVID-19 AstraZeneca vaccine reported to EudraVigilance database. </w:t>
          </w:r>
          <w:r w:rsidRPr="00494493">
            <w:rPr>
              <w:rFonts w:eastAsia="Times New Roman" w:cs="Times New Roman"/>
              <w:i/>
              <w:iCs/>
              <w:noProof w:val="0"/>
              <w:color w:val="000000"/>
              <w:sz w:val="28"/>
              <w:szCs w:val="28"/>
              <w:shd w:val="clear" w:color="auto" w:fill="FFFFFF"/>
              <w:lang w:val="en-US"/>
            </w:rPr>
            <w:t>Vaccines</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9</w:t>
          </w:r>
          <w:r w:rsidRPr="00494493">
            <w:rPr>
              <w:rFonts w:eastAsia="Times New Roman" w:cs="Times New Roman"/>
              <w:noProof w:val="0"/>
              <w:color w:val="000000"/>
              <w:sz w:val="28"/>
              <w:szCs w:val="28"/>
              <w:shd w:val="clear" w:color="auto" w:fill="FFFFFF"/>
              <w:lang w:val="en-US"/>
            </w:rPr>
            <w:t>(4), p.393.</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33" w:history="1">
            <w:r w:rsidR="00286954" w:rsidRPr="00494493">
              <w:rPr>
                <w:rFonts w:eastAsia="Times New Roman" w:cs="Times New Roman"/>
                <w:noProof w:val="0"/>
                <w:color w:val="000000"/>
                <w:sz w:val="28"/>
                <w:szCs w:val="28"/>
                <w:u w:val="single"/>
                <w:shd w:val="clear" w:color="auto" w:fill="FFFFFF"/>
                <w:lang w:val="en-US"/>
              </w:rPr>
              <w:t>https://papers.ssrn.com/sol3/papers.cfm?abstract_id=3895292</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Tromp, J., Jindal, D., Redfern, J., Bhatt, A., Séverin, T., Banerjee, A., Ge, J., Itchhaporia, D., Jaarsma, T., Lanas, F. and Lopez-Jimenez, F., (2022). World Heart Federation Roadmap for Digital Health in Cardiology. </w:t>
          </w:r>
          <w:r w:rsidRPr="00494493">
            <w:rPr>
              <w:rFonts w:eastAsia="Times New Roman" w:cs="Times New Roman"/>
              <w:i/>
              <w:noProof w:val="0"/>
              <w:color w:val="000000"/>
              <w:sz w:val="28"/>
              <w:szCs w:val="28"/>
              <w:highlight w:val="white"/>
            </w:rPr>
            <w:t>Global Heart</w:t>
          </w:r>
          <w:r w:rsidRPr="00494493">
            <w:rPr>
              <w:rFonts w:eastAsia="Times New Roman" w:cs="Times New Roman"/>
              <w:noProof w:val="0"/>
              <w:color w:val="000000"/>
              <w:sz w:val="28"/>
              <w:szCs w:val="28"/>
              <w:highlight w:val="white"/>
            </w:rPr>
            <w:t xml:space="preserve">, </w:t>
          </w:r>
          <w:r w:rsidRPr="00494493">
            <w:rPr>
              <w:rFonts w:eastAsia="Times New Roman" w:cs="Times New Roman"/>
              <w:i/>
              <w:noProof w:val="0"/>
              <w:color w:val="000000"/>
              <w:sz w:val="28"/>
              <w:szCs w:val="28"/>
              <w:highlight w:val="white"/>
            </w:rPr>
            <w:lastRenderedPageBreak/>
            <w:t>17</w:t>
          </w:r>
          <w:r w:rsidRPr="00494493">
            <w:rPr>
              <w:rFonts w:eastAsia="Times New Roman" w:cs="Times New Roman"/>
              <w:noProof w:val="0"/>
              <w:color w:val="000000"/>
              <w:sz w:val="28"/>
              <w:szCs w:val="28"/>
              <w:highlight w:val="white"/>
            </w:rPr>
            <w:t>(1). Available at: https://discovery.ucl.ac.uk/id/eprint/10155634/1/1141-5196-1-PB.pdf  [Accessed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Tulum, Ö., Andreoni, A. and Lazonick, W., 2023. From Financialisation to Innovation in UK Big Pharma: AstraZeneca and GlaxoSmithKline. </w:t>
          </w:r>
          <w:r w:rsidRPr="00494493">
            <w:rPr>
              <w:rFonts w:eastAsia="Times New Roman" w:cs="Times New Roman"/>
              <w:i/>
              <w:iCs/>
              <w:noProof w:val="0"/>
              <w:color w:val="000000"/>
              <w:sz w:val="28"/>
              <w:szCs w:val="28"/>
              <w:shd w:val="clear" w:color="auto" w:fill="FFFFFF"/>
              <w:lang w:val="en-US"/>
            </w:rPr>
            <w:t>Elements in Reinventing Capitalism</w:t>
          </w:r>
          <w:r w:rsidRPr="00494493">
            <w:rPr>
              <w:rFonts w:eastAsia="Times New Roman" w:cs="Times New Roman"/>
              <w:noProof w:val="0"/>
              <w:color w:val="000000"/>
              <w:sz w:val="28"/>
              <w:szCs w:val="28"/>
              <w:shd w:val="clear" w:color="auto" w:fill="FFFFFF"/>
              <w:lang w:val="en-US"/>
            </w:rPr>
            <w:t xml:space="preserve">. Available at: </w:t>
          </w:r>
          <w:hyperlink r:id="rId34" w:history="1">
            <w:r w:rsidRPr="00494493">
              <w:rPr>
                <w:rFonts w:eastAsia="Times New Roman" w:cs="Times New Roman"/>
                <w:noProof w:val="0"/>
                <w:color w:val="000000"/>
                <w:sz w:val="28"/>
                <w:szCs w:val="28"/>
                <w:lang w:val="en-US"/>
              </w:rPr>
              <w:t>https://eprints.soas.ac.uk/38560/1/from-financialisation-to-innovation-in-uk-big-pharma.pdf</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shd w:val="clear" w:color="auto" w:fill="FFFFFF"/>
              <w:lang w:val="en-US"/>
            </w:rPr>
            <w:t>Wise, J., 2021. Covid-19: European countries suspend use of Oxford-AstraZeneca vaccine after reports of blood clots.</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35" w:history="1">
            <w:r w:rsidR="00286954" w:rsidRPr="00494493">
              <w:rPr>
                <w:rFonts w:eastAsia="Times New Roman" w:cs="Times New Roman"/>
                <w:noProof w:val="0"/>
                <w:color w:val="000000"/>
                <w:sz w:val="28"/>
                <w:szCs w:val="28"/>
                <w:u w:val="single"/>
                <w:shd w:val="clear" w:color="auto" w:fill="FFFFFF"/>
                <w:lang w:val="en-US"/>
              </w:rPr>
              <w:t>https://www.bmj.com/content/372/bmj.n699/rapid-responses?int_source=trendmd&amp;int_medium=cpc&amp;int_campaign=usage-042019</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after="0" w:line="360" w:lineRule="auto"/>
            <w:jc w:val="both"/>
            <w:rPr>
              <w:rFonts w:eastAsia="Times New Roman" w:cs="Times New Roman"/>
              <w:noProof w:val="0"/>
              <w:color w:val="000000"/>
              <w:sz w:val="28"/>
              <w:szCs w:val="28"/>
              <w:shd w:val="clear" w:color="auto" w:fill="FFFFFF"/>
              <w:lang w:val="en-US"/>
            </w:rPr>
          </w:pPr>
          <w:r w:rsidRPr="00494493">
            <w:rPr>
              <w:rFonts w:eastAsia="Times New Roman" w:cs="Times New Roman"/>
              <w:noProof w:val="0"/>
              <w:color w:val="000000"/>
              <w:sz w:val="28"/>
              <w:szCs w:val="28"/>
              <w:shd w:val="clear" w:color="auto" w:fill="FFFFFF"/>
              <w:lang w:val="en-US"/>
            </w:rPr>
            <w:t>Zhang, N. and Haskins, M., 2021. Trends of industry-leading biotechnology stocks during COVID-19. </w:t>
          </w:r>
          <w:r w:rsidRPr="00494493">
            <w:rPr>
              <w:rFonts w:eastAsia="Times New Roman" w:cs="Times New Roman"/>
              <w:i/>
              <w:iCs/>
              <w:noProof w:val="0"/>
              <w:color w:val="000000"/>
              <w:sz w:val="28"/>
              <w:szCs w:val="28"/>
              <w:shd w:val="clear" w:color="auto" w:fill="FFFFFF"/>
              <w:lang w:val="en-US"/>
            </w:rPr>
            <w:t>Journal of Student Research</w:t>
          </w:r>
          <w:r w:rsidRPr="00494493">
            <w:rPr>
              <w:rFonts w:eastAsia="Times New Roman" w:cs="Times New Roman"/>
              <w:noProof w:val="0"/>
              <w:color w:val="000000"/>
              <w:sz w:val="28"/>
              <w:szCs w:val="28"/>
              <w:shd w:val="clear" w:color="auto" w:fill="FFFFFF"/>
              <w:lang w:val="en-US"/>
            </w:rPr>
            <w:t>, </w:t>
          </w:r>
          <w:r w:rsidRPr="00494493">
            <w:rPr>
              <w:rFonts w:eastAsia="Times New Roman" w:cs="Times New Roman"/>
              <w:i/>
              <w:iCs/>
              <w:noProof w:val="0"/>
              <w:color w:val="000000"/>
              <w:sz w:val="28"/>
              <w:szCs w:val="28"/>
              <w:shd w:val="clear" w:color="auto" w:fill="FFFFFF"/>
              <w:lang w:val="en-US"/>
            </w:rPr>
            <w:t>10</w:t>
          </w:r>
          <w:r w:rsidRPr="00494493">
            <w:rPr>
              <w:rFonts w:eastAsia="Times New Roman" w:cs="Times New Roman"/>
              <w:noProof w:val="0"/>
              <w:color w:val="000000"/>
              <w:sz w:val="28"/>
              <w:szCs w:val="28"/>
              <w:shd w:val="clear" w:color="auto" w:fill="FFFFFF"/>
              <w:lang w:val="en-US"/>
            </w:rPr>
            <w:t xml:space="preserve">(3). Available at: </w:t>
          </w:r>
          <w:hyperlink r:id="rId36" w:history="1">
            <w:r w:rsidRPr="00494493">
              <w:rPr>
                <w:rFonts w:eastAsia="Times New Roman" w:cs="Times New Roman"/>
                <w:noProof w:val="0"/>
                <w:color w:val="000000"/>
                <w:sz w:val="28"/>
                <w:szCs w:val="28"/>
                <w:lang w:val="en-US"/>
              </w:rPr>
              <w:t>https://www.jsr.org/hs/index.php/path/article/download/2068/861</w:t>
            </w:r>
          </w:hyperlink>
          <w:r w:rsidRPr="00494493">
            <w:rPr>
              <w:rFonts w:eastAsia="Times New Roman" w:cs="Times New Roman"/>
              <w:noProof w:val="0"/>
              <w:color w:val="000000"/>
              <w:sz w:val="28"/>
              <w:szCs w:val="28"/>
              <w:shd w:val="clear" w:color="auto" w:fill="FFFFFF"/>
              <w:lang w:val="en-US"/>
            </w:rPr>
            <w:t xml:space="preserve"> [Accessed on: 03/04/2023]</w:t>
          </w:r>
        </w:p>
        <w:p w:rsidR="00370778" w:rsidRPr="00494493" w:rsidRDefault="00370778" w:rsidP="00370778">
          <w:pPr>
            <w:spacing w:before="240" w:after="0" w:line="360" w:lineRule="auto"/>
            <w:jc w:val="both"/>
            <w:rPr>
              <w:rFonts w:eastAsia="Times New Roman" w:cs="Times New Roman"/>
              <w:b/>
              <w:i/>
              <w:noProof w:val="0"/>
              <w:color w:val="000000"/>
              <w:sz w:val="28"/>
              <w:szCs w:val="28"/>
            </w:rPr>
          </w:pPr>
          <w:r w:rsidRPr="00494493">
            <w:rPr>
              <w:rFonts w:eastAsia="Times New Roman" w:cs="Times New Roman"/>
              <w:b/>
              <w:i/>
              <w:noProof w:val="0"/>
              <w:color w:val="000000"/>
              <w:sz w:val="28"/>
              <w:szCs w:val="28"/>
            </w:rPr>
            <w:t>Websites</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AstraZeneca, (2021), </w:t>
          </w:r>
          <w:r w:rsidRPr="00494493">
            <w:rPr>
              <w:rFonts w:eastAsia="Times New Roman" w:cs="Times New Roman"/>
              <w:i/>
              <w:noProof w:val="0"/>
              <w:color w:val="000000"/>
              <w:sz w:val="28"/>
              <w:szCs w:val="28"/>
              <w:highlight w:val="white"/>
            </w:rPr>
            <w:t>AstraZeneca Annual Report and Form 20-F Information 2021</w:t>
          </w:r>
          <w:r w:rsidRPr="00494493">
            <w:rPr>
              <w:rFonts w:eastAsia="Times New Roman" w:cs="Times New Roman"/>
              <w:noProof w:val="0"/>
              <w:color w:val="000000"/>
              <w:sz w:val="28"/>
              <w:szCs w:val="28"/>
              <w:highlight w:val="white"/>
            </w:rPr>
            <w:t xml:space="preserve"> Available at:  https://www.astrazeneca.com/content/dam/az/Investor_Relations/annual-report-2021/pdf/AstraZeneca_AR_2021.pdf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 xml:space="preserve">Astrazeneca, (2023), </w:t>
          </w:r>
          <w:r w:rsidRPr="00494493">
            <w:rPr>
              <w:rFonts w:eastAsia="Times New Roman" w:cs="Times New Roman"/>
              <w:i/>
              <w:noProof w:val="0"/>
              <w:color w:val="000000"/>
              <w:sz w:val="28"/>
              <w:szCs w:val="28"/>
              <w:lang w:val="en-US"/>
            </w:rPr>
            <w:t>Homepage</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r w:rsidRPr="00494493">
            <w:rPr>
              <w:rFonts w:eastAsia="Times New Roman" w:cs="Times New Roman"/>
              <w:noProof w:val="0"/>
              <w:color w:val="000000"/>
              <w:sz w:val="28"/>
              <w:szCs w:val="28"/>
              <w:lang w:val="en-US"/>
            </w:rPr>
            <w:t>https://www.astrazeneca.com/</w:t>
          </w:r>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CK STAFF, 2022, </w:t>
          </w:r>
          <w:r w:rsidRPr="00494493">
            <w:rPr>
              <w:rFonts w:eastAsia="Times New Roman" w:cs="Times New Roman"/>
              <w:i/>
              <w:noProof w:val="0"/>
              <w:color w:val="000000"/>
              <w:sz w:val="28"/>
              <w:szCs w:val="28"/>
              <w:highlight w:val="white"/>
            </w:rPr>
            <w:t>The 100 most sustainable corporations of 2022</w:t>
          </w:r>
          <w:r w:rsidRPr="00494493">
            <w:rPr>
              <w:rFonts w:eastAsia="Times New Roman" w:cs="Times New Roman"/>
              <w:noProof w:val="0"/>
              <w:color w:val="000000"/>
              <w:sz w:val="28"/>
              <w:szCs w:val="28"/>
              <w:highlight w:val="white"/>
            </w:rPr>
            <w:t xml:space="preserve"> Available at: https://www.corporateknights.com/rankings/global-100-rankings/2022-global-100-rankings/100-most-sustainable-corporations-of-2022/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lastRenderedPageBreak/>
            <w:t xml:space="preserve">economicdynamics.org, (2018), </w:t>
          </w:r>
          <w:r w:rsidRPr="00494493">
            <w:rPr>
              <w:rFonts w:eastAsia="Times New Roman" w:cs="Times New Roman"/>
              <w:i/>
              <w:noProof w:val="0"/>
              <w:color w:val="000000"/>
              <w:sz w:val="28"/>
              <w:szCs w:val="28"/>
              <w:lang w:val="en-US"/>
            </w:rPr>
            <w:t>Technology Di§usion</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37" w:history="1">
            <w:r w:rsidR="00286954" w:rsidRPr="00494493">
              <w:rPr>
                <w:rFonts w:eastAsia="Times New Roman" w:cs="Times New Roman"/>
                <w:noProof w:val="0"/>
                <w:color w:val="000000"/>
                <w:sz w:val="28"/>
                <w:szCs w:val="28"/>
                <w:u w:val="single"/>
                <w:lang w:val="en-US"/>
              </w:rPr>
              <w:t>https://www.economicdynamics.org/wp-content/uploads/Stokey-Technology-Diffusion-SED-2018.pdf</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 xml:space="preserve">indiatimes.com, (2022), </w:t>
          </w:r>
          <w:r w:rsidRPr="00494493">
            <w:rPr>
              <w:rFonts w:eastAsia="Times New Roman" w:cs="Times New Roman"/>
              <w:i/>
              <w:noProof w:val="0"/>
              <w:color w:val="000000"/>
              <w:sz w:val="28"/>
              <w:szCs w:val="28"/>
              <w:shd w:val="clear" w:color="auto" w:fill="FFFFFF"/>
              <w:lang w:val="en-US"/>
            </w:rPr>
            <w:t>Number of poor people in India fell by about 415 mn between 2005-06 and 2019-21, a 'historic change': UN</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38" w:history="1">
            <w:r w:rsidR="00286954" w:rsidRPr="00494493">
              <w:rPr>
                <w:rFonts w:eastAsia="Times New Roman" w:cs="Times New Roman"/>
                <w:noProof w:val="0"/>
                <w:color w:val="000000"/>
                <w:sz w:val="28"/>
                <w:szCs w:val="28"/>
                <w:u w:val="single"/>
                <w:lang w:val="en-US"/>
              </w:rPr>
              <w:t>https://economictimes.indiatimes.com/news/india/number-of-poor-people-in-india-fell-by-about-415-mn-between-2005-06-and-2019-21-a-historic-change-un/articleshow/94910830.cms?from=mdr</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 xml:space="preserve">indiatimes.com, (2023), </w:t>
          </w:r>
          <w:r w:rsidRPr="00494493">
            <w:rPr>
              <w:rFonts w:eastAsia="Times New Roman" w:cs="Times New Roman"/>
              <w:i/>
              <w:noProof w:val="0"/>
              <w:color w:val="000000"/>
              <w:sz w:val="28"/>
              <w:szCs w:val="28"/>
              <w:lang w:val="en-US"/>
            </w:rPr>
            <w:t>India's unemployment rate rises to 3-month high of 7.8 pc in March: CMIE</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39" w:history="1">
            <w:r w:rsidR="00286954" w:rsidRPr="00494493">
              <w:rPr>
                <w:rFonts w:eastAsia="Times New Roman" w:cs="Times New Roman"/>
                <w:noProof w:val="0"/>
                <w:color w:val="000000"/>
                <w:sz w:val="28"/>
                <w:szCs w:val="28"/>
                <w:u w:val="single"/>
                <w:lang w:val="en-US"/>
              </w:rPr>
              <w:t>https://economictimes.indiatimes.com/news/economy/indicators/indias-unemployment-rate-rises-to-3-month-high-of-7-8-pc-in-march-cmie/articleshow/99173434.cms</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rPr>
          </w:pPr>
          <w:r w:rsidRPr="00494493">
            <w:rPr>
              <w:rFonts w:eastAsia="Times New Roman" w:cs="Times New Roman"/>
              <w:noProof w:val="0"/>
              <w:color w:val="000000"/>
              <w:sz w:val="28"/>
              <w:szCs w:val="28"/>
              <w:highlight w:val="white"/>
            </w:rPr>
            <w:t xml:space="preserve">Marketline, 2019. </w:t>
          </w:r>
          <w:r w:rsidRPr="00494493">
            <w:rPr>
              <w:rFonts w:eastAsia="Times New Roman" w:cs="Times New Roman"/>
              <w:i/>
              <w:noProof w:val="0"/>
              <w:color w:val="000000"/>
              <w:sz w:val="28"/>
              <w:szCs w:val="28"/>
              <w:highlight w:val="white"/>
            </w:rPr>
            <w:t>Biotechnology in the United Kingdom</w:t>
          </w:r>
          <w:r w:rsidRPr="00494493">
            <w:rPr>
              <w:rFonts w:eastAsia="Times New Roman" w:cs="Times New Roman"/>
              <w:noProof w:val="0"/>
              <w:color w:val="000000"/>
              <w:sz w:val="28"/>
              <w:szCs w:val="28"/>
              <w:highlight w:val="white"/>
            </w:rPr>
            <w:t>. Available at: www.marketline.com. [Accessed on: 04.03.2023]</w:t>
          </w:r>
        </w:p>
        <w:p w:rsidR="00370778" w:rsidRPr="00494493" w:rsidRDefault="00370778" w:rsidP="00370778">
          <w:pPr>
            <w:spacing w:after="0" w:line="360" w:lineRule="auto"/>
            <w:jc w:val="both"/>
            <w:rPr>
              <w:rFonts w:eastAsia="Times New Roman" w:cs="Times New Roman"/>
              <w:i/>
              <w:noProof w:val="0"/>
              <w:color w:val="000000"/>
              <w:sz w:val="28"/>
              <w:szCs w:val="28"/>
              <w:lang w:val="en-US"/>
            </w:rPr>
          </w:pPr>
          <w:r w:rsidRPr="00494493">
            <w:rPr>
              <w:rFonts w:eastAsia="Times New Roman" w:cs="Times New Roman"/>
              <w:noProof w:val="0"/>
              <w:color w:val="000000"/>
              <w:sz w:val="28"/>
              <w:szCs w:val="28"/>
              <w:lang w:val="en-US"/>
            </w:rPr>
            <w:t>Marketline, 2019</w:t>
          </w:r>
          <w:r w:rsidRPr="00494493">
            <w:rPr>
              <w:rFonts w:eastAsia="Times New Roman" w:cs="Times New Roman"/>
              <w:i/>
              <w:noProof w:val="0"/>
              <w:color w:val="000000"/>
              <w:sz w:val="28"/>
              <w:szCs w:val="28"/>
              <w:lang w:val="en-US"/>
            </w:rPr>
            <w:t>. Biotechnology in the United Kingdom. Available at: www.marketline.com. [Accessed on: 04.03.2023]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 xml:space="preserve">McCarthy, N., (2021), </w:t>
          </w:r>
          <w:r w:rsidRPr="00494493">
            <w:rPr>
              <w:rFonts w:eastAsia="Times New Roman" w:cs="Times New Roman"/>
              <w:i/>
              <w:noProof w:val="0"/>
              <w:color w:val="000000"/>
              <w:sz w:val="28"/>
              <w:szCs w:val="28"/>
              <w:lang w:val="en-US"/>
            </w:rPr>
            <w:t>Which Countries Have Stopped Using the AstraZeneca Vaccine?</w:t>
          </w:r>
          <w:r w:rsidRPr="00494493">
            <w:rPr>
              <w:rFonts w:eastAsia="Times New Roman" w:cs="Times New Roman"/>
              <w:noProof w:val="0"/>
              <w:color w:val="000000"/>
              <w:sz w:val="28"/>
              <w:szCs w:val="28"/>
              <w:highlight w:val="white"/>
            </w:rPr>
            <w:t xml:space="preserve"> Available at:  </w:t>
          </w:r>
          <w:r w:rsidRPr="00494493">
            <w:rPr>
              <w:rFonts w:eastAsia="Times New Roman" w:cs="Times New Roman"/>
              <w:noProof w:val="0"/>
              <w:color w:val="000000"/>
              <w:sz w:val="28"/>
              <w:szCs w:val="28"/>
              <w:lang w:val="en-US"/>
            </w:rPr>
            <w:t>https://www.statista.com/chart/24420/astrazeneca-vaccine-suspensions/</w:t>
          </w:r>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t xml:space="preserve">Mikulic, M., (2023), </w:t>
          </w:r>
          <w:r w:rsidRPr="00494493">
            <w:rPr>
              <w:rFonts w:eastAsia="Times New Roman" w:cs="Times New Roman"/>
              <w:i/>
              <w:noProof w:val="0"/>
              <w:color w:val="000000"/>
              <w:sz w:val="28"/>
              <w:szCs w:val="28"/>
              <w:highlight w:val="white"/>
            </w:rPr>
            <w:t>AstraZeneca - Statistics &amp; Facts</w:t>
          </w:r>
          <w:r w:rsidRPr="00494493">
            <w:rPr>
              <w:rFonts w:eastAsia="Times New Roman" w:cs="Times New Roman"/>
              <w:noProof w:val="0"/>
              <w:color w:val="000000"/>
              <w:sz w:val="28"/>
              <w:szCs w:val="28"/>
              <w:highlight w:val="white"/>
            </w:rPr>
            <w:t xml:space="preserve"> Available at: https://www.statista.com/topics/7584/astrazeneca/#topicOverview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Mikulic,</w:t>
          </w:r>
          <w:r w:rsidRPr="00494493">
            <w:rPr>
              <w:rFonts w:eastAsia="Times New Roman" w:cs="Times New Roman"/>
              <w:i/>
              <w:noProof w:val="0"/>
              <w:color w:val="000000"/>
              <w:sz w:val="28"/>
              <w:szCs w:val="28"/>
              <w:lang w:val="en-US"/>
            </w:rPr>
            <w:t xml:space="preserve"> </w:t>
          </w:r>
          <w:r w:rsidRPr="00494493">
            <w:rPr>
              <w:rFonts w:eastAsia="Times New Roman" w:cs="Times New Roman"/>
              <w:noProof w:val="0"/>
              <w:color w:val="000000"/>
              <w:sz w:val="28"/>
              <w:szCs w:val="28"/>
              <w:lang w:val="en-US"/>
            </w:rPr>
            <w:t xml:space="preserve">M., (2023), </w:t>
          </w:r>
          <w:r w:rsidRPr="00494493">
            <w:rPr>
              <w:rFonts w:eastAsia="Times New Roman" w:cs="Times New Roman"/>
              <w:i/>
              <w:noProof w:val="0"/>
              <w:color w:val="000000"/>
              <w:sz w:val="28"/>
              <w:szCs w:val="28"/>
              <w:lang w:val="en-US"/>
            </w:rPr>
            <w:t>AstraZeneca's revenue from 2013 to 2022, by region</w:t>
          </w:r>
          <w:r w:rsidRPr="00494493">
            <w:rPr>
              <w:rFonts w:eastAsia="Times New Roman" w:cs="Times New Roman"/>
              <w:noProof w:val="0"/>
              <w:color w:val="000000"/>
              <w:sz w:val="28"/>
              <w:szCs w:val="28"/>
              <w:highlight w:val="white"/>
            </w:rPr>
            <w:t xml:space="preserve"> Available at:  </w:t>
          </w:r>
          <w:r w:rsidRPr="00494493">
            <w:rPr>
              <w:rFonts w:eastAsia="Times New Roman" w:cs="Times New Roman"/>
              <w:noProof w:val="0"/>
              <w:color w:val="000000"/>
              <w:sz w:val="28"/>
              <w:szCs w:val="28"/>
              <w:lang w:val="en-US"/>
            </w:rPr>
            <w:t>https://www.statista.com/statistics/266550/revenue-of-astrazeneca-by-region-since-2006/</w:t>
          </w:r>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highlight w:val="white"/>
            </w:rPr>
            <w:lastRenderedPageBreak/>
            <w:t xml:space="preserve">Mikulic, M., (2023), </w:t>
          </w:r>
          <w:r w:rsidRPr="00494493">
            <w:rPr>
              <w:rFonts w:eastAsia="Times New Roman" w:cs="Times New Roman"/>
              <w:i/>
              <w:noProof w:val="0"/>
              <w:color w:val="000000"/>
              <w:sz w:val="28"/>
              <w:szCs w:val="28"/>
              <w:highlight w:val="white"/>
            </w:rPr>
            <w:t>Top products of AstraZeneca based on revenue in 2021 and 2022</w:t>
          </w:r>
          <w:r w:rsidRPr="00494493">
            <w:rPr>
              <w:rFonts w:eastAsia="Times New Roman" w:cs="Times New Roman"/>
              <w:noProof w:val="0"/>
              <w:color w:val="000000"/>
              <w:sz w:val="28"/>
              <w:szCs w:val="28"/>
              <w:highlight w:val="white"/>
            </w:rPr>
            <w:t xml:space="preserve"> Available at: https://www.statista.com/statistics/267807/astrazeneca-top-products-based-on-revenue/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 xml:space="preserve">ons.gov.uk, (2023), </w:t>
          </w:r>
          <w:r w:rsidRPr="00494493">
            <w:rPr>
              <w:rFonts w:eastAsia="Times New Roman" w:cs="Times New Roman"/>
              <w:i/>
              <w:noProof w:val="0"/>
              <w:color w:val="000000"/>
              <w:sz w:val="28"/>
              <w:szCs w:val="28"/>
              <w:lang w:val="en-US"/>
            </w:rPr>
            <w:t>Consumer price inflation, UK: February 2023</w:t>
          </w:r>
          <w:r w:rsidRPr="00494493">
            <w:rPr>
              <w:rFonts w:eastAsia="Times New Roman" w:cs="Times New Roman"/>
              <w:noProof w:val="0"/>
              <w:color w:val="000000"/>
              <w:sz w:val="28"/>
              <w:szCs w:val="28"/>
              <w:lang w:val="en-US"/>
            </w:rPr>
            <w:t xml:space="preserve"> </w:t>
          </w:r>
          <w:r w:rsidRPr="00494493">
            <w:rPr>
              <w:rFonts w:eastAsia="Times New Roman" w:cs="Times New Roman"/>
              <w:noProof w:val="0"/>
              <w:color w:val="000000"/>
              <w:sz w:val="28"/>
              <w:szCs w:val="28"/>
              <w:highlight w:val="white"/>
            </w:rPr>
            <w:t xml:space="preserve">Available at:  </w:t>
          </w:r>
          <w:hyperlink r:id="rId40" w:anchor=":~:text=The%20CPIH%20inflation%20rate%20is,between%20January%20and%20February%202023" w:history="1">
            <w:r w:rsidR="00286954" w:rsidRPr="00494493">
              <w:rPr>
                <w:rFonts w:eastAsia="Times New Roman" w:cs="Times New Roman"/>
                <w:noProof w:val="0"/>
                <w:color w:val="000000"/>
                <w:sz w:val="28"/>
                <w:szCs w:val="28"/>
                <w:u w:val="single"/>
                <w:lang w:val="en-US"/>
              </w:rPr>
              <w:t>https://www.ons.gov.uk/economy/inflationandpriceindices/bulletins/consumerpriceinflation/february2023#:~:text=The%20CPIH%20inflation%20rate%20is,between%20January%20and%20February%202023</w:t>
            </w:r>
          </w:hyperlink>
          <w:r w:rsidRPr="00494493">
            <w:rPr>
              <w:rFonts w:eastAsia="Times New Roman" w:cs="Times New Roman"/>
              <w:noProof w:val="0"/>
              <w:color w:val="000000"/>
              <w:sz w:val="28"/>
              <w:szCs w:val="28"/>
              <w:lang w:val="en-US"/>
            </w:rPr>
            <w:t>.</w:t>
          </w:r>
          <w:r w:rsidRPr="00494493">
            <w:rPr>
              <w:rFonts w:eastAsia="Times New Roman" w:cs="Times New Roman"/>
              <w:noProof w:val="0"/>
              <w:color w:val="000000"/>
              <w:sz w:val="28"/>
              <w:szCs w:val="28"/>
              <w:highlight w:val="white"/>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parliament.uk, (2023),  Exchange rates: Key Economic Indicators</w:t>
          </w:r>
          <w:r w:rsidRPr="00494493">
            <w:rPr>
              <w:rFonts w:eastAsia="Times New Roman" w:cs="Times New Roman"/>
              <w:noProof w:val="0"/>
              <w:color w:val="000000"/>
              <w:sz w:val="28"/>
              <w:szCs w:val="28"/>
              <w:highlight w:val="white"/>
            </w:rPr>
            <w:t xml:space="preserve"> Available at:  </w:t>
          </w:r>
          <w:r w:rsidRPr="00494493">
            <w:rPr>
              <w:rFonts w:eastAsia="Times New Roman" w:cs="Times New Roman"/>
              <w:i/>
              <w:noProof w:val="0"/>
              <w:color w:val="000000"/>
              <w:sz w:val="28"/>
              <w:szCs w:val="28"/>
              <w:lang w:val="en-US"/>
            </w:rPr>
            <w:t>https://commonslibrary.parliament.uk/research-briefings/sn02811/#:~:text=The%20Sterling%20Exchange%20Rate%20Index,1.0%25%20between%20December%20and%20January.</w:t>
          </w:r>
          <w:r w:rsidRPr="00494493">
            <w:rPr>
              <w:rFonts w:eastAsia="Times New Roman" w:cs="Times New Roman"/>
              <w:noProof w:val="0"/>
              <w:color w:val="000000"/>
              <w:sz w:val="28"/>
              <w:szCs w:val="28"/>
              <w:highlight w:val="white"/>
            </w:rPr>
            <w:t xml:space="preserve"> [Accessed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Rathore, M., (2022),</w:t>
          </w:r>
          <w:r w:rsidRPr="00494493">
            <w:rPr>
              <w:rFonts w:eastAsia="Times New Roman" w:cs="Times New Roman"/>
              <w:i/>
              <w:noProof w:val="0"/>
              <w:color w:val="000000"/>
              <w:sz w:val="28"/>
              <w:szCs w:val="28"/>
              <w:lang w:val="en-US"/>
            </w:rPr>
            <w:t xml:space="preserve"> Income and corporation tax revenue in India from financial year 2001 to 2015, with estimates until 2017 </w:t>
          </w:r>
          <w:r w:rsidRPr="00494493">
            <w:rPr>
              <w:rFonts w:eastAsia="Times New Roman" w:cs="Times New Roman"/>
              <w:noProof w:val="0"/>
              <w:color w:val="000000"/>
              <w:sz w:val="28"/>
              <w:szCs w:val="28"/>
              <w:highlight w:val="white"/>
            </w:rPr>
            <w:t xml:space="preserve">Available at:  </w:t>
          </w:r>
          <w:hyperlink r:id="rId41" w:history="1">
            <w:r w:rsidR="00286954" w:rsidRPr="00494493">
              <w:rPr>
                <w:rFonts w:eastAsia="Times New Roman" w:cs="Times New Roman"/>
                <w:noProof w:val="0"/>
                <w:color w:val="000000"/>
                <w:sz w:val="28"/>
                <w:szCs w:val="28"/>
                <w:u w:val="single"/>
                <w:lang w:val="en-US"/>
              </w:rPr>
              <w:t>https://www.statista.com/statistics/1156005/india-income-and-corporation-tax-revenue/</w:t>
            </w:r>
          </w:hyperlink>
          <w:r w:rsidRPr="00494493">
            <w:rPr>
              <w:rFonts w:eastAsia="Times New Roman" w:cs="Times New Roman"/>
              <w:noProof w:val="0"/>
              <w:color w:val="000000"/>
              <w:sz w:val="28"/>
              <w:szCs w:val="28"/>
              <w:highlight w:val="white"/>
            </w:rPr>
            <w:t>[Accessed on 03.04.2023]</w:t>
          </w:r>
        </w:p>
        <w:p w:rsidR="00370778" w:rsidRPr="00494493" w:rsidRDefault="00370778" w:rsidP="00370778">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Vankar, P., (2022),</w:t>
          </w:r>
          <w:r w:rsidRPr="00494493">
            <w:rPr>
              <w:rFonts w:eastAsia="Times New Roman" w:cs="Times New Roman"/>
              <w:i/>
              <w:noProof w:val="0"/>
              <w:color w:val="000000"/>
              <w:sz w:val="28"/>
              <w:szCs w:val="28"/>
              <w:lang w:val="en-US"/>
            </w:rPr>
            <w:t xml:space="preserve"> National Health Service (NHS) finances UK - Statistics &amp; Facts</w:t>
          </w:r>
          <w:r w:rsidRPr="00494493">
            <w:rPr>
              <w:rFonts w:eastAsia="Times New Roman" w:cs="Times New Roman"/>
              <w:noProof w:val="0"/>
              <w:color w:val="000000"/>
              <w:sz w:val="28"/>
              <w:szCs w:val="28"/>
              <w:highlight w:val="white"/>
            </w:rPr>
            <w:t xml:space="preserve"> Available at:  </w:t>
          </w:r>
          <w:r w:rsidRPr="00494493">
            <w:rPr>
              <w:rFonts w:eastAsia="Times New Roman" w:cs="Times New Roman"/>
              <w:noProof w:val="0"/>
              <w:color w:val="000000"/>
              <w:sz w:val="28"/>
              <w:szCs w:val="28"/>
              <w:lang w:val="en-US"/>
            </w:rPr>
            <w:t>https://www.statista.com/topics/8636/national-health-service-nhs-finances-uk/</w:t>
          </w:r>
          <w:r w:rsidRPr="00494493">
            <w:rPr>
              <w:rFonts w:eastAsia="Times New Roman" w:cs="Times New Roman"/>
              <w:noProof w:val="0"/>
              <w:color w:val="000000"/>
              <w:sz w:val="28"/>
              <w:szCs w:val="28"/>
              <w:highlight w:val="white"/>
            </w:rPr>
            <w:t>[Accessed on 03.04.2023]</w:t>
          </w:r>
        </w:p>
        <w:p w:rsidR="00E316D4" w:rsidRPr="00494493" w:rsidRDefault="00370778" w:rsidP="00574253">
          <w:pPr>
            <w:spacing w:before="200" w:line="360" w:lineRule="auto"/>
            <w:jc w:val="both"/>
            <w:rPr>
              <w:rFonts w:eastAsia="Times New Roman" w:cs="Times New Roman"/>
              <w:noProof w:val="0"/>
              <w:color w:val="000000"/>
              <w:sz w:val="28"/>
              <w:szCs w:val="28"/>
              <w:highlight w:val="white"/>
            </w:rPr>
          </w:pPr>
          <w:r w:rsidRPr="00494493">
            <w:rPr>
              <w:rFonts w:eastAsia="Times New Roman" w:cs="Times New Roman"/>
              <w:noProof w:val="0"/>
              <w:color w:val="000000"/>
              <w:sz w:val="28"/>
              <w:szCs w:val="28"/>
              <w:lang w:val="en-US"/>
            </w:rPr>
            <w:t>weforum.org</w:t>
          </w:r>
          <w:r w:rsidRPr="00494493">
            <w:rPr>
              <w:rFonts w:eastAsia="Times New Roman" w:cs="Times New Roman"/>
              <w:i/>
              <w:noProof w:val="0"/>
              <w:color w:val="000000"/>
              <w:sz w:val="28"/>
              <w:szCs w:val="28"/>
              <w:lang w:val="en-US"/>
            </w:rPr>
            <w:t xml:space="preserve">, </w:t>
          </w:r>
          <w:r w:rsidRPr="00494493">
            <w:rPr>
              <w:rFonts w:eastAsia="Times New Roman" w:cs="Times New Roman"/>
              <w:noProof w:val="0"/>
              <w:color w:val="000000"/>
              <w:sz w:val="28"/>
              <w:szCs w:val="28"/>
              <w:lang w:val="en-US"/>
            </w:rPr>
            <w:t xml:space="preserve">(2023), </w:t>
          </w:r>
          <w:r w:rsidRPr="00494493">
            <w:rPr>
              <w:rFonts w:eastAsia="Times New Roman" w:cs="Times New Roman"/>
              <w:i/>
              <w:noProof w:val="0"/>
              <w:color w:val="000000"/>
              <w:sz w:val="28"/>
              <w:szCs w:val="28"/>
              <w:lang w:val="en-US"/>
            </w:rPr>
            <w:t>India's GDP growth outpaced China last quarter</w:t>
          </w:r>
          <w:r w:rsidRPr="00494493">
            <w:rPr>
              <w:rFonts w:eastAsia="Times New Roman" w:cs="Times New Roman"/>
              <w:noProof w:val="0"/>
              <w:color w:val="000000"/>
              <w:sz w:val="28"/>
              <w:szCs w:val="28"/>
              <w:highlight w:val="white"/>
            </w:rPr>
            <w:t xml:space="preserve"> Available at:  </w:t>
          </w:r>
          <w:r w:rsidRPr="00494493">
            <w:rPr>
              <w:rFonts w:eastAsia="Times New Roman" w:cs="Times New Roman"/>
              <w:noProof w:val="0"/>
              <w:color w:val="000000"/>
              <w:sz w:val="28"/>
              <w:szCs w:val="28"/>
              <w:lang w:val="en-US"/>
            </w:rPr>
            <w:t>https://www.weforum.org/agenda/2023/03/indias-gdp-growth-outpaced-china-economy/#:~:text=India's%20economy%20grew%20by%204.4,the%20world's%20best%2Dperforming%20economies.</w:t>
          </w:r>
          <w:r w:rsidRPr="00494493">
            <w:rPr>
              <w:rFonts w:eastAsia="Times New Roman" w:cs="Times New Roman"/>
              <w:noProof w:val="0"/>
              <w:color w:val="000000"/>
              <w:sz w:val="28"/>
              <w:szCs w:val="28"/>
              <w:highlight w:val="white"/>
            </w:rPr>
            <w:t xml:space="preserve"> [Accessed on 03.04.2023]</w:t>
          </w:r>
          <w:bookmarkEnd w:id="24"/>
        </w:p>
        <w:p w:rsidR="00E316D4" w:rsidRPr="00494493" w:rsidRDefault="00E316D4" w:rsidP="00E316D4">
          <w:pPr>
            <w:rPr>
              <w:sz w:val="28"/>
              <w:szCs w:val="28"/>
            </w:rPr>
          </w:pPr>
        </w:p>
        <w:p w:rsidR="00E316D4" w:rsidRPr="00494493" w:rsidRDefault="00E316D4" w:rsidP="00E316D4">
          <w:pPr>
            <w:rPr>
              <w:sz w:val="28"/>
              <w:szCs w:val="28"/>
            </w:rPr>
          </w:pPr>
        </w:p>
        <w:p w:rsidR="00056FAF" w:rsidRPr="00494493" w:rsidRDefault="00056FAF" w:rsidP="00A662D6">
          <w:pPr>
            <w:rPr>
              <w:sz w:val="28"/>
              <w:szCs w:val="28"/>
              <w:lang w:eastAsia="ja-JP"/>
            </w:rPr>
          </w:pPr>
        </w:p>
        <w:p w:rsidR="00DB139F" w:rsidRPr="00494493" w:rsidRDefault="00DB139F" w:rsidP="00DB139F">
          <w:pPr>
            <w:rPr>
              <w:sz w:val="28"/>
              <w:szCs w:val="28"/>
              <w:lang w:eastAsia="ja-JP"/>
            </w:rPr>
          </w:pPr>
        </w:p>
        <w:p w:rsidR="003D1766" w:rsidRPr="00494493" w:rsidRDefault="003D1766" w:rsidP="009E7E83">
          <w:pPr>
            <w:rPr>
              <w:rFonts w:cs="Times New Roman"/>
              <w:sz w:val="28"/>
              <w:szCs w:val="28"/>
              <w:lang w:eastAsia="ja-JP"/>
            </w:rPr>
          </w:pPr>
        </w:p>
        <w:p w:rsidR="005F7B4C" w:rsidRPr="00494493" w:rsidRDefault="005F7B4C" w:rsidP="005F7B4C">
          <w:pPr>
            <w:spacing w:line="360" w:lineRule="auto"/>
            <w:jc w:val="both"/>
            <w:rPr>
              <w:rFonts w:cs="Times New Roman"/>
              <w:sz w:val="28"/>
              <w:szCs w:val="28"/>
            </w:rPr>
          </w:pPr>
        </w:p>
        <w:p w:rsidR="005F7B4C" w:rsidRPr="00494493" w:rsidRDefault="005F7B4C" w:rsidP="00927F56">
          <w:pPr>
            <w:pStyle w:val="Heading1"/>
            <w:rPr>
              <w:sz w:val="28"/>
              <w:szCs w:val="28"/>
            </w:rPr>
          </w:pPr>
        </w:p>
        <w:p w:rsidR="005F7B4C" w:rsidRPr="00494493" w:rsidRDefault="005F7B4C" w:rsidP="00927F56">
          <w:pPr>
            <w:pStyle w:val="Heading1"/>
            <w:rPr>
              <w:sz w:val="28"/>
              <w:szCs w:val="28"/>
            </w:rPr>
          </w:pPr>
        </w:p>
        <w:p w:rsidR="005F7B4C" w:rsidRPr="00494493" w:rsidRDefault="005F7B4C" w:rsidP="00927F56">
          <w:pPr>
            <w:pStyle w:val="Heading1"/>
            <w:rPr>
              <w:sz w:val="28"/>
              <w:szCs w:val="28"/>
            </w:rPr>
          </w:pPr>
        </w:p>
        <w:p w:rsidR="005F7B4C" w:rsidRPr="00494493" w:rsidRDefault="005F7B4C" w:rsidP="005F7B4C">
          <w:pPr>
            <w:rPr>
              <w:sz w:val="28"/>
              <w:szCs w:val="28"/>
              <w:lang w:eastAsia="ja-JP"/>
            </w:rPr>
          </w:pPr>
        </w:p>
        <w:p w:rsidR="00EF599E" w:rsidRPr="00494493" w:rsidRDefault="00EF599E" w:rsidP="00D92A9B">
          <w:pPr>
            <w:rPr>
              <w:rFonts w:cs="Times New Roman"/>
              <w:sz w:val="28"/>
              <w:szCs w:val="28"/>
            </w:rPr>
          </w:pPr>
        </w:p>
        <w:p w:rsidR="00D92A9B" w:rsidRPr="00494493" w:rsidRDefault="00D92A9B" w:rsidP="00625D95">
          <w:pPr>
            <w:rPr>
              <w:rFonts w:cs="Times New Roman"/>
              <w:sz w:val="28"/>
              <w:szCs w:val="28"/>
            </w:rPr>
          </w:pPr>
        </w:p>
        <w:p w:rsidR="00265005" w:rsidRPr="00494493" w:rsidRDefault="00793C7B" w:rsidP="00A0476D">
          <w:pPr>
            <w:rPr>
              <w:rFonts w:cs="Times New Roman"/>
              <w:sz w:val="28"/>
              <w:szCs w:val="28"/>
            </w:rPr>
          </w:pPr>
        </w:p>
      </w:sdtContent>
    </w:sdt>
    <w:sectPr w:rsidR="00265005" w:rsidRPr="00494493" w:rsidSect="001E2DC3">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667A" w:rsidRDefault="0082667A" w:rsidP="00EF27AC">
      <w:pPr>
        <w:spacing w:after="0" w:line="240" w:lineRule="auto"/>
      </w:pPr>
      <w:r>
        <w:separator/>
      </w:r>
    </w:p>
  </w:endnote>
  <w:endnote w:type="continuationSeparator" w:id="1">
    <w:p w:rsidR="0082667A" w:rsidRDefault="0082667A" w:rsidP="00EF27AC">
      <w:pPr>
        <w:spacing w:after="0" w:line="240" w:lineRule="auto"/>
      </w:pPr>
      <w:r>
        <w:continuationSeparator/>
      </w:r>
    </w:p>
  </w:endnote>
  <w:endnote w:id="2">
    <w:p w:rsidR="00E657B9" w:rsidRDefault="00E657B9">
      <w:pPr>
        <w:pStyle w:val="EndnoteText"/>
      </w:pPr>
      <w:r>
        <w:rPr>
          <w:rStyle w:val="EndnoteReference"/>
        </w:rPr>
        <w:endnoteRef/>
      </w:r>
      <w:r>
        <w:t xml:space="preserve"> </w:t>
      </w:r>
      <w:hyperlink r:id="rId1" w:anchor=":~:text=UK%2Dbased%20drug%20company%20AstraZeneca,agent%20lidocaine%2C%20developed%20in%201948" w:history="1">
        <w:r w:rsidRPr="00B1123E">
          <w:rPr>
            <w:rStyle w:val="Hyperlink"/>
          </w:rPr>
          <w:t>https://www.drugwatch.com/manufacturers/astrazeneca/#:~:text=UK%2Dbased%20drug%20company%20AstraZeneca,agent%20lidocaine%2C%20developed%20in%201948</w:t>
        </w:r>
      </w:hyperlink>
      <w:r w:rsidRPr="00E657B9">
        <w:t>.</w:t>
      </w:r>
    </w:p>
    <w:p w:rsidR="00E657B9" w:rsidRPr="00E657B9" w:rsidRDefault="00E657B9">
      <w:pPr>
        <w:pStyle w:val="EndnoteText"/>
        <w:rPr>
          <w:lang w:val="en-US"/>
        </w:rPr>
      </w:pPr>
    </w:p>
  </w:endnote>
  <w:endnote w:id="3">
    <w:p w:rsidR="00876D69" w:rsidRPr="00876D69" w:rsidRDefault="00876D69">
      <w:pPr>
        <w:pStyle w:val="EndnoteText"/>
        <w:rPr>
          <w:lang w:val="en-US"/>
        </w:rPr>
      </w:pPr>
      <w:r>
        <w:rPr>
          <w:rStyle w:val="EndnoteReference"/>
        </w:rPr>
        <w:endnoteRef/>
      </w:r>
      <w:r>
        <w:t xml:space="preserve"> </w:t>
      </w:r>
      <w:hyperlink r:id="rId2" w:history="1">
        <w:r w:rsidRPr="00F76880">
          <w:rPr>
            <w:rStyle w:val="Hyperlink"/>
          </w:rPr>
          <w:t>https://www.astrazeneca.com/our-company.html</w:t>
        </w:r>
      </w:hyperlink>
      <w:r>
        <w:tab/>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LinoLetter-Roman">
    <w:altName w:val="Cambria"/>
    <w:panose1 w:val="00000000000000000000"/>
    <w:charset w:val="00"/>
    <w:family w:val="roman"/>
    <w:notTrueType/>
    <w:pitch w:val="default"/>
    <w:sig w:usb0="00000000" w:usb1="00000000" w:usb2="00000000" w:usb3="00000000" w:csb0="00000000"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0081097"/>
      <w:docPartObj>
        <w:docPartGallery w:val="Page Numbers (Bottom of Page)"/>
        <w:docPartUnique/>
      </w:docPartObj>
    </w:sdtPr>
    <w:sdtContent>
      <w:p w:rsidR="008E012E" w:rsidRDefault="008E012E">
        <w:pPr>
          <w:pStyle w:val="Footer"/>
        </w:pPr>
        <w:r>
          <w:t xml:space="preserve">Page | </w:t>
        </w:r>
        <w:r w:rsidR="00793C7B">
          <w:rPr>
            <w:noProof w:val="0"/>
          </w:rPr>
          <w:fldChar w:fldCharType="begin"/>
        </w:r>
        <w:r>
          <w:instrText xml:space="preserve"> PAGE   \* MERGEFORMAT </w:instrText>
        </w:r>
        <w:r w:rsidR="00793C7B">
          <w:rPr>
            <w:noProof w:val="0"/>
          </w:rPr>
          <w:fldChar w:fldCharType="separate"/>
        </w:r>
        <w:r w:rsidR="00494493">
          <w:t>1</w:t>
        </w:r>
        <w:r w:rsidR="00793C7B">
          <w:fldChar w:fldCharType="end"/>
        </w:r>
      </w:p>
    </w:sdtContent>
  </w:sdt>
  <w:p w:rsidR="008E012E" w:rsidRDefault="008E01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667A" w:rsidRDefault="0082667A" w:rsidP="00EF27AC">
      <w:pPr>
        <w:spacing w:after="0" w:line="240" w:lineRule="auto"/>
      </w:pPr>
      <w:r>
        <w:separator/>
      </w:r>
    </w:p>
  </w:footnote>
  <w:footnote w:type="continuationSeparator" w:id="1">
    <w:p w:rsidR="0082667A" w:rsidRDefault="0082667A" w:rsidP="00EF27AC">
      <w:pPr>
        <w:spacing w:after="0" w:line="240" w:lineRule="auto"/>
      </w:pPr>
      <w:r>
        <w:continuationSeparator/>
      </w:r>
    </w:p>
  </w:footnote>
  <w:footnote w:id="2">
    <w:p w:rsidR="00655450" w:rsidRPr="00E07177" w:rsidRDefault="00655450" w:rsidP="00655450">
      <w:pPr>
        <w:pStyle w:val="FootnoteText"/>
      </w:pPr>
      <w:r>
        <w:rPr>
          <w:rStyle w:val="FootnoteReference"/>
        </w:rPr>
        <w:footnoteRef/>
      </w:r>
      <w:r>
        <w:t xml:space="preserve"> </w:t>
      </w:r>
      <w:r w:rsidRPr="00A01195">
        <w:rPr>
          <w:i/>
        </w:rPr>
        <w:t>www.marketline.com</w:t>
      </w:r>
    </w:p>
  </w:footnote>
  <w:footnote w:id="3">
    <w:p w:rsidR="00791D9B" w:rsidRPr="00226CCD" w:rsidRDefault="00791D9B" w:rsidP="00791D9B">
      <w:pPr>
        <w:pStyle w:val="FootnoteText"/>
      </w:pPr>
      <w:r>
        <w:rPr>
          <w:rStyle w:val="FootnoteReference"/>
        </w:rPr>
        <w:footnoteRef/>
      </w:r>
      <w:r>
        <w:t xml:space="preserve"> </w:t>
      </w:r>
      <w:r w:rsidRPr="00D1547E">
        <w:t>https://www.astrazeneca.com/</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012E" w:rsidRDefault="008E012E">
    <w:pPr>
      <w:pStyle w:val="Header"/>
    </w:pPr>
  </w:p>
  <w:p w:rsidR="008E012E" w:rsidRDefault="008E012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62F39"/>
    <w:multiLevelType w:val="multilevel"/>
    <w:tmpl w:val="ACA4B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333746E"/>
    <w:multiLevelType w:val="multilevel"/>
    <w:tmpl w:val="F500B9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4A27C6E"/>
    <w:multiLevelType w:val="multilevel"/>
    <w:tmpl w:val="BDFE2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8637C4F"/>
    <w:multiLevelType w:val="multilevel"/>
    <w:tmpl w:val="7AE29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97D0660"/>
    <w:multiLevelType w:val="multilevel"/>
    <w:tmpl w:val="A392C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DCB7771"/>
    <w:multiLevelType w:val="multilevel"/>
    <w:tmpl w:val="01266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1246E9A"/>
    <w:multiLevelType w:val="multilevel"/>
    <w:tmpl w:val="AB06A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2B04115"/>
    <w:multiLevelType w:val="multilevel"/>
    <w:tmpl w:val="E9BEC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38C341B5"/>
    <w:multiLevelType w:val="multilevel"/>
    <w:tmpl w:val="20469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3A9F1AD9"/>
    <w:multiLevelType w:val="multilevel"/>
    <w:tmpl w:val="7F36B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8A657F4"/>
    <w:multiLevelType w:val="multilevel"/>
    <w:tmpl w:val="DABC0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4C645E3D"/>
    <w:multiLevelType w:val="multilevel"/>
    <w:tmpl w:val="175EEB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50824352"/>
    <w:multiLevelType w:val="multilevel"/>
    <w:tmpl w:val="E84A1F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5CE3439E"/>
    <w:multiLevelType w:val="multilevel"/>
    <w:tmpl w:val="8E4A1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64E573B"/>
    <w:multiLevelType w:val="multilevel"/>
    <w:tmpl w:val="957C4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ADB769A"/>
    <w:multiLevelType w:val="multilevel"/>
    <w:tmpl w:val="68EEDB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7B4A0C91"/>
    <w:multiLevelType w:val="multilevel"/>
    <w:tmpl w:val="7EC0F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7CCA1987"/>
    <w:multiLevelType w:val="multilevel"/>
    <w:tmpl w:val="102CD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7DA904F2"/>
    <w:multiLevelType w:val="multilevel"/>
    <w:tmpl w:val="B2948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0"/>
  </w:num>
  <w:num w:numId="3">
    <w:abstractNumId w:val="16"/>
  </w:num>
  <w:num w:numId="4">
    <w:abstractNumId w:val="3"/>
  </w:num>
  <w:num w:numId="5">
    <w:abstractNumId w:val="4"/>
  </w:num>
  <w:num w:numId="6">
    <w:abstractNumId w:val="15"/>
  </w:num>
  <w:num w:numId="7">
    <w:abstractNumId w:val="5"/>
  </w:num>
  <w:num w:numId="8">
    <w:abstractNumId w:val="8"/>
  </w:num>
  <w:num w:numId="9">
    <w:abstractNumId w:val="17"/>
  </w:num>
  <w:num w:numId="10">
    <w:abstractNumId w:val="6"/>
  </w:num>
  <w:num w:numId="11">
    <w:abstractNumId w:val="12"/>
  </w:num>
  <w:num w:numId="12">
    <w:abstractNumId w:val="7"/>
  </w:num>
  <w:num w:numId="13">
    <w:abstractNumId w:val="11"/>
  </w:num>
  <w:num w:numId="14">
    <w:abstractNumId w:val="1"/>
  </w:num>
  <w:num w:numId="15">
    <w:abstractNumId w:val="2"/>
  </w:num>
  <w:num w:numId="16">
    <w:abstractNumId w:val="18"/>
  </w:num>
  <w:num w:numId="17">
    <w:abstractNumId w:val="13"/>
  </w:num>
  <w:num w:numId="18">
    <w:abstractNumId w:val="9"/>
  </w:num>
  <w:num w:numId="19">
    <w:abstractNumId w:val="14"/>
  </w:num>
  <w:numIdMacAtCleanup w:val="1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hideGrammaticalErrors/>
  <w:defaultTabStop w:val="720"/>
  <w:characterSpacingControl w:val="doNotCompress"/>
  <w:hdrShapeDefaults>
    <o:shapedefaults v:ext="edit" spidmax="1638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9EB"/>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048"/>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A7C1F"/>
    <w:rsid w:val="000B0CD5"/>
    <w:rsid w:val="000B463F"/>
    <w:rsid w:val="000C1F3C"/>
    <w:rsid w:val="000C1F85"/>
    <w:rsid w:val="000C2DB1"/>
    <w:rsid w:val="000C2E77"/>
    <w:rsid w:val="000C4551"/>
    <w:rsid w:val="000C598E"/>
    <w:rsid w:val="000C6549"/>
    <w:rsid w:val="000D0956"/>
    <w:rsid w:val="000D119E"/>
    <w:rsid w:val="000D1AAD"/>
    <w:rsid w:val="000D27D5"/>
    <w:rsid w:val="000D303E"/>
    <w:rsid w:val="000D5A88"/>
    <w:rsid w:val="000E0928"/>
    <w:rsid w:val="000E4D79"/>
    <w:rsid w:val="000E5019"/>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50D"/>
    <w:rsid w:val="001A2FB0"/>
    <w:rsid w:val="001A469C"/>
    <w:rsid w:val="001B1AF3"/>
    <w:rsid w:val="001B2A9C"/>
    <w:rsid w:val="001B41B6"/>
    <w:rsid w:val="001B4261"/>
    <w:rsid w:val="001B48F2"/>
    <w:rsid w:val="001C1A6B"/>
    <w:rsid w:val="001C3108"/>
    <w:rsid w:val="001C5286"/>
    <w:rsid w:val="001C55A5"/>
    <w:rsid w:val="001D0142"/>
    <w:rsid w:val="001D1551"/>
    <w:rsid w:val="001D1BFD"/>
    <w:rsid w:val="001D3723"/>
    <w:rsid w:val="001D661B"/>
    <w:rsid w:val="001E0163"/>
    <w:rsid w:val="001E0AFF"/>
    <w:rsid w:val="001E14F5"/>
    <w:rsid w:val="001E2DC3"/>
    <w:rsid w:val="001E3E7E"/>
    <w:rsid w:val="001E41D1"/>
    <w:rsid w:val="001E421D"/>
    <w:rsid w:val="001F318F"/>
    <w:rsid w:val="001F3A64"/>
    <w:rsid w:val="00200CCC"/>
    <w:rsid w:val="00200F9A"/>
    <w:rsid w:val="002013E4"/>
    <w:rsid w:val="00201AB8"/>
    <w:rsid w:val="002030AF"/>
    <w:rsid w:val="0021049C"/>
    <w:rsid w:val="002104C1"/>
    <w:rsid w:val="0022027E"/>
    <w:rsid w:val="00224DCD"/>
    <w:rsid w:val="00227CB0"/>
    <w:rsid w:val="00232008"/>
    <w:rsid w:val="002350E9"/>
    <w:rsid w:val="002450F4"/>
    <w:rsid w:val="00245ECE"/>
    <w:rsid w:val="0025060B"/>
    <w:rsid w:val="002545E6"/>
    <w:rsid w:val="00265005"/>
    <w:rsid w:val="00267784"/>
    <w:rsid w:val="002731C2"/>
    <w:rsid w:val="002733D9"/>
    <w:rsid w:val="00273783"/>
    <w:rsid w:val="0027530B"/>
    <w:rsid w:val="00275C38"/>
    <w:rsid w:val="00276EFB"/>
    <w:rsid w:val="00280439"/>
    <w:rsid w:val="002859C9"/>
    <w:rsid w:val="00286954"/>
    <w:rsid w:val="002969AB"/>
    <w:rsid w:val="00296C77"/>
    <w:rsid w:val="002A0625"/>
    <w:rsid w:val="002A12D6"/>
    <w:rsid w:val="002A3996"/>
    <w:rsid w:val="002A3AF7"/>
    <w:rsid w:val="002A3E66"/>
    <w:rsid w:val="002A728F"/>
    <w:rsid w:val="002B25EB"/>
    <w:rsid w:val="002B4CBE"/>
    <w:rsid w:val="002C2FAE"/>
    <w:rsid w:val="002C4F69"/>
    <w:rsid w:val="002C60D0"/>
    <w:rsid w:val="002C6C68"/>
    <w:rsid w:val="002D1642"/>
    <w:rsid w:val="002D1BC0"/>
    <w:rsid w:val="002D5294"/>
    <w:rsid w:val="002D562D"/>
    <w:rsid w:val="002D5708"/>
    <w:rsid w:val="002D5793"/>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0778"/>
    <w:rsid w:val="00371096"/>
    <w:rsid w:val="00372E43"/>
    <w:rsid w:val="003768B3"/>
    <w:rsid w:val="003774D8"/>
    <w:rsid w:val="003775E0"/>
    <w:rsid w:val="00380C0F"/>
    <w:rsid w:val="003841E5"/>
    <w:rsid w:val="003848F2"/>
    <w:rsid w:val="003868E4"/>
    <w:rsid w:val="003903EE"/>
    <w:rsid w:val="00395425"/>
    <w:rsid w:val="00395520"/>
    <w:rsid w:val="003978D8"/>
    <w:rsid w:val="003A0167"/>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499"/>
    <w:rsid w:val="0040286B"/>
    <w:rsid w:val="00405D99"/>
    <w:rsid w:val="00410B63"/>
    <w:rsid w:val="00410DE7"/>
    <w:rsid w:val="004110A0"/>
    <w:rsid w:val="00411CBD"/>
    <w:rsid w:val="0041268A"/>
    <w:rsid w:val="004131E5"/>
    <w:rsid w:val="004165E8"/>
    <w:rsid w:val="00423510"/>
    <w:rsid w:val="00426FF4"/>
    <w:rsid w:val="00430D15"/>
    <w:rsid w:val="00433FCF"/>
    <w:rsid w:val="0043612A"/>
    <w:rsid w:val="00443237"/>
    <w:rsid w:val="00443888"/>
    <w:rsid w:val="00444052"/>
    <w:rsid w:val="00460EF1"/>
    <w:rsid w:val="00461B0B"/>
    <w:rsid w:val="00462F22"/>
    <w:rsid w:val="004635AE"/>
    <w:rsid w:val="004646F3"/>
    <w:rsid w:val="00467D62"/>
    <w:rsid w:val="004736DD"/>
    <w:rsid w:val="00474C7C"/>
    <w:rsid w:val="00483224"/>
    <w:rsid w:val="00494493"/>
    <w:rsid w:val="004960CC"/>
    <w:rsid w:val="00497538"/>
    <w:rsid w:val="004A295D"/>
    <w:rsid w:val="004A46C9"/>
    <w:rsid w:val="004A530C"/>
    <w:rsid w:val="004B504C"/>
    <w:rsid w:val="004C0806"/>
    <w:rsid w:val="004C1424"/>
    <w:rsid w:val="004C1748"/>
    <w:rsid w:val="004C1849"/>
    <w:rsid w:val="004C1AD5"/>
    <w:rsid w:val="004C1EBF"/>
    <w:rsid w:val="004C2C6A"/>
    <w:rsid w:val="004C4656"/>
    <w:rsid w:val="004C75D8"/>
    <w:rsid w:val="004D3B72"/>
    <w:rsid w:val="004D7074"/>
    <w:rsid w:val="004D787C"/>
    <w:rsid w:val="004E0713"/>
    <w:rsid w:val="004E2087"/>
    <w:rsid w:val="004E2562"/>
    <w:rsid w:val="004F450E"/>
    <w:rsid w:val="004F52E3"/>
    <w:rsid w:val="004F6BFF"/>
    <w:rsid w:val="00507EBC"/>
    <w:rsid w:val="00510870"/>
    <w:rsid w:val="00511ACE"/>
    <w:rsid w:val="00512202"/>
    <w:rsid w:val="00513B35"/>
    <w:rsid w:val="00522C58"/>
    <w:rsid w:val="00523EFA"/>
    <w:rsid w:val="00525575"/>
    <w:rsid w:val="00530327"/>
    <w:rsid w:val="005319F9"/>
    <w:rsid w:val="005320F2"/>
    <w:rsid w:val="00540C95"/>
    <w:rsid w:val="0054278A"/>
    <w:rsid w:val="00544B3B"/>
    <w:rsid w:val="00544C6A"/>
    <w:rsid w:val="00544CDB"/>
    <w:rsid w:val="005457EA"/>
    <w:rsid w:val="005471D7"/>
    <w:rsid w:val="00552B37"/>
    <w:rsid w:val="00556022"/>
    <w:rsid w:val="00562603"/>
    <w:rsid w:val="00567404"/>
    <w:rsid w:val="00567773"/>
    <w:rsid w:val="00574253"/>
    <w:rsid w:val="005742F6"/>
    <w:rsid w:val="00574619"/>
    <w:rsid w:val="00581093"/>
    <w:rsid w:val="005817DC"/>
    <w:rsid w:val="00583BA6"/>
    <w:rsid w:val="005845C6"/>
    <w:rsid w:val="00584A7F"/>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3602"/>
    <w:rsid w:val="005A53B3"/>
    <w:rsid w:val="005B4B5E"/>
    <w:rsid w:val="005B4D9E"/>
    <w:rsid w:val="005B5B8E"/>
    <w:rsid w:val="005C25C9"/>
    <w:rsid w:val="005C40D8"/>
    <w:rsid w:val="005C6D80"/>
    <w:rsid w:val="005D0133"/>
    <w:rsid w:val="005D2281"/>
    <w:rsid w:val="005D259A"/>
    <w:rsid w:val="005D6BE7"/>
    <w:rsid w:val="005E2175"/>
    <w:rsid w:val="005F1551"/>
    <w:rsid w:val="005F17AF"/>
    <w:rsid w:val="005F3E3E"/>
    <w:rsid w:val="005F4A93"/>
    <w:rsid w:val="005F5DED"/>
    <w:rsid w:val="005F7B4C"/>
    <w:rsid w:val="0060408E"/>
    <w:rsid w:val="00604197"/>
    <w:rsid w:val="006045B4"/>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55450"/>
    <w:rsid w:val="00655D4D"/>
    <w:rsid w:val="00664C5B"/>
    <w:rsid w:val="00666D4B"/>
    <w:rsid w:val="00674D55"/>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2E77"/>
    <w:rsid w:val="006B4CD8"/>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5F89"/>
    <w:rsid w:val="00733570"/>
    <w:rsid w:val="0073473E"/>
    <w:rsid w:val="007376B5"/>
    <w:rsid w:val="00742D06"/>
    <w:rsid w:val="00744D07"/>
    <w:rsid w:val="00744DF5"/>
    <w:rsid w:val="007453BB"/>
    <w:rsid w:val="00745C91"/>
    <w:rsid w:val="00746753"/>
    <w:rsid w:val="00757F11"/>
    <w:rsid w:val="00764224"/>
    <w:rsid w:val="00764E3B"/>
    <w:rsid w:val="00765C26"/>
    <w:rsid w:val="00774494"/>
    <w:rsid w:val="007745F2"/>
    <w:rsid w:val="00777D87"/>
    <w:rsid w:val="0078433A"/>
    <w:rsid w:val="00784495"/>
    <w:rsid w:val="00784799"/>
    <w:rsid w:val="00786755"/>
    <w:rsid w:val="00790033"/>
    <w:rsid w:val="00791D9B"/>
    <w:rsid w:val="00793C7B"/>
    <w:rsid w:val="0079508C"/>
    <w:rsid w:val="007952A5"/>
    <w:rsid w:val="007A0D0F"/>
    <w:rsid w:val="007A233E"/>
    <w:rsid w:val="007A3016"/>
    <w:rsid w:val="007A6027"/>
    <w:rsid w:val="007B324E"/>
    <w:rsid w:val="007B3CA9"/>
    <w:rsid w:val="007C2182"/>
    <w:rsid w:val="007C527A"/>
    <w:rsid w:val="007D45AB"/>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2667A"/>
    <w:rsid w:val="00841E80"/>
    <w:rsid w:val="00843FDF"/>
    <w:rsid w:val="00845C09"/>
    <w:rsid w:val="00851C71"/>
    <w:rsid w:val="008532E9"/>
    <w:rsid w:val="0086616B"/>
    <w:rsid w:val="008673A4"/>
    <w:rsid w:val="00876D69"/>
    <w:rsid w:val="00880D9D"/>
    <w:rsid w:val="00881867"/>
    <w:rsid w:val="00882BE1"/>
    <w:rsid w:val="008926CE"/>
    <w:rsid w:val="00894C15"/>
    <w:rsid w:val="00895EB5"/>
    <w:rsid w:val="008A0FF6"/>
    <w:rsid w:val="008A3181"/>
    <w:rsid w:val="008B0AA5"/>
    <w:rsid w:val="008B569F"/>
    <w:rsid w:val="008B5AA7"/>
    <w:rsid w:val="008B7894"/>
    <w:rsid w:val="008C02D5"/>
    <w:rsid w:val="008C495F"/>
    <w:rsid w:val="008D0F0D"/>
    <w:rsid w:val="008D36CA"/>
    <w:rsid w:val="008D6651"/>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06C11"/>
    <w:rsid w:val="00A110D8"/>
    <w:rsid w:val="00A13F60"/>
    <w:rsid w:val="00A14136"/>
    <w:rsid w:val="00A15FD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6C7"/>
    <w:rsid w:val="00A72B6F"/>
    <w:rsid w:val="00A770CA"/>
    <w:rsid w:val="00A8090E"/>
    <w:rsid w:val="00A83D08"/>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F0A06"/>
    <w:rsid w:val="00AF0A5D"/>
    <w:rsid w:val="00AF25A8"/>
    <w:rsid w:val="00AF5651"/>
    <w:rsid w:val="00B009B0"/>
    <w:rsid w:val="00B02CC9"/>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5BBE"/>
    <w:rsid w:val="00B46E61"/>
    <w:rsid w:val="00B473DB"/>
    <w:rsid w:val="00B47F92"/>
    <w:rsid w:val="00B5225D"/>
    <w:rsid w:val="00B54215"/>
    <w:rsid w:val="00B54E8E"/>
    <w:rsid w:val="00B56151"/>
    <w:rsid w:val="00B57102"/>
    <w:rsid w:val="00B57DD3"/>
    <w:rsid w:val="00B63690"/>
    <w:rsid w:val="00B64F8A"/>
    <w:rsid w:val="00B65C05"/>
    <w:rsid w:val="00B66446"/>
    <w:rsid w:val="00B7179A"/>
    <w:rsid w:val="00B72962"/>
    <w:rsid w:val="00B817CB"/>
    <w:rsid w:val="00B90A7B"/>
    <w:rsid w:val="00B91F56"/>
    <w:rsid w:val="00B9209C"/>
    <w:rsid w:val="00B975A0"/>
    <w:rsid w:val="00BA0671"/>
    <w:rsid w:val="00BA09D9"/>
    <w:rsid w:val="00BB3689"/>
    <w:rsid w:val="00BB3DFA"/>
    <w:rsid w:val="00BB686A"/>
    <w:rsid w:val="00BB75FA"/>
    <w:rsid w:val="00BC064F"/>
    <w:rsid w:val="00BC0DFD"/>
    <w:rsid w:val="00BD1665"/>
    <w:rsid w:val="00BD20E4"/>
    <w:rsid w:val="00BD4B7A"/>
    <w:rsid w:val="00BD6139"/>
    <w:rsid w:val="00BE5CAC"/>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4D07"/>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F0240"/>
    <w:rsid w:val="00DF05D8"/>
    <w:rsid w:val="00DF24B4"/>
    <w:rsid w:val="00DF359B"/>
    <w:rsid w:val="00E04417"/>
    <w:rsid w:val="00E0785C"/>
    <w:rsid w:val="00E1100A"/>
    <w:rsid w:val="00E11DFF"/>
    <w:rsid w:val="00E1519D"/>
    <w:rsid w:val="00E170F9"/>
    <w:rsid w:val="00E20106"/>
    <w:rsid w:val="00E2089E"/>
    <w:rsid w:val="00E26B4B"/>
    <w:rsid w:val="00E316D4"/>
    <w:rsid w:val="00E349D5"/>
    <w:rsid w:val="00E366B3"/>
    <w:rsid w:val="00E45911"/>
    <w:rsid w:val="00E516A0"/>
    <w:rsid w:val="00E52FDB"/>
    <w:rsid w:val="00E57153"/>
    <w:rsid w:val="00E60A58"/>
    <w:rsid w:val="00E6154B"/>
    <w:rsid w:val="00E6171C"/>
    <w:rsid w:val="00E618BC"/>
    <w:rsid w:val="00E61F6A"/>
    <w:rsid w:val="00E629C7"/>
    <w:rsid w:val="00E62B09"/>
    <w:rsid w:val="00E642AB"/>
    <w:rsid w:val="00E657B9"/>
    <w:rsid w:val="00E65D71"/>
    <w:rsid w:val="00E65F17"/>
    <w:rsid w:val="00E74AAA"/>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08C8"/>
    <w:rsid w:val="00EF166E"/>
    <w:rsid w:val="00EF1C73"/>
    <w:rsid w:val="00EF27AC"/>
    <w:rsid w:val="00EF44A5"/>
    <w:rsid w:val="00EF450D"/>
    <w:rsid w:val="00EF599E"/>
    <w:rsid w:val="00EF7881"/>
    <w:rsid w:val="00F03FEB"/>
    <w:rsid w:val="00F0563E"/>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EndnoteText">
    <w:name w:val="endnote text"/>
    <w:basedOn w:val="Normal"/>
    <w:link w:val="EndnoteTextChar"/>
    <w:uiPriority w:val="99"/>
    <w:semiHidden/>
    <w:unhideWhenUsed/>
    <w:rsid w:val="00A726C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726C7"/>
    <w:rPr>
      <w:rFonts w:ascii="Times New Roman" w:hAnsi="Times New Roman"/>
      <w:noProof/>
      <w:sz w:val="20"/>
      <w:szCs w:val="20"/>
    </w:rPr>
  </w:style>
  <w:style w:type="character" w:styleId="EndnoteReference">
    <w:name w:val="endnote reference"/>
    <w:basedOn w:val="DefaultParagraphFont"/>
    <w:uiPriority w:val="99"/>
    <w:semiHidden/>
    <w:unhideWhenUsed/>
    <w:rsid w:val="00A726C7"/>
    <w:rPr>
      <w:vertAlign w:val="superscript"/>
    </w:rPr>
  </w:style>
  <w:style w:type="paragraph" w:styleId="DocumentMap">
    <w:name w:val="Document Map"/>
    <w:basedOn w:val="Normal"/>
    <w:link w:val="DocumentMapChar"/>
    <w:uiPriority w:val="99"/>
    <w:semiHidden/>
    <w:unhideWhenUsed/>
    <w:rsid w:val="001A250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A250D"/>
    <w:rPr>
      <w:rFonts w:ascii="Tahoma" w:hAnsi="Tahoma" w:cs="Tahoma"/>
      <w:noProof/>
      <w:sz w:val="16"/>
      <w:szCs w:val="16"/>
    </w:rPr>
  </w:style>
  <w:style w:type="paragraph" w:styleId="FootnoteText">
    <w:name w:val="footnote text"/>
    <w:basedOn w:val="Normal"/>
    <w:link w:val="FootnoteTextChar"/>
    <w:uiPriority w:val="99"/>
    <w:semiHidden/>
    <w:unhideWhenUsed/>
    <w:rsid w:val="00655450"/>
    <w:pPr>
      <w:spacing w:after="0" w:line="240" w:lineRule="auto"/>
      <w:jc w:val="both"/>
    </w:pPr>
    <w:rPr>
      <w:rFonts w:eastAsia="Times New Roman" w:cs="Times New Roman"/>
      <w:noProof w:val="0"/>
      <w:sz w:val="20"/>
      <w:szCs w:val="20"/>
      <w:lang w:val="en-US"/>
    </w:rPr>
  </w:style>
  <w:style w:type="character" w:customStyle="1" w:styleId="FootnoteTextChar">
    <w:name w:val="Footnote Text Char"/>
    <w:basedOn w:val="DefaultParagraphFont"/>
    <w:link w:val="FootnoteText"/>
    <w:uiPriority w:val="99"/>
    <w:semiHidden/>
    <w:rsid w:val="00655450"/>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655450"/>
    <w:rPr>
      <w:vertAlign w:val="superscript"/>
    </w:rPr>
  </w:style>
</w:styles>
</file>

<file path=word/webSettings.xml><?xml version="1.0" encoding="utf-8"?>
<w:webSettings xmlns:r="http://schemas.openxmlformats.org/officeDocument/2006/relationships" xmlns:w="http://schemas.openxmlformats.org/wordprocessingml/2006/main">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896209355">
                      <w:marLeft w:val="0"/>
                      <w:marRight w:val="0"/>
                      <w:marTop w:val="0"/>
                      <w:marBottom w:val="0"/>
                      <w:divBdr>
                        <w:top w:val="none" w:sz="0" w:space="0" w:color="auto"/>
                        <w:left w:val="none" w:sz="0" w:space="0" w:color="auto"/>
                        <w:bottom w:val="none" w:sz="0" w:space="0" w:color="auto"/>
                        <w:right w:val="none" w:sz="0" w:space="0" w:color="auto"/>
                      </w:divBdr>
                    </w:div>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15365181">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diva-portal.org/smash/get/diva2:1456024/FULLTEXT01.pdf" TargetMode="External"/><Relationship Id="rId26" Type="http://schemas.openxmlformats.org/officeDocument/2006/relationships/hyperlink" Target="https://www.nature.com/articles/s41541-021-00327-2" TargetMode="External"/><Relationship Id="rId39" Type="http://schemas.openxmlformats.org/officeDocument/2006/relationships/hyperlink" Target="https://economictimes.indiatimes.com/news/economy/indicators/indias-unemployment-rate-rises-to-3-month-high-of-7-8-pc-in-march-cmie/articleshow/99173434.cms" TargetMode="External"/><Relationship Id="rId3" Type="http://schemas.openxmlformats.org/officeDocument/2006/relationships/numbering" Target="numbering.xml"/><Relationship Id="rId21" Type="http://schemas.openxmlformats.org/officeDocument/2006/relationships/hyperlink" Target="https://www.mdpi.com/1962748" TargetMode="External"/><Relationship Id="rId34" Type="http://schemas.openxmlformats.org/officeDocument/2006/relationships/hyperlink" Target="https://eprints.soas.ac.uk/38560/1/from-financialisation-to-innovation-in-uk-big-pharma.pdf" TargetMode="External"/><Relationship Id="rId42"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journals.sagepub.com/doi/pdf/10.1177/2631309X211050013" TargetMode="External"/><Relationship Id="rId33" Type="http://schemas.openxmlformats.org/officeDocument/2006/relationships/hyperlink" Target="https://papers.ssrn.com/sol3/papers.cfm?abstract_id=3895292" TargetMode="External"/><Relationship Id="rId38" Type="http://schemas.openxmlformats.org/officeDocument/2006/relationships/hyperlink" Target="https://economictimes.indiatimes.com/news/india/number-of-poor-people-in-india-fell-by-about-415-mn-between-2005-06-and-2019-21-a-historic-change-un/articleshow/94910830.cms?from=mdr"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ejournal.aibpmjournals.com/index.php/JCDA/article/view/1868" TargetMode="External"/><Relationship Id="rId29" Type="http://schemas.openxmlformats.org/officeDocument/2006/relationships/hyperlink" Target="https://www.mdpi.com/1074744" TargetMode="External"/><Relationship Id="rId41" Type="http://schemas.openxmlformats.org/officeDocument/2006/relationships/hyperlink" Target="https://www.statista.com/statistics/1156005/india-income-and-corporation-tax-revenu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gh.bmj.com/content/6/12/e007321.abstract" TargetMode="External"/><Relationship Id="rId32" Type="http://schemas.openxmlformats.org/officeDocument/2006/relationships/hyperlink" Target="https://www.globalpresshub.com/index.php/AJEFM/article/download/1656/1414" TargetMode="External"/><Relationship Id="rId37" Type="http://schemas.openxmlformats.org/officeDocument/2006/relationships/hyperlink" Target="https://www.economicdynamics.org/wp-content/uploads/Stokey-Technology-Diffusion-SED-2018.pdf" TargetMode="External"/><Relationship Id="rId40" Type="http://schemas.openxmlformats.org/officeDocument/2006/relationships/hyperlink" Target="https://www.ons.gov.uk/economy/inflationandpriceindices/bulletins/consumerpriceinflation/february2023"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run.unl.pt/handle/10362/144641" TargetMode="External"/><Relationship Id="rId28" Type="http://schemas.openxmlformats.org/officeDocument/2006/relationships/hyperlink" Target="https://msamsj.journals.ekb.eg/article_276702.html" TargetMode="External"/><Relationship Id="rId36" Type="http://schemas.openxmlformats.org/officeDocument/2006/relationships/hyperlink" Target="https://www.jsr.org/hs/index.php/path/article/download/2068/861" TargetMode="External"/><Relationship Id="rId10" Type="http://schemas.openxmlformats.org/officeDocument/2006/relationships/image" Target="media/image2.jpeg"/><Relationship Id="rId19" Type="http://schemas.openxmlformats.org/officeDocument/2006/relationships/hyperlink" Target="https://ejournal.aibpmjournals.com/index.php/JCDA/article/viewFile/1868/1888" TargetMode="External"/><Relationship Id="rId31" Type="http://schemas.openxmlformats.org/officeDocument/2006/relationships/hyperlink" Target="https://www.sofieenterprises.org/files/Exhibit_12_Corrected_Guardian_Article__confirming_the_Gates_influence_and_narrative_.pdf"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books.google.com/books?hl=en&amp;lr=&amp;id=rHWVEAAAQBAJ&amp;oi=fnd&amp;pg=PP1&amp;dq=Intellectual+property+laws++by+UK&amp;ots=-Rlpu1p6hl&amp;sig=pN0owHpBlEo46QaIPn25IZm44ZM" TargetMode="External"/><Relationship Id="rId27" Type="http://schemas.openxmlformats.org/officeDocument/2006/relationships/hyperlink" Target="https://odr.chalmers.se/handle/20.500.12380/300964" TargetMode="External"/><Relationship Id="rId30" Type="http://schemas.openxmlformats.org/officeDocument/2006/relationships/hyperlink" Target="https://www.ejbmr.org/index.php/ejbmr/article/download/1201/652" TargetMode="External"/><Relationship Id="rId35" Type="http://schemas.openxmlformats.org/officeDocument/2006/relationships/hyperlink" Target="https://www.bmj.com/content/372/bmj.n699/rapid-responses?int_source=trendmd&amp;int_medium=cpc&amp;int_campaign=usage-042019" TargetMode="External"/><Relationship Id="rId43" Type="http://schemas.openxmlformats.org/officeDocument/2006/relationships/footer" Target="footer1.xml"/></Relationships>
</file>

<file path=word/_rels/endnotes.xml.rels><?xml version="1.0" encoding="UTF-8" standalone="yes"?>
<Relationships xmlns="http://schemas.openxmlformats.org/package/2006/relationships"><Relationship Id="rId2" Type="http://schemas.openxmlformats.org/officeDocument/2006/relationships/hyperlink" Target="https://www.astrazeneca.com/our-company.html" TargetMode="External"/><Relationship Id="rId1" Type="http://schemas.openxmlformats.org/officeDocument/2006/relationships/hyperlink" Target="https://www.drugwatch.com/manufacturers/astrazene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1</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E78711-AE5D-4579-B348-1449FFFB4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2206</TotalTime>
  <Pages>35</Pages>
  <Words>7502</Words>
  <Characters>42762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50164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keywords/>
  <dc:description/>
  <cp:lastModifiedBy>Raj Bariya</cp:lastModifiedBy>
  <cp:revision>1</cp:revision>
  <cp:lastPrinted>2020-05-15T21:08:00Z</cp:lastPrinted>
  <dcterms:created xsi:type="dcterms:W3CDTF">2020-05-17T20:39:00Z</dcterms:created>
  <dcterms:modified xsi:type="dcterms:W3CDTF">2023-05-03T14:37:00Z</dcterms:modified>
</cp:coreProperties>
</file>