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C667A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64320">
              <w:rPr>
                <w:b/>
                <w:color w:val="auto"/>
                <w:sz w:val="32"/>
              </w:rPr>
              <w:t>Jaco</w:t>
            </w:r>
            <w:r w:rsidR="00FE0AB3">
              <w:rPr>
                <w:b/>
                <w:color w:val="auto"/>
                <w:sz w:val="32"/>
              </w:rPr>
              <w:t>b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060117C" w:rsidR="005A1BA3" w:rsidRDefault="00FE0AB3" w:rsidP="00340E9A">
            <w:pPr>
              <w:overflowPunct/>
              <w:autoSpaceDE/>
              <w:autoSpaceDN/>
              <w:adjustRightInd/>
              <w:ind w:right="237"/>
              <w:textAlignment w:val="auto"/>
              <w:rPr>
                <w:b/>
                <w:color w:val="auto"/>
                <w:sz w:val="32"/>
              </w:rPr>
            </w:pPr>
            <w:r>
              <w:rPr>
                <w:b/>
                <w:color w:val="auto"/>
                <w:sz w:val="32"/>
              </w:rPr>
              <w:t>1816533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B64320">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B64320">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70242D8" w14:textId="0C339A01" w:rsidR="00B64320" w:rsidRDefault="00B64320" w:rsidP="00B64320">
      <w:pPr>
        <w:rPr>
          <w:sz w:val="24"/>
        </w:rPr>
      </w:pPr>
      <w:r>
        <w:rPr>
          <w:sz w:val="24"/>
        </w:rPr>
        <w:t>Throughout the past 12 weeks during which I have been in my tutorship period, there has been the need for me to use a number of different strategies in order to develop my resilience and minimise any stress levels that I may have as a result of the work undertaken.</w:t>
      </w:r>
    </w:p>
    <w:p w14:paraId="32A7CDA3" w14:textId="77777777" w:rsidR="00B64320" w:rsidRDefault="00B64320" w:rsidP="00B64320">
      <w:pPr>
        <w:rPr>
          <w:sz w:val="24"/>
        </w:rPr>
      </w:pPr>
    </w:p>
    <w:p w14:paraId="4CCB049A" w14:textId="5006E745" w:rsidR="00B64320" w:rsidRDefault="00B64320" w:rsidP="00B64320">
      <w:pPr>
        <w:rPr>
          <w:sz w:val="24"/>
        </w:rPr>
      </w:pPr>
      <w:r>
        <w:rPr>
          <w:sz w:val="24"/>
        </w:rPr>
        <w:t>One of the main ways in which I have been able to cope with stress over the last 12 weeks is by maintaining a good level of time management.  This enables me to lower the risk of a workload becoming overbearing and enables me to be aware of exactly what I am dealing with on a daily basis.</w:t>
      </w:r>
    </w:p>
    <w:p w14:paraId="33E31BAF" w14:textId="77777777" w:rsidR="00B64320" w:rsidRDefault="00B64320" w:rsidP="00B64320">
      <w:pPr>
        <w:rPr>
          <w:sz w:val="24"/>
        </w:rPr>
      </w:pPr>
    </w:p>
    <w:p w14:paraId="237C6143" w14:textId="38171946" w:rsidR="00B64320" w:rsidRDefault="00B64320" w:rsidP="00B64320">
      <w:pPr>
        <w:rPr>
          <w:sz w:val="24"/>
        </w:rPr>
      </w:pPr>
      <w:r>
        <w:rPr>
          <w:sz w:val="24"/>
        </w:rPr>
        <w:t>There are studies that show that by setting realistic goals in relation to the workload that you carry can really assist in containing the level of work and stress that can be experienced.  This ensures that deadlines are more likely to be met as the level of work being handled is not unmanageable.  Therefore, rather than aiming to get all of my work done as soon as possible, it is far more effective to set goals which are achievable, meaning that there is more sense of pride and satisfaction when those goals are met (Mayo Clinic Staff, 2019).</w:t>
      </w:r>
    </w:p>
    <w:p w14:paraId="6931575D" w14:textId="77777777" w:rsidR="00B64320" w:rsidRDefault="00B64320" w:rsidP="00B64320">
      <w:pPr>
        <w:rPr>
          <w:sz w:val="24"/>
        </w:rPr>
      </w:pPr>
    </w:p>
    <w:p w14:paraId="75AC0E98" w14:textId="212DB898" w:rsidR="00B64320" w:rsidRDefault="00B64320" w:rsidP="00B64320">
      <w:pPr>
        <w:rPr>
          <w:rFonts w:cstheme="minorHAnsi"/>
          <w:sz w:val="24"/>
          <w:szCs w:val="24"/>
        </w:rPr>
      </w:pPr>
      <w:r>
        <w:rPr>
          <w:sz w:val="24"/>
        </w:rPr>
        <w:t xml:space="preserve">As well as having to manage a workload, I have also had to adapt to the culture of the organisation that I have become immersed in.  Policing in its whole is a totally different concept to any other form of occupation, which means that adapting to the organisation is a must.  In order to do this, I have ensured that I always approach work with a positive attitude which enables me to hit situations head on and gain invaluable experience from each incident that I deal with.  Also, I ensure that I am always flexible when dealing with issues that I face during work life.  By being flexible, it means that even with adapting to the culture of the organisation, I am able to deal with situations that I face even if they are uncomfortable </w:t>
      </w:r>
      <w:r w:rsidRPr="004A4EC9">
        <w:rPr>
          <w:rFonts w:cstheme="minorHAnsi"/>
          <w:sz w:val="24"/>
        </w:rPr>
        <w:t xml:space="preserve">to </w:t>
      </w:r>
      <w:r w:rsidRPr="004A4EC9">
        <w:rPr>
          <w:rFonts w:cstheme="minorHAnsi"/>
          <w:sz w:val="24"/>
          <w:szCs w:val="24"/>
        </w:rPr>
        <w:t xml:space="preserve">myself </w:t>
      </w:r>
      <w:r>
        <w:rPr>
          <w:rFonts w:cstheme="minorHAnsi"/>
          <w:sz w:val="24"/>
          <w:szCs w:val="24"/>
        </w:rPr>
        <w:t>(Juneja, 2019).</w:t>
      </w:r>
    </w:p>
    <w:p w14:paraId="720F5670" w14:textId="77777777" w:rsidR="00B64320" w:rsidRDefault="00B64320" w:rsidP="00B64320">
      <w:pPr>
        <w:rPr>
          <w:rFonts w:cstheme="minorHAnsi"/>
          <w:sz w:val="24"/>
          <w:szCs w:val="24"/>
        </w:rPr>
      </w:pPr>
    </w:p>
    <w:p w14:paraId="64B8D374" w14:textId="5ACC36A8" w:rsidR="00B64320" w:rsidRDefault="00B64320" w:rsidP="00B64320">
      <w:pPr>
        <w:rPr>
          <w:rFonts w:cstheme="minorHAnsi"/>
          <w:sz w:val="24"/>
          <w:szCs w:val="24"/>
        </w:rPr>
      </w:pPr>
      <w:r>
        <w:rPr>
          <w:rFonts w:cstheme="minorHAnsi"/>
          <w:sz w:val="24"/>
          <w:szCs w:val="24"/>
        </w:rPr>
        <w:t xml:space="preserve">Finally, perhaps the biggest change that I have had to cope with in the past 12 weeks is the shift pattern which I am part of as a response officer.  Working different shifts at unsocial times of the day can take its toll on the body if the correct steps are </w:t>
      </w:r>
      <w:r>
        <w:rPr>
          <w:rFonts w:cstheme="minorHAnsi"/>
          <w:sz w:val="24"/>
          <w:szCs w:val="24"/>
        </w:rPr>
        <w:lastRenderedPageBreak/>
        <w:t>not taken to ensure that you are well rested in between shifts.  The main strategy that I have utilised to make sure that I have a satisfactory sleep, particularly after working a whole night shift or until the early hours of the morning, is to maintain a healthy, balanced diet.  It has been proven that if a healthy balanced diet is maintained, it significantly increased the likelihood of having a deeper sleep.  Eating at the correct time ensures that I have energy when I need it, for when I am in work, and also that I am able to rest effectively when the shift has ended.  This enables me to maximise the amount of rest that I am getting in between shifts (Health and Safety Executive, 2019).</w:t>
      </w:r>
    </w:p>
    <w:p w14:paraId="6759AC49" w14:textId="77777777" w:rsidR="00B64320" w:rsidRDefault="00B64320" w:rsidP="00B64320">
      <w:pPr>
        <w:rPr>
          <w:rFonts w:cstheme="minorHAnsi"/>
          <w:sz w:val="24"/>
          <w:szCs w:val="24"/>
        </w:rPr>
      </w:pPr>
    </w:p>
    <w:p w14:paraId="2194FB42" w14:textId="690C7FCE" w:rsidR="00B64320" w:rsidRDefault="00B64320" w:rsidP="00B64320">
      <w:pPr>
        <w:rPr>
          <w:rFonts w:cstheme="minorHAnsi"/>
          <w:sz w:val="24"/>
          <w:szCs w:val="24"/>
        </w:rPr>
      </w:pPr>
      <w:r>
        <w:rPr>
          <w:rFonts w:cstheme="minorHAnsi"/>
          <w:sz w:val="24"/>
          <w:szCs w:val="24"/>
        </w:rPr>
        <w:t>Overall, the 12 weeks in which I have been tutored have been a massive learning curve for myself when adapting to the role of a constable.  I have had to learn to manage my time effectively to ensure that I keep on top of my workload, as well as balancing the necessity for rest in between the shifts that I work.  In summary, I am enjoying the challenge that has been posed to me in the past 12 weeks, and I am aiming to maintain the strategies that I have developed throughout the rest of my working life.</w:t>
      </w:r>
    </w:p>
    <w:p w14:paraId="1F8FF946" w14:textId="77777777" w:rsidR="00B64320" w:rsidRDefault="00B64320" w:rsidP="00B64320">
      <w:pPr>
        <w:rPr>
          <w:rFonts w:cstheme="minorHAnsi"/>
          <w:sz w:val="24"/>
          <w:szCs w:val="24"/>
        </w:rPr>
      </w:pPr>
    </w:p>
    <w:p w14:paraId="6B77DEF4" w14:textId="77777777" w:rsidR="00B64320" w:rsidRPr="007F16EF" w:rsidRDefault="00B64320" w:rsidP="00B64320">
      <w:pPr>
        <w:rPr>
          <w:b/>
          <w:sz w:val="24"/>
        </w:rPr>
      </w:pPr>
      <w:r>
        <w:rPr>
          <w:rFonts w:cstheme="minorHAnsi"/>
          <w:b/>
          <w:sz w:val="24"/>
          <w:szCs w:val="24"/>
        </w:rPr>
        <w:t>621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E0AB3">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E14EF11" w14:textId="78134C5F" w:rsidR="00B64320" w:rsidRDefault="00B64320" w:rsidP="00B64320">
      <w:pPr>
        <w:rPr>
          <w:sz w:val="24"/>
        </w:rPr>
      </w:pPr>
      <w:r>
        <w:rPr>
          <w:sz w:val="24"/>
        </w:rPr>
        <w:t>In this task, I will explain and demonstrate how I used effective communication when dealing with the persons involved in this incident.  I will also demonstrate how the vulnerabilities of individuals are managed when the police are engaging with them and establish how the police adhere to the code of ethics at all times when executing their duty.</w:t>
      </w:r>
    </w:p>
    <w:p w14:paraId="1765CB02" w14:textId="77777777" w:rsidR="00B64320" w:rsidRDefault="00B64320" w:rsidP="00B64320">
      <w:pPr>
        <w:rPr>
          <w:sz w:val="24"/>
        </w:rPr>
      </w:pPr>
    </w:p>
    <w:p w14:paraId="5424102E" w14:textId="53750DA1" w:rsidR="00B64320" w:rsidRDefault="00B64320" w:rsidP="00B64320">
      <w:pPr>
        <w:rPr>
          <w:sz w:val="24"/>
        </w:rPr>
      </w:pPr>
      <w:r>
        <w:rPr>
          <w:sz w:val="24"/>
        </w:rPr>
        <w:t xml:space="preserve">The incident in question involved a female who was suffering from a mental health episode inside her home address, and was refusing to engage with police or ambulance staff at all.  The female was becoming increasingly agitated when we were at her address, and she did not appear to have the capacity to make her own decisions.  As a result, a mental health team attended her address to make an assessment, and during this whole time I managed to develop enough of a rapport with her to put her at ease.  I did this through using different communication methods, something which enabled me to talk to her and explain why she needed </w:t>
      </w:r>
      <w:r>
        <w:rPr>
          <w:sz w:val="24"/>
        </w:rPr>
        <w:lastRenderedPageBreak/>
        <w:t>help.  This resulted in her accepting that she needed to seek help and we conveyed her to a mental health unit at a hospital where she received treatment.</w:t>
      </w:r>
    </w:p>
    <w:p w14:paraId="4C98B1AE" w14:textId="77777777" w:rsidR="00B64320" w:rsidRDefault="00B64320" w:rsidP="00B64320">
      <w:pPr>
        <w:rPr>
          <w:sz w:val="24"/>
        </w:rPr>
      </w:pPr>
    </w:p>
    <w:p w14:paraId="068D869D" w14:textId="6111B293" w:rsidR="00B64320" w:rsidRDefault="00B64320" w:rsidP="00B64320">
      <w:pPr>
        <w:rPr>
          <w:sz w:val="24"/>
        </w:rPr>
      </w:pPr>
      <w:r>
        <w:rPr>
          <w:sz w:val="24"/>
        </w:rPr>
        <w:t>Initially, the female in question was completely inconsolable when I arrived at the scene.  She was crying hysterically and was sitting in the corner of her living room and would not speak to anybody, including ambulance staff who were already on scene.</w:t>
      </w:r>
    </w:p>
    <w:p w14:paraId="7EFCAC82" w14:textId="77777777" w:rsidR="00B64320" w:rsidRDefault="00B64320" w:rsidP="00B64320">
      <w:pPr>
        <w:rPr>
          <w:sz w:val="24"/>
        </w:rPr>
      </w:pPr>
    </w:p>
    <w:p w14:paraId="7E71D699" w14:textId="1F2119DD" w:rsidR="00B64320" w:rsidRDefault="00B64320" w:rsidP="00B64320">
      <w:pPr>
        <w:rPr>
          <w:sz w:val="24"/>
        </w:rPr>
      </w:pPr>
      <w:r>
        <w:rPr>
          <w:sz w:val="24"/>
        </w:rPr>
        <w:t>It has been found that an unbelievable 55% of the message which a person tries to get across comes from the body language and non-verbal communications of the person trying to communicate. Conversely, only 7% of the message that we want to convey to a person comes from what we speak.  This is staggering, and means that people should always be mindful of the message that they are conveying with their body language when talking to people (Managing Mental Health Matters, 2018).</w:t>
      </w:r>
    </w:p>
    <w:p w14:paraId="53E9F9F1" w14:textId="77777777" w:rsidR="00B64320" w:rsidRDefault="00B64320" w:rsidP="00B64320">
      <w:pPr>
        <w:rPr>
          <w:sz w:val="24"/>
        </w:rPr>
      </w:pPr>
    </w:p>
    <w:p w14:paraId="7042BA2B" w14:textId="4831A7DA" w:rsidR="00B64320" w:rsidRDefault="00B64320" w:rsidP="00B64320">
      <w:pPr>
        <w:rPr>
          <w:sz w:val="24"/>
        </w:rPr>
      </w:pPr>
      <w:r>
        <w:rPr>
          <w:sz w:val="24"/>
        </w:rPr>
        <w:t>Therefore, from being aware of this, I knew that little of what I actually said to the female would have any impact on her state of mind.  Instead, I decided that I would approach the female and exert a calm manner towards her.  This meant that I had to get to within her personal space, something which could have either calmed her down or make her more hysterical.  Luckily, I was able to get close to her so that I could talk calmly to her and show that I was no threat.  This enabled me to build a rapport with her, and over a period of time, I was able to calm her down and she eventually opened up and began speaking to police and ambulance who were at the scene.</w:t>
      </w:r>
    </w:p>
    <w:p w14:paraId="340139B3" w14:textId="77777777" w:rsidR="00B64320" w:rsidRDefault="00B64320" w:rsidP="00B64320">
      <w:pPr>
        <w:rPr>
          <w:sz w:val="24"/>
        </w:rPr>
      </w:pPr>
    </w:p>
    <w:p w14:paraId="4AECF6EF" w14:textId="5C9372BD" w:rsidR="00B64320" w:rsidRDefault="00B64320" w:rsidP="00B64320">
      <w:pPr>
        <w:rPr>
          <w:sz w:val="24"/>
        </w:rPr>
      </w:pPr>
      <w:r>
        <w:rPr>
          <w:sz w:val="24"/>
        </w:rPr>
        <w:t>When the female began to want to engage with personnel on the scene, it meant that I was able to ask a variety of open and closed questions to her to enable us to gain an understanding of how she got into the position and state of mind that she was in.</w:t>
      </w:r>
    </w:p>
    <w:p w14:paraId="1FA5A5F0" w14:textId="77777777" w:rsidR="00B64320" w:rsidRDefault="00B64320" w:rsidP="00B64320">
      <w:pPr>
        <w:rPr>
          <w:sz w:val="24"/>
        </w:rPr>
      </w:pPr>
    </w:p>
    <w:p w14:paraId="7FCA1DA4" w14:textId="09EAC35D" w:rsidR="00B64320" w:rsidRDefault="00B64320" w:rsidP="00B64320">
      <w:pPr>
        <w:rPr>
          <w:sz w:val="24"/>
        </w:rPr>
      </w:pPr>
      <w:r>
        <w:rPr>
          <w:sz w:val="24"/>
        </w:rPr>
        <w:t>Due to the rapport that I had built up with her initially at the call, she was able to go into detail about the events that had recently occurred in her life which made her feel that she did not want to be alive any more.  I was able to listen and constantly maintain positive and reassuring body language to enable her to feel at ease and believe that I was fully concentrated on what she was telling me.</w:t>
      </w:r>
    </w:p>
    <w:p w14:paraId="0E558102" w14:textId="77777777" w:rsidR="00B64320" w:rsidRDefault="00B64320" w:rsidP="00B64320">
      <w:pPr>
        <w:rPr>
          <w:sz w:val="24"/>
        </w:rPr>
      </w:pPr>
    </w:p>
    <w:p w14:paraId="07E00F39" w14:textId="141CAA61" w:rsidR="00B64320" w:rsidRDefault="00B64320" w:rsidP="00B64320">
      <w:pPr>
        <w:rPr>
          <w:sz w:val="24"/>
        </w:rPr>
      </w:pPr>
      <w:r>
        <w:rPr>
          <w:sz w:val="24"/>
        </w:rPr>
        <w:t>When a person is clearly vulnerable and in need of safeguarding, there are a number of considerations that the police need to make.</w:t>
      </w:r>
    </w:p>
    <w:p w14:paraId="2AC11186" w14:textId="77777777" w:rsidR="00B64320" w:rsidRDefault="00B64320" w:rsidP="00B64320">
      <w:pPr>
        <w:rPr>
          <w:sz w:val="24"/>
        </w:rPr>
      </w:pPr>
    </w:p>
    <w:p w14:paraId="39B4ADE3" w14:textId="0ADA6530" w:rsidR="00B64320" w:rsidRDefault="00B64320" w:rsidP="00B64320">
      <w:pPr>
        <w:rPr>
          <w:sz w:val="24"/>
        </w:rPr>
      </w:pPr>
      <w:r>
        <w:rPr>
          <w:sz w:val="24"/>
        </w:rPr>
        <w:t>Firstly, if a person is in a public place and is suffering from a mental health disorder and is in immediate need of care and control, then the police can detain them themselves under Section 136 Mental Health Act 1983 (MHA 1983).  However, if a person is in their own property, or a property in which they are living, then this piece of legislation cannot be used.</w:t>
      </w:r>
    </w:p>
    <w:p w14:paraId="7768A545" w14:textId="77777777" w:rsidR="00B64320" w:rsidRDefault="00B64320" w:rsidP="00B64320">
      <w:pPr>
        <w:rPr>
          <w:sz w:val="24"/>
        </w:rPr>
      </w:pPr>
    </w:p>
    <w:p w14:paraId="637FAF6F" w14:textId="367CE353" w:rsidR="00B64320" w:rsidRDefault="00B64320" w:rsidP="00B64320">
      <w:pPr>
        <w:rPr>
          <w:sz w:val="24"/>
        </w:rPr>
      </w:pPr>
      <w:r>
        <w:rPr>
          <w:sz w:val="24"/>
        </w:rPr>
        <w:t>Therefore, in this incident, due to the female being in her own property, this could not be used even though she was in need of immediate care and control due to her expressing the wish to commit suicide.</w:t>
      </w:r>
    </w:p>
    <w:p w14:paraId="7029AD5C" w14:textId="77777777" w:rsidR="00B64320" w:rsidRDefault="00B64320" w:rsidP="00B64320">
      <w:pPr>
        <w:rPr>
          <w:sz w:val="24"/>
        </w:rPr>
      </w:pPr>
    </w:p>
    <w:p w14:paraId="347A2A97" w14:textId="75A9303F" w:rsidR="00B64320" w:rsidRDefault="00B64320" w:rsidP="00B64320">
      <w:pPr>
        <w:rPr>
          <w:sz w:val="24"/>
        </w:rPr>
      </w:pPr>
      <w:r>
        <w:rPr>
          <w:sz w:val="24"/>
        </w:rPr>
        <w:lastRenderedPageBreak/>
        <w:t>Due to this, arrangements had to be made for the community mental health team to attend her address and make an assessment there, in the presence of police officers.  When this had been undertaken, the approved mental health practitioner decided that they would apply for a Section 135 MHA 1983 warrant, which then gives police the power to remove a person from their property and take them to a place of safety to receive treatment (Mind, 2017).</w:t>
      </w:r>
    </w:p>
    <w:p w14:paraId="76ACD639" w14:textId="77777777" w:rsidR="00B64320" w:rsidRDefault="00B64320" w:rsidP="00B64320">
      <w:pPr>
        <w:rPr>
          <w:sz w:val="24"/>
        </w:rPr>
      </w:pPr>
    </w:p>
    <w:p w14:paraId="4DC0A099" w14:textId="3D9DF157" w:rsidR="00B64320" w:rsidRDefault="00B64320" w:rsidP="00B64320">
      <w:pPr>
        <w:rPr>
          <w:sz w:val="24"/>
        </w:rPr>
      </w:pPr>
      <w:r>
        <w:rPr>
          <w:sz w:val="24"/>
        </w:rPr>
        <w:t>When responding to calls such as these, it is vital that the THRIVE approach is considered.  THRIVE stands for; threat, harm, risk, investigation, vulnerability, engagement.  This model can be used to base and justify the policing response to an incident and furthermore the grading which each call is given.  This particular incident was graded as an immediate response call due to the threat that the person was posing to themselves.  Due to this high threat level, comes with a high risk of harm coming to the person.  The vulnerabilities of the individual were identified as the female had come to police attention previously due to mental health issues, so it was established that she was in a vulnerable state of mind and in need of urgent care and help from the emergency services.  The THRIVE model really aids police in understanding what the response should be to incidents, and also gives police the tool to better plan and prepare for what situation may be facing them when they arrive at a scene (North Yorkshire Police, 2019).</w:t>
      </w:r>
    </w:p>
    <w:p w14:paraId="6F406594" w14:textId="77777777" w:rsidR="00B64320" w:rsidRDefault="00B64320" w:rsidP="00B64320">
      <w:pPr>
        <w:rPr>
          <w:sz w:val="24"/>
        </w:rPr>
      </w:pPr>
    </w:p>
    <w:p w14:paraId="71DDDAD5" w14:textId="013F1AC3" w:rsidR="00B64320" w:rsidRDefault="00B64320" w:rsidP="00B64320">
      <w:pPr>
        <w:rPr>
          <w:sz w:val="24"/>
        </w:rPr>
      </w:pPr>
      <w:r>
        <w:rPr>
          <w:sz w:val="24"/>
        </w:rPr>
        <w:t>At incidents such as these, it is important to remember and prioritise the welfare of the individual whom is in need of help.  Therefore, the police are taught to always treat each and every individual whom they come into contact with with respect and as an individual.  This allows each person to feel valued for who they are and begins more of a trusting relationship between an officer and the service user.</w:t>
      </w:r>
    </w:p>
    <w:p w14:paraId="6CF2516D" w14:textId="77777777" w:rsidR="00B64320" w:rsidRDefault="00B64320" w:rsidP="00B64320">
      <w:pPr>
        <w:rPr>
          <w:sz w:val="24"/>
        </w:rPr>
      </w:pPr>
    </w:p>
    <w:p w14:paraId="672101A2" w14:textId="12DF54E4" w:rsidR="00B64320" w:rsidRDefault="00B64320" w:rsidP="00B64320">
      <w:pPr>
        <w:rPr>
          <w:sz w:val="24"/>
        </w:rPr>
      </w:pPr>
      <w:r>
        <w:rPr>
          <w:sz w:val="24"/>
        </w:rPr>
        <w:t>Perhaps the most important thing to remember when dealing with the public, especially those who are suffering from an acute mental health disorder, is still aiming to protect their human rights as much as is physically possible.  The Human Rights Act 1998 (HRA 1998) is a piece of legislation brought into law from the European Convention of Human Rights.  There are a number of rights which a person is entitled to.  However, there are occasions whereby a person’s human rights can be interfered with, if it is done within the law and it is deemed necessary and proportionate to do so at the time (Liberty, 2019).</w:t>
      </w:r>
    </w:p>
    <w:p w14:paraId="1CC8617B" w14:textId="77777777" w:rsidR="00B64320" w:rsidRDefault="00B64320" w:rsidP="00B64320">
      <w:pPr>
        <w:rPr>
          <w:sz w:val="24"/>
        </w:rPr>
      </w:pPr>
    </w:p>
    <w:p w14:paraId="78487F30" w14:textId="3499F3CB" w:rsidR="00B64320" w:rsidRDefault="00B64320" w:rsidP="00B64320">
      <w:pPr>
        <w:rPr>
          <w:sz w:val="24"/>
        </w:rPr>
      </w:pPr>
      <w:r>
        <w:rPr>
          <w:sz w:val="24"/>
        </w:rPr>
        <w:t>In this incident for example, the mental health professional was happy to obtain a Section 135 MHA warrant to allow us to remove the female from the property.  This would be a breach of her human rights but due to her expressing tendencies to commit suicide, it would have been done in her best interests and for her, meaning that the HRA 1998 would not have been breached.</w:t>
      </w:r>
    </w:p>
    <w:p w14:paraId="112A755C" w14:textId="77777777" w:rsidR="00B64320" w:rsidRDefault="00B64320" w:rsidP="00B64320">
      <w:pPr>
        <w:rPr>
          <w:sz w:val="24"/>
        </w:rPr>
      </w:pPr>
    </w:p>
    <w:p w14:paraId="10443E64" w14:textId="2BC59F3E" w:rsidR="00B64320" w:rsidRDefault="00B64320" w:rsidP="00B64320">
      <w:pPr>
        <w:rPr>
          <w:sz w:val="24"/>
        </w:rPr>
      </w:pPr>
      <w:r>
        <w:rPr>
          <w:sz w:val="24"/>
        </w:rPr>
        <w:t>However, due to the rapport that I had built with the female, I was able to explain all of the options that we had to undertake with her.  This included detaining her under Section 135 MHA, or if she was to agree to attend a mental health assessment voluntarily then we could facilitate that also.</w:t>
      </w:r>
    </w:p>
    <w:p w14:paraId="577AE603" w14:textId="77777777" w:rsidR="00B64320" w:rsidRDefault="00B64320" w:rsidP="00B64320">
      <w:pPr>
        <w:rPr>
          <w:sz w:val="24"/>
        </w:rPr>
      </w:pPr>
    </w:p>
    <w:p w14:paraId="251A2FD0" w14:textId="7E8993D2" w:rsidR="00B64320" w:rsidRDefault="00B64320" w:rsidP="00B64320">
      <w:pPr>
        <w:rPr>
          <w:sz w:val="24"/>
        </w:rPr>
      </w:pPr>
      <w:r>
        <w:rPr>
          <w:sz w:val="24"/>
        </w:rPr>
        <w:t xml:space="preserve">After a long discussion with the female, she agreed that she would voluntarily attend to have an assessment.  This meant that even though we were taking her to the </w:t>
      </w:r>
      <w:r>
        <w:rPr>
          <w:sz w:val="24"/>
        </w:rPr>
        <w:lastRenderedPageBreak/>
        <w:t>place of safety to have the assessment, she was not detained under any mental health legislation, which in turn maintained her human rights and allowed her to accept and want the help that she needed.</w:t>
      </w:r>
    </w:p>
    <w:p w14:paraId="7EF8CE7B" w14:textId="77777777" w:rsidR="00B64320" w:rsidRDefault="00B64320" w:rsidP="00B64320">
      <w:pPr>
        <w:rPr>
          <w:sz w:val="24"/>
        </w:rPr>
      </w:pPr>
    </w:p>
    <w:p w14:paraId="78A8FBDA" w14:textId="4AF56E55" w:rsidR="00B64320" w:rsidRDefault="00B64320" w:rsidP="00B64320">
      <w:pPr>
        <w:rPr>
          <w:sz w:val="24"/>
        </w:rPr>
      </w:pPr>
      <w:r>
        <w:rPr>
          <w:sz w:val="24"/>
        </w:rPr>
        <w:t>Overall, it can be seen that whilst dealing with any individual, but particularly those suffering from a mental health condition, it is of paramount importance that the vulnerability and safeguarding of the person is considered at all times.  Couple this with having to assess and think about the different legislation and powers that are available to the police, all services should work together to ensure that the most beneficial, but least intrusive, method of getting a person help is chosen.</w:t>
      </w:r>
    </w:p>
    <w:p w14:paraId="44967F28" w14:textId="77777777" w:rsidR="00B64320" w:rsidRDefault="00B64320" w:rsidP="00B64320">
      <w:pPr>
        <w:rPr>
          <w:sz w:val="24"/>
        </w:rPr>
      </w:pPr>
    </w:p>
    <w:p w14:paraId="05D2CA5E" w14:textId="77777777" w:rsidR="00B64320" w:rsidRPr="00E5778E" w:rsidRDefault="00B64320" w:rsidP="00B64320">
      <w:pPr>
        <w:rPr>
          <w:sz w:val="24"/>
        </w:rPr>
      </w:pPr>
      <w:r>
        <w:rPr>
          <w:b/>
          <w:sz w:val="24"/>
        </w:rPr>
        <w:t>1411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B4A0D51" w14:textId="46C06084" w:rsidR="00B64320" w:rsidRDefault="00B64320" w:rsidP="00B64320">
      <w:pPr>
        <w:rPr>
          <w:sz w:val="24"/>
        </w:rPr>
      </w:pPr>
      <w:r>
        <w:rPr>
          <w:sz w:val="24"/>
        </w:rPr>
        <w:t>During my service thus far as a police officer, I have been involved in a number of different incidents whereby an interview of a suspect was required.  In this writing, I will explain and evaluate my considerations when interviewing a suspect in line with PACE regulations and how policing values were engaged in the process.</w:t>
      </w:r>
    </w:p>
    <w:p w14:paraId="5D4391D3" w14:textId="77777777" w:rsidR="00B64320" w:rsidRDefault="00B64320" w:rsidP="00B64320">
      <w:pPr>
        <w:rPr>
          <w:sz w:val="24"/>
        </w:rPr>
      </w:pPr>
    </w:p>
    <w:p w14:paraId="02EDA230" w14:textId="2ED5CF74" w:rsidR="00B64320" w:rsidRDefault="00B64320" w:rsidP="00B64320">
      <w:pPr>
        <w:rPr>
          <w:sz w:val="24"/>
        </w:rPr>
      </w:pPr>
      <w:r>
        <w:rPr>
          <w:sz w:val="24"/>
        </w:rPr>
        <w:t>In this particular incident, I had cause to interview a suspect after they had been arrested for the offences of a domestic related common assault and malicious communications against their ex-partner.  The person was arrested by a colleague and I was tasked with interviewing the person for the offences.  The allegations against the person were that he had been in his ex-partner’s bed when he lashed out and struck her to the face, causing no visible injuries.  The person has then gone on to send threatening messages to their ex-partner in the following weeks after this assault, leading to the report being made to police.</w:t>
      </w:r>
    </w:p>
    <w:p w14:paraId="5B8451D5" w14:textId="77777777" w:rsidR="00B64320" w:rsidRDefault="00B64320" w:rsidP="00B64320">
      <w:pPr>
        <w:rPr>
          <w:sz w:val="24"/>
        </w:rPr>
      </w:pPr>
    </w:p>
    <w:p w14:paraId="7173C308" w14:textId="1A97CE00" w:rsidR="00B64320" w:rsidRDefault="00B64320" w:rsidP="00B64320">
      <w:pPr>
        <w:rPr>
          <w:sz w:val="24"/>
        </w:rPr>
      </w:pPr>
      <w:r>
        <w:rPr>
          <w:sz w:val="24"/>
        </w:rPr>
        <w:t xml:space="preserve">When a person is arrested, they will always be interviewed for the offences which they are under investigation for.  This interview provides the person with their opportunity to give their side of the story and offer up any defences which they may have towards the allegations.  Suspects are always offered the advice of a free solicitor for this process, who are there to enhance and maintain their legal rights.  </w:t>
      </w:r>
      <w:r>
        <w:rPr>
          <w:sz w:val="24"/>
        </w:rPr>
        <w:lastRenderedPageBreak/>
        <w:t>This practice is governed by codes C and E of PACE 1984, which lays out officer’s responsibilities to record and evidence the undertaking of an interview with a suspect (Home Office, 2019).</w:t>
      </w:r>
    </w:p>
    <w:p w14:paraId="4CC6A2F3" w14:textId="77777777" w:rsidR="00B64320" w:rsidRDefault="00B64320" w:rsidP="00B64320">
      <w:pPr>
        <w:rPr>
          <w:sz w:val="24"/>
        </w:rPr>
      </w:pPr>
    </w:p>
    <w:p w14:paraId="010E0193" w14:textId="5E636B73" w:rsidR="00B64320" w:rsidRDefault="00B64320" w:rsidP="00B64320">
      <w:pPr>
        <w:rPr>
          <w:sz w:val="24"/>
        </w:rPr>
      </w:pPr>
      <w:r>
        <w:rPr>
          <w:sz w:val="24"/>
        </w:rPr>
        <w:t>Before an interview is conducted with a suspect, there is a model of best practice which is used to plan and prepare for the interview itself.  This model is known as the PEACE model, which will be explained further below.</w:t>
      </w:r>
    </w:p>
    <w:p w14:paraId="271DFE5C" w14:textId="77777777" w:rsidR="00B64320" w:rsidRDefault="00B64320" w:rsidP="00B64320">
      <w:pPr>
        <w:rPr>
          <w:sz w:val="24"/>
        </w:rPr>
      </w:pPr>
    </w:p>
    <w:p w14:paraId="115F0B98" w14:textId="6FAB9D7F" w:rsidR="00B64320" w:rsidRDefault="00B64320" w:rsidP="00B64320">
      <w:pPr>
        <w:rPr>
          <w:sz w:val="24"/>
        </w:rPr>
      </w:pPr>
      <w:r>
        <w:rPr>
          <w:sz w:val="24"/>
        </w:rPr>
        <w:t>Firstly, it is imperative to sufficiently plan an interview with a suspect so that the officer is prepared for any eventualities.  Therefore, in the case which I dealt with, it was necessary for me to ensure that all evidence had been collected prior to the interview beginning.  As a result, I had to firstly collect all of the statements from witnesses that were required, as well as exhibiting any articles which I needed to put forward to the suspect in the interview.  This allows officers to be prepared for any eventuality when it comes to entering the interview.</w:t>
      </w:r>
    </w:p>
    <w:p w14:paraId="25C60DBF" w14:textId="77777777" w:rsidR="00B64320" w:rsidRDefault="00B64320" w:rsidP="00B64320">
      <w:pPr>
        <w:rPr>
          <w:sz w:val="24"/>
        </w:rPr>
      </w:pPr>
    </w:p>
    <w:p w14:paraId="064C79A0" w14:textId="77777777" w:rsidR="00B64320" w:rsidRDefault="00B64320" w:rsidP="00B64320">
      <w:pPr>
        <w:rPr>
          <w:sz w:val="24"/>
        </w:rPr>
      </w:pPr>
      <w:r>
        <w:rPr>
          <w:sz w:val="24"/>
        </w:rPr>
        <w:t>Also, I had to ensure that I considered the vulnerability of the suspect which I was interviewing.  An assessment needs to be made prior to entering interview as to whether the suspect is fit to be interviewed.  This decision is usually made between the interviewing officer and the custody sergeant.  If a person is deemed unfit to be interviewed due to a vulnerability that they may have, for example a mental health condition, then it is necessary to arrange an appropriate adult to sit in on the interview in order to monitor and care for the suspect.  It is not, however, the job of the appropriate adult to answer any of the questions posed to the suspect, they are simply there to further enhance the welfare of the suspect throughout the interview.</w:t>
      </w:r>
    </w:p>
    <w:p w14:paraId="3EE29EF8" w14:textId="2D25BFAD" w:rsidR="00B64320" w:rsidRDefault="00B64320" w:rsidP="00B64320">
      <w:pPr>
        <w:rPr>
          <w:sz w:val="24"/>
        </w:rPr>
      </w:pPr>
      <w:r>
        <w:rPr>
          <w:sz w:val="24"/>
        </w:rPr>
        <w:t>In this particular case, the custody sergeant along with myself made an assessment of the suspect prior to interview and determined that there were no apparent reasons to require an appropriate adult.  If one was needed, however, then there are a variety of persons who could be used.  Family is appropriate to be used so long as they have had no other involvement in the incident.  Other than this, social services or the local emergency duty team can arrange for a support worker to be present in the interview with the suspect in order to act as their appropriate adult for that particular interview (National Appropriate Adult Network, 2019).</w:t>
      </w:r>
    </w:p>
    <w:p w14:paraId="1C371AA1" w14:textId="77777777" w:rsidR="00B64320" w:rsidRDefault="00B64320" w:rsidP="00B64320">
      <w:pPr>
        <w:rPr>
          <w:sz w:val="24"/>
        </w:rPr>
      </w:pPr>
    </w:p>
    <w:p w14:paraId="16F955E4" w14:textId="045CAE0F" w:rsidR="00B64320" w:rsidRDefault="00B64320" w:rsidP="00B64320">
      <w:pPr>
        <w:rPr>
          <w:sz w:val="24"/>
        </w:rPr>
      </w:pPr>
      <w:r>
        <w:rPr>
          <w:sz w:val="24"/>
        </w:rPr>
        <w:t>After the interview has been planned and an appropriate adult and legal representative sourced for the suspect if they so wish, then the interview can be conducted.  It is important before commencing the interview that officers have established from the evidence a clear pathway in which the interview is going to follow.</w:t>
      </w:r>
    </w:p>
    <w:p w14:paraId="728E3822" w14:textId="77777777" w:rsidR="00B64320" w:rsidRDefault="00B64320" w:rsidP="00B64320">
      <w:pPr>
        <w:rPr>
          <w:sz w:val="24"/>
        </w:rPr>
      </w:pPr>
    </w:p>
    <w:p w14:paraId="7660DA0D" w14:textId="77777777" w:rsidR="00B64320" w:rsidRDefault="00B64320" w:rsidP="00B64320">
      <w:pPr>
        <w:rPr>
          <w:sz w:val="24"/>
        </w:rPr>
      </w:pPr>
      <w:r>
        <w:rPr>
          <w:sz w:val="24"/>
        </w:rPr>
        <w:t>To do this, I ensured that I had collated and examined all of the evidence, including physical evidence and statements from witnesses, and from this I am able to establish core topics which I believe will get the most information out of the suspect.</w:t>
      </w:r>
    </w:p>
    <w:p w14:paraId="7C9A16D6" w14:textId="7C354E6E" w:rsidR="00B64320" w:rsidRDefault="00B64320" w:rsidP="00B64320">
      <w:pPr>
        <w:rPr>
          <w:sz w:val="24"/>
        </w:rPr>
      </w:pPr>
      <w:r>
        <w:rPr>
          <w:sz w:val="24"/>
        </w:rPr>
        <w:t>These topics can then be put to the suspect and they can give their account or version of events if they so wish.  Once a version of events has been given by the suspect, this can then be further probed and questioned in order to establish further facts or to see if the suspect’s story adds up.</w:t>
      </w:r>
    </w:p>
    <w:p w14:paraId="240EC188" w14:textId="77777777" w:rsidR="00B64320" w:rsidRDefault="00B64320" w:rsidP="00B64320">
      <w:pPr>
        <w:rPr>
          <w:sz w:val="24"/>
        </w:rPr>
      </w:pPr>
    </w:p>
    <w:p w14:paraId="3E6B0228" w14:textId="4B4C29B4" w:rsidR="00B64320" w:rsidRDefault="00B64320" w:rsidP="00B64320">
      <w:pPr>
        <w:rPr>
          <w:sz w:val="24"/>
        </w:rPr>
      </w:pPr>
      <w:r>
        <w:rPr>
          <w:sz w:val="24"/>
        </w:rPr>
        <w:lastRenderedPageBreak/>
        <w:t>In this particular interview, I firstly asked the suspect to explain his account for both of the offences for which he was being investigated.  I then picked each offence individually and ensured that I asked as many questions as I could surrounding it.  In this case, the suspect was willing to answer all of the questions that I had asked, and engaged with me throughout the whole interview (College of Policing, 2013).</w:t>
      </w:r>
    </w:p>
    <w:p w14:paraId="43E8B5D5" w14:textId="77777777" w:rsidR="00B64320" w:rsidRDefault="00B64320" w:rsidP="00B64320">
      <w:pPr>
        <w:rPr>
          <w:sz w:val="24"/>
        </w:rPr>
      </w:pPr>
    </w:p>
    <w:p w14:paraId="2A3EA075" w14:textId="7BEC7416" w:rsidR="00B64320" w:rsidRDefault="00B64320" w:rsidP="00B64320">
      <w:pPr>
        <w:rPr>
          <w:sz w:val="24"/>
        </w:rPr>
      </w:pPr>
      <w:r>
        <w:rPr>
          <w:sz w:val="24"/>
        </w:rPr>
        <w:t>However, should the suspect have sought legal advice and been advised to answer “no comment” to all of my questions, then a slightly different approach would be needed.  In these cases, it is important that you explain to the suspect that by answering in this way to the questions, they are likely to be looked on poorly by the court or jury as they did not give a version of events when the firstly had the opportunity to do so.  Also, you must still pose all questions to the suspect in relation to the offence to ensure that they have a fair opportunity to give their version of events if they wish to do so (Kang and Co Solicitors, 2019).</w:t>
      </w:r>
    </w:p>
    <w:p w14:paraId="392E59DE" w14:textId="77777777" w:rsidR="00B64320" w:rsidRDefault="00B64320" w:rsidP="00B64320">
      <w:pPr>
        <w:rPr>
          <w:sz w:val="24"/>
        </w:rPr>
      </w:pPr>
    </w:p>
    <w:p w14:paraId="3F9E7FDF" w14:textId="2E28412E" w:rsidR="00B64320" w:rsidRDefault="00B64320" w:rsidP="00B64320">
      <w:pPr>
        <w:rPr>
          <w:sz w:val="24"/>
        </w:rPr>
      </w:pPr>
      <w:r>
        <w:rPr>
          <w:sz w:val="24"/>
        </w:rPr>
        <w:t>Once the suspect has been given ample opportunity to provide their version of events and say all that they wish to say, it is important to allow them one more opportunity to talk before closing the interview.  If the suspect has nothing further to say and the officer has no further questions, then the interview can be terminated.  The disks on which the interview was recorded then need to be sealed and provided as evidence into the property stores.</w:t>
      </w:r>
    </w:p>
    <w:p w14:paraId="595959FA" w14:textId="77777777" w:rsidR="00B64320" w:rsidRDefault="00B64320" w:rsidP="00B64320">
      <w:pPr>
        <w:rPr>
          <w:sz w:val="24"/>
        </w:rPr>
      </w:pPr>
    </w:p>
    <w:p w14:paraId="3E9C5FE9" w14:textId="78393F42" w:rsidR="00B64320" w:rsidRDefault="00B64320" w:rsidP="00B64320">
      <w:pPr>
        <w:rPr>
          <w:sz w:val="24"/>
        </w:rPr>
      </w:pPr>
      <w:r>
        <w:rPr>
          <w:sz w:val="24"/>
        </w:rPr>
        <w:t>After this interview, I had the chance to debrief and evaluate the interview with my shift tutor at the time.  I talked through the interview and felt that by asking the questions that I had, I was able to get the most amount of usable information out of the suspect.  Due to the fact that the suspect answered all of my questions and was more than willing to cooperate, it meant that I was able to review the interview and assess that I had been successful in what I had set out to achieve.</w:t>
      </w:r>
    </w:p>
    <w:p w14:paraId="473CAF80" w14:textId="77777777" w:rsidR="00B64320" w:rsidRDefault="00B64320" w:rsidP="00B64320">
      <w:pPr>
        <w:rPr>
          <w:sz w:val="24"/>
        </w:rPr>
      </w:pPr>
    </w:p>
    <w:p w14:paraId="10183594" w14:textId="6E2B8E51" w:rsidR="00B64320" w:rsidRDefault="00B64320" w:rsidP="00B64320">
      <w:pPr>
        <w:rPr>
          <w:sz w:val="24"/>
        </w:rPr>
      </w:pPr>
      <w:r>
        <w:rPr>
          <w:sz w:val="24"/>
        </w:rPr>
        <w:t>The main learning point that I gained from this particular interview was to ensure to probe each response by the suspect as much as possible, rather than just accepting a more brief explanation.  This then gives myself more information to work on and form a decision about how to go forward with considering a charging decision with the Crown Prosecution Service (CPS).</w:t>
      </w:r>
    </w:p>
    <w:p w14:paraId="17FFB62F" w14:textId="77777777" w:rsidR="00B64320" w:rsidRDefault="00B64320" w:rsidP="00B64320">
      <w:pPr>
        <w:rPr>
          <w:sz w:val="24"/>
        </w:rPr>
      </w:pPr>
    </w:p>
    <w:p w14:paraId="0BCC30A2" w14:textId="374DA9DA" w:rsidR="00B64320" w:rsidRDefault="00B64320" w:rsidP="00B64320">
      <w:pPr>
        <w:rPr>
          <w:sz w:val="24"/>
        </w:rPr>
      </w:pPr>
      <w:r>
        <w:rPr>
          <w:sz w:val="24"/>
        </w:rPr>
        <w:t>As always with any form of contact that I have with the public, whether victims or suspect, it is imperative to always treat that person with respect and courtesy in order to uphold the policing principles which all officers should possess.  Therefore, I ensured that the questions asked and the way in which they were asked to the suspect were not oppressive in any nature, and that his welfare and human rights were upheld throughout the whole process.</w:t>
      </w:r>
    </w:p>
    <w:p w14:paraId="3979D1AF" w14:textId="77777777" w:rsidR="00B64320" w:rsidRDefault="00B64320" w:rsidP="00B64320">
      <w:pPr>
        <w:rPr>
          <w:sz w:val="24"/>
        </w:rPr>
      </w:pPr>
    </w:p>
    <w:p w14:paraId="33725D5E" w14:textId="39BBB3EB" w:rsidR="00B64320" w:rsidRDefault="00B64320" w:rsidP="00B64320">
      <w:pPr>
        <w:rPr>
          <w:sz w:val="24"/>
        </w:rPr>
      </w:pPr>
      <w:r>
        <w:rPr>
          <w:sz w:val="24"/>
        </w:rPr>
        <w:t xml:space="preserve">Overall, I believe that I was successful in what I set out to achieve in tis interview.  The suspect was treated with respect throughout the process and I was able to develop a good rapport with them which enabled me to gain their trust.  This in turn meant that the suspect was more than happy to offer their version of events to me, leading to me being more informed when it came to seeking a charging decision.  Couple this with the fact that the CPS decided that a charge was approved for both </w:t>
      </w:r>
      <w:r>
        <w:rPr>
          <w:sz w:val="24"/>
        </w:rPr>
        <w:lastRenderedPageBreak/>
        <w:t>of the offences, meant that by using the PEACE model on which to base my interview, it led to a positive outcome for the victim.</w:t>
      </w:r>
    </w:p>
    <w:p w14:paraId="70F214C3" w14:textId="77777777" w:rsidR="00B64320" w:rsidRDefault="00B64320" w:rsidP="00B64320">
      <w:pPr>
        <w:rPr>
          <w:sz w:val="24"/>
        </w:rPr>
      </w:pPr>
    </w:p>
    <w:p w14:paraId="4574A090" w14:textId="77777777" w:rsidR="00B64320" w:rsidRPr="00E23952" w:rsidRDefault="00B64320" w:rsidP="00B64320">
      <w:pPr>
        <w:rPr>
          <w:b/>
          <w:sz w:val="24"/>
        </w:rPr>
      </w:pPr>
      <w:r>
        <w:rPr>
          <w:b/>
          <w:sz w:val="24"/>
        </w:rPr>
        <w:t>1416 words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AEB150E" w14:textId="320870BF" w:rsidR="00B64320" w:rsidRDefault="00B64320" w:rsidP="00B64320">
      <w:pPr>
        <w:rPr>
          <w:sz w:val="24"/>
        </w:rPr>
      </w:pPr>
      <w:r>
        <w:rPr>
          <w:sz w:val="24"/>
        </w:rPr>
        <w:t>Although police officers deal with crime on a daily basis, perhaps the most demanding and challenging issue is that of antisocial behaviour.  Antisocial behaviour becomes such a big issue due to the repercussions that it can have on the community as a whole, and stopping the issue from the source is the most beneficial and effective way of dealing with it.</w:t>
      </w:r>
    </w:p>
    <w:p w14:paraId="08DA1560" w14:textId="77777777" w:rsidR="00B64320" w:rsidRDefault="00B64320" w:rsidP="00B64320">
      <w:pPr>
        <w:rPr>
          <w:sz w:val="24"/>
        </w:rPr>
      </w:pPr>
    </w:p>
    <w:p w14:paraId="5793ADB3" w14:textId="1BF61531" w:rsidR="00B64320" w:rsidRDefault="00B64320" w:rsidP="00B64320">
      <w:pPr>
        <w:rPr>
          <w:sz w:val="24"/>
        </w:rPr>
      </w:pPr>
      <w:r>
        <w:rPr>
          <w:sz w:val="24"/>
        </w:rPr>
        <w:lastRenderedPageBreak/>
        <w:t>One antisocial behaviour (ASB) incident which I have dealt with occurred whereby there had been an ongoing issue in a local park whereby teenagers aged about 15 years were constantly in the park causing issues for parents and younger children alike.  They would sit in the park and play music excessively loudly and would also be drinking alcohol whilst doing so.  Upon attending this incident, the teenagers were extremely obstructive towards police and would not cooperate in any way.  They were asked to leave the area multiple times, and eventually they did this.  However, it was apparent to me that just moving the teenagers on does not actually combat or resolve the issue which is at hand, and this is something which I will go on to explain throughout this task.</w:t>
      </w:r>
    </w:p>
    <w:p w14:paraId="4A97B485" w14:textId="77777777" w:rsidR="00B64320" w:rsidRDefault="00B64320" w:rsidP="00B64320">
      <w:pPr>
        <w:rPr>
          <w:sz w:val="24"/>
        </w:rPr>
      </w:pPr>
    </w:p>
    <w:p w14:paraId="577B905B" w14:textId="63E94D25" w:rsidR="00B64320" w:rsidRDefault="00B64320" w:rsidP="00B64320">
      <w:pPr>
        <w:rPr>
          <w:sz w:val="24"/>
        </w:rPr>
      </w:pPr>
      <w:r>
        <w:rPr>
          <w:sz w:val="24"/>
        </w:rPr>
        <w:t>When someone is the victim of an ASB incident, it is important to remember that even though they have been affected as an individual, the whole community may have been a victim to some degree.</w:t>
      </w:r>
    </w:p>
    <w:p w14:paraId="08416447" w14:textId="77777777" w:rsidR="00B64320" w:rsidRDefault="00B64320" w:rsidP="00B64320">
      <w:pPr>
        <w:rPr>
          <w:sz w:val="24"/>
        </w:rPr>
      </w:pPr>
    </w:p>
    <w:p w14:paraId="3A5DD537" w14:textId="1C5E851D" w:rsidR="00B64320" w:rsidRDefault="00B64320" w:rsidP="00B64320">
      <w:pPr>
        <w:rPr>
          <w:sz w:val="24"/>
        </w:rPr>
      </w:pPr>
      <w:r>
        <w:rPr>
          <w:sz w:val="24"/>
        </w:rPr>
        <w:t>ASB can be defined as “behaviour by a person which causes, or is likely to cause, harassment, alarm or distress to persons not of the same household as the person” (Thames Valley Police, 2019).</w:t>
      </w:r>
    </w:p>
    <w:p w14:paraId="7125737D" w14:textId="77777777" w:rsidR="00B64320" w:rsidRDefault="00B64320" w:rsidP="00B64320">
      <w:pPr>
        <w:rPr>
          <w:sz w:val="24"/>
        </w:rPr>
      </w:pPr>
    </w:p>
    <w:p w14:paraId="3CC976DF" w14:textId="1944020C" w:rsidR="00B64320" w:rsidRDefault="00B64320" w:rsidP="00B64320">
      <w:pPr>
        <w:rPr>
          <w:sz w:val="24"/>
        </w:rPr>
      </w:pPr>
      <w:r>
        <w:rPr>
          <w:sz w:val="24"/>
        </w:rPr>
        <w:t>ASB can then be divided up into three separate categories depending on what or who is affected by the actions of another person or group of people.  These categories are personal antisocial behaviour, which occurs when an individual or group of similar people is the target of the ASB; nuisance antisocial behaviour, which is when the whole community is affected by the behaviours of another; and environmental ASB, whereby the conduct of others causes affects to buildings and spaces whereby the public have access (Thames Valley Police, 2019).</w:t>
      </w:r>
    </w:p>
    <w:p w14:paraId="610F4A48" w14:textId="77777777" w:rsidR="00B64320" w:rsidRDefault="00B64320" w:rsidP="00B64320">
      <w:pPr>
        <w:rPr>
          <w:sz w:val="24"/>
        </w:rPr>
      </w:pPr>
    </w:p>
    <w:p w14:paraId="17E22553" w14:textId="199B2947" w:rsidR="00B64320" w:rsidRDefault="00B64320" w:rsidP="00B64320">
      <w:pPr>
        <w:rPr>
          <w:sz w:val="24"/>
        </w:rPr>
      </w:pPr>
      <w:r>
        <w:rPr>
          <w:sz w:val="24"/>
        </w:rPr>
        <w:t>It is obvious to see that all of the above can have a serious effect on an individual or group of people, but also that of the community as a whole.  Therefore, it is vital that the police do all that they can to eradicate and prevent ASB in areas which have been identified as a problem area.</w:t>
      </w:r>
    </w:p>
    <w:p w14:paraId="708B58BD" w14:textId="77777777" w:rsidR="00B64320" w:rsidRDefault="00B64320" w:rsidP="00B64320">
      <w:pPr>
        <w:rPr>
          <w:sz w:val="24"/>
        </w:rPr>
      </w:pPr>
    </w:p>
    <w:p w14:paraId="59BEB299" w14:textId="227C8249" w:rsidR="00B64320" w:rsidRDefault="00B64320" w:rsidP="00B64320">
      <w:pPr>
        <w:rPr>
          <w:sz w:val="24"/>
        </w:rPr>
      </w:pPr>
      <w:r>
        <w:rPr>
          <w:sz w:val="24"/>
        </w:rPr>
        <w:t>The main affect that ASB will have on a community is that of the morale and the sense of community that one feels when living in a certain area.  Traditionally, areas whereby there is more ASB prevalent tend to be the less affluent areas of society.  This can be linked to the lack of activities and pastimes to keep teenagers occupied, which results in them resorting to engaging in ASB to pass the time.</w:t>
      </w:r>
    </w:p>
    <w:p w14:paraId="1D9EFA78" w14:textId="77777777" w:rsidR="00B64320" w:rsidRDefault="00B64320" w:rsidP="00B64320">
      <w:pPr>
        <w:rPr>
          <w:sz w:val="24"/>
        </w:rPr>
      </w:pPr>
    </w:p>
    <w:p w14:paraId="03D6826F" w14:textId="34F713A0" w:rsidR="00B64320" w:rsidRDefault="00B64320" w:rsidP="00B64320">
      <w:pPr>
        <w:rPr>
          <w:sz w:val="24"/>
        </w:rPr>
      </w:pPr>
      <w:r>
        <w:rPr>
          <w:sz w:val="24"/>
        </w:rPr>
        <w:t>By allowing areas to gain a reputation such as this, it often means that the area becomes degraded and neglected, as there is little to no money being invested by local authorities into the area.  This creates somewhat of a vicious circle in regards to the levels of ASB that a community faces.  This affect is known as the “broken window theory.”</w:t>
      </w:r>
    </w:p>
    <w:p w14:paraId="05B8B80C" w14:textId="77777777" w:rsidR="00B64320" w:rsidRDefault="00B64320" w:rsidP="00B64320">
      <w:pPr>
        <w:rPr>
          <w:sz w:val="24"/>
        </w:rPr>
      </w:pPr>
    </w:p>
    <w:p w14:paraId="5756908C" w14:textId="77777777" w:rsidR="00B64320" w:rsidRDefault="00B64320" w:rsidP="00B64320">
      <w:pPr>
        <w:rPr>
          <w:sz w:val="24"/>
        </w:rPr>
      </w:pPr>
      <w:r>
        <w:rPr>
          <w:sz w:val="24"/>
        </w:rPr>
        <w:t xml:space="preserve">The broken window theory was developed in 1982 by James Wilson and George Kelling.  They proposed a theory based on the comparison of a run down, derelict building.  They said that if one window of such a building gets broken, then it is more likely for other windows of the same property to also get broken.  This lead to the </w:t>
      </w:r>
      <w:r>
        <w:rPr>
          <w:sz w:val="24"/>
        </w:rPr>
        <w:lastRenderedPageBreak/>
        <w:t>metaphor being established whereby if a problem is left alone and not tackled, it will only get worse as people will just keep on breaking the windows (McKee, A. 2013).</w:t>
      </w:r>
    </w:p>
    <w:p w14:paraId="2EF43BDA" w14:textId="780F859E" w:rsidR="00B64320" w:rsidRDefault="00B64320" w:rsidP="00B64320">
      <w:pPr>
        <w:rPr>
          <w:sz w:val="24"/>
        </w:rPr>
      </w:pPr>
      <w:r>
        <w:rPr>
          <w:sz w:val="24"/>
        </w:rPr>
        <w:t>This can be directly applied to ASB and the causes that underpin it.  For example, if there is a small group of teenagers in a park listening to loud music and drinking alcohol due to there not being anything else for them to do in the area, then other people will look at them and think that that is the correct way to behave.  This is then likely to lead to the issue snowballing and becoming more and more prevalent and less simple to control.</w:t>
      </w:r>
    </w:p>
    <w:p w14:paraId="0685EA86" w14:textId="77777777" w:rsidR="00B64320" w:rsidRDefault="00B64320" w:rsidP="00B64320">
      <w:pPr>
        <w:rPr>
          <w:sz w:val="24"/>
        </w:rPr>
      </w:pPr>
    </w:p>
    <w:p w14:paraId="6AA8F0BC" w14:textId="77777777" w:rsidR="00B64320" w:rsidRDefault="00B64320" w:rsidP="00B64320">
      <w:pPr>
        <w:rPr>
          <w:sz w:val="24"/>
        </w:rPr>
      </w:pPr>
      <w:r>
        <w:rPr>
          <w:sz w:val="24"/>
        </w:rPr>
        <w:t>Therefore, it can be assumed by using this theory that the correct way to deal with ASB is to deal with the root cause and, in effect, remove the fictional “run down building with the broken window” in order to remove the root cause of the problem and inhibit more people coming along and breaking more windows on the building.</w:t>
      </w:r>
    </w:p>
    <w:p w14:paraId="6E2854A1" w14:textId="715CE922" w:rsidR="00B64320" w:rsidRDefault="00B64320" w:rsidP="00B64320">
      <w:pPr>
        <w:rPr>
          <w:sz w:val="24"/>
        </w:rPr>
      </w:pPr>
      <w:r>
        <w:rPr>
          <w:sz w:val="24"/>
        </w:rPr>
        <w:t>This is why I believe that the root cause of the ASB needs to be tackled as a priority, rather than dealing with one incident on its own merit.</w:t>
      </w:r>
    </w:p>
    <w:p w14:paraId="1468BF81" w14:textId="77777777" w:rsidR="00B64320" w:rsidRDefault="00B64320" w:rsidP="00B64320">
      <w:pPr>
        <w:rPr>
          <w:sz w:val="24"/>
        </w:rPr>
      </w:pPr>
    </w:p>
    <w:p w14:paraId="1C4399C1" w14:textId="77777777" w:rsidR="00B64320" w:rsidRDefault="00B64320" w:rsidP="00B64320">
      <w:pPr>
        <w:rPr>
          <w:sz w:val="24"/>
        </w:rPr>
      </w:pPr>
      <w:r>
        <w:rPr>
          <w:sz w:val="24"/>
        </w:rPr>
        <w:t>The police do have a responsibility when it comes to this, as often we are the first people who have contact with those engaging in ASB and we can make the most impact and difference to the lives of those engaging in the behaviour, and also those who have to live in the environment in which the behaviour is being committed.</w:t>
      </w:r>
    </w:p>
    <w:p w14:paraId="686E3EED" w14:textId="26BFF767" w:rsidR="00B64320" w:rsidRDefault="00B64320" w:rsidP="00B64320">
      <w:pPr>
        <w:rPr>
          <w:sz w:val="24"/>
        </w:rPr>
      </w:pPr>
      <w:r>
        <w:rPr>
          <w:sz w:val="24"/>
        </w:rPr>
        <w:t>Therefore, it can be seen that by tackling the issue which is underpinning the ASB displayed, it can have a real positive impact for all involved, something which I will come on to discuss further in this task.</w:t>
      </w:r>
    </w:p>
    <w:p w14:paraId="2D82F93E" w14:textId="77777777" w:rsidR="00B64320" w:rsidRDefault="00B64320" w:rsidP="00B64320">
      <w:pPr>
        <w:rPr>
          <w:sz w:val="24"/>
        </w:rPr>
      </w:pPr>
    </w:p>
    <w:p w14:paraId="687104AE" w14:textId="73900123" w:rsidR="00B64320" w:rsidRDefault="00B64320" w:rsidP="00B64320">
      <w:pPr>
        <w:rPr>
          <w:sz w:val="24"/>
        </w:rPr>
      </w:pPr>
      <w:r>
        <w:rPr>
          <w:sz w:val="24"/>
        </w:rPr>
        <w:t>When police respond to an incident involving ASB, there are a number of different powers that are available to us.  These powers mainly come from the Anti-social Behaviour, Crime and Policing Act 2014, which was a new piece of legislation established in 2014 which gives police more power and authority when dealing with ASB (Police.uk, 2014).</w:t>
      </w:r>
    </w:p>
    <w:p w14:paraId="76888570" w14:textId="77777777" w:rsidR="00B64320" w:rsidRDefault="00B64320" w:rsidP="00B64320">
      <w:pPr>
        <w:rPr>
          <w:sz w:val="24"/>
        </w:rPr>
      </w:pPr>
    </w:p>
    <w:p w14:paraId="52CD6758" w14:textId="58E4BE09" w:rsidR="00B64320" w:rsidRDefault="00B64320" w:rsidP="00B64320">
      <w:pPr>
        <w:rPr>
          <w:sz w:val="24"/>
        </w:rPr>
      </w:pPr>
      <w:r>
        <w:rPr>
          <w:sz w:val="24"/>
        </w:rPr>
        <w:t>There is a 5 step approach to dealing with individuals, particularly juveniles, who are perpetrators of ASB.  This begins with a verbal warning to the person and/or their parents; followed by a letter warning the person and/or parents of the behaviour which they are participating in; this then escalates to a multi-disciplinary meeting involving police, education, social services and community leaders, whereby they will discuss how best to deal with the individual; progression then leads to an acceptable behaviour contract, which the person it is served to must adhere to and obey, otherwise they will move onto the next stage which is; a criminal behaviour order, which is issued by courts after a person has been convicted of an offence.  This order would prohibit a person from entering certain areas, affiliating with certain people, or attending a rehabilitation and education programme.  A breach of this order could see that person detained in prison for up to five years.</w:t>
      </w:r>
    </w:p>
    <w:p w14:paraId="5A5B3968" w14:textId="77777777" w:rsidR="00B64320" w:rsidRDefault="00B64320" w:rsidP="00B64320">
      <w:pPr>
        <w:rPr>
          <w:sz w:val="24"/>
        </w:rPr>
      </w:pPr>
    </w:p>
    <w:p w14:paraId="2D027688" w14:textId="285108FD" w:rsidR="00B64320" w:rsidRDefault="00B64320" w:rsidP="00B64320">
      <w:pPr>
        <w:rPr>
          <w:sz w:val="24"/>
        </w:rPr>
      </w:pPr>
      <w:r>
        <w:rPr>
          <w:sz w:val="24"/>
        </w:rPr>
        <w:t xml:space="preserve">As it can be seen, the police do now really have a huge amount of power when it comes to tackling ASB, and varying levels of the five step approach will work for differing people.  For example, some people may stop the behaviour in which they are engaging after their first contact with the police when they receive a verbal warning.  However, some people may be such prolific offenders that it takes until they commit a criminal offence which leads to a criminal behaviour order being </w:t>
      </w:r>
      <w:r>
        <w:rPr>
          <w:sz w:val="24"/>
        </w:rPr>
        <w:lastRenderedPageBreak/>
        <w:t>issued before they stop the behaviour which has caused them to get where they are to begin with.</w:t>
      </w:r>
    </w:p>
    <w:p w14:paraId="47D29712" w14:textId="77777777" w:rsidR="00B64320" w:rsidRDefault="00B64320" w:rsidP="00B64320">
      <w:pPr>
        <w:rPr>
          <w:sz w:val="24"/>
        </w:rPr>
      </w:pPr>
    </w:p>
    <w:p w14:paraId="528A17E5" w14:textId="77777777" w:rsidR="00B64320" w:rsidRDefault="00B64320" w:rsidP="00B64320">
      <w:pPr>
        <w:rPr>
          <w:sz w:val="24"/>
        </w:rPr>
      </w:pPr>
      <w:r>
        <w:rPr>
          <w:sz w:val="24"/>
        </w:rPr>
        <w:t xml:space="preserve">The five step approach is also extremely effective when it comes to community engagement and satisfaction regarding the policing response to ASB.  This is particularly evident in the community remedy aspect of the 2014 legislation. </w:t>
      </w:r>
    </w:p>
    <w:p w14:paraId="16C399E4" w14:textId="5D68340A" w:rsidR="00B64320" w:rsidRDefault="00B64320" w:rsidP="00B64320">
      <w:pPr>
        <w:rPr>
          <w:sz w:val="24"/>
        </w:rPr>
      </w:pPr>
      <w:r>
        <w:rPr>
          <w:sz w:val="24"/>
        </w:rPr>
        <w:t>Community remedy enables members of the community who have been victims of ASB to discuss with the police about what action they want to be taken regarding the matter.  The police can facilitate a number of different wishes, from just speaking to the perpetrators and informing them of their behaviour, to the victim sitting down with the perpetrators to talk through with them the effect that their behaviour has had on that person.  That can be particularly impactive to the perpetrator, as many people do not see the issue from the side of the victim, but this process allows them to and also to face up to the victim and explain their actions (Police.uk, 2014).</w:t>
      </w:r>
    </w:p>
    <w:p w14:paraId="01A1505C" w14:textId="77777777" w:rsidR="00B64320" w:rsidRDefault="00B64320" w:rsidP="00B64320">
      <w:pPr>
        <w:rPr>
          <w:sz w:val="24"/>
        </w:rPr>
      </w:pPr>
    </w:p>
    <w:p w14:paraId="68F3704E" w14:textId="6A6A8462" w:rsidR="00B64320" w:rsidRDefault="00B64320" w:rsidP="00B64320">
      <w:pPr>
        <w:rPr>
          <w:sz w:val="24"/>
        </w:rPr>
      </w:pPr>
      <w:r>
        <w:rPr>
          <w:sz w:val="24"/>
        </w:rPr>
        <w:t>In relation to tackling ASB at its root cause and dealing with offenders, perhaps the most efficient and successful means is through partnership working.</w:t>
      </w:r>
    </w:p>
    <w:p w14:paraId="1365A5AF" w14:textId="77777777" w:rsidR="00B64320" w:rsidRDefault="00B64320" w:rsidP="00B64320">
      <w:pPr>
        <w:rPr>
          <w:sz w:val="24"/>
        </w:rPr>
      </w:pPr>
    </w:p>
    <w:p w14:paraId="5E284E2E" w14:textId="3A53BFAF" w:rsidR="00B64320" w:rsidRDefault="00B64320" w:rsidP="00B64320">
      <w:pPr>
        <w:rPr>
          <w:sz w:val="24"/>
        </w:rPr>
      </w:pPr>
      <w:r>
        <w:rPr>
          <w:sz w:val="24"/>
        </w:rPr>
        <w:t>Partnership working occurs when the police liaise with a number of different organisations, such as social services, education, housing and local charities and groups, who will all offer ideas and support for both the perpetrators and victims of ASB.  This allows for the issue to be dealt with holistically, and enables the community to really feel empowered about the issues that they are facing.</w:t>
      </w:r>
    </w:p>
    <w:p w14:paraId="39ED639B" w14:textId="77777777" w:rsidR="00B64320" w:rsidRDefault="00B64320" w:rsidP="00B64320">
      <w:pPr>
        <w:rPr>
          <w:sz w:val="24"/>
        </w:rPr>
      </w:pPr>
    </w:p>
    <w:p w14:paraId="4B4C1F7D" w14:textId="37995A16" w:rsidR="00B64320" w:rsidRDefault="00B64320" w:rsidP="00B64320">
      <w:pPr>
        <w:rPr>
          <w:sz w:val="24"/>
        </w:rPr>
      </w:pPr>
      <w:r>
        <w:rPr>
          <w:sz w:val="24"/>
        </w:rPr>
        <w:t>Partnership working is an ideal method to use for neighbourhood policing teams (NPT) because they have the time and the resources to spend on liaising with the agencies that need to be involved, as well as having a good local knowledge of any potential or current offenders (Green, J. 2018).</w:t>
      </w:r>
    </w:p>
    <w:p w14:paraId="1121BD16" w14:textId="77777777" w:rsidR="00B64320" w:rsidRDefault="00B64320" w:rsidP="00B64320">
      <w:pPr>
        <w:rPr>
          <w:sz w:val="24"/>
        </w:rPr>
      </w:pPr>
    </w:p>
    <w:p w14:paraId="4260E403" w14:textId="069C0D34" w:rsidR="00B64320" w:rsidRDefault="00B64320" w:rsidP="00B64320">
      <w:pPr>
        <w:rPr>
          <w:sz w:val="24"/>
        </w:rPr>
      </w:pPr>
      <w:r>
        <w:rPr>
          <w:sz w:val="24"/>
        </w:rPr>
        <w:t>Neighbourhood teams can also engage more with the community than those officers who work as part of a response unit.  The time spent with the community, victims and offenders is really what is missing sometimes when it comes to tackling the root cause of the issue that is affecting the community.  Due to response officers being in such high demand due to the volume of incidents which are occurring, by utilising NPT to tackle the issue along with partner agencies, it can really make the community feel that they are being listened to and their views and wishes taken on board.</w:t>
      </w:r>
    </w:p>
    <w:p w14:paraId="2BB33BF0" w14:textId="77777777" w:rsidR="00B64320" w:rsidRDefault="00B64320" w:rsidP="00B64320">
      <w:pPr>
        <w:rPr>
          <w:sz w:val="24"/>
        </w:rPr>
      </w:pPr>
    </w:p>
    <w:p w14:paraId="2685A007" w14:textId="0CC9A17C" w:rsidR="00B64320" w:rsidRDefault="00B64320" w:rsidP="00B64320">
      <w:pPr>
        <w:rPr>
          <w:sz w:val="24"/>
        </w:rPr>
      </w:pPr>
      <w:r>
        <w:rPr>
          <w:sz w:val="24"/>
        </w:rPr>
        <w:t>Also, partnership working is the way forward to tackle ASB as each partner who is on board with tackling the issue can offer something different to the solution.  For example, housing providers may be able to offer further support or equipment to the victim which will allow them to protect themselves and their home from the ASB, such as providing CCTV cameras to the property.  On the flip side, the education and social service sector may be able to provide groups or classes for offenders to attend in order to give them something that interests them to do, rather than the offenders committing ASB due to them believing that they have nothing to do in the area.</w:t>
      </w:r>
    </w:p>
    <w:p w14:paraId="2E44D482" w14:textId="77777777" w:rsidR="00B64320" w:rsidRDefault="00B64320" w:rsidP="00B64320">
      <w:pPr>
        <w:rPr>
          <w:sz w:val="24"/>
        </w:rPr>
      </w:pPr>
    </w:p>
    <w:p w14:paraId="2C7487F6" w14:textId="47529DED" w:rsidR="00B64320" w:rsidRDefault="00B64320" w:rsidP="00B64320">
      <w:pPr>
        <w:rPr>
          <w:sz w:val="24"/>
        </w:rPr>
      </w:pPr>
      <w:r>
        <w:rPr>
          <w:sz w:val="24"/>
        </w:rPr>
        <w:lastRenderedPageBreak/>
        <w:t>However, when it comes to partnership working, or any response to tackling ASB for that matter, it is vital that bias does not play a part in the decision making.</w:t>
      </w:r>
    </w:p>
    <w:p w14:paraId="47815B66" w14:textId="77777777" w:rsidR="00B64320" w:rsidRDefault="00B64320" w:rsidP="00B64320">
      <w:pPr>
        <w:rPr>
          <w:sz w:val="24"/>
        </w:rPr>
      </w:pPr>
    </w:p>
    <w:p w14:paraId="0D90A4B0" w14:textId="77777777" w:rsidR="00B64320" w:rsidRDefault="00B64320" w:rsidP="00B64320">
      <w:pPr>
        <w:rPr>
          <w:sz w:val="24"/>
        </w:rPr>
      </w:pPr>
      <w:r>
        <w:rPr>
          <w:sz w:val="24"/>
        </w:rPr>
        <w:t>It is very easy to slip into the mind-set that ASB is caused by teenagers who have nothing better to do with their time than cause a nuisance.  However, ASB can be caused by anybody and everybody, and perhaps one of the most common forms of ASB dealt with by the police is issues between neighbours (Victim Support, 2019).</w:t>
      </w:r>
    </w:p>
    <w:p w14:paraId="010AAFE2" w14:textId="04824D2D" w:rsidR="00B64320" w:rsidRDefault="00B64320" w:rsidP="00B64320">
      <w:pPr>
        <w:rPr>
          <w:sz w:val="24"/>
        </w:rPr>
      </w:pPr>
      <w:r>
        <w:rPr>
          <w:sz w:val="24"/>
        </w:rPr>
        <w:t>These issues are usually held between adults who live within close proximity to one another and for one reason or another are unable to live in harmony.   This example just goes to show that not always is ASB caused by the stereotypical offenders, but it can be caused by anybody.</w:t>
      </w:r>
    </w:p>
    <w:p w14:paraId="15D76655" w14:textId="77777777" w:rsidR="00B64320" w:rsidRDefault="00B64320" w:rsidP="00B64320">
      <w:pPr>
        <w:rPr>
          <w:sz w:val="24"/>
        </w:rPr>
      </w:pPr>
    </w:p>
    <w:p w14:paraId="120A3092" w14:textId="49F80B91" w:rsidR="00B64320" w:rsidRDefault="00B64320" w:rsidP="00B64320">
      <w:pPr>
        <w:rPr>
          <w:sz w:val="24"/>
        </w:rPr>
      </w:pPr>
      <w:r>
        <w:rPr>
          <w:sz w:val="24"/>
        </w:rPr>
        <w:t>Therefore, it is vital that when dealing with ASB both by the police as an individual service, or by implementing a partnership approach, that any bias, whether unconscious or not, plays no part in the discussion or decision making process by any party involved.</w:t>
      </w:r>
    </w:p>
    <w:p w14:paraId="4BE09038" w14:textId="77777777" w:rsidR="00B64320" w:rsidRDefault="00B64320" w:rsidP="00B64320">
      <w:pPr>
        <w:rPr>
          <w:sz w:val="24"/>
        </w:rPr>
      </w:pPr>
    </w:p>
    <w:p w14:paraId="2BF5FEBF" w14:textId="7EDEA609" w:rsidR="00B64320" w:rsidRDefault="00B64320" w:rsidP="00B64320">
      <w:pPr>
        <w:rPr>
          <w:sz w:val="24"/>
        </w:rPr>
      </w:pPr>
      <w:r>
        <w:rPr>
          <w:sz w:val="24"/>
        </w:rPr>
        <w:t>By maintaining an open mind when dealing with incidents of ASB, it allows for the holistic approach to be properly executed.  Along with this, it enables police officers and staff to uphold the values and ethics that are held within us.  This means that even though everybody is predisposed to some form of unconscious bias, this needs to be eradicated and each person and each case dealt with on its own merit and given the same amount of intention.  Also, it is important to not jump to any conclusions when dealing with incidents of ASB, as it is better to keep an open mind before reaching the conclusion of any investigation or remedy to that issue.</w:t>
      </w:r>
    </w:p>
    <w:p w14:paraId="3E94B329" w14:textId="77777777" w:rsidR="00B64320" w:rsidRDefault="00B64320" w:rsidP="00B64320">
      <w:pPr>
        <w:rPr>
          <w:sz w:val="24"/>
        </w:rPr>
      </w:pPr>
    </w:p>
    <w:p w14:paraId="2AEC0D23" w14:textId="77777777" w:rsidR="00B64320" w:rsidRDefault="00B64320" w:rsidP="00B64320">
      <w:pPr>
        <w:rPr>
          <w:sz w:val="24"/>
        </w:rPr>
      </w:pPr>
      <w:r>
        <w:rPr>
          <w:sz w:val="24"/>
        </w:rPr>
        <w:t xml:space="preserve">Overall, it can be established that the main victims of ASB is the community as a whole.  ASB in communities can lead to the whole area becoming degraded, run down and the morale amongst the community low.  It is the duty of the police, and as many partner agencies as can be involved, to tackle the problem of ASB head on, just like I did in my example given as after the incident, I ensured that referrals were made to the local neighbourhood team, the council housing team, as well as local youth groups and classes which I believed may have interested the perpetrators in this case.  Not every case of ASB is going to be the same, and not every person will be willing to engage with agencies, regardless of age or social background. </w:t>
      </w:r>
    </w:p>
    <w:p w14:paraId="640DB74A" w14:textId="69DEFF11" w:rsidR="00B64320" w:rsidRDefault="00B64320" w:rsidP="00B64320">
      <w:pPr>
        <w:rPr>
          <w:sz w:val="24"/>
        </w:rPr>
      </w:pPr>
      <w:r>
        <w:rPr>
          <w:sz w:val="24"/>
        </w:rPr>
        <w:t xml:space="preserve"> </w:t>
      </w:r>
    </w:p>
    <w:p w14:paraId="173AC316" w14:textId="6CD997D4" w:rsidR="00B64320" w:rsidRDefault="00B64320" w:rsidP="00B64320">
      <w:pPr>
        <w:rPr>
          <w:sz w:val="24"/>
        </w:rPr>
      </w:pPr>
      <w:r>
        <w:rPr>
          <w:sz w:val="24"/>
        </w:rPr>
        <w:t>However, it is the duty of all involved to try and push for the best outcome for the communities which we all serve, and by doing so, we hope to tackle the issues surrounding antisocial behaviour before the broken window theory would take hold and result in further issues down the line.</w:t>
      </w:r>
    </w:p>
    <w:p w14:paraId="72A2894A" w14:textId="77777777" w:rsidR="00B64320" w:rsidRDefault="00B64320" w:rsidP="00B64320">
      <w:pPr>
        <w:rPr>
          <w:sz w:val="24"/>
        </w:rPr>
      </w:pPr>
    </w:p>
    <w:p w14:paraId="445AEF15" w14:textId="08A82ACA" w:rsidR="00B64320" w:rsidRDefault="00B64320" w:rsidP="00B64320">
      <w:pPr>
        <w:rPr>
          <w:sz w:val="24"/>
        </w:rPr>
      </w:pPr>
      <w:r>
        <w:rPr>
          <w:sz w:val="24"/>
        </w:rPr>
        <w:t>In conclusion, by working together with partner agencies, eradicating any bias which any persons may have towards perpetrators of ASB, and by using approaches such as evidence based policing, community resolutions, and criminal charges if necessary, it can be hoped that the antisocial behaviour which is faced by communities is tackled and solved by as many agencies as can be involved.</w:t>
      </w:r>
    </w:p>
    <w:p w14:paraId="367E364A" w14:textId="77777777" w:rsidR="00B64320" w:rsidRDefault="00B64320" w:rsidP="00B64320">
      <w:pPr>
        <w:rPr>
          <w:sz w:val="24"/>
        </w:rPr>
      </w:pPr>
    </w:p>
    <w:p w14:paraId="6F92D0C8" w14:textId="77777777" w:rsidR="00B64320" w:rsidRPr="0027729C" w:rsidRDefault="00B64320" w:rsidP="00B64320">
      <w:pPr>
        <w:rPr>
          <w:sz w:val="24"/>
        </w:rPr>
      </w:pPr>
      <w:r>
        <w:rPr>
          <w:b/>
          <w:sz w:val="24"/>
        </w:rPr>
        <w:t>2277 words</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FE0AB3">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230534F1"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9CCCD28" w14:textId="77777777" w:rsidR="00B64320" w:rsidRDefault="00B64320" w:rsidP="5848403C">
      <w:pPr>
        <w:keepNext/>
        <w:spacing w:before="240" w:after="60"/>
        <w:ind w:right="237"/>
        <w:jc w:val="both"/>
        <w:rPr>
          <w:sz w:val="24"/>
          <w:szCs w:val="24"/>
        </w:rPr>
      </w:pPr>
    </w:p>
    <w:p w14:paraId="3EA5E3CC" w14:textId="4DDD642B" w:rsidR="00B64320" w:rsidRDefault="00B64320" w:rsidP="00B64320">
      <w:pPr>
        <w:rPr>
          <w:rFonts w:cstheme="minorHAnsi"/>
          <w:sz w:val="24"/>
          <w:shd w:val="clear" w:color="auto" w:fill="FFFFFF"/>
        </w:rPr>
      </w:pPr>
      <w:r w:rsidRPr="00B15EC8">
        <w:rPr>
          <w:rFonts w:cstheme="minorHAnsi"/>
          <w:sz w:val="24"/>
          <w:shd w:val="clear" w:color="auto" w:fill="FFFFFF"/>
        </w:rPr>
        <w:t xml:space="preserve">College of Policing. (2013). </w:t>
      </w:r>
      <w:r w:rsidRPr="00B15EC8">
        <w:rPr>
          <w:rFonts w:cstheme="minorHAnsi"/>
          <w:i/>
          <w:iCs/>
          <w:sz w:val="24"/>
        </w:rPr>
        <w:t>Investigative Interviewing.</w:t>
      </w:r>
      <w:r w:rsidRPr="00B15EC8">
        <w:rPr>
          <w:rFonts w:cstheme="minorHAnsi"/>
          <w:sz w:val="24"/>
          <w:shd w:val="clear" w:color="auto" w:fill="FFFFFF"/>
        </w:rPr>
        <w:t xml:space="preserve"> Available: https://www.app.college.police.uk/app-content/investigations/investigative-interviewing/#peace-framework. Last accessed 20th January 2020.</w:t>
      </w:r>
    </w:p>
    <w:p w14:paraId="415895B8" w14:textId="77777777" w:rsidR="00B64320" w:rsidRPr="00B15EC8" w:rsidRDefault="00B64320" w:rsidP="00B64320">
      <w:pPr>
        <w:rPr>
          <w:rFonts w:cstheme="minorHAnsi"/>
          <w:sz w:val="24"/>
          <w:shd w:val="clear" w:color="auto" w:fill="FFFFFF"/>
        </w:rPr>
      </w:pPr>
    </w:p>
    <w:p w14:paraId="7D20CDD1" w14:textId="12D8AEBA" w:rsidR="00B64320" w:rsidRDefault="00B64320" w:rsidP="00B64320">
      <w:pPr>
        <w:rPr>
          <w:rFonts w:cstheme="minorHAnsi"/>
          <w:sz w:val="24"/>
          <w:shd w:val="clear" w:color="auto" w:fill="FFFFFF"/>
        </w:rPr>
      </w:pPr>
      <w:r w:rsidRPr="00B15EC8">
        <w:rPr>
          <w:rFonts w:cstheme="minorHAnsi"/>
          <w:sz w:val="24"/>
          <w:shd w:val="clear" w:color="auto" w:fill="FFFFFF"/>
        </w:rPr>
        <w:t xml:space="preserve">Green, J. (2018). </w:t>
      </w:r>
      <w:r w:rsidRPr="00B15EC8">
        <w:rPr>
          <w:rFonts w:cstheme="minorHAnsi"/>
          <w:i/>
          <w:iCs/>
          <w:sz w:val="24"/>
        </w:rPr>
        <w:t>Anti-Social Behaviour, housing and the importance of partnership working.</w:t>
      </w:r>
      <w:r w:rsidRPr="00B15EC8">
        <w:rPr>
          <w:rFonts w:cstheme="minorHAnsi"/>
          <w:sz w:val="24"/>
          <w:shd w:val="clear" w:color="auto" w:fill="FFFFFF"/>
        </w:rPr>
        <w:t xml:space="preserve"> Available: https://www.housemark.co.uk/hm-news/all-articles/blog/anti-social-behaviour-housing-and-the-importance-of-partnership-working. Last accessed 17th January 2020.</w:t>
      </w:r>
    </w:p>
    <w:p w14:paraId="1DB3BEDC" w14:textId="77777777" w:rsidR="00B64320" w:rsidRPr="00B15EC8" w:rsidRDefault="00B64320" w:rsidP="00B64320">
      <w:pPr>
        <w:rPr>
          <w:rFonts w:cstheme="minorHAnsi"/>
          <w:sz w:val="24"/>
          <w:shd w:val="clear" w:color="auto" w:fill="FFFFFF"/>
        </w:rPr>
      </w:pPr>
    </w:p>
    <w:p w14:paraId="6E84BA6B" w14:textId="4C94ED4D" w:rsidR="00B64320" w:rsidRDefault="00B64320" w:rsidP="00B64320">
      <w:pPr>
        <w:rPr>
          <w:rFonts w:cstheme="minorHAnsi"/>
          <w:sz w:val="24"/>
        </w:rPr>
      </w:pPr>
      <w:r w:rsidRPr="00B15EC8">
        <w:rPr>
          <w:rFonts w:cstheme="minorHAnsi"/>
          <w:sz w:val="24"/>
        </w:rPr>
        <w:t xml:space="preserve">Health and Safety Executive. (2019). </w:t>
      </w:r>
      <w:r w:rsidRPr="00B15EC8">
        <w:rPr>
          <w:rFonts w:cstheme="minorHAnsi"/>
          <w:i/>
          <w:iCs/>
          <w:sz w:val="24"/>
        </w:rPr>
        <w:t>Hints and tips for shift-workers.</w:t>
      </w:r>
      <w:r w:rsidRPr="00B15EC8">
        <w:rPr>
          <w:rFonts w:cstheme="minorHAnsi"/>
          <w:sz w:val="24"/>
        </w:rPr>
        <w:t xml:space="preserve"> Available: https://www.hse.gov.uk/humanfactors/topics/shift-workers.htm#. Last accessed 18th December 2019</w:t>
      </w:r>
    </w:p>
    <w:p w14:paraId="08609431" w14:textId="77777777" w:rsidR="00B64320" w:rsidRPr="00B15EC8" w:rsidRDefault="00B64320" w:rsidP="00B64320">
      <w:pPr>
        <w:rPr>
          <w:rFonts w:cstheme="minorHAnsi"/>
          <w:sz w:val="28"/>
        </w:rPr>
      </w:pPr>
    </w:p>
    <w:p w14:paraId="74F07F7F" w14:textId="4126C95F" w:rsidR="00B64320" w:rsidRDefault="00B64320" w:rsidP="00B64320">
      <w:pPr>
        <w:rPr>
          <w:rFonts w:cstheme="minorHAnsi"/>
          <w:sz w:val="24"/>
          <w:shd w:val="clear" w:color="auto" w:fill="FFFFFF"/>
        </w:rPr>
      </w:pPr>
      <w:r w:rsidRPr="00B15EC8">
        <w:rPr>
          <w:rFonts w:cstheme="minorHAnsi"/>
          <w:sz w:val="24"/>
          <w:shd w:val="clear" w:color="auto" w:fill="FFFFFF"/>
        </w:rPr>
        <w:t xml:space="preserve">Home Office. (2019). </w:t>
      </w:r>
      <w:r w:rsidRPr="00B15EC8">
        <w:rPr>
          <w:rFonts w:cstheme="minorHAnsi"/>
          <w:i/>
          <w:iCs/>
          <w:sz w:val="24"/>
        </w:rPr>
        <w:t>PACE Code C Revised.</w:t>
      </w:r>
      <w:r w:rsidRPr="00B15EC8">
        <w:rPr>
          <w:rFonts w:cstheme="minorHAnsi"/>
          <w:sz w:val="24"/>
          <w:shd w:val="clear" w:color="auto" w:fill="FFFFFF"/>
        </w:rPr>
        <w:t xml:space="preserve"> Available: https://assets.publishing.service.gov.uk/government/uploads/system/uploads/attachment_data/file/826813/PACE-Code-C_2019.pdf. Last accessed 15th January 2020.</w:t>
      </w:r>
    </w:p>
    <w:p w14:paraId="08081835" w14:textId="77777777" w:rsidR="00B64320" w:rsidRPr="00B15EC8" w:rsidRDefault="00B64320" w:rsidP="00B64320">
      <w:pPr>
        <w:rPr>
          <w:rFonts w:cstheme="minorHAnsi"/>
          <w:sz w:val="24"/>
          <w:shd w:val="clear" w:color="auto" w:fill="FFFFFF"/>
        </w:rPr>
      </w:pPr>
    </w:p>
    <w:p w14:paraId="4958293E" w14:textId="48E90F07" w:rsidR="00B64320" w:rsidRDefault="00B64320" w:rsidP="00B64320">
      <w:pPr>
        <w:rPr>
          <w:rFonts w:cstheme="minorHAnsi"/>
          <w:sz w:val="24"/>
        </w:rPr>
      </w:pPr>
      <w:r w:rsidRPr="00B15EC8">
        <w:rPr>
          <w:rFonts w:cstheme="minorHAnsi"/>
          <w:sz w:val="24"/>
        </w:rPr>
        <w:t xml:space="preserve">Juneja, P. (2019). </w:t>
      </w:r>
      <w:r w:rsidRPr="00B15EC8">
        <w:rPr>
          <w:rFonts w:cstheme="minorHAnsi"/>
          <w:i/>
          <w:iCs/>
          <w:sz w:val="24"/>
        </w:rPr>
        <w:t>Adjusting to Changing Organization Culture.</w:t>
      </w:r>
      <w:r w:rsidRPr="00B15EC8">
        <w:rPr>
          <w:rFonts w:cstheme="minorHAnsi"/>
          <w:sz w:val="24"/>
        </w:rPr>
        <w:t xml:space="preserve"> Available: https://www.managementstudyguide.com/adjusting-to-changing-organization-culture.htm. Last accessed 18th December 2019</w:t>
      </w:r>
    </w:p>
    <w:p w14:paraId="2FF26080" w14:textId="77777777" w:rsidR="00B64320" w:rsidRPr="00B15EC8" w:rsidRDefault="00B64320" w:rsidP="00B64320">
      <w:pPr>
        <w:rPr>
          <w:rFonts w:cstheme="minorHAnsi"/>
          <w:sz w:val="24"/>
        </w:rPr>
      </w:pPr>
    </w:p>
    <w:p w14:paraId="5632FDF9" w14:textId="64C8C0D7" w:rsidR="00B64320" w:rsidRDefault="00B64320" w:rsidP="00B64320">
      <w:pPr>
        <w:rPr>
          <w:rFonts w:cstheme="minorHAnsi"/>
          <w:sz w:val="24"/>
          <w:shd w:val="clear" w:color="auto" w:fill="FFFFFF"/>
        </w:rPr>
      </w:pPr>
      <w:r w:rsidRPr="00B15EC8">
        <w:rPr>
          <w:rFonts w:cstheme="minorHAnsi"/>
          <w:sz w:val="24"/>
          <w:shd w:val="clear" w:color="auto" w:fill="FFFFFF"/>
        </w:rPr>
        <w:t xml:space="preserve">Kang and Co Solicitors. (2019). </w:t>
      </w:r>
      <w:r w:rsidRPr="00B15EC8">
        <w:rPr>
          <w:rFonts w:cstheme="minorHAnsi"/>
          <w:i/>
          <w:iCs/>
          <w:sz w:val="24"/>
        </w:rPr>
        <w:t>No Comment Police Interview.</w:t>
      </w:r>
      <w:r w:rsidRPr="00B15EC8">
        <w:rPr>
          <w:rFonts w:cstheme="minorHAnsi"/>
          <w:sz w:val="24"/>
          <w:shd w:val="clear" w:color="auto" w:fill="FFFFFF"/>
        </w:rPr>
        <w:t xml:space="preserve"> Available: https://kangandco.co.uk/police-station-interview/no-comment-police-interview/. Last accessed 15th January 2020</w:t>
      </w:r>
    </w:p>
    <w:p w14:paraId="049ADEFC" w14:textId="77777777" w:rsidR="00B64320" w:rsidRPr="00B15EC8" w:rsidRDefault="00B64320" w:rsidP="00B64320">
      <w:pPr>
        <w:rPr>
          <w:rFonts w:cstheme="minorHAnsi"/>
          <w:sz w:val="24"/>
          <w:shd w:val="clear" w:color="auto" w:fill="FFFFFF"/>
        </w:rPr>
      </w:pPr>
    </w:p>
    <w:p w14:paraId="7D461A1C" w14:textId="11B2C046" w:rsidR="00B64320" w:rsidRDefault="00B64320" w:rsidP="00B64320">
      <w:pPr>
        <w:rPr>
          <w:rFonts w:cstheme="minorHAnsi"/>
          <w:sz w:val="24"/>
          <w:shd w:val="clear" w:color="auto" w:fill="FFFFFF"/>
        </w:rPr>
      </w:pPr>
      <w:r w:rsidRPr="00B15EC8">
        <w:rPr>
          <w:rFonts w:cstheme="minorHAnsi"/>
          <w:sz w:val="24"/>
          <w:shd w:val="clear" w:color="auto" w:fill="FFFFFF"/>
        </w:rPr>
        <w:t xml:space="preserve">Liberty. (2019). </w:t>
      </w:r>
      <w:r w:rsidRPr="00B15EC8">
        <w:rPr>
          <w:rFonts w:cstheme="minorHAnsi"/>
          <w:i/>
          <w:iCs/>
          <w:sz w:val="24"/>
        </w:rPr>
        <w:t>The Human Rights Act.</w:t>
      </w:r>
      <w:r w:rsidRPr="00B15EC8">
        <w:rPr>
          <w:rFonts w:cstheme="minorHAnsi"/>
          <w:sz w:val="24"/>
          <w:shd w:val="clear" w:color="auto" w:fill="FFFFFF"/>
        </w:rPr>
        <w:t xml:space="preserve"> Available: https://www.libertyhumanrights.org.uk/human-rights/human-rights-act. Last accessed 17th January 2020.</w:t>
      </w:r>
    </w:p>
    <w:p w14:paraId="1186F4A8" w14:textId="77777777" w:rsidR="00B64320" w:rsidRPr="00B15EC8" w:rsidRDefault="00B64320" w:rsidP="00B64320">
      <w:pPr>
        <w:rPr>
          <w:rFonts w:cstheme="minorHAnsi"/>
          <w:sz w:val="24"/>
          <w:shd w:val="clear" w:color="auto" w:fill="FFFFFF"/>
        </w:rPr>
      </w:pPr>
    </w:p>
    <w:p w14:paraId="0564B084" w14:textId="542689C0" w:rsidR="00B64320" w:rsidRDefault="00B64320" w:rsidP="00B64320">
      <w:pPr>
        <w:rPr>
          <w:rFonts w:cstheme="minorHAnsi"/>
          <w:sz w:val="24"/>
        </w:rPr>
      </w:pPr>
      <w:r w:rsidRPr="00B15EC8">
        <w:rPr>
          <w:rFonts w:cstheme="minorHAnsi"/>
          <w:sz w:val="24"/>
        </w:rPr>
        <w:t xml:space="preserve">Managing Mental Health Matters. (2018). </w:t>
      </w:r>
      <w:r w:rsidRPr="00B15EC8">
        <w:rPr>
          <w:rFonts w:cstheme="minorHAnsi"/>
          <w:i/>
          <w:iCs/>
          <w:sz w:val="24"/>
        </w:rPr>
        <w:t>Verbal vs. Non Verbal Communication.</w:t>
      </w:r>
      <w:r w:rsidRPr="00B15EC8">
        <w:rPr>
          <w:rFonts w:cstheme="minorHAnsi"/>
          <w:sz w:val="24"/>
        </w:rPr>
        <w:t xml:space="preserve"> Available: https://www.workplacestrategiesformentalhealth.com/mmhm/pdf/full_communicating_0.pdf. Last accessed 15th January 2020.</w:t>
      </w:r>
    </w:p>
    <w:p w14:paraId="657F7D17" w14:textId="77777777" w:rsidR="00B64320" w:rsidRPr="00B15EC8" w:rsidRDefault="00B64320" w:rsidP="00B64320">
      <w:pPr>
        <w:rPr>
          <w:rFonts w:cstheme="minorHAnsi"/>
          <w:sz w:val="24"/>
        </w:rPr>
      </w:pPr>
    </w:p>
    <w:p w14:paraId="02D473AD" w14:textId="25C27ADB" w:rsidR="00B64320" w:rsidRDefault="00B64320" w:rsidP="00B64320">
      <w:pPr>
        <w:rPr>
          <w:rFonts w:cstheme="minorHAnsi"/>
          <w:sz w:val="24"/>
        </w:rPr>
      </w:pPr>
      <w:r w:rsidRPr="00B15EC8">
        <w:rPr>
          <w:rFonts w:cstheme="minorHAnsi"/>
          <w:sz w:val="24"/>
        </w:rPr>
        <w:t xml:space="preserve">Mayo Clinic Staff. (2019). </w:t>
      </w:r>
      <w:r w:rsidRPr="00B15EC8">
        <w:rPr>
          <w:rFonts w:cstheme="minorHAnsi"/>
          <w:i/>
          <w:iCs/>
          <w:sz w:val="24"/>
        </w:rPr>
        <w:t>Coping with stress: Workplace tips.</w:t>
      </w:r>
      <w:r w:rsidRPr="00B15EC8">
        <w:rPr>
          <w:rFonts w:cstheme="minorHAnsi"/>
          <w:sz w:val="24"/>
        </w:rPr>
        <w:t xml:space="preserve"> Available: https://www.mayoclinic.org/healthy-lifestyle/stress-management/in-depth/coping-with-stress/art-20048369. Last accessed 18th December 2019</w:t>
      </w:r>
    </w:p>
    <w:p w14:paraId="30EFE69F" w14:textId="77777777" w:rsidR="00B64320" w:rsidRPr="00B15EC8" w:rsidRDefault="00B64320" w:rsidP="00B64320">
      <w:pPr>
        <w:rPr>
          <w:rFonts w:cstheme="minorHAnsi"/>
          <w:sz w:val="24"/>
        </w:rPr>
      </w:pPr>
    </w:p>
    <w:p w14:paraId="2B665E69" w14:textId="329F2D40" w:rsidR="00B64320" w:rsidRDefault="00B64320" w:rsidP="00B64320">
      <w:pPr>
        <w:rPr>
          <w:rFonts w:cstheme="minorHAnsi"/>
          <w:sz w:val="24"/>
          <w:shd w:val="clear" w:color="auto" w:fill="FFFFFF"/>
        </w:rPr>
      </w:pPr>
      <w:r w:rsidRPr="00B15EC8">
        <w:rPr>
          <w:rFonts w:cstheme="minorHAnsi"/>
          <w:sz w:val="24"/>
          <w:shd w:val="clear" w:color="auto" w:fill="FFFFFF"/>
        </w:rPr>
        <w:lastRenderedPageBreak/>
        <w:t xml:space="preserve">McKee, A. (2013). </w:t>
      </w:r>
      <w:r w:rsidRPr="00B15EC8">
        <w:rPr>
          <w:rFonts w:cstheme="minorHAnsi"/>
          <w:i/>
          <w:iCs/>
          <w:sz w:val="24"/>
        </w:rPr>
        <w:t>Broken windows theory.</w:t>
      </w:r>
      <w:r w:rsidRPr="00B15EC8">
        <w:rPr>
          <w:rFonts w:cstheme="minorHAnsi"/>
          <w:sz w:val="24"/>
          <w:shd w:val="clear" w:color="auto" w:fill="FFFFFF"/>
        </w:rPr>
        <w:t xml:space="preserve"> Available: https://www.britannica.com/topic/broken-windows-theory. Last accessed 17th January 2020.</w:t>
      </w:r>
    </w:p>
    <w:p w14:paraId="1F97BFAD" w14:textId="77777777" w:rsidR="00B64320" w:rsidRPr="00B15EC8" w:rsidRDefault="00B64320" w:rsidP="00B64320">
      <w:pPr>
        <w:rPr>
          <w:rFonts w:cstheme="minorHAnsi"/>
          <w:sz w:val="24"/>
          <w:shd w:val="clear" w:color="auto" w:fill="FFFFFF"/>
        </w:rPr>
      </w:pPr>
    </w:p>
    <w:p w14:paraId="11409C38" w14:textId="0180B199" w:rsidR="00B64320" w:rsidRDefault="00B64320" w:rsidP="00B64320">
      <w:pPr>
        <w:rPr>
          <w:rFonts w:cstheme="minorHAnsi"/>
          <w:sz w:val="24"/>
          <w:shd w:val="clear" w:color="auto" w:fill="FFFFFF"/>
        </w:rPr>
      </w:pPr>
      <w:r w:rsidRPr="00B15EC8">
        <w:rPr>
          <w:rFonts w:cstheme="minorHAnsi"/>
          <w:sz w:val="24"/>
          <w:shd w:val="clear" w:color="auto" w:fill="FFFFFF"/>
        </w:rPr>
        <w:t xml:space="preserve">Mind. (2017). </w:t>
      </w:r>
      <w:r w:rsidRPr="00B15EC8">
        <w:rPr>
          <w:rFonts w:cstheme="minorHAnsi"/>
          <w:i/>
          <w:iCs/>
          <w:sz w:val="24"/>
        </w:rPr>
        <w:t>Police and mental health.</w:t>
      </w:r>
      <w:r w:rsidRPr="00B15EC8">
        <w:rPr>
          <w:rFonts w:cstheme="minorHAnsi"/>
          <w:sz w:val="24"/>
          <w:shd w:val="clear" w:color="auto" w:fill="FFFFFF"/>
        </w:rPr>
        <w:t xml:space="preserve"> Available: https://www.mind.org.uk/information-support/legal-rights/police-and-mental-health/sections-135-136/#.XiVdhnd2s2w. Last accessed 15th January 2020.</w:t>
      </w:r>
    </w:p>
    <w:p w14:paraId="4129F567" w14:textId="77777777" w:rsidR="00B64320" w:rsidRPr="00B15EC8" w:rsidRDefault="00B64320" w:rsidP="00B64320">
      <w:pPr>
        <w:rPr>
          <w:rFonts w:cstheme="minorHAnsi"/>
          <w:sz w:val="24"/>
          <w:shd w:val="clear" w:color="auto" w:fill="FFFFFF"/>
        </w:rPr>
      </w:pPr>
    </w:p>
    <w:p w14:paraId="76B5D20E" w14:textId="38E3129E" w:rsidR="00B64320" w:rsidRDefault="00B64320" w:rsidP="00B64320">
      <w:pPr>
        <w:rPr>
          <w:rFonts w:cstheme="minorHAnsi"/>
          <w:sz w:val="24"/>
          <w:shd w:val="clear" w:color="auto" w:fill="FFFFFF"/>
        </w:rPr>
      </w:pPr>
      <w:r w:rsidRPr="00B15EC8">
        <w:rPr>
          <w:rFonts w:cstheme="minorHAnsi"/>
          <w:sz w:val="24"/>
          <w:shd w:val="clear" w:color="auto" w:fill="FFFFFF"/>
        </w:rPr>
        <w:t xml:space="preserve">National Appropriate Adult Network. (2019). </w:t>
      </w:r>
      <w:r w:rsidRPr="00B15EC8">
        <w:rPr>
          <w:rFonts w:cstheme="minorHAnsi"/>
          <w:i/>
          <w:iCs/>
          <w:sz w:val="24"/>
        </w:rPr>
        <w:t>What is an appropriate adult?.</w:t>
      </w:r>
      <w:r w:rsidRPr="00B15EC8">
        <w:rPr>
          <w:rFonts w:cstheme="minorHAnsi"/>
          <w:sz w:val="24"/>
          <w:shd w:val="clear" w:color="auto" w:fill="FFFFFF"/>
        </w:rPr>
        <w:t xml:space="preserve"> Available: https://www.appropriateadult.org.uk/index.php/information/what-is-an-appropriate-adult. Last accessed 15th January 2020.</w:t>
      </w:r>
    </w:p>
    <w:p w14:paraId="7A4E0DA3" w14:textId="77777777" w:rsidR="00B64320" w:rsidRPr="00B15EC8" w:rsidRDefault="00B64320" w:rsidP="00B64320">
      <w:pPr>
        <w:rPr>
          <w:rFonts w:cstheme="minorHAnsi"/>
          <w:sz w:val="24"/>
          <w:shd w:val="clear" w:color="auto" w:fill="FFFFFF"/>
        </w:rPr>
      </w:pPr>
    </w:p>
    <w:p w14:paraId="38484864" w14:textId="02C885EE" w:rsidR="00B64320" w:rsidRDefault="00B64320" w:rsidP="00B64320">
      <w:pPr>
        <w:rPr>
          <w:rFonts w:cstheme="minorHAnsi"/>
          <w:sz w:val="24"/>
          <w:shd w:val="clear" w:color="auto" w:fill="FFFFFF"/>
        </w:rPr>
      </w:pPr>
      <w:r w:rsidRPr="00B15EC8">
        <w:rPr>
          <w:rFonts w:cstheme="minorHAnsi"/>
          <w:sz w:val="24"/>
          <w:shd w:val="clear" w:color="auto" w:fill="FFFFFF"/>
        </w:rPr>
        <w:t xml:space="preserve">North Yorkshire Police. (2019). </w:t>
      </w:r>
      <w:r w:rsidRPr="00B15EC8">
        <w:rPr>
          <w:rFonts w:cstheme="minorHAnsi"/>
          <w:i/>
          <w:iCs/>
          <w:sz w:val="24"/>
        </w:rPr>
        <w:t>How we Handle Incidents.</w:t>
      </w:r>
      <w:r w:rsidRPr="00B15EC8">
        <w:rPr>
          <w:rFonts w:cstheme="minorHAnsi"/>
          <w:sz w:val="24"/>
          <w:shd w:val="clear" w:color="auto" w:fill="FFFFFF"/>
        </w:rPr>
        <w:t xml:space="preserve"> Available: https://northyorkshire.police.uk/what-we-do/dealing-with-crime/deal-crime-report/. Last accessed 15th January 2020.</w:t>
      </w:r>
    </w:p>
    <w:p w14:paraId="61C6AE56" w14:textId="77777777" w:rsidR="00B64320" w:rsidRPr="00B15EC8" w:rsidRDefault="00B64320" w:rsidP="00B64320">
      <w:pPr>
        <w:rPr>
          <w:rFonts w:cstheme="minorHAnsi"/>
          <w:sz w:val="24"/>
          <w:shd w:val="clear" w:color="auto" w:fill="FFFFFF"/>
        </w:rPr>
      </w:pPr>
    </w:p>
    <w:p w14:paraId="480DEDFC" w14:textId="1707E222" w:rsidR="00B64320" w:rsidRDefault="00B64320" w:rsidP="00B64320">
      <w:pPr>
        <w:rPr>
          <w:rFonts w:cstheme="minorHAnsi"/>
          <w:sz w:val="24"/>
          <w:shd w:val="clear" w:color="auto" w:fill="FFFFFF"/>
        </w:rPr>
      </w:pPr>
      <w:r w:rsidRPr="00B15EC8">
        <w:rPr>
          <w:rFonts w:cstheme="minorHAnsi"/>
          <w:sz w:val="24"/>
          <w:shd w:val="clear" w:color="auto" w:fill="FFFFFF"/>
        </w:rPr>
        <w:t xml:space="preserve">Police.uk. (2014). </w:t>
      </w:r>
      <w:r w:rsidRPr="00B15EC8">
        <w:rPr>
          <w:rFonts w:cstheme="minorHAnsi"/>
          <w:i/>
          <w:iCs/>
          <w:sz w:val="24"/>
        </w:rPr>
        <w:t>New Anti-Social Behaviour Powers Come Into Effect.</w:t>
      </w:r>
      <w:r w:rsidRPr="00B15EC8">
        <w:rPr>
          <w:rFonts w:cstheme="minorHAnsi"/>
          <w:sz w:val="24"/>
          <w:shd w:val="clear" w:color="auto" w:fill="FFFFFF"/>
        </w:rPr>
        <w:t xml:space="preserve"> Available: https://www.police.uk/news/new-anti-social-behaviour-powers-come-effect/. Last accessed 17th January 2020.</w:t>
      </w:r>
    </w:p>
    <w:p w14:paraId="247AF976" w14:textId="77777777" w:rsidR="00B64320" w:rsidRPr="00B15EC8" w:rsidRDefault="00B64320" w:rsidP="00B64320">
      <w:pPr>
        <w:rPr>
          <w:rFonts w:cstheme="minorHAnsi"/>
          <w:sz w:val="24"/>
          <w:shd w:val="clear" w:color="auto" w:fill="FFFFFF"/>
        </w:rPr>
      </w:pPr>
    </w:p>
    <w:p w14:paraId="596FA53A" w14:textId="38A89C2E" w:rsidR="00B64320" w:rsidRDefault="00B64320" w:rsidP="00B64320">
      <w:pPr>
        <w:rPr>
          <w:rFonts w:cstheme="minorHAnsi"/>
          <w:sz w:val="24"/>
          <w:shd w:val="clear" w:color="auto" w:fill="FFFFFF"/>
        </w:rPr>
      </w:pPr>
      <w:r w:rsidRPr="00B15EC8">
        <w:rPr>
          <w:rFonts w:cstheme="minorHAnsi"/>
          <w:sz w:val="24"/>
          <w:shd w:val="clear" w:color="auto" w:fill="FFFFFF"/>
        </w:rPr>
        <w:t xml:space="preserve">Thames Valley Police. (2019). </w:t>
      </w:r>
      <w:r w:rsidRPr="00B15EC8">
        <w:rPr>
          <w:rFonts w:cstheme="minorHAnsi"/>
          <w:i/>
          <w:iCs/>
          <w:sz w:val="24"/>
        </w:rPr>
        <w:t>What is antisocial behaviour?.</w:t>
      </w:r>
      <w:r w:rsidRPr="00B15EC8">
        <w:rPr>
          <w:rFonts w:cstheme="minorHAnsi"/>
          <w:sz w:val="24"/>
          <w:shd w:val="clear" w:color="auto" w:fill="FFFFFF"/>
        </w:rPr>
        <w:t xml:space="preserve"> Available: https://www.thamesvalley.police.uk/advice/advice-and-information/asb/af/antisocial-behaviour/. Last accessed 17th January 2020.</w:t>
      </w:r>
    </w:p>
    <w:p w14:paraId="377C60F6" w14:textId="77777777" w:rsidR="00B64320" w:rsidRPr="00B15EC8" w:rsidRDefault="00B64320" w:rsidP="00B64320">
      <w:pPr>
        <w:rPr>
          <w:rFonts w:cstheme="minorHAnsi"/>
          <w:sz w:val="24"/>
          <w:shd w:val="clear" w:color="auto" w:fill="FFFFFF"/>
        </w:rPr>
      </w:pPr>
    </w:p>
    <w:p w14:paraId="2B228341" w14:textId="77777777" w:rsidR="00B64320" w:rsidRPr="00B15EC8" w:rsidRDefault="00B64320" w:rsidP="00B64320">
      <w:pPr>
        <w:rPr>
          <w:rFonts w:cstheme="minorHAnsi"/>
          <w:sz w:val="24"/>
        </w:rPr>
      </w:pPr>
      <w:r w:rsidRPr="00B15EC8">
        <w:rPr>
          <w:rFonts w:cstheme="minorHAnsi"/>
          <w:sz w:val="24"/>
          <w:shd w:val="clear" w:color="auto" w:fill="FFFFFF"/>
        </w:rPr>
        <w:t xml:space="preserve">Victim Support. (2019). </w:t>
      </w:r>
      <w:r w:rsidRPr="00B15EC8">
        <w:rPr>
          <w:rFonts w:cstheme="minorHAnsi"/>
          <w:i/>
          <w:iCs/>
          <w:sz w:val="24"/>
        </w:rPr>
        <w:t>Antisocial Behaviour.</w:t>
      </w:r>
      <w:r w:rsidRPr="00B15EC8">
        <w:rPr>
          <w:rFonts w:cstheme="minorHAnsi"/>
          <w:sz w:val="24"/>
          <w:shd w:val="clear" w:color="auto" w:fill="FFFFFF"/>
        </w:rPr>
        <w:t xml:space="preserve"> Available: https://www.victimsupport.org.uk/crime-info/types-crime/antisocial-behaviour. Last accessed 17th January 2020.</w:t>
      </w:r>
    </w:p>
    <w:p w14:paraId="16EE5C9F" w14:textId="77777777" w:rsidR="00B64320" w:rsidRPr="00270EEB" w:rsidRDefault="00B64320"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DEA3DA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FE0AB3">
        <w:rPr>
          <w:rFonts w:eastAsia="Arial"/>
          <w:color w:val="000000" w:themeColor="text1"/>
          <w:sz w:val="24"/>
          <w:szCs w:val="24"/>
        </w:rPr>
        <w:t>Jacob MORGAN</w:t>
      </w:r>
      <w:r w:rsidRPr="5848403C">
        <w:rPr>
          <w:rFonts w:eastAsia="Arial"/>
          <w:color w:val="000000" w:themeColor="text1"/>
          <w:sz w:val="24"/>
          <w:szCs w:val="24"/>
        </w:rPr>
        <w:t xml:space="preserve">  (Learner</w:t>
      </w:r>
    </w:p>
    <w:p w14:paraId="5473B39D" w14:textId="25489F28" w:rsidR="5848403C" w:rsidRDefault="5848403C" w:rsidP="5848403C">
      <w:pPr>
        <w:jc w:val="both"/>
        <w:rPr>
          <w:rFonts w:eastAsia="Arial"/>
          <w:color w:val="000000" w:themeColor="text1"/>
          <w:sz w:val="24"/>
          <w:szCs w:val="24"/>
        </w:rPr>
      </w:pPr>
    </w:p>
    <w:p w14:paraId="4EC5D203" w14:textId="1D54C32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FE0AB3">
        <w:rPr>
          <w:rFonts w:eastAsia="Arial"/>
          <w:color w:val="000000" w:themeColor="text1"/>
          <w:sz w:val="24"/>
          <w:szCs w:val="24"/>
        </w:rPr>
        <w:t>20/01/2020</w:t>
      </w:r>
      <w:bookmarkStart w:id="12" w:name="_GoBack"/>
      <w:bookmarkEnd w:id="12"/>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FE0AB3">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FE0AB3">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B64320" w:rsidRDefault="00B64320">
      <w:r>
        <w:separator/>
      </w:r>
    </w:p>
  </w:endnote>
  <w:endnote w:type="continuationSeparator" w:id="0">
    <w:p w14:paraId="2FD44551" w14:textId="77777777" w:rsidR="00B64320" w:rsidRDefault="00B643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640F1A" w14:textId="024C5DAF" w:rsidR="00FE0AB3" w:rsidRDefault="00FE0AB3" w:rsidP="00FE0AB3">
    <w:pPr>
      <w:pStyle w:val="Footer"/>
      <w:rPr>
        <w:sz w:val="17"/>
      </w:rPr>
    </w:pPr>
    <w:bookmarkStart w:id="2" w:name="TITUS1FooterEvenPages"/>
    <w:r w:rsidRPr="00FE0AB3">
      <w:rPr>
        <w:sz w:val="17"/>
      </w:rPr>
      <w:t> </w:t>
    </w:r>
  </w:p>
  <w:bookmarkEnd w:id="2"/>
  <w:p w14:paraId="08D244FD" w14:textId="26EA366C" w:rsidR="00FE0AB3" w:rsidRDefault="00FE0AB3" w:rsidP="00FE0AB3">
    <w:pPr>
      <w:pStyle w:val="Footer"/>
      <w:jc w:val="right"/>
    </w:pPr>
    <w:r>
      <w:fldChar w:fldCharType="begin"/>
    </w:r>
    <w:r>
      <w:instrText xml:space="preserve"> PAGE   \* MERGEFORMAT </w:instrText>
    </w:r>
    <w:r>
      <w:fldChar w:fldCharType="separate"/>
    </w:r>
    <w:r>
      <w:rPr>
        <w:noProof/>
      </w:rPr>
      <w:t>6</w:t>
    </w:r>
    <w:r>
      <w:rPr>
        <w:noProof/>
      </w:rPr>
      <w:fldChar w:fldCharType="end"/>
    </w:r>
  </w:p>
  <w:p w14:paraId="05AD4E2B" w14:textId="77777777" w:rsidR="00FE0AB3" w:rsidRPr="00BB5EAA" w:rsidRDefault="00FE0AB3" w:rsidP="00FE0AB3">
    <w:pPr>
      <w:pStyle w:val="Footer"/>
      <w:ind w:right="360"/>
      <w:jc w:val="center"/>
    </w:pPr>
  </w:p>
  <w:p w14:paraId="586AA635" w14:textId="77777777" w:rsidR="00FE0AB3" w:rsidRDefault="00FE0A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AE2C2E" w14:textId="7801326B" w:rsidR="00FE0AB3" w:rsidRDefault="00FE0AB3" w:rsidP="00FE0AB3">
    <w:pPr>
      <w:pStyle w:val="Footer"/>
      <w:rPr>
        <w:sz w:val="17"/>
      </w:rPr>
    </w:pPr>
    <w:bookmarkStart w:id="3" w:name="TITUS1FooterPrimary"/>
    <w:r w:rsidRPr="00FE0AB3">
      <w:rPr>
        <w:sz w:val="17"/>
      </w:rPr>
      <w:t> </w:t>
    </w:r>
  </w:p>
  <w:bookmarkEnd w:id="3"/>
  <w:p w14:paraId="50521BFA" w14:textId="30949094" w:rsidR="00B64320" w:rsidRDefault="00B64320">
    <w:pPr>
      <w:pStyle w:val="Footer"/>
      <w:jc w:val="right"/>
    </w:pPr>
    <w:r>
      <w:fldChar w:fldCharType="begin"/>
    </w:r>
    <w:r>
      <w:instrText xml:space="preserve"> PAGE   \* MERGEFORMAT </w:instrText>
    </w:r>
    <w:r>
      <w:fldChar w:fldCharType="separate"/>
    </w:r>
    <w:r w:rsidR="00FE0AB3">
      <w:rPr>
        <w:noProof/>
      </w:rPr>
      <w:t>7</w:t>
    </w:r>
    <w:r>
      <w:rPr>
        <w:noProof/>
      </w:rPr>
      <w:fldChar w:fldCharType="end"/>
    </w:r>
  </w:p>
  <w:p w14:paraId="790812FF" w14:textId="77777777" w:rsidR="00B64320" w:rsidRPr="00BB5EAA" w:rsidRDefault="00B6432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9A07D" w14:textId="76A4B980" w:rsidR="00FE0AB3" w:rsidRDefault="00FE0AB3" w:rsidP="00FE0AB3">
    <w:pPr>
      <w:pStyle w:val="Footer"/>
      <w:rPr>
        <w:sz w:val="17"/>
      </w:rPr>
    </w:pPr>
    <w:bookmarkStart w:id="5" w:name="TITUS1FooterFirstPage"/>
    <w:r w:rsidRPr="00FE0AB3">
      <w:rPr>
        <w:sz w:val="17"/>
      </w:rPr>
      <w:t> </w:t>
    </w:r>
  </w:p>
  <w:bookmarkEnd w:id="5"/>
  <w:p w14:paraId="08C44DA1" w14:textId="4E687063" w:rsidR="00FE0AB3" w:rsidRDefault="00FE0AB3" w:rsidP="00FE0AB3">
    <w:pPr>
      <w:pStyle w:val="Footer"/>
      <w:jc w:val="right"/>
    </w:pPr>
    <w:r>
      <w:fldChar w:fldCharType="begin"/>
    </w:r>
    <w:r>
      <w:instrText xml:space="preserve"> PAGE   \* MERGEFORMAT </w:instrText>
    </w:r>
    <w:r>
      <w:fldChar w:fldCharType="separate"/>
    </w:r>
    <w:r>
      <w:rPr>
        <w:noProof/>
      </w:rPr>
      <w:t>1</w:t>
    </w:r>
    <w:r>
      <w:rPr>
        <w:noProof/>
      </w:rPr>
      <w:fldChar w:fldCharType="end"/>
    </w:r>
  </w:p>
  <w:p w14:paraId="6DE2C804" w14:textId="77777777" w:rsidR="00FE0AB3" w:rsidRPr="00BB5EAA" w:rsidRDefault="00FE0AB3" w:rsidP="00FE0AB3">
    <w:pPr>
      <w:pStyle w:val="Footer"/>
      <w:ind w:right="360"/>
      <w:jc w:val="center"/>
    </w:pPr>
  </w:p>
  <w:p w14:paraId="78434128" w14:textId="77777777" w:rsidR="00FE0AB3" w:rsidRDefault="00FE0AB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C551C" w14:textId="6D2BED9A" w:rsidR="00FE0AB3" w:rsidRDefault="00FE0AB3" w:rsidP="00FE0AB3">
    <w:pPr>
      <w:pStyle w:val="Footer"/>
      <w:rPr>
        <w:sz w:val="17"/>
      </w:rPr>
    </w:pPr>
    <w:bookmarkStart w:id="8" w:name="TITUS2FooterEvenPages"/>
    <w:r w:rsidRPr="00FE0AB3">
      <w:rPr>
        <w:sz w:val="17"/>
      </w:rPr>
      <w:t> </w:t>
    </w:r>
  </w:p>
  <w:bookmarkEnd w:id="8"/>
  <w:p w14:paraId="511463D1" w14:textId="77777777" w:rsidR="00FE0AB3" w:rsidRDefault="00FE0AB3" w:rsidP="00FE0AB3">
    <w:pPr>
      <w:pStyle w:val="Footer"/>
      <w:jc w:val="right"/>
    </w:pPr>
  </w:p>
  <w:p w14:paraId="68F9F61D" w14:textId="688F3D50" w:rsidR="00FE0AB3" w:rsidRDefault="00FE0AB3" w:rsidP="00FE0AB3">
    <w:pPr>
      <w:pStyle w:val="Footer"/>
      <w:jc w:val="right"/>
    </w:pPr>
    <w:r>
      <w:fldChar w:fldCharType="begin"/>
    </w:r>
    <w:r>
      <w:instrText xml:space="preserve"> PAGE   \* MERGEFORMAT </w:instrText>
    </w:r>
    <w:r>
      <w:fldChar w:fldCharType="separate"/>
    </w:r>
    <w:r>
      <w:rPr>
        <w:noProof/>
      </w:rPr>
      <w:t>20</w:t>
    </w:r>
    <w:r>
      <w:rPr>
        <w:noProof/>
      </w:rPr>
      <w:fldChar w:fldCharType="end"/>
    </w:r>
  </w:p>
  <w:p w14:paraId="58639E16" w14:textId="77777777" w:rsidR="00FE0AB3" w:rsidRPr="00BB5EAA" w:rsidRDefault="00FE0AB3" w:rsidP="00FE0AB3">
    <w:pPr>
      <w:pStyle w:val="Footer"/>
      <w:ind w:right="360"/>
      <w:jc w:val="center"/>
    </w:pPr>
  </w:p>
  <w:p w14:paraId="00B48CE2" w14:textId="77777777" w:rsidR="00FE0AB3" w:rsidRDefault="00FE0AB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E053D" w14:textId="61286D7F" w:rsidR="00FE0AB3" w:rsidRDefault="00FE0AB3" w:rsidP="00FE0AB3">
    <w:pPr>
      <w:pStyle w:val="Footer"/>
      <w:rPr>
        <w:sz w:val="17"/>
      </w:rPr>
    </w:pPr>
    <w:bookmarkStart w:id="9" w:name="TITUS2FooterPrimary"/>
    <w:r w:rsidRPr="00FE0AB3">
      <w:rPr>
        <w:sz w:val="17"/>
      </w:rPr>
      <w:t> </w:t>
    </w:r>
  </w:p>
  <w:bookmarkEnd w:id="9"/>
  <w:p w14:paraId="534241F3" w14:textId="77777777" w:rsidR="00FE0AB3" w:rsidRDefault="00FE0AB3">
    <w:pPr>
      <w:pStyle w:val="Footer"/>
      <w:jc w:val="right"/>
    </w:pPr>
  </w:p>
  <w:p w14:paraId="7DDBF3C9" w14:textId="306C1E0E" w:rsidR="00FE0AB3" w:rsidRDefault="00FE0AB3">
    <w:pPr>
      <w:pStyle w:val="Footer"/>
      <w:jc w:val="right"/>
    </w:pPr>
    <w:r>
      <w:fldChar w:fldCharType="begin"/>
    </w:r>
    <w:r>
      <w:instrText xml:space="preserve"> PAGE   \* MERGEFORMAT </w:instrText>
    </w:r>
    <w:r>
      <w:fldChar w:fldCharType="separate"/>
    </w:r>
    <w:r>
      <w:rPr>
        <w:noProof/>
      </w:rPr>
      <w:t>19</w:t>
    </w:r>
    <w:r>
      <w:rPr>
        <w:noProof/>
      </w:rPr>
      <w:fldChar w:fldCharType="end"/>
    </w:r>
  </w:p>
  <w:p w14:paraId="7A246552" w14:textId="77777777" w:rsidR="00FE0AB3" w:rsidRPr="00BB5EAA" w:rsidRDefault="00FE0AB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E6185" w14:textId="5332AC9A" w:rsidR="00FE0AB3" w:rsidRDefault="00FE0AB3" w:rsidP="00FE0AB3">
    <w:pPr>
      <w:pStyle w:val="Footer"/>
      <w:rPr>
        <w:sz w:val="17"/>
      </w:rPr>
    </w:pPr>
    <w:bookmarkStart w:id="11" w:name="TITUS2FooterFirstPage"/>
    <w:r w:rsidRPr="00FE0AB3">
      <w:rPr>
        <w:sz w:val="17"/>
      </w:rPr>
      <w:t> </w:t>
    </w:r>
  </w:p>
  <w:bookmarkEnd w:id="11"/>
  <w:p w14:paraId="5ABF19C2" w14:textId="77777777" w:rsidR="00FE0AB3" w:rsidRDefault="00FE0AB3" w:rsidP="00FE0AB3">
    <w:pPr>
      <w:pStyle w:val="Footer"/>
      <w:jc w:val="right"/>
    </w:pPr>
  </w:p>
  <w:p w14:paraId="2C2FE47D" w14:textId="6A98ED42" w:rsidR="00FE0AB3" w:rsidRDefault="00FE0AB3" w:rsidP="00FE0AB3">
    <w:pPr>
      <w:pStyle w:val="Footer"/>
      <w:jc w:val="right"/>
    </w:pPr>
    <w:r>
      <w:fldChar w:fldCharType="begin"/>
    </w:r>
    <w:r>
      <w:instrText xml:space="preserve"> PAGE   \* MERGEFORMAT </w:instrText>
    </w:r>
    <w:r>
      <w:fldChar w:fldCharType="separate"/>
    </w:r>
    <w:r>
      <w:rPr>
        <w:noProof/>
      </w:rPr>
      <w:t>8</w:t>
    </w:r>
    <w:r>
      <w:rPr>
        <w:noProof/>
      </w:rPr>
      <w:fldChar w:fldCharType="end"/>
    </w:r>
  </w:p>
  <w:p w14:paraId="445D5997" w14:textId="77777777" w:rsidR="00FE0AB3" w:rsidRPr="00BB5EAA" w:rsidRDefault="00FE0AB3" w:rsidP="00FE0AB3">
    <w:pPr>
      <w:pStyle w:val="Footer"/>
      <w:ind w:right="360"/>
      <w:jc w:val="center"/>
    </w:pPr>
  </w:p>
  <w:p w14:paraId="72C84548" w14:textId="77777777" w:rsidR="00FE0AB3" w:rsidRDefault="00FE0AB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B8CBA4" w14:textId="4949CA57" w:rsidR="00FE0AB3" w:rsidRDefault="00FE0AB3" w:rsidP="00FE0AB3">
    <w:pPr>
      <w:pStyle w:val="Footer"/>
      <w:rPr>
        <w:sz w:val="17"/>
      </w:rPr>
    </w:pPr>
    <w:bookmarkStart w:id="15" w:name="TITUS3FooterEvenPages"/>
    <w:r w:rsidRPr="00FE0AB3">
      <w:rPr>
        <w:sz w:val="17"/>
      </w:rPr>
      <w:t> </w:t>
    </w:r>
  </w:p>
  <w:bookmarkEnd w:id="15"/>
  <w:p w14:paraId="193D2815" w14:textId="77777777" w:rsidR="00FE0AB3" w:rsidRDefault="00FE0AB3" w:rsidP="00FE0AB3">
    <w:pPr>
      <w:pStyle w:val="Footer"/>
      <w:jc w:val="right"/>
    </w:pPr>
  </w:p>
  <w:p w14:paraId="6368F724" w14:textId="77777777" w:rsidR="00FE0AB3" w:rsidRDefault="00FE0AB3" w:rsidP="00FE0AB3">
    <w:pPr>
      <w:pStyle w:val="Footer"/>
      <w:jc w:val="right"/>
    </w:pPr>
    <w:r>
      <w:fldChar w:fldCharType="begin"/>
    </w:r>
    <w:r>
      <w:instrText xml:space="preserve"> PAGE   \* MERGEFORMAT </w:instrText>
    </w:r>
    <w:r>
      <w:fldChar w:fldCharType="separate"/>
    </w:r>
    <w:r>
      <w:rPr>
        <w:noProof/>
      </w:rPr>
      <w:t>20</w:t>
    </w:r>
    <w:r>
      <w:rPr>
        <w:noProof/>
      </w:rPr>
      <w:fldChar w:fldCharType="end"/>
    </w:r>
  </w:p>
  <w:p w14:paraId="4CDE127E" w14:textId="77777777" w:rsidR="00FE0AB3" w:rsidRPr="00BB5EAA" w:rsidRDefault="00FE0AB3" w:rsidP="00FE0AB3">
    <w:pPr>
      <w:pStyle w:val="Footer"/>
      <w:ind w:right="360"/>
      <w:jc w:val="center"/>
    </w:pPr>
  </w:p>
  <w:p w14:paraId="7E78539F" w14:textId="77777777" w:rsidR="00FE0AB3" w:rsidRDefault="00FE0AB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4A6B32" w14:textId="7AC59D23" w:rsidR="00FE0AB3" w:rsidRDefault="00FE0AB3" w:rsidP="00FE0AB3">
    <w:pPr>
      <w:pStyle w:val="Footer"/>
      <w:rPr>
        <w:sz w:val="17"/>
      </w:rPr>
    </w:pPr>
    <w:bookmarkStart w:id="16" w:name="TITUS3FooterPrimary"/>
    <w:r w:rsidRPr="00FE0AB3">
      <w:rPr>
        <w:sz w:val="17"/>
      </w:rPr>
      <w:t> </w:t>
    </w:r>
  </w:p>
  <w:bookmarkEnd w:id="16"/>
  <w:p w14:paraId="3CBE71DE" w14:textId="77777777" w:rsidR="00FE0AB3" w:rsidRDefault="00FE0AB3">
    <w:pPr>
      <w:pStyle w:val="Footer"/>
      <w:jc w:val="right"/>
    </w:pPr>
  </w:p>
  <w:p w14:paraId="60FF1FEC" w14:textId="77777777" w:rsidR="00FE0AB3" w:rsidRDefault="00FE0AB3">
    <w:pPr>
      <w:pStyle w:val="Footer"/>
      <w:jc w:val="right"/>
    </w:pPr>
    <w:r>
      <w:fldChar w:fldCharType="begin"/>
    </w:r>
    <w:r>
      <w:instrText xml:space="preserve"> PAGE   \* MERGEFORMAT </w:instrText>
    </w:r>
    <w:r>
      <w:fldChar w:fldCharType="separate"/>
    </w:r>
    <w:r>
      <w:rPr>
        <w:noProof/>
      </w:rPr>
      <w:t>19</w:t>
    </w:r>
    <w:r>
      <w:rPr>
        <w:noProof/>
      </w:rPr>
      <w:fldChar w:fldCharType="end"/>
    </w:r>
  </w:p>
  <w:p w14:paraId="36789ADE" w14:textId="77777777" w:rsidR="00FE0AB3" w:rsidRPr="00BB5EAA" w:rsidRDefault="00FE0AB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2B3BC" w14:textId="601E43CD" w:rsidR="00FE0AB3" w:rsidRDefault="00FE0AB3" w:rsidP="00FE0AB3">
    <w:pPr>
      <w:pStyle w:val="Footer"/>
      <w:rPr>
        <w:sz w:val="17"/>
      </w:rPr>
    </w:pPr>
    <w:bookmarkStart w:id="18" w:name="TITUS3FooterFirstPage"/>
    <w:r w:rsidRPr="00FE0AB3">
      <w:rPr>
        <w:sz w:val="17"/>
      </w:rPr>
      <w:t> </w:t>
    </w:r>
  </w:p>
  <w:bookmarkEnd w:id="18"/>
  <w:p w14:paraId="1AF3CAB5" w14:textId="77777777" w:rsidR="00FE0AB3" w:rsidRDefault="00FE0AB3" w:rsidP="00FE0AB3">
    <w:pPr>
      <w:pStyle w:val="Footer"/>
      <w:jc w:val="right"/>
    </w:pPr>
  </w:p>
  <w:p w14:paraId="60060E09" w14:textId="77777777" w:rsidR="00FE0AB3" w:rsidRDefault="00FE0AB3" w:rsidP="00FE0AB3">
    <w:pPr>
      <w:pStyle w:val="Footer"/>
      <w:jc w:val="right"/>
    </w:pPr>
    <w:r>
      <w:fldChar w:fldCharType="begin"/>
    </w:r>
    <w:r>
      <w:instrText xml:space="preserve"> PAGE   \* MERGEFORMAT </w:instrText>
    </w:r>
    <w:r>
      <w:fldChar w:fldCharType="separate"/>
    </w:r>
    <w:r>
      <w:rPr>
        <w:noProof/>
      </w:rPr>
      <w:t>19</w:t>
    </w:r>
    <w:r>
      <w:rPr>
        <w:noProof/>
      </w:rPr>
      <w:fldChar w:fldCharType="end"/>
    </w:r>
  </w:p>
  <w:p w14:paraId="635547D5" w14:textId="77777777" w:rsidR="00FE0AB3" w:rsidRPr="00BB5EAA" w:rsidRDefault="00FE0AB3" w:rsidP="00FE0AB3">
    <w:pPr>
      <w:pStyle w:val="Footer"/>
      <w:ind w:right="360"/>
      <w:jc w:val="center"/>
    </w:pPr>
  </w:p>
  <w:p w14:paraId="44E5A596" w14:textId="77777777" w:rsidR="00FE0AB3" w:rsidRDefault="00FE0AB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7A4A5" w14:textId="5C822CA2" w:rsidR="00FE0AB3" w:rsidRDefault="00FE0AB3" w:rsidP="00FE0AB3">
    <w:pPr>
      <w:pStyle w:val="Footer"/>
      <w:rPr>
        <w:sz w:val="17"/>
      </w:rPr>
    </w:pPr>
    <w:bookmarkStart w:id="21" w:name="TITUS4FooterEvenPages"/>
    <w:r w:rsidRPr="00FE0AB3">
      <w:rPr>
        <w:sz w:val="17"/>
      </w:rPr>
      <w:t> </w:t>
    </w:r>
  </w:p>
  <w:bookmarkEnd w:id="21"/>
  <w:p w14:paraId="4581FD64" w14:textId="77777777" w:rsidR="00FE0AB3" w:rsidRDefault="00FE0AB3" w:rsidP="00FE0AB3">
    <w:pPr>
      <w:pStyle w:val="Footer"/>
      <w:jc w:val="right"/>
    </w:pPr>
  </w:p>
  <w:p w14:paraId="58340982" w14:textId="77777777" w:rsidR="00FE0AB3" w:rsidRDefault="00FE0AB3" w:rsidP="00FE0AB3">
    <w:pPr>
      <w:pStyle w:val="Footer"/>
      <w:jc w:val="right"/>
    </w:pPr>
    <w:r>
      <w:fldChar w:fldCharType="begin"/>
    </w:r>
    <w:r>
      <w:instrText xml:space="preserve"> PAGE   \* MERGEFORMAT </w:instrText>
    </w:r>
    <w:r>
      <w:fldChar w:fldCharType="separate"/>
    </w:r>
    <w:r>
      <w:rPr>
        <w:noProof/>
      </w:rPr>
      <w:t>20</w:t>
    </w:r>
    <w:r>
      <w:rPr>
        <w:noProof/>
      </w:rPr>
      <w:fldChar w:fldCharType="end"/>
    </w:r>
  </w:p>
  <w:p w14:paraId="5F5DA993" w14:textId="77777777" w:rsidR="00FE0AB3" w:rsidRPr="00BB5EAA" w:rsidRDefault="00FE0AB3" w:rsidP="00FE0AB3">
    <w:pPr>
      <w:pStyle w:val="Footer"/>
      <w:ind w:right="360"/>
      <w:jc w:val="center"/>
    </w:pPr>
  </w:p>
  <w:p w14:paraId="273F5514" w14:textId="77777777" w:rsidR="00FE0AB3" w:rsidRDefault="00FE0AB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A0CBEF" w14:textId="70E2C062" w:rsidR="00FE0AB3" w:rsidRDefault="00FE0AB3" w:rsidP="00FE0AB3">
    <w:pPr>
      <w:pStyle w:val="Footer"/>
      <w:rPr>
        <w:sz w:val="17"/>
      </w:rPr>
    </w:pPr>
    <w:bookmarkStart w:id="22" w:name="TITUS4FooterPrimary"/>
    <w:r w:rsidRPr="00FE0AB3">
      <w:rPr>
        <w:sz w:val="17"/>
      </w:rPr>
      <w:t> </w:t>
    </w:r>
  </w:p>
  <w:bookmarkEnd w:id="22"/>
  <w:p w14:paraId="626E2135" w14:textId="77777777" w:rsidR="00FE0AB3" w:rsidRDefault="00FE0AB3">
    <w:pPr>
      <w:pStyle w:val="Footer"/>
      <w:jc w:val="right"/>
    </w:pPr>
  </w:p>
  <w:p w14:paraId="4EBC6278" w14:textId="77777777" w:rsidR="00FE0AB3" w:rsidRDefault="00FE0AB3">
    <w:pPr>
      <w:pStyle w:val="Footer"/>
      <w:jc w:val="right"/>
    </w:pPr>
    <w:r>
      <w:fldChar w:fldCharType="begin"/>
    </w:r>
    <w:r>
      <w:instrText xml:space="preserve"> PAGE   \* MERGEFORMAT </w:instrText>
    </w:r>
    <w:r>
      <w:fldChar w:fldCharType="separate"/>
    </w:r>
    <w:r>
      <w:rPr>
        <w:noProof/>
      </w:rPr>
      <w:t>19</w:t>
    </w:r>
    <w:r>
      <w:rPr>
        <w:noProof/>
      </w:rPr>
      <w:fldChar w:fldCharType="end"/>
    </w:r>
  </w:p>
  <w:p w14:paraId="2C1A7CD9" w14:textId="77777777" w:rsidR="00FE0AB3" w:rsidRPr="00BB5EAA" w:rsidRDefault="00FE0AB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767E12" w14:textId="2165C35C" w:rsidR="00FE0AB3" w:rsidRDefault="00FE0AB3" w:rsidP="00FE0AB3">
    <w:pPr>
      <w:pStyle w:val="Footer"/>
      <w:rPr>
        <w:sz w:val="17"/>
      </w:rPr>
    </w:pPr>
    <w:bookmarkStart w:id="24" w:name="TITUS4FooterFirstPage"/>
    <w:r w:rsidRPr="00FE0AB3">
      <w:rPr>
        <w:sz w:val="17"/>
      </w:rPr>
      <w:t> </w:t>
    </w:r>
  </w:p>
  <w:bookmarkEnd w:id="24"/>
  <w:p w14:paraId="613D43C7" w14:textId="77777777" w:rsidR="00FE0AB3" w:rsidRDefault="00FE0AB3" w:rsidP="00FE0AB3">
    <w:pPr>
      <w:pStyle w:val="Footer"/>
      <w:jc w:val="right"/>
    </w:pPr>
  </w:p>
  <w:p w14:paraId="05CF42A6" w14:textId="77777777" w:rsidR="00FE0AB3" w:rsidRDefault="00FE0AB3" w:rsidP="00FE0AB3">
    <w:pPr>
      <w:pStyle w:val="Footer"/>
      <w:jc w:val="right"/>
    </w:pPr>
    <w:r>
      <w:fldChar w:fldCharType="begin"/>
    </w:r>
    <w:r>
      <w:instrText xml:space="preserve"> PAGE   \* MERGEFORMAT </w:instrText>
    </w:r>
    <w:r>
      <w:fldChar w:fldCharType="separate"/>
    </w:r>
    <w:r>
      <w:rPr>
        <w:noProof/>
      </w:rPr>
      <w:t>19</w:t>
    </w:r>
    <w:r>
      <w:rPr>
        <w:noProof/>
      </w:rPr>
      <w:fldChar w:fldCharType="end"/>
    </w:r>
  </w:p>
  <w:p w14:paraId="7B3C8011" w14:textId="77777777" w:rsidR="00FE0AB3" w:rsidRPr="00BB5EAA" w:rsidRDefault="00FE0AB3" w:rsidP="00FE0AB3">
    <w:pPr>
      <w:pStyle w:val="Footer"/>
      <w:ind w:right="360"/>
      <w:jc w:val="center"/>
    </w:pPr>
  </w:p>
  <w:p w14:paraId="31197B29" w14:textId="77777777" w:rsidR="00FE0AB3" w:rsidRDefault="00FE0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B64320" w:rsidRDefault="00B64320">
      <w:r>
        <w:separator/>
      </w:r>
    </w:p>
  </w:footnote>
  <w:footnote w:type="continuationSeparator" w:id="0">
    <w:p w14:paraId="458DDD75" w14:textId="77777777" w:rsidR="00B64320" w:rsidRDefault="00B643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C6D409" w14:textId="23F93228" w:rsidR="00FE0AB3" w:rsidRDefault="00FE0AB3" w:rsidP="00FE0AB3">
    <w:pPr>
      <w:pStyle w:val="Header"/>
      <w:rPr>
        <w:sz w:val="17"/>
      </w:rPr>
    </w:pPr>
    <w:bookmarkStart w:id="0" w:name="TITUS1HeaderEvenPages"/>
    <w:r w:rsidRPr="00FE0AB3">
      <w:rPr>
        <w:sz w:val="17"/>
      </w:rPr>
      <w:t> </w:t>
    </w:r>
  </w:p>
  <w:bookmarkEnd w:id="0"/>
  <w:p w14:paraId="6208C14E" w14:textId="77777777" w:rsidR="00FE0AB3" w:rsidRDefault="00FE0A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A6EC0" w14:textId="0E661073" w:rsidR="00FE0AB3" w:rsidRDefault="00FE0AB3" w:rsidP="00FE0AB3">
    <w:pPr>
      <w:pStyle w:val="Header"/>
      <w:rPr>
        <w:sz w:val="17"/>
      </w:rPr>
    </w:pPr>
    <w:bookmarkStart w:id="1" w:name="TITUS1HeaderPrimary"/>
    <w:r w:rsidRPr="00FE0AB3">
      <w:rPr>
        <w:sz w:val="17"/>
      </w:rPr>
      <w:t> </w:t>
    </w:r>
  </w:p>
  <w:bookmarkEnd w:id="1"/>
  <w:p w14:paraId="37408DB0" w14:textId="77777777" w:rsidR="00FE0AB3" w:rsidRDefault="00FE0A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A6470" w14:textId="66266BDB" w:rsidR="00FE0AB3" w:rsidRDefault="00FE0AB3" w:rsidP="00FE0AB3">
    <w:pPr>
      <w:pStyle w:val="Header"/>
      <w:rPr>
        <w:sz w:val="17"/>
      </w:rPr>
    </w:pPr>
    <w:bookmarkStart w:id="4" w:name="TITUS1HeaderFirstPage"/>
    <w:r w:rsidRPr="00FE0AB3">
      <w:rPr>
        <w:sz w:val="17"/>
      </w:rPr>
      <w:t> </w:t>
    </w:r>
  </w:p>
  <w:bookmarkEnd w:id="4"/>
  <w:p w14:paraId="423ED3A3" w14:textId="77777777" w:rsidR="00FE0AB3" w:rsidRDefault="00FE0AB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37B9E9" w14:textId="5AB9AA4C" w:rsidR="00FE0AB3" w:rsidRDefault="00FE0AB3" w:rsidP="00FE0AB3">
    <w:pPr>
      <w:pStyle w:val="Header"/>
      <w:rPr>
        <w:sz w:val="17"/>
      </w:rPr>
    </w:pPr>
    <w:bookmarkStart w:id="6" w:name="TITUS2HeaderEvenPages"/>
    <w:r w:rsidRPr="00FE0AB3">
      <w:rPr>
        <w:sz w:val="17"/>
      </w:rPr>
      <w:t> </w:t>
    </w:r>
  </w:p>
  <w:bookmarkEnd w:id="6"/>
  <w:p w14:paraId="01D9033A" w14:textId="77777777" w:rsidR="00FE0AB3" w:rsidRDefault="00FE0AB3" w:rsidP="00FE0AB3">
    <w:pPr>
      <w:pStyle w:val="Header"/>
    </w:pPr>
  </w:p>
  <w:p w14:paraId="1DA530E5" w14:textId="77777777" w:rsidR="00FE0AB3" w:rsidRDefault="00FE0AB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24C5CE" w14:textId="54E4F4BD" w:rsidR="00FE0AB3" w:rsidRDefault="00FE0AB3" w:rsidP="00FE0AB3">
    <w:pPr>
      <w:pStyle w:val="Header"/>
      <w:rPr>
        <w:sz w:val="17"/>
      </w:rPr>
    </w:pPr>
    <w:bookmarkStart w:id="7" w:name="TITUS2HeaderPrimary"/>
    <w:r w:rsidRPr="00FE0AB3">
      <w:rPr>
        <w:sz w:val="17"/>
      </w:rPr>
      <w:t> </w:t>
    </w:r>
  </w:p>
  <w:bookmarkEnd w:id="7"/>
  <w:p w14:paraId="13EC07F7" w14:textId="77777777" w:rsidR="00FE0AB3" w:rsidRDefault="00FE0AB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38EBE5" w14:textId="6A4E5110" w:rsidR="00FE0AB3" w:rsidRDefault="00FE0AB3" w:rsidP="00FE0AB3">
    <w:pPr>
      <w:pStyle w:val="Header"/>
      <w:rPr>
        <w:sz w:val="17"/>
      </w:rPr>
    </w:pPr>
    <w:bookmarkStart w:id="10" w:name="TITUS2HeaderFirstPage"/>
    <w:r w:rsidRPr="00FE0AB3">
      <w:rPr>
        <w:sz w:val="17"/>
      </w:rPr>
      <w:t> </w:t>
    </w:r>
  </w:p>
  <w:bookmarkEnd w:id="10"/>
  <w:p w14:paraId="368BED1E" w14:textId="77777777" w:rsidR="00FE0AB3" w:rsidRDefault="00FE0AB3" w:rsidP="00FE0AB3">
    <w:pPr>
      <w:pStyle w:val="Header"/>
    </w:pPr>
  </w:p>
  <w:p w14:paraId="0867BFD2" w14:textId="77777777" w:rsidR="00FE0AB3" w:rsidRDefault="00FE0AB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82B2E9" w14:textId="59E0F71D" w:rsidR="00FE0AB3" w:rsidRDefault="00FE0AB3" w:rsidP="00FE0AB3">
    <w:pPr>
      <w:pStyle w:val="Header"/>
      <w:rPr>
        <w:sz w:val="17"/>
      </w:rPr>
    </w:pPr>
    <w:bookmarkStart w:id="13" w:name="TITUS3HeaderEvenPages"/>
    <w:r w:rsidRPr="00FE0AB3">
      <w:rPr>
        <w:sz w:val="17"/>
      </w:rPr>
      <w:t> </w:t>
    </w:r>
  </w:p>
  <w:bookmarkEnd w:id="13"/>
  <w:p w14:paraId="0F50FBF3" w14:textId="77777777" w:rsidR="00FE0AB3" w:rsidRDefault="00FE0AB3" w:rsidP="00FE0AB3">
    <w:pPr>
      <w:pStyle w:val="Header"/>
    </w:pPr>
  </w:p>
  <w:p w14:paraId="10168E1B" w14:textId="77777777" w:rsidR="00FE0AB3" w:rsidRDefault="00FE0AB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EC284" w14:textId="1222BB5C" w:rsidR="00FE0AB3" w:rsidRDefault="00FE0AB3" w:rsidP="00FE0AB3">
    <w:pPr>
      <w:pStyle w:val="Header"/>
      <w:rPr>
        <w:sz w:val="17"/>
      </w:rPr>
    </w:pPr>
    <w:bookmarkStart w:id="14" w:name="TITUS3HeaderPrimary"/>
    <w:r w:rsidRPr="00FE0AB3">
      <w:rPr>
        <w:sz w:val="17"/>
      </w:rPr>
      <w:t> </w:t>
    </w:r>
  </w:p>
  <w:bookmarkEnd w:id="14"/>
  <w:p w14:paraId="5E855C83" w14:textId="77777777" w:rsidR="00FE0AB3" w:rsidRDefault="00FE0AB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D174D3" w14:textId="45DAE40E" w:rsidR="00FE0AB3" w:rsidRDefault="00FE0AB3" w:rsidP="00FE0AB3">
    <w:pPr>
      <w:pStyle w:val="Header"/>
      <w:rPr>
        <w:sz w:val="17"/>
      </w:rPr>
    </w:pPr>
    <w:bookmarkStart w:id="17" w:name="TITUS3HeaderFirstPage"/>
    <w:r w:rsidRPr="00FE0AB3">
      <w:rPr>
        <w:sz w:val="17"/>
      </w:rPr>
      <w:t> </w:t>
    </w:r>
  </w:p>
  <w:bookmarkEnd w:id="17"/>
  <w:p w14:paraId="5C97C9BF" w14:textId="77777777" w:rsidR="00FE0AB3" w:rsidRDefault="00FE0AB3" w:rsidP="00FE0AB3">
    <w:pPr>
      <w:pStyle w:val="Header"/>
    </w:pPr>
  </w:p>
  <w:p w14:paraId="46A31D5C" w14:textId="77777777" w:rsidR="00FE0AB3" w:rsidRDefault="00FE0AB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1F75CF" w14:textId="15278147" w:rsidR="00FE0AB3" w:rsidRDefault="00FE0AB3" w:rsidP="00FE0AB3">
    <w:pPr>
      <w:pStyle w:val="Header"/>
      <w:rPr>
        <w:sz w:val="17"/>
      </w:rPr>
    </w:pPr>
    <w:bookmarkStart w:id="19" w:name="TITUS4HeaderEvenPages"/>
    <w:r w:rsidRPr="00FE0AB3">
      <w:rPr>
        <w:sz w:val="17"/>
      </w:rPr>
      <w:t> </w:t>
    </w:r>
  </w:p>
  <w:bookmarkEnd w:id="19"/>
  <w:p w14:paraId="46165FE8" w14:textId="77777777" w:rsidR="00FE0AB3" w:rsidRDefault="00FE0AB3" w:rsidP="00FE0AB3">
    <w:pPr>
      <w:pStyle w:val="Header"/>
    </w:pPr>
  </w:p>
  <w:p w14:paraId="1AF75B9F" w14:textId="77777777" w:rsidR="00FE0AB3" w:rsidRDefault="00FE0AB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C938F" w14:textId="7BDBB3A4" w:rsidR="00FE0AB3" w:rsidRDefault="00FE0AB3" w:rsidP="00FE0AB3">
    <w:pPr>
      <w:pStyle w:val="Header"/>
      <w:rPr>
        <w:sz w:val="17"/>
      </w:rPr>
    </w:pPr>
    <w:bookmarkStart w:id="20" w:name="TITUS4HeaderPrimary"/>
    <w:r w:rsidRPr="00FE0AB3">
      <w:rPr>
        <w:sz w:val="17"/>
      </w:rPr>
      <w:t> </w:t>
    </w:r>
  </w:p>
  <w:bookmarkEnd w:id="20"/>
  <w:p w14:paraId="0255E2E3" w14:textId="77777777" w:rsidR="00FE0AB3" w:rsidRDefault="00FE0AB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376BE" w14:textId="05B8C125" w:rsidR="00FE0AB3" w:rsidRDefault="00FE0AB3" w:rsidP="00FE0AB3">
    <w:pPr>
      <w:pStyle w:val="Header"/>
      <w:rPr>
        <w:sz w:val="17"/>
      </w:rPr>
    </w:pPr>
    <w:bookmarkStart w:id="23" w:name="TITUS4HeaderFirstPage"/>
    <w:r w:rsidRPr="00FE0AB3">
      <w:rPr>
        <w:sz w:val="17"/>
      </w:rPr>
      <w:t> </w:t>
    </w:r>
  </w:p>
  <w:bookmarkEnd w:id="23"/>
  <w:p w14:paraId="77662C60" w14:textId="77777777" w:rsidR="00FE0AB3" w:rsidRDefault="00FE0AB3" w:rsidP="00FE0AB3">
    <w:pPr>
      <w:pStyle w:val="Header"/>
    </w:pPr>
  </w:p>
  <w:p w14:paraId="120A0A89" w14:textId="77777777" w:rsidR="00FE0AB3" w:rsidRDefault="00FE0A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4320"/>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AB3"/>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74F445-26D9-46D4-BF4F-83BC52257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25</Pages>
  <Words>6980</Words>
  <Characters>39789</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Morgan,Jacob swp6439</cp:lastModifiedBy>
  <cp:revision>3</cp:revision>
  <cp:lastPrinted>2019-09-26T14:40:00Z</cp:lastPrinted>
  <dcterms:created xsi:type="dcterms:W3CDTF">2019-10-01T13:02:00Z</dcterms:created>
  <dcterms:modified xsi:type="dcterms:W3CDTF">2020-01-20T09:49:00Z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c35fa72c-b14f-418e-b02b-6de5ee5bbad0</vt:lpwstr>
  </property>
  <property fmtid="{D5CDD505-2E9C-101B-9397-08002B2CF9AE}" pid="4" name="Classification">
    <vt:lpwstr>OFFICIAL</vt:lpwstr>
  </property>
  <property fmtid="{D5CDD505-2E9C-101B-9397-08002B2CF9AE}" pid="5" name="Visibility">
    <vt:lpwstr>NOT VISIBLE</vt:lpwstr>
  </property>
</Properties>
</file>