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BD8BC" w14:textId="77777777" w:rsidR="00026BA5" w:rsidRDefault="00026BA5" w:rsidP="00026BA5">
      <w:pPr>
        <w:pStyle w:val="Title"/>
        <w:jc w:val="both"/>
      </w:pPr>
    </w:p>
    <w:p w14:paraId="42567F09" w14:textId="613AC34C" w:rsidR="00026BA5" w:rsidRDefault="00026BA5" w:rsidP="00026BA5">
      <w:pPr>
        <w:pStyle w:val="Title"/>
        <w:jc w:val="both"/>
      </w:pPr>
    </w:p>
    <w:p w14:paraId="1577B40B" w14:textId="77777777" w:rsidR="005F0576" w:rsidRPr="005F0576" w:rsidRDefault="005F0576" w:rsidP="005F0576"/>
    <w:p w14:paraId="0B5454D7" w14:textId="77777777" w:rsidR="00D81ECE" w:rsidRPr="005F0576" w:rsidRDefault="00026BA5" w:rsidP="00026BA5">
      <w:pPr>
        <w:pStyle w:val="Title"/>
        <w:jc w:val="center"/>
        <w:rPr>
          <w:rFonts w:ascii="Times New Roman" w:hAnsi="Times New Roman" w:cs="Times New Roman"/>
          <w:b/>
          <w:bCs/>
        </w:rPr>
      </w:pPr>
      <w:r w:rsidRPr="005F0576">
        <w:rPr>
          <w:rFonts w:ascii="Times New Roman" w:hAnsi="Times New Roman" w:cs="Times New Roman"/>
          <w:b/>
          <w:bCs/>
        </w:rPr>
        <w:t>Report on Google Headquarters</w:t>
      </w:r>
    </w:p>
    <w:p w14:paraId="44B7D30F" w14:textId="77777777" w:rsidR="005F0576" w:rsidRDefault="005F0576" w:rsidP="005F0576"/>
    <w:p w14:paraId="04CEB3DA" w14:textId="77777777" w:rsidR="00A33AAC" w:rsidRPr="005F0576" w:rsidRDefault="00A33AAC" w:rsidP="005F0576"/>
    <w:p w14:paraId="3FCF5158" w14:textId="67F3835A" w:rsidR="00A33AAC" w:rsidRPr="00A33AAC" w:rsidRDefault="00A33AAC" w:rsidP="00A33AAC">
      <w:pPr>
        <w:jc w:val="center"/>
        <w:rPr>
          <w:rFonts w:ascii="Times New Roman" w:eastAsia="Calibri" w:hAnsi="Times New Roman" w:cs="Times New Roman"/>
          <w:b/>
          <w:bCs/>
          <w:sz w:val="44"/>
          <w:szCs w:val="44"/>
          <w:lang w:val="en-GB"/>
        </w:rPr>
      </w:pPr>
      <w:r w:rsidRPr="00A33AAC">
        <w:rPr>
          <w:rFonts w:ascii="Times New Roman" w:eastAsia="Calibri" w:hAnsi="Times New Roman" w:cs="Times New Roman"/>
          <w:b/>
          <w:bCs/>
          <w:sz w:val="44"/>
          <w:szCs w:val="44"/>
          <w:lang w:val="en-GB"/>
        </w:rPr>
        <w:t xml:space="preserve">Assessment </w:t>
      </w:r>
      <w:r>
        <w:rPr>
          <w:rFonts w:ascii="Times New Roman" w:eastAsia="Calibri" w:hAnsi="Times New Roman" w:cs="Times New Roman"/>
          <w:b/>
          <w:bCs/>
          <w:sz w:val="44"/>
          <w:szCs w:val="44"/>
          <w:lang w:val="en-GB"/>
        </w:rPr>
        <w:t>2</w:t>
      </w:r>
    </w:p>
    <w:p w14:paraId="3D47640B" w14:textId="77777777" w:rsidR="00026BA5" w:rsidRDefault="00026BA5" w:rsidP="00026BA5">
      <w:pPr>
        <w:jc w:val="both"/>
      </w:pPr>
    </w:p>
    <w:p w14:paraId="76D5CCB7" w14:textId="77777777" w:rsidR="00026BA5" w:rsidRDefault="00026BA5" w:rsidP="00026BA5">
      <w:pPr>
        <w:jc w:val="both"/>
      </w:pPr>
    </w:p>
    <w:p w14:paraId="031B76B4" w14:textId="77777777" w:rsidR="00026BA5" w:rsidRDefault="00026BA5" w:rsidP="00026BA5">
      <w:pPr>
        <w:jc w:val="both"/>
      </w:pPr>
    </w:p>
    <w:p w14:paraId="4FA5925C" w14:textId="77777777" w:rsidR="00026BA5" w:rsidRDefault="00026BA5" w:rsidP="00026BA5">
      <w:pPr>
        <w:jc w:val="both"/>
      </w:pPr>
    </w:p>
    <w:p w14:paraId="390A2A84" w14:textId="77777777" w:rsidR="005F0576" w:rsidRDefault="005F0576" w:rsidP="00026BA5">
      <w:pPr>
        <w:jc w:val="both"/>
      </w:pPr>
    </w:p>
    <w:p w14:paraId="6D0E3E3F" w14:textId="77777777" w:rsidR="005F0576" w:rsidRDefault="005F0576" w:rsidP="00026BA5">
      <w:pPr>
        <w:jc w:val="both"/>
      </w:pPr>
    </w:p>
    <w:p w14:paraId="2812773B" w14:textId="77777777" w:rsidR="005F0576" w:rsidRDefault="005F0576" w:rsidP="00026BA5">
      <w:pPr>
        <w:jc w:val="both"/>
      </w:pPr>
    </w:p>
    <w:p w14:paraId="0A6578F1" w14:textId="77777777" w:rsidR="005F0576" w:rsidRDefault="005F0576" w:rsidP="00026BA5">
      <w:pPr>
        <w:jc w:val="both"/>
      </w:pPr>
    </w:p>
    <w:p w14:paraId="215E540C" w14:textId="2CFE8DB1" w:rsidR="005F0576" w:rsidRPr="005F0576" w:rsidRDefault="005F0576" w:rsidP="005F0576">
      <w:pPr>
        <w:rPr>
          <w:rFonts w:ascii="Times New Roman" w:eastAsia="Calibri" w:hAnsi="Times New Roman" w:cs="Times New Roman"/>
          <w:b/>
          <w:bCs/>
          <w:sz w:val="32"/>
          <w:szCs w:val="32"/>
          <w:lang w:val="en-GB"/>
        </w:rPr>
      </w:pPr>
      <w:r w:rsidRPr="005F0576">
        <w:rPr>
          <w:rFonts w:ascii="Times New Roman" w:eastAsia="Calibri" w:hAnsi="Times New Roman" w:cs="Times New Roman"/>
          <w:b/>
          <w:bCs/>
          <w:sz w:val="32"/>
          <w:szCs w:val="32"/>
          <w:lang w:val="en-GB"/>
        </w:rPr>
        <w:t xml:space="preserve">Module ID: </w:t>
      </w:r>
      <w:r w:rsidRPr="005F0576">
        <w:rPr>
          <w:rFonts w:ascii="Times New Roman" w:hAnsi="Times New Roman" w:cs="Times New Roman"/>
          <w:b/>
          <w:bCs/>
          <w:sz w:val="32"/>
          <w:szCs w:val="32"/>
        </w:rPr>
        <w:t>LCBB5005</w:t>
      </w:r>
    </w:p>
    <w:p w14:paraId="3ACB1CF0" w14:textId="3A8AAAB8" w:rsidR="005F0576" w:rsidRPr="005F0576" w:rsidRDefault="005F0576" w:rsidP="005F0576">
      <w:pPr>
        <w:rPr>
          <w:rFonts w:ascii="Times New Roman" w:eastAsia="Calibri" w:hAnsi="Times New Roman" w:cs="Times New Roman"/>
          <w:b/>
          <w:bCs/>
          <w:sz w:val="32"/>
          <w:szCs w:val="32"/>
          <w:lang w:val="en-GB"/>
        </w:rPr>
      </w:pPr>
      <w:r w:rsidRPr="005F0576">
        <w:rPr>
          <w:rFonts w:ascii="Times New Roman" w:eastAsia="Calibri" w:hAnsi="Times New Roman" w:cs="Times New Roman"/>
          <w:b/>
          <w:bCs/>
          <w:sz w:val="32"/>
          <w:szCs w:val="32"/>
          <w:lang w:val="en-GB"/>
        </w:rPr>
        <w:t>Student Name: Florentina Fistoleanu</w:t>
      </w:r>
    </w:p>
    <w:p w14:paraId="58D90345" w14:textId="14AA24E0" w:rsidR="005F0576" w:rsidRPr="005F0576" w:rsidRDefault="005F0576" w:rsidP="005F0576">
      <w:pPr>
        <w:jc w:val="both"/>
        <w:rPr>
          <w:rFonts w:ascii="Times New Roman" w:hAnsi="Times New Roman" w:cs="Times New Roman"/>
          <w:b/>
          <w:bCs/>
          <w:sz w:val="32"/>
          <w:szCs w:val="32"/>
        </w:rPr>
      </w:pPr>
      <w:r w:rsidRPr="005F0576">
        <w:rPr>
          <w:rFonts w:ascii="Times New Roman" w:eastAsia="Calibri" w:hAnsi="Times New Roman" w:cs="Times New Roman"/>
          <w:b/>
          <w:bCs/>
          <w:sz w:val="32"/>
          <w:szCs w:val="32"/>
          <w:lang w:val="en-GB"/>
        </w:rPr>
        <w:t>Student ID: 2115309</w:t>
      </w:r>
    </w:p>
    <w:p w14:paraId="1DECAB64" w14:textId="77777777" w:rsidR="00026BA5" w:rsidRDefault="00026BA5" w:rsidP="00026BA5">
      <w:pPr>
        <w:jc w:val="both"/>
      </w:pPr>
    </w:p>
    <w:p w14:paraId="1B77EF40" w14:textId="77777777" w:rsidR="00026BA5" w:rsidRDefault="00026BA5" w:rsidP="00026BA5">
      <w:pPr>
        <w:jc w:val="both"/>
      </w:pPr>
    </w:p>
    <w:p w14:paraId="63222E82" w14:textId="77777777" w:rsidR="00026BA5" w:rsidRDefault="00026BA5" w:rsidP="00026BA5">
      <w:pPr>
        <w:jc w:val="both"/>
      </w:pPr>
    </w:p>
    <w:p w14:paraId="315F1D46" w14:textId="77777777" w:rsidR="00026BA5" w:rsidRDefault="00026BA5" w:rsidP="00026BA5">
      <w:pPr>
        <w:jc w:val="both"/>
      </w:pPr>
    </w:p>
    <w:p w14:paraId="28F2DD6C" w14:textId="77777777" w:rsidR="00026BA5" w:rsidRDefault="00026BA5" w:rsidP="00026BA5">
      <w:pPr>
        <w:jc w:val="both"/>
      </w:pPr>
    </w:p>
    <w:p w14:paraId="57A05283" w14:textId="570B5A00" w:rsidR="00026BA5" w:rsidRDefault="00026BA5" w:rsidP="00026BA5">
      <w:pPr>
        <w:jc w:val="both"/>
      </w:pPr>
    </w:p>
    <w:p w14:paraId="3C8A5910" w14:textId="77777777" w:rsidR="00026BA5" w:rsidRDefault="00026BA5" w:rsidP="00026BA5">
      <w:pPr>
        <w:jc w:val="both"/>
      </w:pPr>
    </w:p>
    <w:p w14:paraId="22877CC0" w14:textId="77777777" w:rsidR="00026BA5" w:rsidRDefault="00026BA5" w:rsidP="00026BA5">
      <w:pPr>
        <w:jc w:val="both"/>
      </w:pPr>
    </w:p>
    <w:p w14:paraId="42C9A598" w14:textId="77777777" w:rsidR="00026BA5" w:rsidRDefault="00026BA5" w:rsidP="00026BA5">
      <w:pPr>
        <w:jc w:val="both"/>
      </w:pPr>
    </w:p>
    <w:p w14:paraId="4CE29BDF" w14:textId="77777777" w:rsidR="00026BA5" w:rsidRDefault="00026BA5" w:rsidP="00026BA5">
      <w:pPr>
        <w:jc w:val="both"/>
      </w:pPr>
    </w:p>
    <w:p w14:paraId="2C82AA2E" w14:textId="77777777" w:rsidR="00026BA5" w:rsidRDefault="00026BA5" w:rsidP="00026BA5">
      <w:pPr>
        <w:jc w:val="both"/>
      </w:pPr>
    </w:p>
    <w:p w14:paraId="2BC77D54" w14:textId="77777777" w:rsidR="00026BA5" w:rsidRDefault="00026BA5" w:rsidP="00026BA5">
      <w:pPr>
        <w:jc w:val="both"/>
      </w:pPr>
    </w:p>
    <w:p w14:paraId="6B1E468F" w14:textId="77777777" w:rsidR="00026BA5" w:rsidRDefault="00026BA5" w:rsidP="00026BA5">
      <w:pPr>
        <w:jc w:val="both"/>
      </w:pPr>
    </w:p>
    <w:p w14:paraId="0385DF61" w14:textId="77777777" w:rsidR="00026BA5" w:rsidRDefault="00026BA5" w:rsidP="00026BA5">
      <w:pPr>
        <w:jc w:val="both"/>
      </w:pPr>
    </w:p>
    <w:sdt>
      <w:sdtPr>
        <w:rPr>
          <w:rFonts w:asciiTheme="minorHAnsi" w:eastAsiaTheme="minorHAnsi" w:hAnsiTheme="minorHAnsi" w:cstheme="minorBidi"/>
          <w:color w:val="auto"/>
          <w:sz w:val="22"/>
          <w:szCs w:val="22"/>
          <w:lang w:val="ro-RO"/>
        </w:rPr>
        <w:id w:val="1071929368"/>
        <w:docPartObj>
          <w:docPartGallery w:val="Table of Contents"/>
          <w:docPartUnique/>
        </w:docPartObj>
      </w:sdtPr>
      <w:sdtEndPr>
        <w:rPr>
          <w:b/>
          <w:bCs/>
          <w:noProof/>
        </w:rPr>
      </w:sdtEndPr>
      <w:sdtContent>
        <w:p w14:paraId="41D7306E" w14:textId="77777777" w:rsidR="00026BA5" w:rsidRDefault="00026BA5" w:rsidP="00026BA5">
          <w:pPr>
            <w:pStyle w:val="TOCHeading"/>
            <w:jc w:val="both"/>
          </w:pPr>
          <w:r>
            <w:t>Table of Contents</w:t>
          </w:r>
        </w:p>
        <w:p w14:paraId="7769BB88" w14:textId="77777777" w:rsidR="00611254" w:rsidRDefault="00026BA5">
          <w:pPr>
            <w:pStyle w:val="TOC1"/>
            <w:tabs>
              <w:tab w:val="right" w:leader="dot" w:pos="9062"/>
            </w:tabs>
            <w:rPr>
              <w:rFonts w:eastAsiaTheme="minorEastAsia"/>
              <w:noProof/>
              <w:lang w:eastAsia="ro-RO"/>
            </w:rPr>
          </w:pPr>
          <w:r>
            <w:fldChar w:fldCharType="begin"/>
          </w:r>
          <w:r>
            <w:instrText xml:space="preserve"> TOC \o "1-3" \h \z \u </w:instrText>
          </w:r>
          <w:r>
            <w:fldChar w:fldCharType="separate"/>
          </w:r>
          <w:hyperlink w:anchor="_Toc155207476" w:history="1">
            <w:r w:rsidR="00611254" w:rsidRPr="0008320A">
              <w:rPr>
                <w:rStyle w:val="Hyperlink"/>
                <w:noProof/>
              </w:rPr>
              <w:t>Background</w:t>
            </w:r>
            <w:r w:rsidR="00611254">
              <w:rPr>
                <w:noProof/>
                <w:webHidden/>
              </w:rPr>
              <w:tab/>
            </w:r>
            <w:r w:rsidR="00611254">
              <w:rPr>
                <w:noProof/>
                <w:webHidden/>
              </w:rPr>
              <w:fldChar w:fldCharType="begin"/>
            </w:r>
            <w:r w:rsidR="00611254">
              <w:rPr>
                <w:noProof/>
                <w:webHidden/>
              </w:rPr>
              <w:instrText xml:space="preserve"> PAGEREF _Toc155207476 \h </w:instrText>
            </w:r>
            <w:r w:rsidR="00611254">
              <w:rPr>
                <w:noProof/>
                <w:webHidden/>
              </w:rPr>
            </w:r>
            <w:r w:rsidR="00611254">
              <w:rPr>
                <w:noProof/>
                <w:webHidden/>
              </w:rPr>
              <w:fldChar w:fldCharType="separate"/>
            </w:r>
            <w:r w:rsidR="00A834A2">
              <w:rPr>
                <w:noProof/>
                <w:webHidden/>
              </w:rPr>
              <w:t>3</w:t>
            </w:r>
            <w:r w:rsidR="00611254">
              <w:rPr>
                <w:noProof/>
                <w:webHidden/>
              </w:rPr>
              <w:fldChar w:fldCharType="end"/>
            </w:r>
          </w:hyperlink>
        </w:p>
        <w:p w14:paraId="2E4C4CDD" w14:textId="77777777" w:rsidR="00611254" w:rsidRDefault="00000000">
          <w:pPr>
            <w:pStyle w:val="TOC1"/>
            <w:tabs>
              <w:tab w:val="right" w:leader="dot" w:pos="9062"/>
            </w:tabs>
            <w:rPr>
              <w:rFonts w:eastAsiaTheme="minorEastAsia"/>
              <w:noProof/>
              <w:lang w:eastAsia="ro-RO"/>
            </w:rPr>
          </w:pPr>
          <w:hyperlink w:anchor="_Toc155207477" w:history="1">
            <w:r w:rsidR="00611254" w:rsidRPr="0008320A">
              <w:rPr>
                <w:rStyle w:val="Hyperlink"/>
                <w:noProof/>
              </w:rPr>
              <w:t>Innovation Potential</w:t>
            </w:r>
            <w:r w:rsidR="00611254">
              <w:rPr>
                <w:noProof/>
                <w:webHidden/>
              </w:rPr>
              <w:tab/>
            </w:r>
            <w:r w:rsidR="00611254">
              <w:rPr>
                <w:noProof/>
                <w:webHidden/>
              </w:rPr>
              <w:fldChar w:fldCharType="begin"/>
            </w:r>
            <w:r w:rsidR="00611254">
              <w:rPr>
                <w:noProof/>
                <w:webHidden/>
              </w:rPr>
              <w:instrText xml:space="preserve"> PAGEREF _Toc155207477 \h </w:instrText>
            </w:r>
            <w:r w:rsidR="00611254">
              <w:rPr>
                <w:noProof/>
                <w:webHidden/>
              </w:rPr>
            </w:r>
            <w:r w:rsidR="00611254">
              <w:rPr>
                <w:noProof/>
                <w:webHidden/>
              </w:rPr>
              <w:fldChar w:fldCharType="separate"/>
            </w:r>
            <w:r w:rsidR="00A834A2">
              <w:rPr>
                <w:noProof/>
                <w:webHidden/>
              </w:rPr>
              <w:t>4</w:t>
            </w:r>
            <w:r w:rsidR="00611254">
              <w:rPr>
                <w:noProof/>
                <w:webHidden/>
              </w:rPr>
              <w:fldChar w:fldCharType="end"/>
            </w:r>
          </w:hyperlink>
        </w:p>
        <w:p w14:paraId="402D88E3" w14:textId="77777777" w:rsidR="00611254" w:rsidRDefault="00000000">
          <w:pPr>
            <w:pStyle w:val="TOC1"/>
            <w:tabs>
              <w:tab w:val="right" w:leader="dot" w:pos="9062"/>
            </w:tabs>
            <w:rPr>
              <w:rFonts w:eastAsiaTheme="minorEastAsia"/>
              <w:noProof/>
              <w:lang w:eastAsia="ro-RO"/>
            </w:rPr>
          </w:pPr>
          <w:hyperlink w:anchor="_Toc155207478" w:history="1">
            <w:r w:rsidR="00611254" w:rsidRPr="0008320A">
              <w:rPr>
                <w:rStyle w:val="Hyperlink"/>
                <w:noProof/>
              </w:rPr>
              <w:t>Economic Impact</w:t>
            </w:r>
            <w:r w:rsidR="00611254">
              <w:rPr>
                <w:noProof/>
                <w:webHidden/>
              </w:rPr>
              <w:tab/>
            </w:r>
            <w:r w:rsidR="00611254">
              <w:rPr>
                <w:noProof/>
                <w:webHidden/>
              </w:rPr>
              <w:fldChar w:fldCharType="begin"/>
            </w:r>
            <w:r w:rsidR="00611254">
              <w:rPr>
                <w:noProof/>
                <w:webHidden/>
              </w:rPr>
              <w:instrText xml:space="preserve"> PAGEREF _Toc155207478 \h </w:instrText>
            </w:r>
            <w:r w:rsidR="00611254">
              <w:rPr>
                <w:noProof/>
                <w:webHidden/>
              </w:rPr>
            </w:r>
            <w:r w:rsidR="00611254">
              <w:rPr>
                <w:noProof/>
                <w:webHidden/>
              </w:rPr>
              <w:fldChar w:fldCharType="separate"/>
            </w:r>
            <w:r w:rsidR="00A834A2">
              <w:rPr>
                <w:noProof/>
                <w:webHidden/>
              </w:rPr>
              <w:t>4</w:t>
            </w:r>
            <w:r w:rsidR="00611254">
              <w:rPr>
                <w:noProof/>
                <w:webHidden/>
              </w:rPr>
              <w:fldChar w:fldCharType="end"/>
            </w:r>
          </w:hyperlink>
        </w:p>
        <w:p w14:paraId="2DE934B2" w14:textId="77777777" w:rsidR="00611254" w:rsidRDefault="00000000">
          <w:pPr>
            <w:pStyle w:val="TOC1"/>
            <w:tabs>
              <w:tab w:val="right" w:leader="dot" w:pos="9062"/>
            </w:tabs>
            <w:rPr>
              <w:rFonts w:eastAsiaTheme="minorEastAsia"/>
              <w:noProof/>
              <w:lang w:eastAsia="ro-RO"/>
            </w:rPr>
          </w:pPr>
          <w:hyperlink w:anchor="_Toc155207479" w:history="1">
            <w:r w:rsidR="00611254" w:rsidRPr="0008320A">
              <w:rPr>
                <w:rStyle w:val="Hyperlink"/>
                <w:noProof/>
              </w:rPr>
              <w:t>Public Controversy and Budget Costs</w:t>
            </w:r>
            <w:r w:rsidR="00611254">
              <w:rPr>
                <w:noProof/>
                <w:webHidden/>
              </w:rPr>
              <w:tab/>
            </w:r>
            <w:r w:rsidR="00611254">
              <w:rPr>
                <w:noProof/>
                <w:webHidden/>
              </w:rPr>
              <w:fldChar w:fldCharType="begin"/>
            </w:r>
            <w:r w:rsidR="00611254">
              <w:rPr>
                <w:noProof/>
                <w:webHidden/>
              </w:rPr>
              <w:instrText xml:space="preserve"> PAGEREF _Toc155207479 \h </w:instrText>
            </w:r>
            <w:r w:rsidR="00611254">
              <w:rPr>
                <w:noProof/>
                <w:webHidden/>
              </w:rPr>
            </w:r>
            <w:r w:rsidR="00611254">
              <w:rPr>
                <w:noProof/>
                <w:webHidden/>
              </w:rPr>
              <w:fldChar w:fldCharType="separate"/>
            </w:r>
            <w:r w:rsidR="00A834A2">
              <w:rPr>
                <w:noProof/>
                <w:webHidden/>
              </w:rPr>
              <w:t>5</w:t>
            </w:r>
            <w:r w:rsidR="00611254">
              <w:rPr>
                <w:noProof/>
                <w:webHidden/>
              </w:rPr>
              <w:fldChar w:fldCharType="end"/>
            </w:r>
          </w:hyperlink>
        </w:p>
        <w:p w14:paraId="66976E66" w14:textId="77777777" w:rsidR="00611254" w:rsidRDefault="00000000">
          <w:pPr>
            <w:pStyle w:val="TOC1"/>
            <w:tabs>
              <w:tab w:val="right" w:leader="dot" w:pos="9062"/>
            </w:tabs>
            <w:rPr>
              <w:rFonts w:eastAsiaTheme="minorEastAsia"/>
              <w:noProof/>
              <w:lang w:eastAsia="ro-RO"/>
            </w:rPr>
          </w:pPr>
          <w:hyperlink w:anchor="_Toc155207480" w:history="1">
            <w:r w:rsidR="00611254" w:rsidRPr="0008320A">
              <w:rPr>
                <w:rStyle w:val="Hyperlink"/>
                <w:noProof/>
              </w:rPr>
              <w:t>Construction Setbacks and Risk Factors</w:t>
            </w:r>
            <w:r w:rsidR="00611254">
              <w:rPr>
                <w:noProof/>
                <w:webHidden/>
              </w:rPr>
              <w:tab/>
            </w:r>
            <w:r w:rsidR="00611254">
              <w:rPr>
                <w:noProof/>
                <w:webHidden/>
              </w:rPr>
              <w:fldChar w:fldCharType="begin"/>
            </w:r>
            <w:r w:rsidR="00611254">
              <w:rPr>
                <w:noProof/>
                <w:webHidden/>
              </w:rPr>
              <w:instrText xml:space="preserve"> PAGEREF _Toc155207480 \h </w:instrText>
            </w:r>
            <w:r w:rsidR="00611254">
              <w:rPr>
                <w:noProof/>
                <w:webHidden/>
              </w:rPr>
            </w:r>
            <w:r w:rsidR="00611254">
              <w:rPr>
                <w:noProof/>
                <w:webHidden/>
              </w:rPr>
              <w:fldChar w:fldCharType="separate"/>
            </w:r>
            <w:r w:rsidR="00A834A2">
              <w:rPr>
                <w:noProof/>
                <w:webHidden/>
              </w:rPr>
              <w:t>6</w:t>
            </w:r>
            <w:r w:rsidR="00611254">
              <w:rPr>
                <w:noProof/>
                <w:webHidden/>
              </w:rPr>
              <w:fldChar w:fldCharType="end"/>
            </w:r>
          </w:hyperlink>
        </w:p>
        <w:p w14:paraId="5A7321CF" w14:textId="77777777" w:rsidR="00611254" w:rsidRDefault="00000000">
          <w:pPr>
            <w:pStyle w:val="TOC1"/>
            <w:tabs>
              <w:tab w:val="right" w:leader="dot" w:pos="9062"/>
            </w:tabs>
            <w:rPr>
              <w:rFonts w:eastAsiaTheme="minorEastAsia"/>
              <w:noProof/>
              <w:lang w:eastAsia="ro-RO"/>
            </w:rPr>
          </w:pPr>
          <w:hyperlink w:anchor="_Toc155207481" w:history="1">
            <w:r w:rsidR="00611254" w:rsidRPr="0008320A">
              <w:rPr>
                <w:rStyle w:val="Hyperlink"/>
                <w:noProof/>
              </w:rPr>
              <w:t>Strategic Outcome: Long-term Success for UK Technology Leadership</w:t>
            </w:r>
            <w:r w:rsidR="00611254">
              <w:rPr>
                <w:noProof/>
                <w:webHidden/>
              </w:rPr>
              <w:tab/>
            </w:r>
            <w:r w:rsidR="00611254">
              <w:rPr>
                <w:noProof/>
                <w:webHidden/>
              </w:rPr>
              <w:fldChar w:fldCharType="begin"/>
            </w:r>
            <w:r w:rsidR="00611254">
              <w:rPr>
                <w:noProof/>
                <w:webHidden/>
              </w:rPr>
              <w:instrText xml:space="preserve"> PAGEREF _Toc155207481 \h </w:instrText>
            </w:r>
            <w:r w:rsidR="00611254">
              <w:rPr>
                <w:noProof/>
                <w:webHidden/>
              </w:rPr>
            </w:r>
            <w:r w:rsidR="00611254">
              <w:rPr>
                <w:noProof/>
                <w:webHidden/>
              </w:rPr>
              <w:fldChar w:fldCharType="separate"/>
            </w:r>
            <w:r w:rsidR="00A834A2">
              <w:rPr>
                <w:noProof/>
                <w:webHidden/>
              </w:rPr>
              <w:t>8</w:t>
            </w:r>
            <w:r w:rsidR="00611254">
              <w:rPr>
                <w:noProof/>
                <w:webHidden/>
              </w:rPr>
              <w:fldChar w:fldCharType="end"/>
            </w:r>
          </w:hyperlink>
        </w:p>
        <w:p w14:paraId="0DE4EB7A" w14:textId="77777777" w:rsidR="00611254" w:rsidRDefault="00000000">
          <w:pPr>
            <w:pStyle w:val="TOC1"/>
            <w:tabs>
              <w:tab w:val="right" w:leader="dot" w:pos="9062"/>
            </w:tabs>
            <w:rPr>
              <w:rFonts w:eastAsiaTheme="minorEastAsia"/>
              <w:noProof/>
              <w:lang w:eastAsia="ro-RO"/>
            </w:rPr>
          </w:pPr>
          <w:hyperlink w:anchor="_Toc155207482" w:history="1">
            <w:r w:rsidR="00611254" w:rsidRPr="0008320A">
              <w:rPr>
                <w:rStyle w:val="Hyperlink"/>
                <w:noProof/>
              </w:rPr>
              <w:t>Justification of the Changes and Lessons Learned</w:t>
            </w:r>
            <w:r w:rsidR="00611254">
              <w:rPr>
                <w:noProof/>
                <w:webHidden/>
              </w:rPr>
              <w:tab/>
            </w:r>
            <w:r w:rsidR="00611254">
              <w:rPr>
                <w:noProof/>
                <w:webHidden/>
              </w:rPr>
              <w:fldChar w:fldCharType="begin"/>
            </w:r>
            <w:r w:rsidR="00611254">
              <w:rPr>
                <w:noProof/>
                <w:webHidden/>
              </w:rPr>
              <w:instrText xml:space="preserve"> PAGEREF _Toc155207482 \h </w:instrText>
            </w:r>
            <w:r w:rsidR="00611254">
              <w:rPr>
                <w:noProof/>
                <w:webHidden/>
              </w:rPr>
            </w:r>
            <w:r w:rsidR="00611254">
              <w:rPr>
                <w:noProof/>
                <w:webHidden/>
              </w:rPr>
              <w:fldChar w:fldCharType="separate"/>
            </w:r>
            <w:r w:rsidR="00A834A2">
              <w:rPr>
                <w:noProof/>
                <w:webHidden/>
              </w:rPr>
              <w:t>9</w:t>
            </w:r>
            <w:r w:rsidR="00611254">
              <w:rPr>
                <w:noProof/>
                <w:webHidden/>
              </w:rPr>
              <w:fldChar w:fldCharType="end"/>
            </w:r>
          </w:hyperlink>
        </w:p>
        <w:p w14:paraId="222A62AA" w14:textId="77777777" w:rsidR="00611254" w:rsidRDefault="00000000">
          <w:pPr>
            <w:pStyle w:val="TOC1"/>
            <w:tabs>
              <w:tab w:val="right" w:leader="dot" w:pos="9062"/>
            </w:tabs>
            <w:rPr>
              <w:rFonts w:eastAsiaTheme="minorEastAsia"/>
              <w:noProof/>
              <w:lang w:eastAsia="ro-RO"/>
            </w:rPr>
          </w:pPr>
          <w:hyperlink w:anchor="_Toc155207483" w:history="1">
            <w:r w:rsidR="00611254" w:rsidRPr="0008320A">
              <w:rPr>
                <w:rStyle w:val="Hyperlink"/>
                <w:noProof/>
              </w:rPr>
              <w:t>Conclusion</w:t>
            </w:r>
            <w:r w:rsidR="00611254">
              <w:rPr>
                <w:noProof/>
                <w:webHidden/>
              </w:rPr>
              <w:tab/>
            </w:r>
            <w:r w:rsidR="00611254">
              <w:rPr>
                <w:noProof/>
                <w:webHidden/>
              </w:rPr>
              <w:fldChar w:fldCharType="begin"/>
            </w:r>
            <w:r w:rsidR="00611254">
              <w:rPr>
                <w:noProof/>
                <w:webHidden/>
              </w:rPr>
              <w:instrText xml:space="preserve"> PAGEREF _Toc155207483 \h </w:instrText>
            </w:r>
            <w:r w:rsidR="00611254">
              <w:rPr>
                <w:noProof/>
                <w:webHidden/>
              </w:rPr>
            </w:r>
            <w:r w:rsidR="00611254">
              <w:rPr>
                <w:noProof/>
                <w:webHidden/>
              </w:rPr>
              <w:fldChar w:fldCharType="separate"/>
            </w:r>
            <w:r w:rsidR="00A834A2">
              <w:rPr>
                <w:noProof/>
                <w:webHidden/>
              </w:rPr>
              <w:t>10</w:t>
            </w:r>
            <w:r w:rsidR="00611254">
              <w:rPr>
                <w:noProof/>
                <w:webHidden/>
              </w:rPr>
              <w:fldChar w:fldCharType="end"/>
            </w:r>
          </w:hyperlink>
        </w:p>
        <w:p w14:paraId="4F17E834" w14:textId="77777777" w:rsidR="00611254" w:rsidRDefault="00000000">
          <w:pPr>
            <w:pStyle w:val="TOC1"/>
            <w:tabs>
              <w:tab w:val="right" w:leader="dot" w:pos="9062"/>
            </w:tabs>
            <w:rPr>
              <w:rFonts w:eastAsiaTheme="minorEastAsia"/>
              <w:noProof/>
              <w:lang w:eastAsia="ro-RO"/>
            </w:rPr>
          </w:pPr>
          <w:hyperlink w:anchor="_Toc155207484" w:history="1">
            <w:r w:rsidR="00611254" w:rsidRPr="0008320A">
              <w:rPr>
                <w:rStyle w:val="Hyperlink"/>
                <w:noProof/>
              </w:rPr>
              <w:t>References</w:t>
            </w:r>
            <w:r w:rsidR="00611254">
              <w:rPr>
                <w:noProof/>
                <w:webHidden/>
              </w:rPr>
              <w:tab/>
            </w:r>
            <w:r w:rsidR="00611254">
              <w:rPr>
                <w:noProof/>
                <w:webHidden/>
              </w:rPr>
              <w:fldChar w:fldCharType="begin"/>
            </w:r>
            <w:r w:rsidR="00611254">
              <w:rPr>
                <w:noProof/>
                <w:webHidden/>
              </w:rPr>
              <w:instrText xml:space="preserve"> PAGEREF _Toc155207484 \h </w:instrText>
            </w:r>
            <w:r w:rsidR="00611254">
              <w:rPr>
                <w:noProof/>
                <w:webHidden/>
              </w:rPr>
            </w:r>
            <w:r w:rsidR="00611254">
              <w:rPr>
                <w:noProof/>
                <w:webHidden/>
              </w:rPr>
              <w:fldChar w:fldCharType="separate"/>
            </w:r>
            <w:r w:rsidR="00A834A2">
              <w:rPr>
                <w:noProof/>
                <w:webHidden/>
              </w:rPr>
              <w:t>11</w:t>
            </w:r>
            <w:r w:rsidR="00611254">
              <w:rPr>
                <w:noProof/>
                <w:webHidden/>
              </w:rPr>
              <w:fldChar w:fldCharType="end"/>
            </w:r>
          </w:hyperlink>
        </w:p>
        <w:p w14:paraId="6333E190" w14:textId="77777777" w:rsidR="00026BA5" w:rsidRDefault="00026BA5" w:rsidP="00026BA5">
          <w:pPr>
            <w:jc w:val="both"/>
          </w:pPr>
          <w:r>
            <w:rPr>
              <w:b/>
              <w:bCs/>
              <w:noProof/>
            </w:rPr>
            <w:fldChar w:fldCharType="end"/>
          </w:r>
        </w:p>
      </w:sdtContent>
    </w:sdt>
    <w:p w14:paraId="586146E0" w14:textId="77777777" w:rsidR="00026BA5" w:rsidRDefault="00026BA5" w:rsidP="00026BA5">
      <w:pPr>
        <w:jc w:val="both"/>
      </w:pPr>
    </w:p>
    <w:p w14:paraId="26E8D8FE" w14:textId="77777777" w:rsidR="00026BA5" w:rsidRDefault="00026BA5" w:rsidP="00026BA5">
      <w:pPr>
        <w:jc w:val="both"/>
      </w:pPr>
    </w:p>
    <w:p w14:paraId="4DD9450A" w14:textId="77777777" w:rsidR="00026BA5" w:rsidRDefault="00026BA5" w:rsidP="00026BA5">
      <w:pPr>
        <w:jc w:val="both"/>
      </w:pPr>
    </w:p>
    <w:p w14:paraId="233A7663" w14:textId="77777777" w:rsidR="00026BA5" w:rsidRDefault="00026BA5" w:rsidP="00026BA5">
      <w:pPr>
        <w:jc w:val="both"/>
      </w:pPr>
    </w:p>
    <w:p w14:paraId="14DC8112" w14:textId="77777777" w:rsidR="00026BA5" w:rsidRDefault="00026BA5" w:rsidP="00026BA5">
      <w:pPr>
        <w:jc w:val="both"/>
      </w:pPr>
    </w:p>
    <w:p w14:paraId="6A503F7E" w14:textId="77777777" w:rsidR="00026BA5" w:rsidRDefault="00026BA5" w:rsidP="00026BA5">
      <w:pPr>
        <w:jc w:val="both"/>
      </w:pPr>
    </w:p>
    <w:p w14:paraId="23A0A835" w14:textId="77777777" w:rsidR="00026BA5" w:rsidRDefault="00026BA5" w:rsidP="00026BA5">
      <w:pPr>
        <w:jc w:val="both"/>
      </w:pPr>
    </w:p>
    <w:p w14:paraId="6561AE27" w14:textId="77777777" w:rsidR="00026BA5" w:rsidRDefault="00026BA5" w:rsidP="00026BA5">
      <w:pPr>
        <w:jc w:val="both"/>
      </w:pPr>
    </w:p>
    <w:p w14:paraId="6F62F125" w14:textId="77777777" w:rsidR="00026BA5" w:rsidRDefault="00026BA5" w:rsidP="00026BA5">
      <w:pPr>
        <w:jc w:val="both"/>
      </w:pPr>
    </w:p>
    <w:p w14:paraId="41CA169F" w14:textId="77777777" w:rsidR="00026BA5" w:rsidRDefault="00026BA5" w:rsidP="00026BA5">
      <w:pPr>
        <w:jc w:val="both"/>
      </w:pPr>
    </w:p>
    <w:p w14:paraId="00D2A71C" w14:textId="77777777" w:rsidR="00026BA5" w:rsidRDefault="00026BA5" w:rsidP="00026BA5">
      <w:pPr>
        <w:jc w:val="both"/>
      </w:pPr>
    </w:p>
    <w:p w14:paraId="2C618C61" w14:textId="77777777" w:rsidR="00026BA5" w:rsidRDefault="00026BA5" w:rsidP="00026BA5">
      <w:pPr>
        <w:jc w:val="both"/>
      </w:pPr>
    </w:p>
    <w:p w14:paraId="3553295A" w14:textId="77777777" w:rsidR="00026BA5" w:rsidRDefault="00026BA5" w:rsidP="00026BA5">
      <w:pPr>
        <w:jc w:val="both"/>
      </w:pPr>
    </w:p>
    <w:p w14:paraId="526624F1" w14:textId="77777777" w:rsidR="00026BA5" w:rsidRDefault="00026BA5" w:rsidP="00026BA5">
      <w:pPr>
        <w:jc w:val="both"/>
      </w:pPr>
    </w:p>
    <w:p w14:paraId="33A41F6F" w14:textId="77777777" w:rsidR="00026BA5" w:rsidRDefault="00026BA5" w:rsidP="00026BA5">
      <w:pPr>
        <w:jc w:val="both"/>
      </w:pPr>
    </w:p>
    <w:p w14:paraId="3A56BA72" w14:textId="77777777" w:rsidR="00026BA5" w:rsidRDefault="00026BA5" w:rsidP="00026BA5">
      <w:pPr>
        <w:jc w:val="both"/>
      </w:pPr>
    </w:p>
    <w:p w14:paraId="2C3B6814" w14:textId="77777777" w:rsidR="00026BA5" w:rsidRDefault="00026BA5" w:rsidP="00026BA5">
      <w:pPr>
        <w:jc w:val="both"/>
      </w:pPr>
    </w:p>
    <w:p w14:paraId="7E1497BC" w14:textId="77777777" w:rsidR="00026BA5" w:rsidRDefault="00026BA5" w:rsidP="00026BA5">
      <w:pPr>
        <w:jc w:val="both"/>
      </w:pPr>
    </w:p>
    <w:p w14:paraId="770E0AA5" w14:textId="77777777" w:rsidR="00026BA5" w:rsidRDefault="00026BA5" w:rsidP="00026BA5">
      <w:pPr>
        <w:jc w:val="both"/>
      </w:pPr>
    </w:p>
    <w:p w14:paraId="70BB45D0" w14:textId="77777777" w:rsidR="00026BA5" w:rsidRDefault="00026BA5" w:rsidP="00026BA5">
      <w:pPr>
        <w:jc w:val="both"/>
      </w:pPr>
    </w:p>
    <w:p w14:paraId="5B722FBA" w14:textId="77777777" w:rsidR="00026BA5" w:rsidRDefault="00026BA5" w:rsidP="00026BA5">
      <w:pPr>
        <w:jc w:val="both"/>
      </w:pPr>
    </w:p>
    <w:p w14:paraId="469DD374" w14:textId="77777777" w:rsidR="00026BA5" w:rsidRPr="00026BA5" w:rsidRDefault="00026BA5" w:rsidP="00026BA5">
      <w:pPr>
        <w:pStyle w:val="Heading1"/>
      </w:pPr>
      <w:bookmarkStart w:id="0" w:name="_Toc155207476"/>
      <w:r>
        <w:t>Background</w:t>
      </w:r>
      <w:bookmarkEnd w:id="0"/>
    </w:p>
    <w:p w14:paraId="2FC5DDA9" w14:textId="6DB5914D"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Google's new headquarters in London, which cost </w:t>
      </w:r>
      <w:r>
        <w:rPr>
          <w:rFonts w:asciiTheme="majorHAnsi" w:hAnsiTheme="majorHAnsi" w:cstheme="majorHAnsi"/>
          <w:sz w:val="24"/>
          <w:szCs w:val="24"/>
        </w:rPr>
        <w:t>£</w:t>
      </w:r>
      <w:r w:rsidRPr="00026BA5">
        <w:rPr>
          <w:rFonts w:asciiTheme="majorHAnsi" w:hAnsiTheme="majorHAnsi" w:cstheme="majorHAnsi"/>
          <w:sz w:val="24"/>
          <w:szCs w:val="24"/>
        </w:rPr>
        <w:t xml:space="preserve">1 billion, is the largest investment made by the technology giant to date in the United Kingdom. Google's UK workforce was centralized in </w:t>
      </w:r>
      <w:r>
        <w:rPr>
          <w:rFonts w:asciiTheme="majorHAnsi" w:hAnsiTheme="majorHAnsi" w:cstheme="majorHAnsi"/>
          <w:sz w:val="24"/>
          <w:szCs w:val="24"/>
        </w:rPr>
        <w:t>specially designed</w:t>
      </w:r>
      <w:r w:rsidRPr="00026BA5">
        <w:rPr>
          <w:rFonts w:asciiTheme="majorHAnsi" w:hAnsiTheme="majorHAnsi" w:cstheme="majorHAnsi"/>
          <w:sz w:val="24"/>
          <w:szCs w:val="24"/>
        </w:rPr>
        <w:t xml:space="preserve"> offices in the complex, which spans 1 million square feet in redeveloped King's Cross coal yards. The campus is important for more than just its impressive sustainability credentials. It also has a wealth of amenities and workspaces.</w:t>
      </w:r>
    </w:p>
    <w:p w14:paraId="54D57209"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Google's decision to establish </w:t>
      </w:r>
      <w:r w:rsidR="001C2FCB">
        <w:rPr>
          <w:rFonts w:asciiTheme="majorHAnsi" w:hAnsiTheme="majorHAnsi" w:cstheme="majorHAnsi"/>
          <w:sz w:val="24"/>
          <w:szCs w:val="24"/>
        </w:rPr>
        <w:t>its</w:t>
      </w:r>
      <w:r w:rsidRPr="00026BA5">
        <w:rPr>
          <w:rFonts w:asciiTheme="majorHAnsi" w:hAnsiTheme="majorHAnsi" w:cstheme="majorHAnsi"/>
          <w:sz w:val="24"/>
          <w:szCs w:val="24"/>
        </w:rPr>
        <w:t xml:space="preserve"> European </w:t>
      </w:r>
      <w:r>
        <w:rPr>
          <w:rFonts w:asciiTheme="majorHAnsi" w:hAnsiTheme="majorHAnsi" w:cstheme="majorHAnsi"/>
          <w:sz w:val="24"/>
          <w:szCs w:val="24"/>
        </w:rPr>
        <w:t>artificial intelligence</w:t>
      </w:r>
      <w:r w:rsidRPr="00026BA5">
        <w:rPr>
          <w:rFonts w:asciiTheme="majorHAnsi" w:hAnsiTheme="majorHAnsi" w:cstheme="majorHAnsi"/>
          <w:sz w:val="24"/>
          <w:szCs w:val="24"/>
        </w:rPr>
        <w:t xml:space="preserve"> research hub in London is a strategic win for the UK. It will bring innovation and economic benefits for many decades. London is now firmly at the forefront of the technology hubs that will shape the 21st-century world economy, alongside New York City, Beijing</w:t>
      </w:r>
      <w:r>
        <w:rPr>
          <w:rFonts w:asciiTheme="majorHAnsi" w:hAnsiTheme="majorHAnsi" w:cstheme="majorHAnsi"/>
          <w:sz w:val="24"/>
          <w:szCs w:val="24"/>
        </w:rPr>
        <w:t>,</w:t>
      </w:r>
      <w:r w:rsidRPr="00026BA5">
        <w:rPr>
          <w:rFonts w:asciiTheme="majorHAnsi" w:hAnsiTheme="majorHAnsi" w:cstheme="majorHAnsi"/>
          <w:sz w:val="24"/>
          <w:szCs w:val="24"/>
        </w:rPr>
        <w:t xml:space="preserve"> and Mountain View. While there are still valid concerns about housing costs, inequality, and community integration, investment in R&amp;D and high-skill jobs will lead to exponential growth in the coming years, overcoming any temporary growing discomfort.</w:t>
      </w:r>
    </w:p>
    <w:p w14:paraId="1B84B4B7"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I </w:t>
      </w:r>
      <w:r>
        <w:rPr>
          <w:rFonts w:asciiTheme="majorHAnsi" w:hAnsiTheme="majorHAnsi" w:cstheme="majorHAnsi"/>
          <w:sz w:val="24"/>
          <w:szCs w:val="24"/>
        </w:rPr>
        <w:t>evaluated</w:t>
      </w:r>
      <w:r w:rsidRPr="00026BA5">
        <w:rPr>
          <w:rFonts w:asciiTheme="majorHAnsi" w:hAnsiTheme="majorHAnsi" w:cstheme="majorHAnsi"/>
          <w:sz w:val="24"/>
          <w:szCs w:val="24"/>
        </w:rPr>
        <w:t xml:space="preserve"> the strategic impact of the project, including innovation and job potential, as well as the public controversy and construction obstacles that were encountered. I weigh the benefits of the project against the challenges that mega-projects are prone to face. This is done </w:t>
      </w:r>
      <w:r>
        <w:rPr>
          <w:rFonts w:asciiTheme="majorHAnsi" w:hAnsiTheme="majorHAnsi" w:cstheme="majorHAnsi"/>
          <w:sz w:val="24"/>
          <w:szCs w:val="24"/>
        </w:rPr>
        <w:t>to</w:t>
      </w:r>
      <w:r w:rsidRPr="00026BA5">
        <w:rPr>
          <w:rFonts w:asciiTheme="majorHAnsi" w:hAnsiTheme="majorHAnsi" w:cstheme="majorHAnsi"/>
          <w:sz w:val="24"/>
          <w:szCs w:val="24"/>
        </w:rPr>
        <w:t xml:space="preserve"> prove the positive impact the campus will have on UK technology leadership and the negative effects it may have for London. I offer recommendations for future initiatives that optimize civic engagement, adaptive flexibility, and risk planning.</w:t>
      </w:r>
    </w:p>
    <w:p w14:paraId="4D15841B"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I believe the campus is a significant consolidation of Google's commitment to London as its European base, ideally situated to drive expansion plans throughout the United Kingdom and the continent. Google and policymakers have a unique opportunity to align interests </w:t>
      </w:r>
      <w:r>
        <w:rPr>
          <w:rFonts w:asciiTheme="majorHAnsi" w:hAnsiTheme="majorHAnsi" w:cstheme="majorHAnsi"/>
          <w:sz w:val="24"/>
          <w:szCs w:val="24"/>
        </w:rPr>
        <w:t>to</w:t>
      </w:r>
      <w:r w:rsidRPr="00026BA5">
        <w:rPr>
          <w:rFonts w:asciiTheme="majorHAnsi" w:hAnsiTheme="majorHAnsi" w:cstheme="majorHAnsi"/>
          <w:sz w:val="24"/>
          <w:szCs w:val="24"/>
        </w:rPr>
        <w:t xml:space="preserve"> advance economic inclusion.</w:t>
      </w:r>
    </w:p>
    <w:p w14:paraId="4D79DF6B" w14:textId="77777777" w:rsid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Google's planned investment of hundreds of millions of dollars in worker retraining and startup incubation as well as community organizations can help London become a technology innovation hub. The campus footprint can be fully utilized to bring together top experts to </w:t>
      </w:r>
      <w:r w:rsidRPr="00026BA5">
        <w:rPr>
          <w:rFonts w:asciiTheme="majorHAnsi" w:hAnsiTheme="majorHAnsi" w:cstheme="majorHAnsi"/>
          <w:sz w:val="24"/>
          <w:szCs w:val="24"/>
        </w:rPr>
        <w:lastRenderedPageBreak/>
        <w:t xml:space="preserve">tackle scientific frontiers and train domestic talent </w:t>
      </w:r>
      <w:r>
        <w:rPr>
          <w:rFonts w:asciiTheme="majorHAnsi" w:hAnsiTheme="majorHAnsi" w:cstheme="majorHAnsi"/>
          <w:sz w:val="24"/>
          <w:szCs w:val="24"/>
        </w:rPr>
        <w:t>to</w:t>
      </w:r>
      <w:r w:rsidRPr="00026BA5">
        <w:rPr>
          <w:rFonts w:asciiTheme="majorHAnsi" w:hAnsiTheme="majorHAnsi" w:cstheme="majorHAnsi"/>
          <w:sz w:val="24"/>
          <w:szCs w:val="24"/>
        </w:rPr>
        <w:t xml:space="preserve"> drive advancements better tailored to local requirements than importing solutions.</w:t>
      </w:r>
    </w:p>
    <w:p w14:paraId="577CDD04" w14:textId="77777777" w:rsidR="00434F05" w:rsidRPr="00434F05" w:rsidRDefault="00434F05" w:rsidP="00434F05">
      <w:pPr>
        <w:spacing w:line="360" w:lineRule="auto"/>
        <w:jc w:val="both"/>
        <w:rPr>
          <w:rFonts w:asciiTheme="majorHAnsi" w:hAnsiTheme="majorHAnsi" w:cstheme="majorHAnsi"/>
          <w:sz w:val="24"/>
          <w:szCs w:val="24"/>
        </w:rPr>
      </w:pPr>
      <w:r w:rsidRPr="00434F05">
        <w:rPr>
          <w:rFonts w:asciiTheme="majorHAnsi" w:hAnsiTheme="majorHAnsi" w:cstheme="majorHAnsi"/>
          <w:sz w:val="24"/>
          <w:szCs w:val="24"/>
        </w:rPr>
        <w:t>To meet the public December 2023 campus completion commitment, Google's project timeline requires careful tracking and buffering at phase milestones in case delays emerge (Schwalbe, 2015). Scope additions or material delivery issues could quickly push timelines without agile contingency adaptations. A phased rollout with standalone facilities becoming operational over time allows flexibility if singular buildings face obstacles (PMI, 2016). Critical path prioritization and risk management preparations also prove vital.</w:t>
      </w:r>
    </w:p>
    <w:p w14:paraId="6C37D7CA" w14:textId="77777777" w:rsidR="00434F05" w:rsidRPr="00434F05" w:rsidRDefault="00434F05" w:rsidP="00434F05">
      <w:pPr>
        <w:spacing w:line="360" w:lineRule="auto"/>
        <w:jc w:val="both"/>
        <w:rPr>
          <w:rFonts w:asciiTheme="majorHAnsi" w:hAnsiTheme="majorHAnsi" w:cstheme="majorHAnsi"/>
          <w:sz w:val="24"/>
          <w:szCs w:val="24"/>
        </w:rPr>
      </w:pPr>
      <w:r w:rsidRPr="00434F05">
        <w:rPr>
          <w:rFonts w:asciiTheme="majorHAnsi" w:hAnsiTheme="majorHAnsi" w:cstheme="majorHAnsi"/>
          <w:sz w:val="24"/>
          <w:szCs w:val="24"/>
        </w:rPr>
        <w:t>Google's elevated quality expectations, especially regarding technology infrastructure and amenities reflecting corporate brand, necessitate extensive validation processes (Emmitt, 2009). Acceptance criteria across all project areas ensure defect-free execution to avoid costly rework (Bassioni et al., 2006). Post-acceptance walkthroughs under warranty coverage identify outstanding issues for repair (PMI, 2021). With luxury spaces signaling company prestige, quality assurance efforts should concentrate on showcase cafes, presentation rooms and sustainability elements to align with global corporate standards (Bassioni et al., 2006).</w:t>
      </w:r>
    </w:p>
    <w:p w14:paraId="355E4B75" w14:textId="77777777" w:rsidR="00434F05" w:rsidRPr="00026BA5" w:rsidRDefault="00434F05" w:rsidP="00026BA5">
      <w:pPr>
        <w:spacing w:line="360" w:lineRule="auto"/>
        <w:jc w:val="both"/>
        <w:rPr>
          <w:rFonts w:asciiTheme="majorHAnsi" w:hAnsiTheme="majorHAnsi" w:cstheme="majorHAnsi"/>
          <w:sz w:val="24"/>
          <w:szCs w:val="24"/>
        </w:rPr>
      </w:pPr>
    </w:p>
    <w:p w14:paraId="7D8190B5" w14:textId="77777777" w:rsidR="00026BA5" w:rsidRPr="00026BA5" w:rsidRDefault="00026BA5" w:rsidP="00026BA5">
      <w:pPr>
        <w:pStyle w:val="Heading1"/>
      </w:pPr>
      <w:bookmarkStart w:id="1" w:name="_Toc155207477"/>
      <w:r w:rsidRPr="00026BA5">
        <w:t>Innovation Potential</w:t>
      </w:r>
      <w:bookmarkEnd w:id="1"/>
    </w:p>
    <w:p w14:paraId="6E995B59"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London headquarters project has been the subject of several studies that have shown its huge potential for innovation and technological advancement. Sundar Pichai, Alphabet's CEO, stated that London is "one the world's greatest technology hubs", and the new King's Cross Campus will serve as an anchor for European operations. Google will leverage the local talent pool from Universities like Oxford, Cambridge University College London, and Imperial College. Clustering can also be a powerful tool for innovation, as Silicon Valley demonstrated over the past few decades.</w:t>
      </w:r>
    </w:p>
    <w:p w14:paraId="0C525F3E" w14:textId="77777777" w:rsid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Some experts are unsure if Google's investment in the UK will lead to true innovation or if it is mainly importing projects from the USA. Mariana Mazzucato</w:t>
      </w:r>
      <w:r w:rsidR="001C2FCB">
        <w:rPr>
          <w:rFonts w:asciiTheme="majorHAnsi" w:hAnsiTheme="majorHAnsi" w:cstheme="majorHAnsi"/>
          <w:sz w:val="24"/>
          <w:szCs w:val="24"/>
        </w:rPr>
        <w:t xml:space="preserve"> </w:t>
      </w:r>
      <w:r w:rsidR="001C2FCB" w:rsidRPr="001C2FCB">
        <w:rPr>
          <w:rFonts w:asciiTheme="majorHAnsi" w:hAnsiTheme="majorHAnsi" w:cstheme="majorHAnsi"/>
          <w:sz w:val="24"/>
          <w:szCs w:val="24"/>
        </w:rPr>
        <w:t>(2021),</w:t>
      </w:r>
      <w:r w:rsidRPr="00026BA5">
        <w:rPr>
          <w:rFonts w:asciiTheme="majorHAnsi" w:hAnsiTheme="majorHAnsi" w:cstheme="majorHAnsi"/>
          <w:sz w:val="24"/>
          <w:szCs w:val="24"/>
        </w:rPr>
        <w:t xml:space="preserve"> an economist</w:t>
      </w:r>
      <w:r w:rsidR="001C2FCB">
        <w:rPr>
          <w:rFonts w:asciiTheme="majorHAnsi" w:hAnsiTheme="majorHAnsi" w:cstheme="majorHAnsi"/>
          <w:sz w:val="24"/>
          <w:szCs w:val="24"/>
        </w:rPr>
        <w:t>,</w:t>
      </w:r>
      <w:r w:rsidRPr="00026BA5">
        <w:rPr>
          <w:rFonts w:asciiTheme="majorHAnsi" w:hAnsiTheme="majorHAnsi" w:cstheme="majorHAnsi"/>
          <w:sz w:val="24"/>
          <w:szCs w:val="24"/>
        </w:rPr>
        <w:t xml:space="preserve"> argues that big tech companies often focus on "empty innovations" </w:t>
      </w:r>
      <w:r>
        <w:rPr>
          <w:rFonts w:asciiTheme="majorHAnsi" w:hAnsiTheme="majorHAnsi" w:cstheme="majorHAnsi"/>
          <w:sz w:val="24"/>
          <w:szCs w:val="24"/>
        </w:rPr>
        <w:t>that</w:t>
      </w:r>
      <w:r w:rsidRPr="00026BA5">
        <w:rPr>
          <w:rFonts w:asciiTheme="majorHAnsi" w:hAnsiTheme="majorHAnsi" w:cstheme="majorHAnsi"/>
          <w:sz w:val="24"/>
          <w:szCs w:val="24"/>
        </w:rPr>
        <w:t xml:space="preserve"> are aimed at advertising, marketing</w:t>
      </w:r>
      <w:r>
        <w:rPr>
          <w:rFonts w:asciiTheme="majorHAnsi" w:hAnsiTheme="majorHAnsi" w:cstheme="majorHAnsi"/>
          <w:sz w:val="24"/>
          <w:szCs w:val="24"/>
        </w:rPr>
        <w:t>,</w:t>
      </w:r>
      <w:r w:rsidRPr="00026BA5">
        <w:rPr>
          <w:rFonts w:asciiTheme="majorHAnsi" w:hAnsiTheme="majorHAnsi" w:cstheme="majorHAnsi"/>
          <w:sz w:val="24"/>
          <w:szCs w:val="24"/>
        </w:rPr>
        <w:t xml:space="preserve"> and corporate platforms, rather than promoting economic and social well-being. Google's $26 billion R&amp;D (PitchBook</w:t>
      </w:r>
      <w:r>
        <w:rPr>
          <w:rFonts w:asciiTheme="majorHAnsi" w:hAnsiTheme="majorHAnsi" w:cstheme="majorHAnsi"/>
          <w:sz w:val="24"/>
          <w:szCs w:val="24"/>
        </w:rPr>
        <w:t>,</w:t>
      </w:r>
      <w:r w:rsidRPr="00026BA5">
        <w:rPr>
          <w:rFonts w:asciiTheme="majorHAnsi" w:hAnsiTheme="majorHAnsi" w:cstheme="majorHAnsi"/>
          <w:sz w:val="24"/>
          <w:szCs w:val="24"/>
        </w:rPr>
        <w:t xml:space="preserve"> 2021) budget could be used to fund the UK's urgent need for innovations in clean energy, biotech, and robotics.</w:t>
      </w:r>
      <w:r>
        <w:rPr>
          <w:rFonts w:asciiTheme="majorHAnsi" w:hAnsiTheme="majorHAnsi" w:cstheme="majorHAnsi"/>
          <w:sz w:val="24"/>
          <w:szCs w:val="24"/>
        </w:rPr>
        <w:t xml:space="preserve"> </w:t>
      </w:r>
    </w:p>
    <w:p w14:paraId="4F1C9561" w14:textId="77777777" w:rsidR="00026BA5" w:rsidRDefault="00026BA5" w:rsidP="00026BA5">
      <w:pPr>
        <w:pStyle w:val="Heading1"/>
      </w:pPr>
      <w:bookmarkStart w:id="2" w:name="_Toc155207478"/>
      <w:r>
        <w:lastRenderedPageBreak/>
        <w:t>Economic Impact</w:t>
      </w:r>
      <w:bookmarkEnd w:id="2"/>
    </w:p>
    <w:p w14:paraId="169B8B80"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project is in line with the UK's strategy to achieve global leadership in innovation and technology. The new London headquarters will anchor a King's Cross technology cluster that leaders are h</w:t>
      </w:r>
      <w:r w:rsidR="001C2FCB">
        <w:rPr>
          <w:rFonts w:asciiTheme="majorHAnsi" w:hAnsiTheme="majorHAnsi" w:cstheme="majorHAnsi"/>
          <w:sz w:val="24"/>
          <w:szCs w:val="24"/>
        </w:rPr>
        <w:t>oping will rival Silicon Valley</w:t>
      </w:r>
      <w:r w:rsidRPr="00026BA5">
        <w:rPr>
          <w:rFonts w:asciiTheme="majorHAnsi" w:hAnsiTheme="majorHAnsi" w:cstheme="majorHAnsi"/>
          <w:sz w:val="24"/>
          <w:szCs w:val="24"/>
        </w:rPr>
        <w:t xml:space="preserve"> (Jennings</w:t>
      </w:r>
      <w:r w:rsidR="007E2834">
        <w:rPr>
          <w:rFonts w:asciiTheme="majorHAnsi" w:hAnsiTheme="majorHAnsi" w:cstheme="majorHAnsi"/>
          <w:sz w:val="24"/>
          <w:szCs w:val="24"/>
        </w:rPr>
        <w:t>,</w:t>
      </w:r>
      <w:r w:rsidRPr="00026BA5">
        <w:rPr>
          <w:rFonts w:asciiTheme="majorHAnsi" w:hAnsiTheme="majorHAnsi" w:cstheme="majorHAnsi"/>
          <w:sz w:val="24"/>
          <w:szCs w:val="24"/>
        </w:rPr>
        <w:t xml:space="preserve"> 2017). Google's </w:t>
      </w:r>
      <w:r>
        <w:rPr>
          <w:rFonts w:asciiTheme="majorHAnsi" w:hAnsiTheme="majorHAnsi" w:cstheme="majorHAnsi"/>
          <w:sz w:val="24"/>
          <w:szCs w:val="24"/>
        </w:rPr>
        <w:t>£</w:t>
      </w:r>
      <w:r w:rsidRPr="00026BA5">
        <w:rPr>
          <w:rFonts w:asciiTheme="majorHAnsi" w:hAnsiTheme="majorHAnsi" w:cstheme="majorHAnsi"/>
          <w:sz w:val="24"/>
          <w:szCs w:val="24"/>
        </w:rPr>
        <w:t>1 billion investment is expected to create 3,000 construction positions and ultimately accommodate up to 7,500 high-skilled employees. </w:t>
      </w:r>
      <w:r>
        <w:rPr>
          <w:rFonts w:asciiTheme="majorHAnsi" w:hAnsiTheme="majorHAnsi" w:cstheme="majorHAnsi"/>
          <w:sz w:val="24"/>
          <w:szCs w:val="24"/>
        </w:rPr>
        <w:t>The campus</w:t>
      </w:r>
      <w:r w:rsidRPr="00026BA5">
        <w:rPr>
          <w:rFonts w:asciiTheme="majorHAnsi" w:hAnsiTheme="majorHAnsi" w:cstheme="majorHAnsi"/>
          <w:sz w:val="24"/>
          <w:szCs w:val="24"/>
        </w:rPr>
        <w:t xml:space="preserve"> </w:t>
      </w:r>
      <w:r w:rsidR="001C2FCB">
        <w:rPr>
          <w:rFonts w:asciiTheme="majorHAnsi" w:hAnsiTheme="majorHAnsi" w:cstheme="majorHAnsi"/>
          <w:sz w:val="24"/>
          <w:szCs w:val="24"/>
        </w:rPr>
        <w:t>can</w:t>
      </w:r>
      <w:r w:rsidRPr="00026BA5">
        <w:rPr>
          <w:rFonts w:asciiTheme="majorHAnsi" w:hAnsiTheme="majorHAnsi" w:cstheme="majorHAnsi"/>
          <w:sz w:val="24"/>
          <w:szCs w:val="24"/>
        </w:rPr>
        <w:t xml:space="preserve"> expand further. Google has also committed to investing </w:t>
      </w:r>
      <w:r>
        <w:rPr>
          <w:rFonts w:asciiTheme="majorHAnsi" w:hAnsiTheme="majorHAnsi" w:cstheme="majorHAnsi"/>
          <w:sz w:val="24"/>
          <w:szCs w:val="24"/>
        </w:rPr>
        <w:t>£</w:t>
      </w:r>
      <w:r w:rsidRPr="00026BA5">
        <w:rPr>
          <w:rFonts w:asciiTheme="majorHAnsi" w:hAnsiTheme="majorHAnsi" w:cstheme="majorHAnsi"/>
          <w:sz w:val="24"/>
          <w:szCs w:val="24"/>
        </w:rPr>
        <w:t>70 million in local businesses and projects (Kelion</w:t>
      </w:r>
      <w:r>
        <w:rPr>
          <w:rFonts w:asciiTheme="majorHAnsi" w:hAnsiTheme="majorHAnsi" w:cstheme="majorHAnsi"/>
          <w:sz w:val="24"/>
          <w:szCs w:val="24"/>
        </w:rPr>
        <w:t>,</w:t>
      </w:r>
      <w:r w:rsidRPr="00026BA5">
        <w:rPr>
          <w:rFonts w:asciiTheme="majorHAnsi" w:hAnsiTheme="majorHAnsi" w:cstheme="majorHAnsi"/>
          <w:sz w:val="24"/>
          <w:szCs w:val="24"/>
        </w:rPr>
        <w:t xml:space="preserve"> 2017).</w:t>
      </w:r>
    </w:p>
    <w:p w14:paraId="68435822"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Concerns persist, however, about the impact on housing costs and in gentrification. Critics point out that, while Google's highly-paid employees will stimulate housing demand, the project doesn't increase supply. Google has nevertheless created programs, including investing </w:t>
      </w:r>
      <w:r>
        <w:rPr>
          <w:rFonts w:asciiTheme="majorHAnsi" w:hAnsiTheme="majorHAnsi" w:cstheme="majorHAnsi"/>
          <w:sz w:val="24"/>
          <w:szCs w:val="24"/>
        </w:rPr>
        <w:t>£</w:t>
      </w:r>
      <w:r w:rsidRPr="00026BA5">
        <w:rPr>
          <w:rFonts w:asciiTheme="majorHAnsi" w:hAnsiTheme="majorHAnsi" w:cstheme="majorHAnsi"/>
          <w:sz w:val="24"/>
          <w:szCs w:val="24"/>
        </w:rPr>
        <w:t>750m in housing throughout the San Francisco Bay Area. (Douglas et. al., 2021). One program that funds affordable housing around King's Cross would demonstrate corporate responsibility.</w:t>
      </w:r>
    </w:p>
    <w:p w14:paraId="7A98F7C0" w14:textId="77777777" w:rsidR="00611254" w:rsidRPr="00611254" w:rsidRDefault="00611254" w:rsidP="00611254">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t>Navigating legitimate interests around fair land arrangements, job quality guarantees and neighborhood protections remains complex across project mega-developments. Construction partners must incentivize appropriately towards timeline and budget accountability. Corporate real estate teams expect facilities suiting sales, engineering and operation portfolio cohesion (Douglas et al., 2021). Adjacent retailers and transport providers require integration upholding smooth economic activity flow. Proactive engagement answering stakeholder questions and communicating progress build shared ownership curbing external skepticism.</w:t>
      </w:r>
    </w:p>
    <w:p w14:paraId="59657410" w14:textId="77777777" w:rsidR="00611254" w:rsidRPr="00026BA5" w:rsidRDefault="00611254" w:rsidP="00026BA5">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t>Large technology campus projects involve cooperation across intricate networks spanning public, private and civic interests (Cleland, 1988). Google now shoulders heightened responsibility demonstrating corporate citizenship improving socioeconomic mobility in London’s rapidly transforming landscape (Sutterfield et al., 2006). Its policies around affordable housing, equitable hiring and environmental sustainability will shape external perceptions. While contractual incentives and protections matter, so do multifaceted partnership dynamics (Loosemore, 2000). Google must lead in promoting access, transparency and accountability at each project phase.</w:t>
      </w:r>
    </w:p>
    <w:p w14:paraId="242278A2" w14:textId="77777777" w:rsidR="00026BA5" w:rsidRPr="00026BA5" w:rsidRDefault="00026BA5" w:rsidP="00026BA5">
      <w:pPr>
        <w:pStyle w:val="Heading1"/>
      </w:pPr>
      <w:bookmarkStart w:id="3" w:name="_Toc155207479"/>
      <w:r w:rsidRPr="00026BA5">
        <w:t>Public Controversy</w:t>
      </w:r>
      <w:r w:rsidR="00611254">
        <w:t xml:space="preserve"> and Budget Costs</w:t>
      </w:r>
      <w:bookmarkEnd w:id="3"/>
    </w:p>
    <w:p w14:paraId="597AAB21"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UK expansion was met with public opposition on issues such as gentrification, taxation</w:t>
      </w:r>
      <w:r w:rsidR="007E2834">
        <w:rPr>
          <w:rFonts w:asciiTheme="majorHAnsi" w:hAnsiTheme="majorHAnsi" w:cstheme="majorHAnsi"/>
          <w:sz w:val="24"/>
          <w:szCs w:val="24"/>
        </w:rPr>
        <w:t>,</w:t>
      </w:r>
      <w:r w:rsidRPr="00026BA5">
        <w:rPr>
          <w:rFonts w:asciiTheme="majorHAnsi" w:hAnsiTheme="majorHAnsi" w:cstheme="majorHAnsi"/>
          <w:sz w:val="24"/>
          <w:szCs w:val="24"/>
        </w:rPr>
        <w:t xml:space="preserve"> and other related topics. The events began to unravel shortly after Alphabet bought </w:t>
      </w:r>
      <w:r w:rsidRPr="00026BA5">
        <w:rPr>
          <w:rFonts w:asciiTheme="majorHAnsi" w:hAnsiTheme="majorHAnsi" w:cstheme="majorHAnsi"/>
          <w:sz w:val="24"/>
          <w:szCs w:val="24"/>
        </w:rPr>
        <w:lastRenderedPageBreak/>
        <w:t>the 2.4-acre site in King's Cross, promising a new campus that would be transformative (Butler</w:t>
      </w:r>
      <w:r>
        <w:rPr>
          <w:rFonts w:asciiTheme="majorHAnsi" w:hAnsiTheme="majorHAnsi" w:cstheme="majorHAnsi"/>
          <w:sz w:val="24"/>
          <w:szCs w:val="24"/>
        </w:rPr>
        <w:t>,</w:t>
      </w:r>
      <w:r w:rsidRPr="00026BA5">
        <w:rPr>
          <w:rFonts w:asciiTheme="majorHAnsi" w:hAnsiTheme="majorHAnsi" w:cstheme="majorHAnsi"/>
          <w:sz w:val="24"/>
          <w:szCs w:val="24"/>
        </w:rPr>
        <w:t xml:space="preserve"> 2022). Housing activists protested against gentrification. They argued that development pressures would increase property prices and </w:t>
      </w:r>
      <w:r>
        <w:rPr>
          <w:rFonts w:asciiTheme="majorHAnsi" w:hAnsiTheme="majorHAnsi" w:cstheme="majorHAnsi"/>
          <w:sz w:val="24"/>
          <w:szCs w:val="24"/>
        </w:rPr>
        <w:t>displace</w:t>
      </w:r>
      <w:r w:rsidRPr="00026BA5">
        <w:rPr>
          <w:rFonts w:asciiTheme="majorHAnsi" w:hAnsiTheme="majorHAnsi" w:cstheme="majorHAnsi"/>
          <w:sz w:val="24"/>
          <w:szCs w:val="24"/>
        </w:rPr>
        <w:t xml:space="preserve"> lower-income residents.</w:t>
      </w:r>
    </w:p>
    <w:p w14:paraId="5203E761"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 officials were caught off guard by this backlash, as they expected that the investment would be welcomed due to its economic benefits such as jobs and tax revenues. Early stakeholder engagement in project management is crucial to identify potential risks (Mok, et. al., </w:t>
      </w:r>
      <w:r>
        <w:rPr>
          <w:rFonts w:asciiTheme="majorHAnsi" w:hAnsiTheme="majorHAnsi" w:cstheme="majorHAnsi"/>
          <w:sz w:val="24"/>
          <w:szCs w:val="24"/>
        </w:rPr>
        <w:t xml:space="preserve"> </w:t>
      </w:r>
      <w:r w:rsidRPr="00026BA5">
        <w:rPr>
          <w:rFonts w:asciiTheme="majorHAnsi" w:hAnsiTheme="majorHAnsi" w:cstheme="majorHAnsi"/>
          <w:sz w:val="24"/>
          <w:szCs w:val="24"/>
        </w:rPr>
        <w:t>2015). Google missed out on the chance to engage in early dialogue and negotiations about community concerns by failing to recognize local groups.</w:t>
      </w:r>
    </w:p>
    <w:p w14:paraId="7AD05EA2" w14:textId="77777777" w:rsid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 has adapted to this by launching </w:t>
      </w:r>
      <w:r>
        <w:rPr>
          <w:rFonts w:asciiTheme="majorHAnsi" w:hAnsiTheme="majorHAnsi" w:cstheme="majorHAnsi"/>
          <w:sz w:val="24"/>
          <w:szCs w:val="24"/>
        </w:rPr>
        <w:t>several</w:t>
      </w:r>
      <w:r w:rsidRPr="00026BA5">
        <w:rPr>
          <w:rFonts w:asciiTheme="majorHAnsi" w:hAnsiTheme="majorHAnsi" w:cstheme="majorHAnsi"/>
          <w:sz w:val="24"/>
          <w:szCs w:val="24"/>
        </w:rPr>
        <w:t xml:space="preserve"> civic programs and partnerships that aim to spread benefits more equitably and reduce negative impacts on affordability. Google allocated </w:t>
      </w:r>
      <w:r>
        <w:rPr>
          <w:rFonts w:asciiTheme="majorHAnsi" w:hAnsiTheme="majorHAnsi" w:cstheme="majorHAnsi"/>
          <w:sz w:val="24"/>
          <w:szCs w:val="24"/>
        </w:rPr>
        <w:t>£</w:t>
      </w:r>
      <w:r w:rsidRPr="00026BA5">
        <w:rPr>
          <w:rFonts w:asciiTheme="majorHAnsi" w:hAnsiTheme="majorHAnsi" w:cstheme="majorHAnsi"/>
          <w:sz w:val="24"/>
          <w:szCs w:val="24"/>
        </w:rPr>
        <w:t xml:space="preserve">70m to skills training for community groups and workers facing challenges with </w:t>
      </w:r>
      <w:r>
        <w:rPr>
          <w:rFonts w:asciiTheme="majorHAnsi" w:hAnsiTheme="majorHAnsi" w:cstheme="majorHAnsi"/>
          <w:sz w:val="24"/>
          <w:szCs w:val="24"/>
        </w:rPr>
        <w:t xml:space="preserve">the </w:t>
      </w:r>
      <w:r w:rsidRPr="00026BA5">
        <w:rPr>
          <w:rFonts w:asciiTheme="majorHAnsi" w:hAnsiTheme="majorHAnsi" w:cstheme="majorHAnsi"/>
          <w:sz w:val="24"/>
          <w:szCs w:val="24"/>
        </w:rPr>
        <w:t>digital divide (Kelion</w:t>
      </w:r>
      <w:r>
        <w:rPr>
          <w:rFonts w:asciiTheme="majorHAnsi" w:hAnsiTheme="majorHAnsi" w:cstheme="majorHAnsi"/>
          <w:sz w:val="24"/>
          <w:szCs w:val="24"/>
        </w:rPr>
        <w:t>,</w:t>
      </w:r>
      <w:r w:rsidRPr="00026BA5">
        <w:rPr>
          <w:rFonts w:asciiTheme="majorHAnsi" w:hAnsiTheme="majorHAnsi" w:cstheme="majorHAnsi"/>
          <w:sz w:val="24"/>
          <w:szCs w:val="24"/>
        </w:rPr>
        <w:t xml:space="preserve"> 2017). Google has also given land access to build over 200 affordable homes near its corporate offices.</w:t>
      </w:r>
    </w:p>
    <w:p w14:paraId="26CB6A5C" w14:textId="77777777" w:rsidR="00611254" w:rsidRPr="00611254" w:rsidRDefault="00611254" w:rsidP="00611254">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t>Google's £1 billion campus budget aligns with London's average £1,500 per square foot construction costs (Fuller, 2022). However, amenities, custom millwork, AV systems and sustainability features may increase expenditures (ConstructConnect, 2022). Google's financial capacity offers flexibility, but public transparency over exact budget components could ease controversy. Dividing expenditures across phased builds smooths capital needs, but recent inflationary pressures necessitate contingencies through 2023 completion (Meredith &amp; Shafer, 2019).</w:t>
      </w:r>
    </w:p>
    <w:p w14:paraId="64BC087D" w14:textId="77777777" w:rsidR="00611254" w:rsidRPr="00026BA5" w:rsidRDefault="00611254" w:rsidP="00026BA5">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t>Reigning in 'scope creep' remains vital to prevent invalid cost benchmarking against lavish Googleplex campuses (Emmitt, 2009). By clearly communicating realistic London expectations, overages may be avoided. Still, the public deserves visibility into spending on luxury finishings and features amid concerns over housing affordability shifts (ConstructConnect, 2022). Open budget transparency and accountability on high-end amenities would demonstrate Google's commitment to financial prudence and community partnership.</w:t>
      </w:r>
    </w:p>
    <w:p w14:paraId="1C9E7EAD" w14:textId="77777777" w:rsidR="00026BA5" w:rsidRPr="00026BA5" w:rsidRDefault="00026BA5" w:rsidP="00026BA5">
      <w:pPr>
        <w:pStyle w:val="Heading1"/>
      </w:pPr>
      <w:bookmarkStart w:id="4" w:name="_Toc155207480"/>
      <w:r w:rsidRPr="00026BA5">
        <w:t>Construction Setbacks</w:t>
      </w:r>
      <w:r w:rsidR="00611254">
        <w:t xml:space="preserve"> and Risk Factors</w:t>
      </w:r>
      <w:bookmarkEnd w:id="4"/>
    </w:p>
    <w:p w14:paraId="076E6F78"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Google's London Campus construction, like most commercial development projects of this scale, was plagued by delays, increasing costs, and the difficulties of managing complex contractor relationships </w:t>
      </w:r>
      <w:r>
        <w:rPr>
          <w:rFonts w:asciiTheme="majorHAnsi" w:hAnsiTheme="majorHAnsi" w:cstheme="majorHAnsi"/>
          <w:sz w:val="24"/>
          <w:szCs w:val="24"/>
        </w:rPr>
        <w:t>throughout</w:t>
      </w:r>
      <w:r w:rsidRPr="00026BA5">
        <w:rPr>
          <w:rFonts w:asciiTheme="majorHAnsi" w:hAnsiTheme="majorHAnsi" w:cstheme="majorHAnsi"/>
          <w:sz w:val="24"/>
          <w:szCs w:val="24"/>
        </w:rPr>
        <w:t xml:space="preserve"> the project. (Gonzva, et al., 2018). The initial 2020 deadline </w:t>
      </w:r>
      <w:r w:rsidRPr="00026BA5">
        <w:rPr>
          <w:rFonts w:asciiTheme="majorHAnsi" w:hAnsiTheme="majorHAnsi" w:cstheme="majorHAnsi"/>
          <w:sz w:val="24"/>
          <w:szCs w:val="24"/>
        </w:rPr>
        <w:lastRenderedPageBreak/>
        <w:t xml:space="preserve">was pushed to mid-2022, nearly two years later (Butler, 2022). The total contract cost also increased from the initial </w:t>
      </w:r>
      <w:r>
        <w:rPr>
          <w:rFonts w:asciiTheme="majorHAnsi" w:hAnsiTheme="majorHAnsi" w:cstheme="majorHAnsi"/>
          <w:sz w:val="24"/>
          <w:szCs w:val="24"/>
        </w:rPr>
        <w:t>£</w:t>
      </w:r>
      <w:r w:rsidRPr="00026BA5">
        <w:rPr>
          <w:rFonts w:asciiTheme="majorHAnsi" w:hAnsiTheme="majorHAnsi" w:cstheme="majorHAnsi"/>
          <w:sz w:val="24"/>
          <w:szCs w:val="24"/>
        </w:rPr>
        <w:t xml:space="preserve">650 million estimate to approximately </w:t>
      </w:r>
      <w:r>
        <w:rPr>
          <w:rFonts w:asciiTheme="majorHAnsi" w:hAnsiTheme="majorHAnsi" w:cstheme="majorHAnsi"/>
          <w:sz w:val="24"/>
          <w:szCs w:val="24"/>
        </w:rPr>
        <w:t>£</w:t>
      </w:r>
      <w:r w:rsidRPr="00026BA5">
        <w:rPr>
          <w:rFonts w:asciiTheme="majorHAnsi" w:hAnsiTheme="majorHAnsi" w:cstheme="majorHAnsi"/>
          <w:sz w:val="24"/>
          <w:szCs w:val="24"/>
        </w:rPr>
        <w:t>1 billion.</w:t>
      </w:r>
    </w:p>
    <w:p w14:paraId="32B7000C"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 has not disclosed much information about the delays. It took almost a year more than expected to build the roof-top running track with a garden for employees (Kharpal, 2022). Integration of sustainability features such as geothermal wells (heating and cooling), solar panels, </w:t>
      </w:r>
      <w:r>
        <w:rPr>
          <w:rFonts w:asciiTheme="majorHAnsi" w:hAnsiTheme="majorHAnsi" w:cstheme="majorHAnsi"/>
          <w:sz w:val="24"/>
          <w:szCs w:val="24"/>
        </w:rPr>
        <w:t>recycled water</w:t>
      </w:r>
      <w:r w:rsidRPr="00026BA5">
        <w:rPr>
          <w:rFonts w:asciiTheme="majorHAnsi" w:hAnsiTheme="majorHAnsi" w:cstheme="majorHAnsi"/>
          <w:sz w:val="24"/>
          <w:szCs w:val="24"/>
        </w:rPr>
        <w:t xml:space="preserve"> systems, and natural ventilation also delayed timelines and increased complexity (Keepmoat</w:t>
      </w:r>
      <w:r>
        <w:rPr>
          <w:rFonts w:asciiTheme="majorHAnsi" w:hAnsiTheme="majorHAnsi" w:cstheme="majorHAnsi"/>
          <w:sz w:val="24"/>
          <w:szCs w:val="24"/>
        </w:rPr>
        <w:t>,</w:t>
      </w:r>
      <w:r w:rsidRPr="00026BA5">
        <w:rPr>
          <w:rFonts w:asciiTheme="majorHAnsi" w:hAnsiTheme="majorHAnsi" w:cstheme="majorHAnsi"/>
          <w:sz w:val="24"/>
          <w:szCs w:val="24"/>
        </w:rPr>
        <w:t xml:space="preserve"> 2022). This highlights the importance of thorough technical planning and risk assessments before breaking ground.</w:t>
      </w:r>
    </w:p>
    <w:p w14:paraId="3189A1B4"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Uncertainty also exists about how Google managed the relationships and alignments between different contractors, such as architects, engineers sustainability consultants, and construction companies. The literature </w:t>
      </w:r>
      <w:r w:rsidR="001C2FCB">
        <w:rPr>
          <w:rFonts w:asciiTheme="majorHAnsi" w:hAnsiTheme="majorHAnsi" w:cstheme="majorHAnsi"/>
          <w:sz w:val="24"/>
          <w:szCs w:val="24"/>
        </w:rPr>
        <w:t>on</w:t>
      </w:r>
      <w:r w:rsidRPr="00026BA5">
        <w:rPr>
          <w:rFonts w:asciiTheme="majorHAnsi" w:hAnsiTheme="majorHAnsi" w:cstheme="majorHAnsi"/>
          <w:sz w:val="24"/>
          <w:szCs w:val="24"/>
        </w:rPr>
        <w:t xml:space="preserve"> project management stresses the risks of poor cross-functional </w:t>
      </w:r>
      <w:r>
        <w:rPr>
          <w:rFonts w:asciiTheme="majorHAnsi" w:hAnsiTheme="majorHAnsi" w:cstheme="majorHAnsi"/>
          <w:sz w:val="24"/>
          <w:szCs w:val="24"/>
        </w:rPr>
        <w:t>coordination</w:t>
      </w:r>
      <w:r w:rsidRPr="00026BA5">
        <w:rPr>
          <w:rFonts w:asciiTheme="majorHAnsi" w:hAnsiTheme="majorHAnsi" w:cstheme="majorHAnsi"/>
          <w:sz w:val="24"/>
          <w:szCs w:val="24"/>
        </w:rPr>
        <w:t xml:space="preserve"> (Gonzva, et. al., 2018). Contractors may have experienced communication problems or unclear authority structures due to the increasing schedule pressures.</w:t>
      </w:r>
    </w:p>
    <w:p w14:paraId="080D4BF6" w14:textId="77777777" w:rsid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The fact that Google has improved its project management capabilities is evidence of this. Analysis of the entire project lifecycle can reveal governance strengths and weaknesses in the final stages of complex construction projects. This is an opportunity to examine the challenges that Google faced in achieving its complex vision.</w:t>
      </w:r>
    </w:p>
    <w:p w14:paraId="0127E07B" w14:textId="77777777" w:rsidR="00611254" w:rsidRPr="00611254" w:rsidRDefault="00611254" w:rsidP="00611254">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t>isk management processes prove vital for mega-projects navigating fluid variables from material expenses to political issues (Loosemore, 2000). Google likely faced risks like changing workplace priorities shifting facility requirements midstream and local groups opposing development plans (Sanchez et al., 2017). Established mitigation protocols could have better contained schedule and budget impacts.</w:t>
      </w:r>
    </w:p>
    <w:p w14:paraId="71DB866D" w14:textId="77777777" w:rsidR="00611254" w:rsidRPr="00611254" w:rsidRDefault="00611254" w:rsidP="00611254">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t>Cost estimation risks also challenge budget integrity, requiring real-time macroeconomic tracking on material pricing and labor rates (Woodward, 1997). Modelling severity and likelihood across cascading risks like material delays triggering labor premiums compounding contingency drawdowns provides scenario insights to contain overruns (Loosemore, 2000). Probabilistic simulations stress testing timelines and budgets across thousands of variables identifies data-driven buffer targets (Sanchez et al., 2017). Had Google conducted advanced risk analysis, perhaps identified obstacles would have prompted more agile contingency adaptations.</w:t>
      </w:r>
    </w:p>
    <w:p w14:paraId="0DC10933" w14:textId="77777777" w:rsidR="00611254" w:rsidRPr="00611254" w:rsidRDefault="00611254" w:rsidP="00611254">
      <w:pPr>
        <w:spacing w:line="360" w:lineRule="auto"/>
        <w:jc w:val="both"/>
        <w:rPr>
          <w:rFonts w:asciiTheme="majorHAnsi" w:hAnsiTheme="majorHAnsi" w:cstheme="majorHAnsi"/>
          <w:sz w:val="24"/>
          <w:szCs w:val="24"/>
        </w:rPr>
      </w:pPr>
      <w:r w:rsidRPr="00611254">
        <w:rPr>
          <w:rFonts w:asciiTheme="majorHAnsi" w:hAnsiTheme="majorHAnsi" w:cstheme="majorHAnsi"/>
          <w:sz w:val="24"/>
          <w:szCs w:val="24"/>
        </w:rPr>
        <w:lastRenderedPageBreak/>
        <w:t>Constructive cross-functional coordination also relies on aligned performance incentives and clear authority structures between contractors (Cleland, 1988). Delays may have exposed dysfunctional contracting models or inadequate governance postponing progress until restructured agreements empowered partners appropriately towards shared goals.</w:t>
      </w:r>
    </w:p>
    <w:p w14:paraId="418AA372" w14:textId="77777777" w:rsidR="00611254" w:rsidRPr="00026BA5" w:rsidRDefault="00611254" w:rsidP="00026BA5">
      <w:pPr>
        <w:spacing w:line="360" w:lineRule="auto"/>
        <w:jc w:val="both"/>
        <w:rPr>
          <w:rFonts w:asciiTheme="majorHAnsi" w:hAnsiTheme="majorHAnsi" w:cstheme="majorHAnsi"/>
          <w:sz w:val="24"/>
          <w:szCs w:val="24"/>
        </w:rPr>
      </w:pPr>
    </w:p>
    <w:p w14:paraId="7EAD35E9" w14:textId="77777777" w:rsidR="00026BA5" w:rsidRPr="00026BA5" w:rsidRDefault="00026BA5" w:rsidP="00026BA5">
      <w:pPr>
        <w:pStyle w:val="Heading1"/>
      </w:pPr>
      <w:bookmarkStart w:id="5" w:name="_Toc155207481"/>
      <w:r w:rsidRPr="00026BA5">
        <w:t xml:space="preserve">Strategic Outcome: Long-term </w:t>
      </w:r>
      <w:r>
        <w:t>Success</w:t>
      </w:r>
      <w:r w:rsidRPr="00026BA5">
        <w:t xml:space="preserve"> for UK Technology Leadership</w:t>
      </w:r>
      <w:bookmarkEnd w:id="5"/>
    </w:p>
    <w:p w14:paraId="55FA2241"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In light of the challenges and project outcomes summarized to date, I believe that Google's London headquarters should be considered a major success. It will confer strategic advantages for the UK to remain a global leader in technology. The scale of the investment and impact on jobs is comparable to any other technology expansion in </w:t>
      </w:r>
      <w:r w:rsidR="001C2FCB">
        <w:rPr>
          <w:rFonts w:asciiTheme="majorHAnsi" w:hAnsiTheme="majorHAnsi" w:cstheme="majorHAnsi"/>
          <w:sz w:val="24"/>
          <w:szCs w:val="24"/>
        </w:rPr>
        <w:t xml:space="preserve">the </w:t>
      </w:r>
      <w:r>
        <w:rPr>
          <w:rFonts w:asciiTheme="majorHAnsi" w:hAnsiTheme="majorHAnsi" w:cstheme="majorHAnsi"/>
          <w:sz w:val="24"/>
          <w:szCs w:val="24"/>
        </w:rPr>
        <w:t>country's</w:t>
      </w:r>
      <w:r w:rsidRPr="00026BA5">
        <w:rPr>
          <w:rFonts w:asciiTheme="majorHAnsi" w:hAnsiTheme="majorHAnsi" w:cstheme="majorHAnsi"/>
          <w:sz w:val="24"/>
          <w:szCs w:val="24"/>
        </w:rPr>
        <w:t xml:space="preserve"> history.</w:t>
      </w:r>
    </w:p>
    <w:p w14:paraId="78010621"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The complexity of the project led to </w:t>
      </w:r>
      <w:r>
        <w:rPr>
          <w:rFonts w:asciiTheme="majorHAnsi" w:hAnsiTheme="majorHAnsi" w:cstheme="majorHAnsi"/>
          <w:sz w:val="24"/>
          <w:szCs w:val="24"/>
        </w:rPr>
        <w:t>many</w:t>
      </w:r>
      <w:r w:rsidRPr="00026BA5">
        <w:rPr>
          <w:rFonts w:asciiTheme="majorHAnsi" w:hAnsiTheme="majorHAnsi" w:cstheme="majorHAnsi"/>
          <w:sz w:val="24"/>
          <w:szCs w:val="24"/>
        </w:rPr>
        <w:t xml:space="preserve"> missteps in terms </w:t>
      </w:r>
      <w:r>
        <w:rPr>
          <w:rFonts w:asciiTheme="majorHAnsi" w:hAnsiTheme="majorHAnsi" w:cstheme="majorHAnsi"/>
          <w:sz w:val="24"/>
          <w:szCs w:val="24"/>
        </w:rPr>
        <w:t xml:space="preserve">of </w:t>
      </w:r>
      <w:r w:rsidRPr="00026BA5">
        <w:rPr>
          <w:rFonts w:asciiTheme="majorHAnsi" w:hAnsiTheme="majorHAnsi" w:cstheme="majorHAnsi"/>
          <w:sz w:val="24"/>
          <w:szCs w:val="24"/>
        </w:rPr>
        <w:t>public engagement, construction obstacles, and cost questions. However, this must be balanced against the potential benefits for innovation and the economy over the next few decades. A dynamic policy environment and so many variables make it impossible to anticipate all obstacles. Instead of focusing on temporary setbacks and analyzing them, the focus should be on the outcome Google and UK leaders are working towards.</w:t>
      </w:r>
    </w:p>
    <w:p w14:paraId="5A551D1E"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efforts to foster innovation can be multiplied by fostering domestic talent, funding startup accelerators</w:t>
      </w:r>
      <w:r>
        <w:rPr>
          <w:rFonts w:asciiTheme="majorHAnsi" w:hAnsiTheme="majorHAnsi" w:cstheme="majorHAnsi"/>
          <w:sz w:val="24"/>
          <w:szCs w:val="24"/>
        </w:rPr>
        <w:t>,</w:t>
      </w:r>
      <w:r w:rsidRPr="00026BA5">
        <w:rPr>
          <w:rFonts w:asciiTheme="majorHAnsi" w:hAnsiTheme="majorHAnsi" w:cstheme="majorHAnsi"/>
          <w:sz w:val="24"/>
          <w:szCs w:val="24"/>
        </w:rPr>
        <w:t xml:space="preserve"> and leveraging a campus expansion. Google's investment in tools, facilities</w:t>
      </w:r>
      <w:r>
        <w:rPr>
          <w:rFonts w:asciiTheme="majorHAnsi" w:hAnsiTheme="majorHAnsi" w:cstheme="majorHAnsi"/>
          <w:sz w:val="24"/>
          <w:szCs w:val="24"/>
        </w:rPr>
        <w:t>,</w:t>
      </w:r>
      <w:r w:rsidRPr="00026BA5">
        <w:rPr>
          <w:rFonts w:asciiTheme="majorHAnsi" w:hAnsiTheme="majorHAnsi" w:cstheme="majorHAnsi"/>
          <w:sz w:val="24"/>
          <w:szCs w:val="24"/>
        </w:rPr>
        <w:t xml:space="preserve"> and training will allow UK-based entrepreneurs and engineers to develop technology rather than relying on imported solutions.</w:t>
      </w:r>
    </w:p>
    <w:p w14:paraId="0E4AEEEE"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continued concentration of operations outside the UK posed a primary threat to the London campus. It would result in the loss of both current and future technology activity. The main goal of the London campus was to avoid this displacement and economic impact, even though there were expected challenges that come with any mega-project. The strategic priority was to secure Google's anchor investment for the long term in London, rather than a perfectly efficient process.</w:t>
      </w:r>
    </w:p>
    <w:p w14:paraId="6BBCCA91"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This concept is based on theories of technology cluster development. It explains how concentrations of top firms, universities</w:t>
      </w:r>
      <w:r>
        <w:rPr>
          <w:rFonts w:asciiTheme="majorHAnsi" w:hAnsiTheme="majorHAnsi" w:cstheme="majorHAnsi"/>
          <w:sz w:val="24"/>
          <w:szCs w:val="24"/>
        </w:rPr>
        <w:t>,</w:t>
      </w:r>
      <w:r w:rsidRPr="00026BA5">
        <w:rPr>
          <w:rFonts w:asciiTheme="majorHAnsi" w:hAnsiTheme="majorHAnsi" w:cstheme="majorHAnsi"/>
          <w:sz w:val="24"/>
          <w:szCs w:val="24"/>
        </w:rPr>
        <w:t xml:space="preserve"> and human capital within a geographical area can lead to </w:t>
      </w:r>
      <w:r>
        <w:rPr>
          <w:rFonts w:asciiTheme="majorHAnsi" w:hAnsiTheme="majorHAnsi" w:cstheme="majorHAnsi"/>
          <w:sz w:val="24"/>
          <w:szCs w:val="24"/>
        </w:rPr>
        <w:t xml:space="preserve">a </w:t>
      </w:r>
      <w:r w:rsidRPr="00026BA5">
        <w:rPr>
          <w:rFonts w:asciiTheme="majorHAnsi" w:hAnsiTheme="majorHAnsi" w:cstheme="majorHAnsi"/>
          <w:sz w:val="24"/>
          <w:szCs w:val="24"/>
        </w:rPr>
        <w:t>self-reinforcing cycle of skills development, transfer of knowledge, startup forma</w:t>
      </w:r>
      <w:r w:rsidR="001C2FCB">
        <w:rPr>
          <w:rFonts w:asciiTheme="majorHAnsi" w:hAnsiTheme="majorHAnsi" w:cstheme="majorHAnsi"/>
          <w:sz w:val="24"/>
          <w:szCs w:val="24"/>
        </w:rPr>
        <w:t xml:space="preserve">tion, and </w:t>
      </w:r>
      <w:r w:rsidR="001C2FCB">
        <w:rPr>
          <w:rFonts w:asciiTheme="majorHAnsi" w:hAnsiTheme="majorHAnsi" w:cstheme="majorHAnsi"/>
          <w:sz w:val="24"/>
          <w:szCs w:val="24"/>
        </w:rPr>
        <w:lastRenderedPageBreak/>
        <w:t>additional investment</w:t>
      </w:r>
      <w:r w:rsidRPr="00026BA5">
        <w:rPr>
          <w:rFonts w:asciiTheme="majorHAnsi" w:hAnsiTheme="majorHAnsi" w:cstheme="majorHAnsi"/>
          <w:sz w:val="24"/>
          <w:szCs w:val="24"/>
        </w:rPr>
        <w:t xml:space="preserve"> (Glaeser</w:t>
      </w:r>
      <w:r>
        <w:rPr>
          <w:rFonts w:asciiTheme="majorHAnsi" w:hAnsiTheme="majorHAnsi" w:cstheme="majorHAnsi"/>
          <w:sz w:val="24"/>
          <w:szCs w:val="24"/>
        </w:rPr>
        <w:t>,</w:t>
      </w:r>
      <w:r w:rsidRPr="00026BA5">
        <w:rPr>
          <w:rFonts w:asciiTheme="majorHAnsi" w:hAnsiTheme="majorHAnsi" w:cstheme="majorHAnsi"/>
          <w:sz w:val="24"/>
          <w:szCs w:val="24"/>
        </w:rPr>
        <w:t xml:space="preserve"> 2019). London has the potential to rival Silicon Valley in terms of technology cluster density. While fulfilling Google’s campus vision required overcoming controversy, it was also complex. The long-term benefits of establishing this process are worth the challenges and obstacles that real estate mega projects will inevitably face.</w:t>
      </w:r>
    </w:p>
    <w:p w14:paraId="44B42006"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decision to invest in London is a strong endorsement of the UK government's vision for technology leadership. London's vibrant technology ecosystem is also emphasized by the symbolism that comes with winning such fierce global competition to attract priority corporate investments. Once selected as the European hub, Google's campus plan became a top priority. The final product, which is achieved by flexible adaptation, can catalyze the technology agglomerations that transform the nation's competition.</w:t>
      </w:r>
    </w:p>
    <w:p w14:paraId="4D3D700E" w14:textId="77777777" w:rsidR="00026BA5" w:rsidRPr="00026BA5" w:rsidRDefault="00026BA5" w:rsidP="00026BA5">
      <w:pPr>
        <w:pStyle w:val="Heading1"/>
      </w:pPr>
      <w:bookmarkStart w:id="6" w:name="_Toc155207482"/>
      <w:r w:rsidRPr="00026BA5">
        <w:t>Justification of the Changes and Lessons Learned</w:t>
      </w:r>
      <w:bookmarkEnd w:id="6"/>
    </w:p>
    <w:p w14:paraId="490095D0"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London headquarters project is a long-term success in the UK technology industry, given its immense potential for innovation, job creation, and economic growth. I base my stance on weighing the benefits of this project against the obstacles that are common to projects with such a large scale and complexity.</w:t>
      </w:r>
    </w:p>
    <w:p w14:paraId="36802667"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Too many times, big ambitions are derailed by controversy or mistakes. The fact that Google and UK policymakers have successfully navigated anticipated challenges by embracing pragmatic adaptation is a good sign for the realization of desired goals. Priority was given to securing the anchor investment and not efficiency. Google's decision to establish its European research base at the London campus has elevated the city's status as one of the world's leading technology hubs.</w:t>
      </w:r>
    </w:p>
    <w:p w14:paraId="6D4E0F16"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My position is centered on the dynamics of clustering and path dependence that such massive investments create. This will strengthen London's competitive edge by enhancing its technology ecosystem with a concentration of talent, resources and knowledge. Google's campus is the crowning achievement of existing efforts to create Europe's Silicon Valley in London, around its engineering powerhouses.</w:t>
      </w:r>
    </w:p>
    <w:p w14:paraId="66A5BEBE"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Three lessons can be learned from aligning large commercial technology infrastructure projects to public interest:</w:t>
      </w:r>
    </w:p>
    <w:p w14:paraId="7F9373AF"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lastRenderedPageBreak/>
        <w:t xml:space="preserve">First, the comprehensive engagement of stakeholders must be parallel to commercial negotiations and not </w:t>
      </w:r>
      <w:r>
        <w:rPr>
          <w:rFonts w:asciiTheme="majorHAnsi" w:hAnsiTheme="majorHAnsi" w:cstheme="majorHAnsi"/>
          <w:sz w:val="24"/>
          <w:szCs w:val="24"/>
        </w:rPr>
        <w:t>afterward</w:t>
      </w:r>
      <w:r w:rsidRPr="00026BA5">
        <w:rPr>
          <w:rFonts w:asciiTheme="majorHAnsi" w:hAnsiTheme="majorHAnsi" w:cstheme="majorHAnsi"/>
          <w:sz w:val="24"/>
          <w:szCs w:val="24"/>
        </w:rPr>
        <w:t>. In the absence of transparency about costs and benefits, public skepticism can arise. A robust civic dialogue that ensures local interests share in prosperity will help to neutralize the growing concerns about inequality as a result of structural changes in the technology industry.</w:t>
      </w:r>
    </w:p>
    <w:p w14:paraId="56C9F9A8"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As technology megacorporations become important development partners, project management requires adept navigation between commercial zeal as well as social responsibility. The reputational stakes are a way to simultaneously advance both shareholder and </w:t>
      </w:r>
      <w:r>
        <w:rPr>
          <w:rFonts w:asciiTheme="majorHAnsi" w:hAnsiTheme="majorHAnsi" w:cstheme="majorHAnsi"/>
          <w:sz w:val="24"/>
          <w:szCs w:val="24"/>
        </w:rPr>
        <w:t>citizens'</w:t>
      </w:r>
      <w:r w:rsidRPr="00026BA5">
        <w:rPr>
          <w:rFonts w:asciiTheme="majorHAnsi" w:hAnsiTheme="majorHAnsi" w:cstheme="majorHAnsi"/>
          <w:sz w:val="24"/>
          <w:szCs w:val="24"/>
        </w:rPr>
        <w:t xml:space="preserve"> interests. Project missions should be aligned with the uplifting of regional communities. Public-private partnerships are essential for firms that want to become domestic innovation hubs.</w:t>
      </w:r>
    </w:p>
    <w:p w14:paraId="1D7B9041"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Lastly, flexibility and contingencies become more important with increasing scale. Unexpected events can force adaptations despite meticulous planning and scenario </w:t>
      </w:r>
      <w:r>
        <w:rPr>
          <w:rFonts w:asciiTheme="majorHAnsi" w:hAnsiTheme="majorHAnsi" w:cstheme="majorHAnsi"/>
          <w:sz w:val="24"/>
          <w:szCs w:val="24"/>
        </w:rPr>
        <w:t>modeling</w:t>
      </w:r>
      <w:r w:rsidRPr="00026BA5">
        <w:rPr>
          <w:rFonts w:asciiTheme="majorHAnsi" w:hAnsiTheme="majorHAnsi" w:cstheme="majorHAnsi"/>
          <w:sz w:val="24"/>
          <w:szCs w:val="24"/>
        </w:rPr>
        <w:t xml:space="preserve">. The timelines may shift, the designs may change - but through creative problem-solving, the overall vision remains. It is important to have patience and the ability to adapt </w:t>
      </w:r>
      <w:r>
        <w:rPr>
          <w:rFonts w:asciiTheme="majorHAnsi" w:hAnsiTheme="majorHAnsi" w:cstheme="majorHAnsi"/>
          <w:sz w:val="24"/>
          <w:szCs w:val="24"/>
        </w:rPr>
        <w:t>to</w:t>
      </w:r>
      <w:r w:rsidRPr="00026BA5">
        <w:rPr>
          <w:rFonts w:asciiTheme="majorHAnsi" w:hAnsiTheme="majorHAnsi" w:cstheme="majorHAnsi"/>
          <w:sz w:val="24"/>
          <w:szCs w:val="24"/>
        </w:rPr>
        <w:t xml:space="preserve"> obstacles. Mega-projects may not run smoothly at every stage, but the strategic value of their outcomes will make up for any disruptions.</w:t>
      </w:r>
    </w:p>
    <w:p w14:paraId="2859C882"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Google's London campus, in conjunction with British policymakers and Google, can create a district of innovation that will propel UK technology leadership into the future. The destabilizing size of the investment can be fully leveraged to ignite exponential growth.</w:t>
      </w:r>
    </w:p>
    <w:p w14:paraId="176DF43A" w14:textId="77777777" w:rsidR="00026BA5" w:rsidRPr="00026BA5" w:rsidRDefault="00026BA5" w:rsidP="00026BA5">
      <w:pPr>
        <w:pStyle w:val="Heading1"/>
      </w:pPr>
      <w:bookmarkStart w:id="7" w:name="_Toc155207483"/>
      <w:r w:rsidRPr="00026BA5">
        <w:t>Conclusion</w:t>
      </w:r>
      <w:bookmarkEnd w:id="7"/>
    </w:p>
    <w:p w14:paraId="703F161B"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Google's bold decision to establish its European AI Research Hub in London is a strategic win that will ensure the city's rise as the world's leading technology hub for the </w:t>
      </w:r>
      <w:r>
        <w:rPr>
          <w:rFonts w:asciiTheme="majorHAnsi" w:hAnsiTheme="majorHAnsi" w:cstheme="majorHAnsi"/>
          <w:sz w:val="24"/>
          <w:szCs w:val="24"/>
        </w:rPr>
        <w:t>21st-century</w:t>
      </w:r>
      <w:r w:rsidRPr="00026BA5">
        <w:rPr>
          <w:rFonts w:asciiTheme="majorHAnsi" w:hAnsiTheme="majorHAnsi" w:cstheme="majorHAnsi"/>
          <w:sz w:val="24"/>
          <w:szCs w:val="24"/>
        </w:rPr>
        <w:t xml:space="preserve"> economy. Process perfection is not the measure of success when evaluating ambitious projects that pursue disruptive transformation. </w:t>
      </w:r>
      <w:r>
        <w:rPr>
          <w:rFonts w:asciiTheme="majorHAnsi" w:hAnsiTheme="majorHAnsi" w:cstheme="majorHAnsi"/>
          <w:sz w:val="24"/>
          <w:szCs w:val="24"/>
        </w:rPr>
        <w:t>To</w:t>
      </w:r>
      <w:r w:rsidRPr="00026BA5">
        <w:rPr>
          <w:rFonts w:asciiTheme="majorHAnsi" w:hAnsiTheme="majorHAnsi" w:cstheme="majorHAnsi"/>
          <w:sz w:val="24"/>
          <w:szCs w:val="24"/>
        </w:rPr>
        <w:t xml:space="preserve"> maintain a massive innovation momentum over decades, it is more important to overcome temporary obstacles in a fluid environment. Google and the United Kingdom both </w:t>
      </w:r>
      <w:r>
        <w:rPr>
          <w:rFonts w:asciiTheme="majorHAnsi" w:hAnsiTheme="majorHAnsi" w:cstheme="majorHAnsi"/>
          <w:sz w:val="24"/>
          <w:szCs w:val="24"/>
        </w:rPr>
        <w:t>won</w:t>
      </w:r>
      <w:r w:rsidRPr="00026BA5">
        <w:rPr>
          <w:rFonts w:asciiTheme="majorHAnsi" w:hAnsiTheme="majorHAnsi" w:cstheme="majorHAnsi"/>
          <w:sz w:val="24"/>
          <w:szCs w:val="24"/>
        </w:rPr>
        <w:t xml:space="preserve"> on this final verdict.</w:t>
      </w:r>
    </w:p>
    <w:p w14:paraId="3F3FFD20"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 xml:space="preserve">Google will continue to face obstacles in the coming years as it builds its campus and integrates implications with civic interests relating to jobs, housing and inequality, and community partnerships. There are still valid concerns about balancing the prosperity of new immigrants </w:t>
      </w:r>
      <w:r w:rsidRPr="00026BA5">
        <w:rPr>
          <w:rFonts w:asciiTheme="majorHAnsi" w:hAnsiTheme="majorHAnsi" w:cstheme="majorHAnsi"/>
          <w:sz w:val="24"/>
          <w:szCs w:val="24"/>
        </w:rPr>
        <w:lastRenderedPageBreak/>
        <w:t>with that of UK-born workers who face economic exclusion. Google's expanding role as an urban development anchor is crucial to finding solutions that will bind technology progress before it can be alleviated through positive-sum gains.</w:t>
      </w:r>
    </w:p>
    <w:p w14:paraId="14DE7D15"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The strategic capability is now available to correct temporary deficiencies while launching ventures previously unthinkable. Google can conduct cutting-edge research into urgent issues like climate change, while simultaneously training workers in the United States to develop transformative applications. Funds will be injected into local ecosystems to identify promising startups for acceleration. The large footprint allows for the testing of smart city solutions such as autonomous transportation, which may be scaled across London's densely populated neighborhoods.</w:t>
      </w:r>
    </w:p>
    <w:p w14:paraId="36715AE8" w14:textId="77777777" w:rsidR="00026BA5" w:rsidRPr="00026BA5" w:rsidRDefault="00026BA5" w:rsidP="00026BA5">
      <w:pPr>
        <w:spacing w:line="360" w:lineRule="auto"/>
        <w:jc w:val="both"/>
        <w:rPr>
          <w:rFonts w:asciiTheme="majorHAnsi" w:hAnsiTheme="majorHAnsi" w:cstheme="majorHAnsi"/>
          <w:sz w:val="24"/>
          <w:szCs w:val="24"/>
        </w:rPr>
      </w:pPr>
      <w:r w:rsidRPr="00026BA5">
        <w:rPr>
          <w:rFonts w:asciiTheme="majorHAnsi" w:hAnsiTheme="majorHAnsi" w:cstheme="majorHAnsi"/>
          <w:sz w:val="24"/>
          <w:szCs w:val="24"/>
        </w:rPr>
        <w:t>The agglomeration effect may be more important than individual initiatives, as the world's leading firms, builders and scientists, inventors, founders, and entrepreneurs congregate at North London's nexus for technology innovation. The sum is greater than the parts, as proximity across organizations and disciplines conspires to concentrate insight and creative ideas through informal knowledge transfer. The transformation that results may be more dramatic than what the permit processes predicted. London's cluster density could propel it to the forefront of digital economy advancement in the world.</w:t>
      </w:r>
    </w:p>
    <w:p w14:paraId="35B94CAD" w14:textId="77777777" w:rsidR="00026BA5" w:rsidRDefault="00026BA5" w:rsidP="00026BA5">
      <w:pPr>
        <w:pStyle w:val="Heading1"/>
      </w:pPr>
      <w:bookmarkStart w:id="8" w:name="_Toc155207484"/>
      <w:r>
        <w:t>References</w:t>
      </w:r>
      <w:bookmarkEnd w:id="8"/>
    </w:p>
    <w:p w14:paraId="20BF4CE3"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Bassioni, H.A., Hassan, T.M. and Price, A.D., 2006. Evaluation and analysis of criteria and sub-criteria of a construction excellence model. Engineering, Construction and Architectural Management. Available at: </w:t>
      </w:r>
      <w:hyperlink r:id="rId8" w:history="1">
        <w:r w:rsidRPr="004E2F41">
          <w:rPr>
            <w:rStyle w:val="Hyperlink"/>
            <w:rFonts w:asciiTheme="majorHAnsi" w:hAnsiTheme="majorHAnsi" w:cstheme="majorHAnsi"/>
            <w:sz w:val="24"/>
            <w:szCs w:val="24"/>
          </w:rPr>
          <w:t>https://www.emerald.com/insight/content/doi/10.1108/09699980510608854/full/html</w:t>
        </w:r>
      </w:hyperlink>
      <w:r w:rsidRPr="004E2F41">
        <w:rPr>
          <w:rFonts w:asciiTheme="majorHAnsi" w:hAnsiTheme="majorHAnsi" w:cstheme="majorHAnsi"/>
          <w:sz w:val="24"/>
          <w:szCs w:val="24"/>
        </w:rPr>
        <w:t xml:space="preserve"> (Accessed: 15 December 2022).</w:t>
      </w:r>
    </w:p>
    <w:p w14:paraId="65F5513E"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Butler, S., 2022. Google’s £1bn London HQ finally opens.... The Guardian. Available at: </w:t>
      </w:r>
      <w:hyperlink r:id="rId9" w:history="1">
        <w:r w:rsidRPr="004E2F41">
          <w:rPr>
            <w:rStyle w:val="Hyperlink"/>
            <w:rFonts w:asciiTheme="majorHAnsi" w:hAnsiTheme="majorHAnsi" w:cstheme="majorHAnsi"/>
            <w:sz w:val="24"/>
            <w:szCs w:val="24"/>
          </w:rPr>
          <w:t>https://www.theguardian.com/technology/2022/jul/18/googles-1bn-london-hq-finally-opens-king-s-cross</w:t>
        </w:r>
      </w:hyperlink>
      <w:r w:rsidRPr="004E2F41">
        <w:rPr>
          <w:rFonts w:asciiTheme="majorHAnsi" w:hAnsiTheme="majorHAnsi" w:cstheme="majorHAnsi"/>
          <w:sz w:val="24"/>
          <w:szCs w:val="24"/>
        </w:rPr>
        <w:t xml:space="preserve"> (Accessed: 20 December 2022).</w:t>
      </w:r>
    </w:p>
    <w:p w14:paraId="0F3A9AE2"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Cellan-Jones, R., 2018. Google's grand UK plan. BBC News. Available at: </w:t>
      </w:r>
      <w:hyperlink r:id="rId10" w:history="1">
        <w:r w:rsidRPr="004E2F41">
          <w:rPr>
            <w:rStyle w:val="Hyperlink"/>
            <w:rFonts w:asciiTheme="majorHAnsi" w:hAnsiTheme="majorHAnsi" w:cstheme="majorHAnsi"/>
            <w:sz w:val="24"/>
            <w:szCs w:val="24"/>
          </w:rPr>
          <w:t>https://www.bbc.co.uk/news/technology-44492199</w:t>
        </w:r>
      </w:hyperlink>
      <w:r w:rsidRPr="004E2F41">
        <w:rPr>
          <w:rFonts w:asciiTheme="majorHAnsi" w:hAnsiTheme="majorHAnsi" w:cstheme="majorHAnsi"/>
          <w:sz w:val="24"/>
          <w:szCs w:val="24"/>
        </w:rPr>
        <w:t xml:space="preserve"> (Accessed: 15 December 2022).</w:t>
      </w:r>
    </w:p>
    <w:p w14:paraId="56547E08"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lastRenderedPageBreak/>
        <w:t xml:space="preserve">Cleland, D.I., 1988. Project stakeholder management. Project Management Journal, 19(4), pp.36-44. Available at: </w:t>
      </w:r>
      <w:hyperlink r:id="rId11" w:history="1">
        <w:r w:rsidRPr="004E2F41">
          <w:rPr>
            <w:rStyle w:val="Hyperlink"/>
            <w:rFonts w:asciiTheme="majorHAnsi" w:hAnsiTheme="majorHAnsi" w:cstheme="majorHAnsi"/>
            <w:sz w:val="24"/>
            <w:szCs w:val="24"/>
          </w:rPr>
          <w:t>https://www.pmi.org/learning/library/project-stakeholder-management-6491</w:t>
        </w:r>
      </w:hyperlink>
      <w:r w:rsidRPr="004E2F41">
        <w:rPr>
          <w:rFonts w:asciiTheme="majorHAnsi" w:hAnsiTheme="majorHAnsi" w:cstheme="majorHAnsi"/>
          <w:sz w:val="24"/>
          <w:szCs w:val="24"/>
        </w:rPr>
        <w:t xml:space="preserve"> (Accessed: 18 December 2022).</w:t>
      </w:r>
    </w:p>
    <w:p w14:paraId="0273E003"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Douglas, J., Szalay, M. and Cutter, C., 2021. Alphabet will spend $7 billion to build out new offices and data centers. The Wall Street Journal. Available at: </w:t>
      </w:r>
      <w:hyperlink r:id="rId12" w:history="1">
        <w:r w:rsidRPr="004E2F41">
          <w:rPr>
            <w:rStyle w:val="Hyperlink"/>
            <w:rFonts w:asciiTheme="majorHAnsi" w:hAnsiTheme="majorHAnsi" w:cstheme="majorHAnsi"/>
            <w:sz w:val="24"/>
            <w:szCs w:val="24"/>
          </w:rPr>
          <w:t>https://www.wsj.com/articles/alphabet-to-spend-7-billion-on-offices-data-centers-11631634787</w:t>
        </w:r>
      </w:hyperlink>
      <w:r w:rsidRPr="004E2F41">
        <w:rPr>
          <w:rFonts w:asciiTheme="majorHAnsi" w:hAnsiTheme="majorHAnsi" w:cstheme="majorHAnsi"/>
          <w:sz w:val="24"/>
          <w:szCs w:val="24"/>
        </w:rPr>
        <w:t xml:space="preserve"> (Accessed: 22 December 2022).</w:t>
      </w:r>
    </w:p>
    <w:p w14:paraId="3265842B"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Emmitt, S., 2009. Architectural technology. John Wiley &amp; Sons. Available at: </w:t>
      </w:r>
      <w:hyperlink r:id="rId13" w:history="1">
        <w:r w:rsidRPr="004E2F41">
          <w:rPr>
            <w:rStyle w:val="Hyperlink"/>
            <w:rFonts w:asciiTheme="majorHAnsi" w:hAnsiTheme="majorHAnsi" w:cstheme="majorHAnsi"/>
            <w:sz w:val="24"/>
            <w:szCs w:val="24"/>
          </w:rPr>
          <w:t>https://www.wiley.com/en-gb/Architectural+Technology-p-9781405193914</w:t>
        </w:r>
      </w:hyperlink>
      <w:r w:rsidRPr="004E2F41">
        <w:rPr>
          <w:rFonts w:asciiTheme="majorHAnsi" w:hAnsiTheme="majorHAnsi" w:cstheme="majorHAnsi"/>
          <w:sz w:val="24"/>
          <w:szCs w:val="24"/>
        </w:rPr>
        <w:t xml:space="preserve"> (Accessed: 19 December 2022).</w:t>
      </w:r>
    </w:p>
    <w:p w14:paraId="7B8C3E7C"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Fuller, B., 2022. Commercial building construction cost guide for London. ProEst. Available at: </w:t>
      </w:r>
      <w:hyperlink r:id="rId14" w:history="1">
        <w:r w:rsidRPr="004E2F41">
          <w:rPr>
            <w:rStyle w:val="Hyperlink"/>
            <w:rFonts w:asciiTheme="majorHAnsi" w:hAnsiTheme="majorHAnsi" w:cstheme="majorHAnsi"/>
            <w:sz w:val="24"/>
            <w:szCs w:val="24"/>
          </w:rPr>
          <w:t>https://proest.com/construction-cost-guides/london/</w:t>
        </w:r>
      </w:hyperlink>
      <w:r w:rsidRPr="004E2F41">
        <w:rPr>
          <w:rFonts w:asciiTheme="majorHAnsi" w:hAnsiTheme="majorHAnsi" w:cstheme="majorHAnsi"/>
          <w:sz w:val="24"/>
          <w:szCs w:val="24"/>
        </w:rPr>
        <w:t xml:space="preserve"> (Accessed: 21 December 2022).</w:t>
      </w:r>
    </w:p>
    <w:p w14:paraId="4E461C39"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Gillespies, 2023. King’s Cross Central. Gillespies. Available at: </w:t>
      </w:r>
      <w:hyperlink r:id="rId15" w:history="1">
        <w:r w:rsidRPr="004E2F41">
          <w:rPr>
            <w:rStyle w:val="Hyperlink"/>
            <w:rFonts w:asciiTheme="majorHAnsi" w:hAnsiTheme="majorHAnsi" w:cstheme="majorHAnsi"/>
            <w:sz w:val="24"/>
            <w:szCs w:val="24"/>
          </w:rPr>
          <w:t>https://www.gillespies.co.uk/projects/kings-cross-central/</w:t>
        </w:r>
      </w:hyperlink>
      <w:r w:rsidRPr="004E2F41">
        <w:rPr>
          <w:rFonts w:asciiTheme="majorHAnsi" w:hAnsiTheme="majorHAnsi" w:cstheme="majorHAnsi"/>
          <w:sz w:val="24"/>
          <w:szCs w:val="24"/>
        </w:rPr>
        <w:t xml:space="preserve"> (Accessed: 17 December 2022).</w:t>
      </w:r>
    </w:p>
    <w:p w14:paraId="72B5963D"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Gonzva, M. et al., 2018. Factors causing delays in construction projects in Southern Africa: contractors’ perspectives. Engineering Management in Production and Services. Available at: </w:t>
      </w:r>
      <w:hyperlink r:id="rId16" w:history="1">
        <w:r w:rsidRPr="004E2F41">
          <w:rPr>
            <w:rStyle w:val="Hyperlink"/>
            <w:rFonts w:asciiTheme="majorHAnsi" w:hAnsiTheme="majorHAnsi" w:cstheme="majorHAnsi"/>
            <w:sz w:val="24"/>
            <w:szCs w:val="24"/>
          </w:rPr>
          <w:t>https://www.sciendo.com/article/10.2478/emj-2018-0018</w:t>
        </w:r>
      </w:hyperlink>
      <w:r w:rsidRPr="004E2F41">
        <w:rPr>
          <w:rFonts w:asciiTheme="majorHAnsi" w:hAnsiTheme="majorHAnsi" w:cstheme="majorHAnsi"/>
          <w:sz w:val="24"/>
          <w:szCs w:val="24"/>
        </w:rPr>
        <w:t xml:space="preserve"> (Accessed: 15 December 2022).</w:t>
      </w:r>
    </w:p>
    <w:p w14:paraId="3B5192B4"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Jennings, S., 2017. Can London rival Silicon Valley? Raconteur. Available at: </w:t>
      </w:r>
      <w:hyperlink r:id="rId17" w:history="1">
        <w:r w:rsidRPr="004E2F41">
          <w:rPr>
            <w:rStyle w:val="Hyperlink"/>
            <w:rFonts w:asciiTheme="majorHAnsi" w:hAnsiTheme="majorHAnsi" w:cstheme="majorHAnsi"/>
            <w:sz w:val="24"/>
            <w:szCs w:val="24"/>
          </w:rPr>
          <w:t>https://www.raconteur.net/finance/investment/london-rival-silicon-valley/</w:t>
        </w:r>
      </w:hyperlink>
      <w:r w:rsidRPr="004E2F41">
        <w:rPr>
          <w:rFonts w:asciiTheme="majorHAnsi" w:hAnsiTheme="majorHAnsi" w:cstheme="majorHAnsi"/>
          <w:sz w:val="24"/>
          <w:szCs w:val="24"/>
        </w:rPr>
        <w:t xml:space="preserve"> (Accessed: 18 December 2022).</w:t>
      </w:r>
    </w:p>
    <w:p w14:paraId="4375D6A3"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Kelion, L., 2017. Google to build huge new London HQ. BBC News. Available at: </w:t>
      </w:r>
      <w:hyperlink r:id="rId18" w:history="1">
        <w:r w:rsidRPr="004E2F41">
          <w:rPr>
            <w:rStyle w:val="Hyperlink"/>
            <w:rFonts w:asciiTheme="majorHAnsi" w:hAnsiTheme="majorHAnsi" w:cstheme="majorHAnsi"/>
            <w:sz w:val="24"/>
            <w:szCs w:val="24"/>
          </w:rPr>
          <w:t>https://www.bbc.com/news/technology-40291891</w:t>
        </w:r>
      </w:hyperlink>
      <w:r w:rsidRPr="004E2F41">
        <w:rPr>
          <w:rFonts w:asciiTheme="majorHAnsi" w:hAnsiTheme="majorHAnsi" w:cstheme="majorHAnsi"/>
          <w:sz w:val="24"/>
          <w:szCs w:val="24"/>
        </w:rPr>
        <w:t xml:space="preserve"> (Accessed: 23 December 2022).</w:t>
      </w:r>
    </w:p>
    <w:p w14:paraId="1AB7FD7D"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Kharpal, A., 2022. Google’s £1 billion London mega-campus delayed further as rooftop running track takes shape. CNBC. Available at: </w:t>
      </w:r>
      <w:hyperlink r:id="rId19" w:history="1">
        <w:r w:rsidRPr="004E2F41">
          <w:rPr>
            <w:rStyle w:val="Hyperlink"/>
            <w:rFonts w:asciiTheme="majorHAnsi" w:hAnsiTheme="majorHAnsi" w:cstheme="majorHAnsi"/>
            <w:sz w:val="24"/>
            <w:szCs w:val="24"/>
          </w:rPr>
          <w:t>https://www.cnbc.com/2022/06/09/googles-1-billion-london-campus-delayed-again-as-track-takes-shape.html</w:t>
        </w:r>
      </w:hyperlink>
      <w:r w:rsidRPr="004E2F41">
        <w:rPr>
          <w:rFonts w:asciiTheme="majorHAnsi" w:hAnsiTheme="majorHAnsi" w:cstheme="majorHAnsi"/>
          <w:sz w:val="24"/>
          <w:szCs w:val="24"/>
        </w:rPr>
        <w:t xml:space="preserve"> (Accessed: 21 December 2022).</w:t>
      </w:r>
    </w:p>
    <w:p w14:paraId="1F8468D2"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Loosemore, M., 2000. Crisis management in construction projects. American Society of Civil Engineers. Available at: </w:t>
      </w:r>
      <w:hyperlink r:id="rId20" w:history="1">
        <w:r w:rsidRPr="004E2F41">
          <w:rPr>
            <w:rStyle w:val="Hyperlink"/>
            <w:rFonts w:asciiTheme="majorHAnsi" w:hAnsiTheme="majorHAnsi" w:cstheme="majorHAnsi"/>
            <w:sz w:val="24"/>
            <w:szCs w:val="24"/>
          </w:rPr>
          <w:t>https://ascelibrary.org/doi/abs/10.1061/%28ASCE%290733-9364%282000%29126%3A2%2894%29</w:t>
        </w:r>
      </w:hyperlink>
      <w:r w:rsidRPr="004E2F41">
        <w:rPr>
          <w:rFonts w:asciiTheme="majorHAnsi" w:hAnsiTheme="majorHAnsi" w:cstheme="majorHAnsi"/>
          <w:sz w:val="24"/>
          <w:szCs w:val="24"/>
        </w:rPr>
        <w:t xml:space="preserve"> (Accessed: 19 December 2022).</w:t>
      </w:r>
    </w:p>
    <w:p w14:paraId="35B613E9"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lastRenderedPageBreak/>
        <w:t xml:space="preserve">Mazzucato, M., 2021. Mission economy: A moonshot guide to changing capitalism. Penguin UK. Available at: </w:t>
      </w:r>
      <w:hyperlink r:id="rId21" w:history="1">
        <w:r w:rsidRPr="004E2F41">
          <w:rPr>
            <w:rStyle w:val="Hyperlink"/>
            <w:rFonts w:asciiTheme="majorHAnsi" w:hAnsiTheme="majorHAnsi" w:cstheme="majorHAnsi"/>
            <w:sz w:val="24"/>
            <w:szCs w:val="24"/>
          </w:rPr>
          <w:t>https://marianamazzucato.com/books/mission-economy/</w:t>
        </w:r>
      </w:hyperlink>
      <w:r w:rsidRPr="004E2F41">
        <w:rPr>
          <w:rFonts w:asciiTheme="majorHAnsi" w:hAnsiTheme="majorHAnsi" w:cstheme="majorHAnsi"/>
          <w:sz w:val="24"/>
          <w:szCs w:val="24"/>
        </w:rPr>
        <w:t xml:space="preserve"> (Accessed: 16 December 2022).</w:t>
      </w:r>
    </w:p>
    <w:p w14:paraId="2526A065"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Meredith, J.R. and Shafer, S.M., 2019. Operations management for MBAs. John Wiley &amp; Sons. Available at: </w:t>
      </w:r>
      <w:hyperlink r:id="rId22" w:history="1">
        <w:r w:rsidRPr="004E2F41">
          <w:rPr>
            <w:rStyle w:val="Hyperlink"/>
            <w:rFonts w:asciiTheme="majorHAnsi" w:hAnsiTheme="majorHAnsi" w:cstheme="majorHAnsi"/>
            <w:sz w:val="24"/>
            <w:szCs w:val="24"/>
          </w:rPr>
          <w:t>https://www.wiley.com/en-us/Operations+Management+for+MBAs%2C+6th+Edition-p-9781119560358</w:t>
        </w:r>
      </w:hyperlink>
      <w:r w:rsidRPr="004E2F41">
        <w:rPr>
          <w:rFonts w:asciiTheme="majorHAnsi" w:hAnsiTheme="majorHAnsi" w:cstheme="majorHAnsi"/>
          <w:sz w:val="24"/>
          <w:szCs w:val="24"/>
        </w:rPr>
        <w:t xml:space="preserve"> (Accessed: 20 December 2022).</w:t>
      </w:r>
    </w:p>
    <w:p w14:paraId="55E418DC"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Mok, K.Y., Shen, G.Q. and Yang, J., 2015. Stakeholder management studies in mega construction projects: A review and future directions. International Journal of Project Management, 33(2), pp.446-457. Available at: </w:t>
      </w:r>
      <w:hyperlink r:id="rId23" w:history="1">
        <w:r w:rsidRPr="004E2F41">
          <w:rPr>
            <w:rStyle w:val="Hyperlink"/>
            <w:rFonts w:asciiTheme="majorHAnsi" w:hAnsiTheme="majorHAnsi" w:cstheme="majorHAnsi"/>
            <w:sz w:val="24"/>
            <w:szCs w:val="24"/>
          </w:rPr>
          <w:t>https://www.sciencedirect.com/science/article/abs/pii/S0263786314000649</w:t>
        </w:r>
      </w:hyperlink>
      <w:r w:rsidRPr="004E2F41">
        <w:rPr>
          <w:rFonts w:asciiTheme="majorHAnsi" w:hAnsiTheme="majorHAnsi" w:cstheme="majorHAnsi"/>
          <w:sz w:val="24"/>
          <w:szCs w:val="24"/>
        </w:rPr>
        <w:t xml:space="preserve"> (Accessed: 17 December 2022).</w:t>
      </w:r>
    </w:p>
    <w:p w14:paraId="2A9A856B"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Pitchbook, 2021. Google parent Alphabet: Innovating today to build tomorrow. Pitchbook Emerging Tech Report. Available at: </w:t>
      </w:r>
      <w:hyperlink r:id="rId24" w:history="1">
        <w:r w:rsidRPr="004E2F41">
          <w:rPr>
            <w:rStyle w:val="Hyperlink"/>
            <w:rFonts w:asciiTheme="majorHAnsi" w:hAnsiTheme="majorHAnsi" w:cstheme="majorHAnsi"/>
            <w:sz w:val="24"/>
            <w:szCs w:val="24"/>
          </w:rPr>
          <w:t>https://pitchbook.com/news/reports/2021-alphabet-report</w:t>
        </w:r>
      </w:hyperlink>
      <w:r w:rsidRPr="004E2F41">
        <w:rPr>
          <w:rFonts w:asciiTheme="majorHAnsi" w:hAnsiTheme="majorHAnsi" w:cstheme="majorHAnsi"/>
          <w:sz w:val="24"/>
          <w:szCs w:val="24"/>
        </w:rPr>
        <w:t xml:space="preserve"> (Accessed: 18 December 2022).</w:t>
      </w:r>
    </w:p>
    <w:p w14:paraId="04FD1704"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PMI, 2016. Success Rates Rise - Transforming the high cost of low performance. PMI Pulse of the Profession. Available at: </w:t>
      </w:r>
      <w:hyperlink r:id="rId25" w:history="1">
        <w:r w:rsidRPr="004E2F41">
          <w:rPr>
            <w:rStyle w:val="Hyperlink"/>
            <w:rFonts w:asciiTheme="majorHAnsi" w:hAnsiTheme="majorHAnsi" w:cstheme="majorHAnsi"/>
            <w:sz w:val="24"/>
            <w:szCs w:val="24"/>
          </w:rPr>
          <w:t>https://www.pmi.org/-/media/pmi/documents/public/pdf/learning/thought-leadership/pulse/pulse-of-the-profession-2016.pdf</w:t>
        </w:r>
      </w:hyperlink>
      <w:r w:rsidRPr="004E2F41">
        <w:rPr>
          <w:rFonts w:asciiTheme="majorHAnsi" w:hAnsiTheme="majorHAnsi" w:cstheme="majorHAnsi"/>
          <w:sz w:val="24"/>
          <w:szCs w:val="24"/>
        </w:rPr>
        <w:t xml:space="preserve"> (Accessed: 20 December 2022).</w:t>
      </w:r>
    </w:p>
    <w:p w14:paraId="7C68B051"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PMI, 2021. Making Transformation Real - Delivering technology-driven change. 2021 Pulse of the Profession. Available at: </w:t>
      </w:r>
      <w:hyperlink r:id="rId26" w:history="1">
        <w:r w:rsidRPr="004E2F41">
          <w:rPr>
            <w:rStyle w:val="Hyperlink"/>
            <w:rFonts w:asciiTheme="majorHAnsi" w:hAnsiTheme="majorHAnsi" w:cstheme="majorHAnsi"/>
            <w:sz w:val="24"/>
            <w:szCs w:val="24"/>
          </w:rPr>
          <w:t>https://www.pmi.org/-/media/pmi/documents/public/pdf/learning/thought-leadership/pulse/2021-pulse-of-the-profession.pdf</w:t>
        </w:r>
      </w:hyperlink>
      <w:r w:rsidRPr="004E2F41">
        <w:rPr>
          <w:rFonts w:asciiTheme="majorHAnsi" w:hAnsiTheme="majorHAnsi" w:cstheme="majorHAnsi"/>
          <w:sz w:val="24"/>
          <w:szCs w:val="24"/>
        </w:rPr>
        <w:t xml:space="preserve"> (Accessed: 23 December 2022).</w:t>
      </w:r>
    </w:p>
    <w:p w14:paraId="574118A6"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Sanchez, H., Robert, B. and Pellerin, R., 2008. A project risk management process tailored for SMEs and small projects. Project Management Institute. Available at: </w:t>
      </w:r>
      <w:hyperlink r:id="rId27" w:history="1">
        <w:r w:rsidRPr="004E2F41">
          <w:rPr>
            <w:rStyle w:val="Hyperlink"/>
            <w:rFonts w:asciiTheme="majorHAnsi" w:hAnsiTheme="majorHAnsi" w:cstheme="majorHAnsi"/>
            <w:sz w:val="24"/>
            <w:szCs w:val="24"/>
          </w:rPr>
          <w:t>https://www.pmi.org/learning/library/project-risk-management-process-small-projects-7376</w:t>
        </w:r>
      </w:hyperlink>
      <w:r w:rsidRPr="004E2F41">
        <w:rPr>
          <w:rFonts w:asciiTheme="majorHAnsi" w:hAnsiTheme="majorHAnsi" w:cstheme="majorHAnsi"/>
          <w:sz w:val="24"/>
          <w:szCs w:val="24"/>
        </w:rPr>
        <w:t xml:space="preserve"> (Accessed: 22 December 2022).</w:t>
      </w:r>
    </w:p>
    <w:p w14:paraId="775B70A4"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lastRenderedPageBreak/>
        <w:t xml:space="preserve">Schwalbe, K., 2015. Information technology project management. Cengage learning. Available at: </w:t>
      </w:r>
      <w:hyperlink r:id="rId28" w:history="1">
        <w:r w:rsidRPr="004E2F41">
          <w:rPr>
            <w:rStyle w:val="Hyperlink"/>
            <w:rFonts w:asciiTheme="majorHAnsi" w:hAnsiTheme="majorHAnsi" w:cstheme="majorHAnsi"/>
            <w:sz w:val="24"/>
            <w:szCs w:val="24"/>
          </w:rPr>
          <w:t>https://www.cengage.com/c/information-technology-project-management-8e-schwalbe/9781305109574PF/</w:t>
        </w:r>
      </w:hyperlink>
      <w:r w:rsidRPr="004E2F41">
        <w:rPr>
          <w:rFonts w:asciiTheme="majorHAnsi" w:hAnsiTheme="majorHAnsi" w:cstheme="majorHAnsi"/>
          <w:sz w:val="24"/>
          <w:szCs w:val="24"/>
        </w:rPr>
        <w:t xml:space="preserve"> (Accessed: 21 December 2022).</w:t>
      </w:r>
    </w:p>
    <w:p w14:paraId="09FD49B4"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Sutterfield, J.S. et al., 2006. Project management for facility constructions: A guide for engineers and architects. Springer Science &amp; Business Media. Available at: </w:t>
      </w:r>
      <w:hyperlink r:id="rId29" w:history="1">
        <w:r w:rsidRPr="004E2F41">
          <w:rPr>
            <w:rStyle w:val="Hyperlink"/>
            <w:rFonts w:asciiTheme="majorHAnsi" w:hAnsiTheme="majorHAnsi" w:cstheme="majorHAnsi"/>
            <w:sz w:val="24"/>
            <w:szCs w:val="24"/>
          </w:rPr>
          <w:t>https://link.springer.com/book/10.1007/b138487</w:t>
        </w:r>
      </w:hyperlink>
      <w:r w:rsidRPr="004E2F41">
        <w:rPr>
          <w:rFonts w:asciiTheme="majorHAnsi" w:hAnsiTheme="majorHAnsi" w:cstheme="majorHAnsi"/>
          <w:sz w:val="24"/>
          <w:szCs w:val="24"/>
        </w:rPr>
        <w:t xml:space="preserve"> (Accessed: 20 December 2022).</w:t>
      </w:r>
    </w:p>
    <w:p w14:paraId="55013743" w14:textId="77777777" w:rsidR="004E2F41" w:rsidRPr="004E2F41" w:rsidRDefault="004E2F41" w:rsidP="004E2F41">
      <w:pPr>
        <w:spacing w:line="360" w:lineRule="auto"/>
        <w:jc w:val="both"/>
        <w:rPr>
          <w:rFonts w:asciiTheme="majorHAnsi" w:hAnsiTheme="majorHAnsi" w:cstheme="majorHAnsi"/>
          <w:sz w:val="24"/>
          <w:szCs w:val="24"/>
        </w:rPr>
      </w:pPr>
      <w:r w:rsidRPr="004E2F41">
        <w:rPr>
          <w:rFonts w:asciiTheme="majorHAnsi" w:hAnsiTheme="majorHAnsi" w:cstheme="majorHAnsi"/>
          <w:sz w:val="24"/>
          <w:szCs w:val="24"/>
        </w:rPr>
        <w:t xml:space="preserve">Woodward, H., 1997. Construction project management. Thomas Telford. Available at: </w:t>
      </w:r>
      <w:hyperlink r:id="rId30" w:history="1">
        <w:r w:rsidRPr="004E2F41">
          <w:rPr>
            <w:rStyle w:val="Hyperlink"/>
            <w:rFonts w:asciiTheme="majorHAnsi" w:hAnsiTheme="majorHAnsi" w:cstheme="majorHAnsi"/>
            <w:sz w:val="24"/>
            <w:szCs w:val="24"/>
          </w:rPr>
          <w:t>https://www.icevirtuallibrary.com/doi/abs/10.1680/cpm.18089</w:t>
        </w:r>
      </w:hyperlink>
      <w:r w:rsidRPr="004E2F41">
        <w:rPr>
          <w:rFonts w:asciiTheme="majorHAnsi" w:hAnsiTheme="majorHAnsi" w:cstheme="majorHAnsi"/>
          <w:sz w:val="24"/>
          <w:szCs w:val="24"/>
        </w:rPr>
        <w:t xml:space="preserve"> (Accessed: 19 December 2022).</w:t>
      </w:r>
    </w:p>
    <w:p w14:paraId="2AB1DA03" w14:textId="77777777" w:rsidR="00026BA5" w:rsidRPr="00026BA5" w:rsidRDefault="00026BA5" w:rsidP="00026BA5">
      <w:pPr>
        <w:spacing w:line="360" w:lineRule="auto"/>
        <w:jc w:val="both"/>
        <w:rPr>
          <w:rFonts w:asciiTheme="majorHAnsi" w:hAnsiTheme="majorHAnsi" w:cstheme="majorHAnsi"/>
          <w:sz w:val="24"/>
          <w:szCs w:val="24"/>
        </w:rPr>
      </w:pPr>
    </w:p>
    <w:sectPr w:rsidR="00026BA5" w:rsidRPr="00026BA5">
      <w:headerReference w:type="even" r:id="rId31"/>
      <w:headerReference w:type="default" r:id="rId32"/>
      <w:footerReference w:type="even" r:id="rId33"/>
      <w:footerReference w:type="default" r:id="rId34"/>
      <w:headerReference w:type="first" r:id="rId35"/>
      <w:footerReference w:type="first" r:id="rId3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90295" w14:textId="77777777" w:rsidR="0060255D" w:rsidRDefault="0060255D" w:rsidP="004B67DD">
      <w:pPr>
        <w:spacing w:after="0" w:line="240" w:lineRule="auto"/>
      </w:pPr>
      <w:r>
        <w:separator/>
      </w:r>
    </w:p>
  </w:endnote>
  <w:endnote w:type="continuationSeparator" w:id="0">
    <w:p w14:paraId="078A4E66" w14:textId="77777777" w:rsidR="0060255D" w:rsidRDefault="0060255D" w:rsidP="004B6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D9432" w14:textId="77777777" w:rsidR="004B67DD" w:rsidRDefault="004B67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C8C3" w14:textId="77777777" w:rsidR="004B67DD" w:rsidRDefault="004B67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16480" w14:textId="77777777" w:rsidR="004B67DD" w:rsidRDefault="004B6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6C13E" w14:textId="77777777" w:rsidR="0060255D" w:rsidRDefault="0060255D" w:rsidP="004B67DD">
      <w:pPr>
        <w:spacing w:after="0" w:line="240" w:lineRule="auto"/>
      </w:pPr>
      <w:r>
        <w:separator/>
      </w:r>
    </w:p>
  </w:footnote>
  <w:footnote w:type="continuationSeparator" w:id="0">
    <w:p w14:paraId="39058AE4" w14:textId="77777777" w:rsidR="0060255D" w:rsidRDefault="0060255D" w:rsidP="004B6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FB590" w14:textId="77777777" w:rsidR="004B67DD" w:rsidRDefault="004B67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046C7" w14:textId="77777777" w:rsidR="004B67DD" w:rsidRDefault="004B67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F9608" w14:textId="77777777" w:rsidR="004B67DD" w:rsidRDefault="004B67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F5FEA"/>
    <w:multiLevelType w:val="multilevel"/>
    <w:tmpl w:val="D4B6ED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CD018D"/>
    <w:multiLevelType w:val="multilevel"/>
    <w:tmpl w:val="57E2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B416F4"/>
    <w:multiLevelType w:val="multilevel"/>
    <w:tmpl w:val="9E56E2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506D63"/>
    <w:multiLevelType w:val="multilevel"/>
    <w:tmpl w:val="581C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CD0294"/>
    <w:multiLevelType w:val="multilevel"/>
    <w:tmpl w:val="1E1674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2081236"/>
    <w:multiLevelType w:val="multilevel"/>
    <w:tmpl w:val="8482D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486383"/>
    <w:multiLevelType w:val="multilevel"/>
    <w:tmpl w:val="CB5648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7720808">
    <w:abstractNumId w:val="5"/>
  </w:num>
  <w:num w:numId="2" w16cid:durableId="1600674480">
    <w:abstractNumId w:val="0"/>
  </w:num>
  <w:num w:numId="3" w16cid:durableId="1935824617">
    <w:abstractNumId w:val="2"/>
  </w:num>
  <w:num w:numId="4" w16cid:durableId="1162743135">
    <w:abstractNumId w:val="6"/>
  </w:num>
  <w:num w:numId="5" w16cid:durableId="592398368">
    <w:abstractNumId w:val="4"/>
  </w:num>
  <w:num w:numId="6" w16cid:durableId="954363286">
    <w:abstractNumId w:val="3"/>
  </w:num>
  <w:num w:numId="7" w16cid:durableId="636839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0AA"/>
    <w:rsid w:val="00026BA5"/>
    <w:rsid w:val="001B3B9B"/>
    <w:rsid w:val="001C2FCB"/>
    <w:rsid w:val="003940AA"/>
    <w:rsid w:val="00434F05"/>
    <w:rsid w:val="004B67DD"/>
    <w:rsid w:val="004E2F41"/>
    <w:rsid w:val="00582FEB"/>
    <w:rsid w:val="005D7214"/>
    <w:rsid w:val="005F0576"/>
    <w:rsid w:val="0060255D"/>
    <w:rsid w:val="00611254"/>
    <w:rsid w:val="007E2834"/>
    <w:rsid w:val="0094292C"/>
    <w:rsid w:val="00A33AAC"/>
    <w:rsid w:val="00A834A2"/>
    <w:rsid w:val="00B129FA"/>
    <w:rsid w:val="00D81E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5AE982"/>
  <w15:chartTrackingRefBased/>
  <w15:docId w15:val="{49EC51F3-2BA1-4116-B2AF-CF956FDE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B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26B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A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26B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6BA5"/>
    <w:pPr>
      <w:outlineLvl w:val="9"/>
    </w:pPr>
    <w:rPr>
      <w:lang w:val="en-US"/>
    </w:rPr>
  </w:style>
  <w:style w:type="character" w:styleId="Hyperlink">
    <w:name w:val="Hyperlink"/>
    <w:basedOn w:val="DefaultParagraphFont"/>
    <w:uiPriority w:val="99"/>
    <w:unhideWhenUsed/>
    <w:rsid w:val="00026BA5"/>
    <w:rPr>
      <w:color w:val="0563C1" w:themeColor="hyperlink"/>
      <w:u w:val="single"/>
    </w:rPr>
  </w:style>
  <w:style w:type="paragraph" w:styleId="TOC1">
    <w:name w:val="toc 1"/>
    <w:basedOn w:val="Normal"/>
    <w:next w:val="Normal"/>
    <w:autoRedefine/>
    <w:uiPriority w:val="39"/>
    <w:unhideWhenUsed/>
    <w:rsid w:val="001C2FCB"/>
    <w:pPr>
      <w:spacing w:after="100"/>
    </w:pPr>
  </w:style>
  <w:style w:type="paragraph" w:styleId="Header">
    <w:name w:val="header"/>
    <w:basedOn w:val="Normal"/>
    <w:link w:val="HeaderChar"/>
    <w:uiPriority w:val="99"/>
    <w:unhideWhenUsed/>
    <w:rsid w:val="004B67DD"/>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67DD"/>
  </w:style>
  <w:style w:type="paragraph" w:styleId="Footer">
    <w:name w:val="footer"/>
    <w:basedOn w:val="Normal"/>
    <w:link w:val="FooterChar"/>
    <w:uiPriority w:val="99"/>
    <w:unhideWhenUsed/>
    <w:rsid w:val="004B67DD"/>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6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7941">
      <w:bodyDiv w:val="1"/>
      <w:marLeft w:val="0"/>
      <w:marRight w:val="0"/>
      <w:marTop w:val="0"/>
      <w:marBottom w:val="0"/>
      <w:divBdr>
        <w:top w:val="none" w:sz="0" w:space="0" w:color="auto"/>
        <w:left w:val="none" w:sz="0" w:space="0" w:color="auto"/>
        <w:bottom w:val="none" w:sz="0" w:space="0" w:color="auto"/>
        <w:right w:val="none" w:sz="0" w:space="0" w:color="auto"/>
      </w:divBdr>
    </w:div>
    <w:div w:id="31614428">
      <w:bodyDiv w:val="1"/>
      <w:marLeft w:val="0"/>
      <w:marRight w:val="0"/>
      <w:marTop w:val="0"/>
      <w:marBottom w:val="0"/>
      <w:divBdr>
        <w:top w:val="none" w:sz="0" w:space="0" w:color="auto"/>
        <w:left w:val="none" w:sz="0" w:space="0" w:color="auto"/>
        <w:bottom w:val="none" w:sz="0" w:space="0" w:color="auto"/>
        <w:right w:val="none" w:sz="0" w:space="0" w:color="auto"/>
      </w:divBdr>
    </w:div>
    <w:div w:id="146170957">
      <w:bodyDiv w:val="1"/>
      <w:marLeft w:val="0"/>
      <w:marRight w:val="0"/>
      <w:marTop w:val="0"/>
      <w:marBottom w:val="0"/>
      <w:divBdr>
        <w:top w:val="none" w:sz="0" w:space="0" w:color="auto"/>
        <w:left w:val="none" w:sz="0" w:space="0" w:color="auto"/>
        <w:bottom w:val="none" w:sz="0" w:space="0" w:color="auto"/>
        <w:right w:val="none" w:sz="0" w:space="0" w:color="auto"/>
      </w:divBdr>
    </w:div>
    <w:div w:id="209348087">
      <w:bodyDiv w:val="1"/>
      <w:marLeft w:val="0"/>
      <w:marRight w:val="0"/>
      <w:marTop w:val="0"/>
      <w:marBottom w:val="0"/>
      <w:divBdr>
        <w:top w:val="none" w:sz="0" w:space="0" w:color="auto"/>
        <w:left w:val="none" w:sz="0" w:space="0" w:color="auto"/>
        <w:bottom w:val="none" w:sz="0" w:space="0" w:color="auto"/>
        <w:right w:val="none" w:sz="0" w:space="0" w:color="auto"/>
      </w:divBdr>
    </w:div>
    <w:div w:id="288518353">
      <w:bodyDiv w:val="1"/>
      <w:marLeft w:val="0"/>
      <w:marRight w:val="0"/>
      <w:marTop w:val="0"/>
      <w:marBottom w:val="0"/>
      <w:divBdr>
        <w:top w:val="none" w:sz="0" w:space="0" w:color="auto"/>
        <w:left w:val="none" w:sz="0" w:space="0" w:color="auto"/>
        <w:bottom w:val="none" w:sz="0" w:space="0" w:color="auto"/>
        <w:right w:val="none" w:sz="0" w:space="0" w:color="auto"/>
      </w:divBdr>
    </w:div>
    <w:div w:id="302003026">
      <w:bodyDiv w:val="1"/>
      <w:marLeft w:val="0"/>
      <w:marRight w:val="0"/>
      <w:marTop w:val="0"/>
      <w:marBottom w:val="0"/>
      <w:divBdr>
        <w:top w:val="none" w:sz="0" w:space="0" w:color="auto"/>
        <w:left w:val="none" w:sz="0" w:space="0" w:color="auto"/>
        <w:bottom w:val="none" w:sz="0" w:space="0" w:color="auto"/>
        <w:right w:val="none" w:sz="0" w:space="0" w:color="auto"/>
      </w:divBdr>
    </w:div>
    <w:div w:id="452554287">
      <w:bodyDiv w:val="1"/>
      <w:marLeft w:val="0"/>
      <w:marRight w:val="0"/>
      <w:marTop w:val="0"/>
      <w:marBottom w:val="0"/>
      <w:divBdr>
        <w:top w:val="none" w:sz="0" w:space="0" w:color="auto"/>
        <w:left w:val="none" w:sz="0" w:space="0" w:color="auto"/>
        <w:bottom w:val="none" w:sz="0" w:space="0" w:color="auto"/>
        <w:right w:val="none" w:sz="0" w:space="0" w:color="auto"/>
      </w:divBdr>
    </w:div>
    <w:div w:id="474763235">
      <w:bodyDiv w:val="1"/>
      <w:marLeft w:val="0"/>
      <w:marRight w:val="0"/>
      <w:marTop w:val="0"/>
      <w:marBottom w:val="0"/>
      <w:divBdr>
        <w:top w:val="none" w:sz="0" w:space="0" w:color="auto"/>
        <w:left w:val="none" w:sz="0" w:space="0" w:color="auto"/>
        <w:bottom w:val="none" w:sz="0" w:space="0" w:color="auto"/>
        <w:right w:val="none" w:sz="0" w:space="0" w:color="auto"/>
      </w:divBdr>
    </w:div>
    <w:div w:id="576591754">
      <w:bodyDiv w:val="1"/>
      <w:marLeft w:val="0"/>
      <w:marRight w:val="0"/>
      <w:marTop w:val="0"/>
      <w:marBottom w:val="0"/>
      <w:divBdr>
        <w:top w:val="none" w:sz="0" w:space="0" w:color="auto"/>
        <w:left w:val="none" w:sz="0" w:space="0" w:color="auto"/>
        <w:bottom w:val="none" w:sz="0" w:space="0" w:color="auto"/>
        <w:right w:val="none" w:sz="0" w:space="0" w:color="auto"/>
      </w:divBdr>
    </w:div>
    <w:div w:id="591201119">
      <w:bodyDiv w:val="1"/>
      <w:marLeft w:val="0"/>
      <w:marRight w:val="0"/>
      <w:marTop w:val="0"/>
      <w:marBottom w:val="0"/>
      <w:divBdr>
        <w:top w:val="none" w:sz="0" w:space="0" w:color="auto"/>
        <w:left w:val="none" w:sz="0" w:space="0" w:color="auto"/>
        <w:bottom w:val="none" w:sz="0" w:space="0" w:color="auto"/>
        <w:right w:val="none" w:sz="0" w:space="0" w:color="auto"/>
      </w:divBdr>
    </w:div>
    <w:div w:id="637879574">
      <w:bodyDiv w:val="1"/>
      <w:marLeft w:val="0"/>
      <w:marRight w:val="0"/>
      <w:marTop w:val="0"/>
      <w:marBottom w:val="0"/>
      <w:divBdr>
        <w:top w:val="none" w:sz="0" w:space="0" w:color="auto"/>
        <w:left w:val="none" w:sz="0" w:space="0" w:color="auto"/>
        <w:bottom w:val="none" w:sz="0" w:space="0" w:color="auto"/>
        <w:right w:val="none" w:sz="0" w:space="0" w:color="auto"/>
      </w:divBdr>
    </w:div>
    <w:div w:id="826937143">
      <w:bodyDiv w:val="1"/>
      <w:marLeft w:val="0"/>
      <w:marRight w:val="0"/>
      <w:marTop w:val="0"/>
      <w:marBottom w:val="0"/>
      <w:divBdr>
        <w:top w:val="none" w:sz="0" w:space="0" w:color="auto"/>
        <w:left w:val="none" w:sz="0" w:space="0" w:color="auto"/>
        <w:bottom w:val="none" w:sz="0" w:space="0" w:color="auto"/>
        <w:right w:val="none" w:sz="0" w:space="0" w:color="auto"/>
      </w:divBdr>
    </w:div>
    <w:div w:id="895168638">
      <w:bodyDiv w:val="1"/>
      <w:marLeft w:val="0"/>
      <w:marRight w:val="0"/>
      <w:marTop w:val="0"/>
      <w:marBottom w:val="0"/>
      <w:divBdr>
        <w:top w:val="none" w:sz="0" w:space="0" w:color="auto"/>
        <w:left w:val="none" w:sz="0" w:space="0" w:color="auto"/>
        <w:bottom w:val="none" w:sz="0" w:space="0" w:color="auto"/>
        <w:right w:val="none" w:sz="0" w:space="0" w:color="auto"/>
      </w:divBdr>
    </w:div>
    <w:div w:id="904223184">
      <w:bodyDiv w:val="1"/>
      <w:marLeft w:val="0"/>
      <w:marRight w:val="0"/>
      <w:marTop w:val="0"/>
      <w:marBottom w:val="0"/>
      <w:divBdr>
        <w:top w:val="none" w:sz="0" w:space="0" w:color="auto"/>
        <w:left w:val="none" w:sz="0" w:space="0" w:color="auto"/>
        <w:bottom w:val="none" w:sz="0" w:space="0" w:color="auto"/>
        <w:right w:val="none" w:sz="0" w:space="0" w:color="auto"/>
      </w:divBdr>
    </w:div>
    <w:div w:id="966818526">
      <w:bodyDiv w:val="1"/>
      <w:marLeft w:val="0"/>
      <w:marRight w:val="0"/>
      <w:marTop w:val="0"/>
      <w:marBottom w:val="0"/>
      <w:divBdr>
        <w:top w:val="none" w:sz="0" w:space="0" w:color="auto"/>
        <w:left w:val="none" w:sz="0" w:space="0" w:color="auto"/>
        <w:bottom w:val="none" w:sz="0" w:space="0" w:color="auto"/>
        <w:right w:val="none" w:sz="0" w:space="0" w:color="auto"/>
      </w:divBdr>
    </w:div>
    <w:div w:id="997273318">
      <w:bodyDiv w:val="1"/>
      <w:marLeft w:val="0"/>
      <w:marRight w:val="0"/>
      <w:marTop w:val="0"/>
      <w:marBottom w:val="0"/>
      <w:divBdr>
        <w:top w:val="none" w:sz="0" w:space="0" w:color="auto"/>
        <w:left w:val="none" w:sz="0" w:space="0" w:color="auto"/>
        <w:bottom w:val="none" w:sz="0" w:space="0" w:color="auto"/>
        <w:right w:val="none" w:sz="0" w:space="0" w:color="auto"/>
      </w:divBdr>
    </w:div>
    <w:div w:id="1040013293">
      <w:bodyDiv w:val="1"/>
      <w:marLeft w:val="0"/>
      <w:marRight w:val="0"/>
      <w:marTop w:val="0"/>
      <w:marBottom w:val="0"/>
      <w:divBdr>
        <w:top w:val="none" w:sz="0" w:space="0" w:color="auto"/>
        <w:left w:val="none" w:sz="0" w:space="0" w:color="auto"/>
        <w:bottom w:val="none" w:sz="0" w:space="0" w:color="auto"/>
        <w:right w:val="none" w:sz="0" w:space="0" w:color="auto"/>
      </w:divBdr>
    </w:div>
    <w:div w:id="1208952620">
      <w:bodyDiv w:val="1"/>
      <w:marLeft w:val="0"/>
      <w:marRight w:val="0"/>
      <w:marTop w:val="0"/>
      <w:marBottom w:val="0"/>
      <w:divBdr>
        <w:top w:val="none" w:sz="0" w:space="0" w:color="auto"/>
        <w:left w:val="none" w:sz="0" w:space="0" w:color="auto"/>
        <w:bottom w:val="none" w:sz="0" w:space="0" w:color="auto"/>
        <w:right w:val="none" w:sz="0" w:space="0" w:color="auto"/>
      </w:divBdr>
    </w:div>
    <w:div w:id="1271624334">
      <w:bodyDiv w:val="1"/>
      <w:marLeft w:val="0"/>
      <w:marRight w:val="0"/>
      <w:marTop w:val="0"/>
      <w:marBottom w:val="0"/>
      <w:divBdr>
        <w:top w:val="none" w:sz="0" w:space="0" w:color="auto"/>
        <w:left w:val="none" w:sz="0" w:space="0" w:color="auto"/>
        <w:bottom w:val="none" w:sz="0" w:space="0" w:color="auto"/>
        <w:right w:val="none" w:sz="0" w:space="0" w:color="auto"/>
      </w:divBdr>
    </w:div>
    <w:div w:id="1292399991">
      <w:bodyDiv w:val="1"/>
      <w:marLeft w:val="0"/>
      <w:marRight w:val="0"/>
      <w:marTop w:val="0"/>
      <w:marBottom w:val="0"/>
      <w:divBdr>
        <w:top w:val="none" w:sz="0" w:space="0" w:color="auto"/>
        <w:left w:val="none" w:sz="0" w:space="0" w:color="auto"/>
        <w:bottom w:val="none" w:sz="0" w:space="0" w:color="auto"/>
        <w:right w:val="none" w:sz="0" w:space="0" w:color="auto"/>
      </w:divBdr>
    </w:div>
    <w:div w:id="1420560221">
      <w:bodyDiv w:val="1"/>
      <w:marLeft w:val="0"/>
      <w:marRight w:val="0"/>
      <w:marTop w:val="0"/>
      <w:marBottom w:val="0"/>
      <w:divBdr>
        <w:top w:val="none" w:sz="0" w:space="0" w:color="auto"/>
        <w:left w:val="none" w:sz="0" w:space="0" w:color="auto"/>
        <w:bottom w:val="none" w:sz="0" w:space="0" w:color="auto"/>
        <w:right w:val="none" w:sz="0" w:space="0" w:color="auto"/>
      </w:divBdr>
    </w:div>
    <w:div w:id="1440875922">
      <w:bodyDiv w:val="1"/>
      <w:marLeft w:val="0"/>
      <w:marRight w:val="0"/>
      <w:marTop w:val="0"/>
      <w:marBottom w:val="0"/>
      <w:divBdr>
        <w:top w:val="none" w:sz="0" w:space="0" w:color="auto"/>
        <w:left w:val="none" w:sz="0" w:space="0" w:color="auto"/>
        <w:bottom w:val="none" w:sz="0" w:space="0" w:color="auto"/>
        <w:right w:val="none" w:sz="0" w:space="0" w:color="auto"/>
      </w:divBdr>
    </w:div>
    <w:div w:id="1506482900">
      <w:bodyDiv w:val="1"/>
      <w:marLeft w:val="0"/>
      <w:marRight w:val="0"/>
      <w:marTop w:val="0"/>
      <w:marBottom w:val="0"/>
      <w:divBdr>
        <w:top w:val="none" w:sz="0" w:space="0" w:color="auto"/>
        <w:left w:val="none" w:sz="0" w:space="0" w:color="auto"/>
        <w:bottom w:val="none" w:sz="0" w:space="0" w:color="auto"/>
        <w:right w:val="none" w:sz="0" w:space="0" w:color="auto"/>
      </w:divBdr>
    </w:div>
    <w:div w:id="1514683147">
      <w:bodyDiv w:val="1"/>
      <w:marLeft w:val="0"/>
      <w:marRight w:val="0"/>
      <w:marTop w:val="0"/>
      <w:marBottom w:val="0"/>
      <w:divBdr>
        <w:top w:val="none" w:sz="0" w:space="0" w:color="auto"/>
        <w:left w:val="none" w:sz="0" w:space="0" w:color="auto"/>
        <w:bottom w:val="none" w:sz="0" w:space="0" w:color="auto"/>
        <w:right w:val="none" w:sz="0" w:space="0" w:color="auto"/>
      </w:divBdr>
    </w:div>
    <w:div w:id="1582056179">
      <w:bodyDiv w:val="1"/>
      <w:marLeft w:val="0"/>
      <w:marRight w:val="0"/>
      <w:marTop w:val="0"/>
      <w:marBottom w:val="0"/>
      <w:divBdr>
        <w:top w:val="none" w:sz="0" w:space="0" w:color="auto"/>
        <w:left w:val="none" w:sz="0" w:space="0" w:color="auto"/>
        <w:bottom w:val="none" w:sz="0" w:space="0" w:color="auto"/>
        <w:right w:val="none" w:sz="0" w:space="0" w:color="auto"/>
      </w:divBdr>
    </w:div>
    <w:div w:id="1668053222">
      <w:bodyDiv w:val="1"/>
      <w:marLeft w:val="0"/>
      <w:marRight w:val="0"/>
      <w:marTop w:val="0"/>
      <w:marBottom w:val="0"/>
      <w:divBdr>
        <w:top w:val="none" w:sz="0" w:space="0" w:color="auto"/>
        <w:left w:val="none" w:sz="0" w:space="0" w:color="auto"/>
        <w:bottom w:val="none" w:sz="0" w:space="0" w:color="auto"/>
        <w:right w:val="none" w:sz="0" w:space="0" w:color="auto"/>
      </w:divBdr>
    </w:div>
    <w:div w:id="1859923246">
      <w:bodyDiv w:val="1"/>
      <w:marLeft w:val="0"/>
      <w:marRight w:val="0"/>
      <w:marTop w:val="0"/>
      <w:marBottom w:val="0"/>
      <w:divBdr>
        <w:top w:val="none" w:sz="0" w:space="0" w:color="auto"/>
        <w:left w:val="none" w:sz="0" w:space="0" w:color="auto"/>
        <w:bottom w:val="none" w:sz="0" w:space="0" w:color="auto"/>
        <w:right w:val="none" w:sz="0" w:space="0" w:color="auto"/>
      </w:divBdr>
    </w:div>
    <w:div w:id="1874612764">
      <w:bodyDiv w:val="1"/>
      <w:marLeft w:val="0"/>
      <w:marRight w:val="0"/>
      <w:marTop w:val="0"/>
      <w:marBottom w:val="0"/>
      <w:divBdr>
        <w:top w:val="none" w:sz="0" w:space="0" w:color="auto"/>
        <w:left w:val="none" w:sz="0" w:space="0" w:color="auto"/>
        <w:bottom w:val="none" w:sz="0" w:space="0" w:color="auto"/>
        <w:right w:val="none" w:sz="0" w:space="0" w:color="auto"/>
      </w:divBdr>
    </w:div>
    <w:div w:id="2035692644">
      <w:bodyDiv w:val="1"/>
      <w:marLeft w:val="0"/>
      <w:marRight w:val="0"/>
      <w:marTop w:val="0"/>
      <w:marBottom w:val="0"/>
      <w:divBdr>
        <w:top w:val="none" w:sz="0" w:space="0" w:color="auto"/>
        <w:left w:val="none" w:sz="0" w:space="0" w:color="auto"/>
        <w:bottom w:val="none" w:sz="0" w:space="0" w:color="auto"/>
        <w:right w:val="none" w:sz="0" w:space="0" w:color="auto"/>
      </w:divBdr>
    </w:div>
    <w:div w:id="2092463655">
      <w:bodyDiv w:val="1"/>
      <w:marLeft w:val="0"/>
      <w:marRight w:val="0"/>
      <w:marTop w:val="0"/>
      <w:marBottom w:val="0"/>
      <w:divBdr>
        <w:top w:val="none" w:sz="0" w:space="0" w:color="auto"/>
        <w:left w:val="none" w:sz="0" w:space="0" w:color="auto"/>
        <w:bottom w:val="none" w:sz="0" w:space="0" w:color="auto"/>
        <w:right w:val="none" w:sz="0" w:space="0" w:color="auto"/>
      </w:divBdr>
    </w:div>
    <w:div w:id="2097821439">
      <w:bodyDiv w:val="1"/>
      <w:marLeft w:val="0"/>
      <w:marRight w:val="0"/>
      <w:marTop w:val="0"/>
      <w:marBottom w:val="0"/>
      <w:divBdr>
        <w:top w:val="none" w:sz="0" w:space="0" w:color="auto"/>
        <w:left w:val="none" w:sz="0" w:space="0" w:color="auto"/>
        <w:bottom w:val="none" w:sz="0" w:space="0" w:color="auto"/>
        <w:right w:val="none" w:sz="0" w:space="0" w:color="auto"/>
      </w:divBdr>
    </w:div>
    <w:div w:id="2129354108">
      <w:bodyDiv w:val="1"/>
      <w:marLeft w:val="0"/>
      <w:marRight w:val="0"/>
      <w:marTop w:val="0"/>
      <w:marBottom w:val="0"/>
      <w:divBdr>
        <w:top w:val="none" w:sz="0" w:space="0" w:color="auto"/>
        <w:left w:val="none" w:sz="0" w:space="0" w:color="auto"/>
        <w:bottom w:val="none" w:sz="0" w:space="0" w:color="auto"/>
        <w:right w:val="none" w:sz="0" w:space="0" w:color="auto"/>
      </w:divBdr>
    </w:div>
    <w:div w:id="213051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ley.com/en-gb/Architectural+Technology-p-9781405193914" TargetMode="External"/><Relationship Id="rId18" Type="http://schemas.openxmlformats.org/officeDocument/2006/relationships/hyperlink" Target="https://www.bbc.com/news/technology-40291891" TargetMode="External"/><Relationship Id="rId26" Type="http://schemas.openxmlformats.org/officeDocument/2006/relationships/hyperlink" Target="https://www.pmi.org/-/media/pmi/documents/public/pdf/learning/thought-leadership/pulse/2021-pulse-of-the-profession.pdf" TargetMode="External"/><Relationship Id="rId21" Type="http://schemas.openxmlformats.org/officeDocument/2006/relationships/hyperlink" Target="https://marianamazzucato.com/books/mission-economy/"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wsj.com/articles/alphabet-to-spend-7-billion-on-offices-data-centers-11631634787" TargetMode="External"/><Relationship Id="rId17" Type="http://schemas.openxmlformats.org/officeDocument/2006/relationships/hyperlink" Target="https://www.raconteur.net/finance/investment/london-rival-silicon-valley/" TargetMode="External"/><Relationship Id="rId25" Type="http://schemas.openxmlformats.org/officeDocument/2006/relationships/hyperlink" Target="https://www.pmi.org/-/media/pmi/documents/public/pdf/learning/thought-leadership/pulse/pulse-of-the-profession-2016.pdf"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ciendo.com/article/10.2478/emj-2018-0018" TargetMode="External"/><Relationship Id="rId20" Type="http://schemas.openxmlformats.org/officeDocument/2006/relationships/hyperlink" Target="https://ascelibrary.org/doi/abs/10.1061/%28ASCE%290733-9364%282000%29126%3A2%2894%29" TargetMode="External"/><Relationship Id="rId29" Type="http://schemas.openxmlformats.org/officeDocument/2006/relationships/hyperlink" Target="https://link.springer.com/book/10.1007/b1384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mi.org/learning/library/project-stakeholder-management-6491" TargetMode="External"/><Relationship Id="rId24" Type="http://schemas.openxmlformats.org/officeDocument/2006/relationships/hyperlink" Target="https://pitchbook.com/news/reports/2021-alphabet-report"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illespies.co.uk/projects/kings-cross-central/" TargetMode="External"/><Relationship Id="rId23" Type="http://schemas.openxmlformats.org/officeDocument/2006/relationships/hyperlink" Target="https://www.sciencedirect.com/science/article/abs/pii/S0263786314000649" TargetMode="External"/><Relationship Id="rId28" Type="http://schemas.openxmlformats.org/officeDocument/2006/relationships/hyperlink" Target="https://www.cengage.com/c/information-technology-project-management-8e-schwalbe/9781305109574PF/" TargetMode="External"/><Relationship Id="rId36" Type="http://schemas.openxmlformats.org/officeDocument/2006/relationships/footer" Target="footer3.xml"/><Relationship Id="rId10" Type="http://schemas.openxmlformats.org/officeDocument/2006/relationships/hyperlink" Target="https://www.bbc.co.uk/news/technology-44492199" TargetMode="External"/><Relationship Id="rId19" Type="http://schemas.openxmlformats.org/officeDocument/2006/relationships/hyperlink" Target="https://www.cnbc.com/2022/06/09/googles-1-billion-london-campus-delayed-again-as-track-takes-shape.htm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heguardian.com/technology/2022/jul/18/googles-1bn-london-hq-finally-opens-king-s-cross" TargetMode="External"/><Relationship Id="rId14" Type="http://schemas.openxmlformats.org/officeDocument/2006/relationships/hyperlink" Target="https://proest.com/construction-cost-guides/london/" TargetMode="External"/><Relationship Id="rId22" Type="http://schemas.openxmlformats.org/officeDocument/2006/relationships/hyperlink" Target="https://www.wiley.com/en-us/Operations+Management+for+MBAs%2C+6th+Edition-p-9781119560358" TargetMode="External"/><Relationship Id="rId27" Type="http://schemas.openxmlformats.org/officeDocument/2006/relationships/hyperlink" Target="https://www.pmi.org/learning/library/project-risk-management-process-small-projects-7376" TargetMode="External"/><Relationship Id="rId30" Type="http://schemas.openxmlformats.org/officeDocument/2006/relationships/hyperlink" Target="https://www.icevirtuallibrary.com/doi/abs/10.1680/cpm.18089" TargetMode="External"/><Relationship Id="rId35" Type="http://schemas.openxmlformats.org/officeDocument/2006/relationships/header" Target="header3.xml"/><Relationship Id="rId8" Type="http://schemas.openxmlformats.org/officeDocument/2006/relationships/hyperlink" Target="https://www.emerald.com/insight/content/doi/10.1108/09699980510608854/full/html" TargetMode="External"/><Relationship Id="rId3"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83170-D1C0-4FB3-B89F-46DAB78D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4231</Words>
  <Characters>24542</Characters>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2024-01-03T18:49:00Z</dcterms:created>
  <dcterms:modified xsi:type="dcterms:W3CDTF">2024-01-03T21:30:00Z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ccb80511cf592eae02f6d49cd414214f65d016928b39c6a287eb58e65086c8b5</vt:lpwstr>
  </property>
</Properties>
</file>