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6C8B8E" w14:textId="77777777" w:rsidR="00F8008B" w:rsidRDefault="00F8008B" w:rsidP="004E5FEB">
      <w:pPr>
        <w:spacing w:line="480" w:lineRule="auto"/>
        <w:ind w:firstLine="0"/>
        <w:jc w:val="center"/>
      </w:pPr>
    </w:p>
    <w:p w14:paraId="5E892409" w14:textId="77777777" w:rsidR="00F8008B" w:rsidRDefault="00F8008B" w:rsidP="004E5FEB">
      <w:pPr>
        <w:spacing w:line="480" w:lineRule="auto"/>
        <w:ind w:firstLine="0"/>
        <w:jc w:val="center"/>
      </w:pPr>
    </w:p>
    <w:p w14:paraId="61CA5ACC" w14:textId="77777777" w:rsidR="00F8008B" w:rsidRDefault="00F8008B" w:rsidP="004E5FEB">
      <w:pPr>
        <w:spacing w:line="480" w:lineRule="auto"/>
        <w:ind w:firstLine="0"/>
        <w:jc w:val="center"/>
      </w:pPr>
    </w:p>
    <w:p w14:paraId="401D0E93" w14:textId="77777777" w:rsidR="00F8008B" w:rsidRDefault="00F8008B" w:rsidP="004E5FEB">
      <w:pPr>
        <w:spacing w:line="480" w:lineRule="auto"/>
        <w:ind w:firstLine="0"/>
        <w:jc w:val="center"/>
      </w:pPr>
    </w:p>
    <w:p w14:paraId="62A0DC6C" w14:textId="77777777" w:rsidR="00F8008B" w:rsidRDefault="00F8008B" w:rsidP="004E5FEB">
      <w:pPr>
        <w:spacing w:line="480" w:lineRule="auto"/>
        <w:ind w:firstLine="0"/>
        <w:jc w:val="center"/>
      </w:pPr>
    </w:p>
    <w:p w14:paraId="1EFD59C9" w14:textId="77777777" w:rsidR="00F8008B" w:rsidRDefault="00F8008B" w:rsidP="004E5FEB">
      <w:pPr>
        <w:spacing w:line="480" w:lineRule="auto"/>
        <w:ind w:firstLine="0"/>
        <w:jc w:val="center"/>
      </w:pPr>
    </w:p>
    <w:p w14:paraId="1F1A7B0A" w14:textId="77777777" w:rsidR="00F8008B" w:rsidRDefault="00F8008B" w:rsidP="004E5FEB">
      <w:pPr>
        <w:spacing w:line="480" w:lineRule="auto"/>
        <w:ind w:firstLine="0"/>
        <w:jc w:val="center"/>
      </w:pPr>
    </w:p>
    <w:p w14:paraId="4A144A72" w14:textId="77777777" w:rsidR="00F8008B" w:rsidRDefault="00F8008B" w:rsidP="004E5FEB">
      <w:pPr>
        <w:spacing w:line="480" w:lineRule="auto"/>
        <w:ind w:firstLine="0"/>
        <w:jc w:val="center"/>
      </w:pPr>
    </w:p>
    <w:p w14:paraId="03601A9E" w14:textId="55EEED59" w:rsidR="00F8008B" w:rsidRDefault="00F8008B" w:rsidP="004E5FEB">
      <w:pPr>
        <w:spacing w:line="480" w:lineRule="auto"/>
        <w:ind w:firstLine="0"/>
        <w:jc w:val="center"/>
      </w:pPr>
      <w:r>
        <w:t>BSc (Hons) Health and Social Care</w:t>
      </w:r>
    </w:p>
    <w:p w14:paraId="18E9DE7E" w14:textId="77777777" w:rsidR="00F8008B" w:rsidRDefault="00F8008B" w:rsidP="004E5FEB">
      <w:pPr>
        <w:spacing w:line="480" w:lineRule="auto"/>
        <w:ind w:firstLine="0"/>
        <w:jc w:val="center"/>
      </w:pPr>
      <w:r>
        <w:t>Module: Principles of Health and Social Care Practice</w:t>
      </w:r>
    </w:p>
    <w:p w14:paraId="20574CE4" w14:textId="5F093900" w:rsidR="000743CD" w:rsidRDefault="00F8008B" w:rsidP="004E5FEB">
      <w:pPr>
        <w:spacing w:line="480" w:lineRule="auto"/>
        <w:ind w:firstLine="0"/>
        <w:jc w:val="center"/>
      </w:pPr>
      <w:r>
        <w:t>Module code: BMHP5016</w:t>
      </w:r>
    </w:p>
    <w:p w14:paraId="57F57296" w14:textId="70299161" w:rsidR="003F1EFD" w:rsidRDefault="003F1EFD" w:rsidP="004E5FEB">
      <w:pPr>
        <w:spacing w:line="480" w:lineRule="auto"/>
        <w:ind w:firstLine="0"/>
        <w:jc w:val="center"/>
      </w:pPr>
      <w:r w:rsidRPr="003F1EFD">
        <w:t>Social Model of Disability as a Foundation for Person-Centred Care in Health and Social Care Policy and Practice</w:t>
      </w:r>
    </w:p>
    <w:p w14:paraId="2799EB6E" w14:textId="6A6F5896" w:rsidR="005D1EB5" w:rsidRDefault="00F8008B" w:rsidP="00702EFF">
      <w:pPr>
        <w:spacing w:line="480" w:lineRule="auto"/>
        <w:ind w:firstLine="0"/>
        <w:jc w:val="center"/>
      </w:pPr>
      <w:r>
        <w:t xml:space="preserve">Name of the </w:t>
      </w:r>
      <w:proofErr w:type="spellStart"/>
      <w:proofErr w:type="gramStart"/>
      <w:r>
        <w:t>Student</w:t>
      </w:r>
      <w:r w:rsidR="00702EFF">
        <w:t>:Andres</w:t>
      </w:r>
      <w:proofErr w:type="spellEnd"/>
      <w:proofErr w:type="gramEnd"/>
      <w:r w:rsidR="00702EFF">
        <w:t xml:space="preserve"> Carlos Michel Pina</w:t>
      </w:r>
    </w:p>
    <w:p w14:paraId="158477D4" w14:textId="0E9526CC" w:rsidR="00702EFF" w:rsidRDefault="00702EFF" w:rsidP="00702EFF">
      <w:pPr>
        <w:spacing w:line="480" w:lineRule="auto"/>
        <w:ind w:firstLine="0"/>
        <w:jc w:val="center"/>
      </w:pPr>
      <w:r>
        <w:t>Student ID:2442079</w:t>
      </w:r>
    </w:p>
    <w:p w14:paraId="35898FC6" w14:textId="77777777" w:rsidR="005D1EB5" w:rsidRDefault="005D1EB5">
      <w:pPr>
        <w:spacing w:before="0" w:after="160" w:line="259" w:lineRule="auto"/>
        <w:ind w:firstLine="0"/>
        <w:contextualSpacing w:val="0"/>
        <w:jc w:val="left"/>
      </w:pPr>
      <w:r>
        <w:br w:type="page"/>
      </w:r>
    </w:p>
    <w:sdt>
      <w:sdtPr>
        <w:rPr>
          <w:rFonts w:asciiTheme="minorBidi" w:eastAsiaTheme="minorHAnsi" w:hAnsiTheme="minorBidi" w:cstheme="minorBidi"/>
          <w:b/>
          <w:bCs/>
          <w:color w:val="auto"/>
          <w:sz w:val="22"/>
          <w:szCs w:val="22"/>
          <w:lang w:val="en-GB"/>
          <w14:ligatures w14:val="standardContextual"/>
        </w:rPr>
        <w:id w:val="1783234905"/>
        <w:docPartObj>
          <w:docPartGallery w:val="Table of Contents"/>
          <w:docPartUnique/>
        </w:docPartObj>
      </w:sdtPr>
      <w:sdtEndPr>
        <w:rPr>
          <w:rFonts w:ascii="Arial" w:hAnsi="Arial"/>
          <w:noProof/>
        </w:rPr>
      </w:sdtEndPr>
      <w:sdtContent>
        <w:p w14:paraId="17CCE39E" w14:textId="7C5A741E" w:rsidR="005D1EB5" w:rsidRPr="005D1EB5" w:rsidRDefault="005D1EB5" w:rsidP="005D1EB5">
          <w:pPr>
            <w:pStyle w:val="TOCHeading"/>
            <w:jc w:val="center"/>
            <w:rPr>
              <w:rFonts w:asciiTheme="minorBidi" w:hAnsiTheme="minorBidi" w:cstheme="minorBidi"/>
              <w:b/>
              <w:bCs/>
              <w:color w:val="auto"/>
              <w:sz w:val="22"/>
              <w:szCs w:val="22"/>
            </w:rPr>
          </w:pPr>
          <w:r w:rsidRPr="005D1EB5">
            <w:rPr>
              <w:rFonts w:asciiTheme="minorBidi" w:hAnsiTheme="minorBidi" w:cstheme="minorBidi"/>
              <w:b/>
              <w:bCs/>
              <w:color w:val="auto"/>
              <w:sz w:val="22"/>
              <w:szCs w:val="22"/>
            </w:rPr>
            <w:t>Table of Contents</w:t>
          </w:r>
        </w:p>
        <w:p w14:paraId="6805C6BA" w14:textId="4A130882" w:rsidR="005D1EB5" w:rsidRDefault="005D1EB5">
          <w:pPr>
            <w:pStyle w:val="TOC1"/>
            <w:tabs>
              <w:tab w:val="right" w:leader="dot" w:pos="9350"/>
            </w:tabs>
            <w:rPr>
              <w:noProof/>
            </w:rPr>
          </w:pPr>
          <w:r>
            <w:fldChar w:fldCharType="begin"/>
          </w:r>
          <w:r>
            <w:instrText xml:space="preserve"> TOC \o "1-3" \h \z \u </w:instrText>
          </w:r>
          <w:r>
            <w:fldChar w:fldCharType="separate"/>
          </w:r>
          <w:hyperlink w:anchor="_Toc236476627" w:history="1">
            <w:r w:rsidRPr="001F5AEC">
              <w:rPr>
                <w:rStyle w:val="Hyperlink"/>
                <w:noProof/>
              </w:rPr>
              <w:t>Introduction</w:t>
            </w:r>
            <w:r>
              <w:rPr>
                <w:noProof/>
                <w:webHidden/>
              </w:rPr>
              <w:tab/>
            </w:r>
            <w:r>
              <w:rPr>
                <w:noProof/>
                <w:webHidden/>
              </w:rPr>
              <w:fldChar w:fldCharType="begin"/>
            </w:r>
            <w:r>
              <w:rPr>
                <w:noProof/>
                <w:webHidden/>
              </w:rPr>
              <w:instrText xml:space="preserve"> PAGEREF _Toc236476627 \h </w:instrText>
            </w:r>
            <w:r>
              <w:rPr>
                <w:noProof/>
                <w:webHidden/>
              </w:rPr>
            </w:r>
            <w:r>
              <w:rPr>
                <w:noProof/>
                <w:webHidden/>
              </w:rPr>
              <w:fldChar w:fldCharType="separate"/>
            </w:r>
            <w:r>
              <w:rPr>
                <w:noProof/>
                <w:webHidden/>
              </w:rPr>
              <w:t>3</w:t>
            </w:r>
            <w:r>
              <w:rPr>
                <w:noProof/>
                <w:webHidden/>
              </w:rPr>
              <w:fldChar w:fldCharType="end"/>
            </w:r>
          </w:hyperlink>
        </w:p>
        <w:p w14:paraId="40A5CB4D" w14:textId="738A0136" w:rsidR="005D1EB5" w:rsidRDefault="005D1EB5">
          <w:pPr>
            <w:pStyle w:val="TOC2"/>
            <w:tabs>
              <w:tab w:val="right" w:leader="dot" w:pos="9350"/>
            </w:tabs>
            <w:rPr>
              <w:noProof/>
            </w:rPr>
          </w:pPr>
          <w:hyperlink w:anchor="_Toc236476628" w:history="1">
            <w:r w:rsidRPr="001F5AEC">
              <w:rPr>
                <w:rStyle w:val="Hyperlink"/>
                <w:noProof/>
              </w:rPr>
              <w:t>The Emergence and Development of the Social Model of Disability</w:t>
            </w:r>
            <w:r>
              <w:rPr>
                <w:noProof/>
                <w:webHidden/>
              </w:rPr>
              <w:tab/>
            </w:r>
            <w:r>
              <w:rPr>
                <w:noProof/>
                <w:webHidden/>
              </w:rPr>
              <w:fldChar w:fldCharType="begin"/>
            </w:r>
            <w:r>
              <w:rPr>
                <w:noProof/>
                <w:webHidden/>
              </w:rPr>
              <w:instrText xml:space="preserve"> PAGEREF _Toc236476628 \h </w:instrText>
            </w:r>
            <w:r>
              <w:rPr>
                <w:noProof/>
                <w:webHidden/>
              </w:rPr>
            </w:r>
            <w:r>
              <w:rPr>
                <w:noProof/>
                <w:webHidden/>
              </w:rPr>
              <w:fldChar w:fldCharType="separate"/>
            </w:r>
            <w:r>
              <w:rPr>
                <w:noProof/>
                <w:webHidden/>
              </w:rPr>
              <w:t>3</w:t>
            </w:r>
            <w:r>
              <w:rPr>
                <w:noProof/>
                <w:webHidden/>
              </w:rPr>
              <w:fldChar w:fldCharType="end"/>
            </w:r>
          </w:hyperlink>
        </w:p>
        <w:p w14:paraId="33751ADF" w14:textId="6AC7DFEF" w:rsidR="005D1EB5" w:rsidRDefault="005D1EB5">
          <w:pPr>
            <w:pStyle w:val="TOC2"/>
            <w:tabs>
              <w:tab w:val="right" w:leader="dot" w:pos="9350"/>
            </w:tabs>
            <w:rPr>
              <w:noProof/>
            </w:rPr>
          </w:pPr>
          <w:hyperlink w:anchor="_Toc236476629" w:history="1">
            <w:r w:rsidRPr="001F5AEC">
              <w:rPr>
                <w:rStyle w:val="Hyperlink"/>
                <w:noProof/>
              </w:rPr>
              <w:t>Critiques of the Social Model of Disability</w:t>
            </w:r>
            <w:r>
              <w:rPr>
                <w:noProof/>
                <w:webHidden/>
              </w:rPr>
              <w:tab/>
            </w:r>
            <w:r>
              <w:rPr>
                <w:noProof/>
                <w:webHidden/>
              </w:rPr>
              <w:fldChar w:fldCharType="begin"/>
            </w:r>
            <w:r>
              <w:rPr>
                <w:noProof/>
                <w:webHidden/>
              </w:rPr>
              <w:instrText xml:space="preserve"> PAGEREF _Toc236476629 \h </w:instrText>
            </w:r>
            <w:r>
              <w:rPr>
                <w:noProof/>
                <w:webHidden/>
              </w:rPr>
            </w:r>
            <w:r>
              <w:rPr>
                <w:noProof/>
                <w:webHidden/>
              </w:rPr>
              <w:fldChar w:fldCharType="separate"/>
            </w:r>
            <w:r>
              <w:rPr>
                <w:noProof/>
                <w:webHidden/>
              </w:rPr>
              <w:t>5</w:t>
            </w:r>
            <w:r>
              <w:rPr>
                <w:noProof/>
                <w:webHidden/>
              </w:rPr>
              <w:fldChar w:fldCharType="end"/>
            </w:r>
          </w:hyperlink>
        </w:p>
        <w:p w14:paraId="2E94A4F2" w14:textId="01EB07AC" w:rsidR="005D1EB5" w:rsidRDefault="005D1EB5">
          <w:pPr>
            <w:pStyle w:val="TOC2"/>
            <w:tabs>
              <w:tab w:val="right" w:leader="dot" w:pos="9350"/>
            </w:tabs>
            <w:rPr>
              <w:noProof/>
            </w:rPr>
          </w:pPr>
          <w:hyperlink w:anchor="_Toc236476630" w:history="1">
            <w:r w:rsidRPr="001F5AEC">
              <w:rPr>
                <w:rStyle w:val="Hyperlink"/>
                <w:noProof/>
              </w:rPr>
              <w:t>Application of the Social Model of Disability to Health and Social Care Policy and Practice</w:t>
            </w:r>
            <w:r>
              <w:rPr>
                <w:noProof/>
                <w:webHidden/>
              </w:rPr>
              <w:tab/>
            </w:r>
            <w:r>
              <w:rPr>
                <w:noProof/>
                <w:webHidden/>
              </w:rPr>
              <w:fldChar w:fldCharType="begin"/>
            </w:r>
            <w:r>
              <w:rPr>
                <w:noProof/>
                <w:webHidden/>
              </w:rPr>
              <w:instrText xml:space="preserve"> PAGEREF _Toc236476630 \h </w:instrText>
            </w:r>
            <w:r>
              <w:rPr>
                <w:noProof/>
                <w:webHidden/>
              </w:rPr>
            </w:r>
            <w:r>
              <w:rPr>
                <w:noProof/>
                <w:webHidden/>
              </w:rPr>
              <w:fldChar w:fldCharType="separate"/>
            </w:r>
            <w:r>
              <w:rPr>
                <w:noProof/>
                <w:webHidden/>
              </w:rPr>
              <w:t>6</w:t>
            </w:r>
            <w:r>
              <w:rPr>
                <w:noProof/>
                <w:webHidden/>
              </w:rPr>
              <w:fldChar w:fldCharType="end"/>
            </w:r>
          </w:hyperlink>
        </w:p>
        <w:p w14:paraId="178899C7" w14:textId="6B6DD334" w:rsidR="005D1EB5" w:rsidRDefault="005D1EB5">
          <w:pPr>
            <w:pStyle w:val="TOC2"/>
            <w:tabs>
              <w:tab w:val="right" w:leader="dot" w:pos="9350"/>
            </w:tabs>
            <w:rPr>
              <w:noProof/>
            </w:rPr>
          </w:pPr>
          <w:hyperlink w:anchor="_Toc236476631" w:history="1">
            <w:r w:rsidRPr="001F5AEC">
              <w:rPr>
                <w:rStyle w:val="Hyperlink"/>
                <w:noProof/>
              </w:rPr>
              <w:t>Recommendations</w:t>
            </w:r>
            <w:r>
              <w:rPr>
                <w:noProof/>
                <w:webHidden/>
              </w:rPr>
              <w:tab/>
            </w:r>
            <w:r>
              <w:rPr>
                <w:noProof/>
                <w:webHidden/>
              </w:rPr>
              <w:fldChar w:fldCharType="begin"/>
            </w:r>
            <w:r>
              <w:rPr>
                <w:noProof/>
                <w:webHidden/>
              </w:rPr>
              <w:instrText xml:space="preserve"> PAGEREF _Toc236476631 \h </w:instrText>
            </w:r>
            <w:r>
              <w:rPr>
                <w:noProof/>
                <w:webHidden/>
              </w:rPr>
            </w:r>
            <w:r>
              <w:rPr>
                <w:noProof/>
                <w:webHidden/>
              </w:rPr>
              <w:fldChar w:fldCharType="separate"/>
            </w:r>
            <w:r>
              <w:rPr>
                <w:noProof/>
                <w:webHidden/>
              </w:rPr>
              <w:t>7</w:t>
            </w:r>
            <w:r>
              <w:rPr>
                <w:noProof/>
                <w:webHidden/>
              </w:rPr>
              <w:fldChar w:fldCharType="end"/>
            </w:r>
          </w:hyperlink>
        </w:p>
        <w:p w14:paraId="6E80342B" w14:textId="62D8D36E" w:rsidR="005D1EB5" w:rsidRDefault="005D1EB5">
          <w:pPr>
            <w:pStyle w:val="TOC1"/>
            <w:tabs>
              <w:tab w:val="right" w:leader="dot" w:pos="9350"/>
            </w:tabs>
            <w:rPr>
              <w:noProof/>
            </w:rPr>
          </w:pPr>
          <w:hyperlink w:anchor="_Toc236476632" w:history="1">
            <w:r w:rsidRPr="001F5AEC">
              <w:rPr>
                <w:rStyle w:val="Hyperlink"/>
                <w:noProof/>
              </w:rPr>
              <w:t>Conclusion</w:t>
            </w:r>
            <w:r>
              <w:rPr>
                <w:noProof/>
                <w:webHidden/>
              </w:rPr>
              <w:tab/>
            </w:r>
            <w:r>
              <w:rPr>
                <w:noProof/>
                <w:webHidden/>
              </w:rPr>
              <w:fldChar w:fldCharType="begin"/>
            </w:r>
            <w:r>
              <w:rPr>
                <w:noProof/>
                <w:webHidden/>
              </w:rPr>
              <w:instrText xml:space="preserve"> PAGEREF _Toc236476632 \h </w:instrText>
            </w:r>
            <w:r>
              <w:rPr>
                <w:noProof/>
                <w:webHidden/>
              </w:rPr>
            </w:r>
            <w:r>
              <w:rPr>
                <w:noProof/>
                <w:webHidden/>
              </w:rPr>
              <w:fldChar w:fldCharType="separate"/>
            </w:r>
            <w:r>
              <w:rPr>
                <w:noProof/>
                <w:webHidden/>
              </w:rPr>
              <w:t>8</w:t>
            </w:r>
            <w:r>
              <w:rPr>
                <w:noProof/>
                <w:webHidden/>
              </w:rPr>
              <w:fldChar w:fldCharType="end"/>
            </w:r>
          </w:hyperlink>
        </w:p>
        <w:p w14:paraId="475E3D66" w14:textId="6E420173" w:rsidR="005D1EB5" w:rsidRDefault="005D1EB5">
          <w:pPr>
            <w:pStyle w:val="TOC1"/>
            <w:tabs>
              <w:tab w:val="right" w:leader="dot" w:pos="9350"/>
            </w:tabs>
            <w:rPr>
              <w:noProof/>
            </w:rPr>
          </w:pPr>
          <w:hyperlink w:anchor="_Toc236476633" w:history="1">
            <w:r w:rsidRPr="001F5AEC">
              <w:rPr>
                <w:rStyle w:val="Hyperlink"/>
                <w:noProof/>
              </w:rPr>
              <w:t>References</w:t>
            </w:r>
            <w:r>
              <w:rPr>
                <w:noProof/>
                <w:webHidden/>
              </w:rPr>
              <w:tab/>
            </w:r>
            <w:r>
              <w:rPr>
                <w:noProof/>
                <w:webHidden/>
              </w:rPr>
              <w:fldChar w:fldCharType="begin"/>
            </w:r>
            <w:r>
              <w:rPr>
                <w:noProof/>
                <w:webHidden/>
              </w:rPr>
              <w:instrText xml:space="preserve"> PAGEREF _Toc236476633 \h </w:instrText>
            </w:r>
            <w:r>
              <w:rPr>
                <w:noProof/>
                <w:webHidden/>
              </w:rPr>
            </w:r>
            <w:r>
              <w:rPr>
                <w:noProof/>
                <w:webHidden/>
              </w:rPr>
              <w:fldChar w:fldCharType="separate"/>
            </w:r>
            <w:r>
              <w:rPr>
                <w:noProof/>
                <w:webHidden/>
              </w:rPr>
              <w:t>10</w:t>
            </w:r>
            <w:r>
              <w:rPr>
                <w:noProof/>
                <w:webHidden/>
              </w:rPr>
              <w:fldChar w:fldCharType="end"/>
            </w:r>
          </w:hyperlink>
        </w:p>
        <w:p w14:paraId="2A44E7B0" w14:textId="753E9156" w:rsidR="005D1EB5" w:rsidRDefault="005D1EB5">
          <w:r>
            <w:rPr>
              <w:b/>
              <w:bCs/>
              <w:noProof/>
            </w:rPr>
            <w:fldChar w:fldCharType="end"/>
          </w:r>
        </w:p>
      </w:sdtContent>
    </w:sdt>
    <w:p w14:paraId="2F41911E" w14:textId="77777777" w:rsidR="003F1EFD" w:rsidRDefault="003F1EFD" w:rsidP="005D1EB5"/>
    <w:p w14:paraId="4F10E5B5" w14:textId="77777777" w:rsidR="003F1EFD" w:rsidRDefault="003F1EFD" w:rsidP="004E5FEB">
      <w:pPr>
        <w:spacing w:before="0" w:after="160" w:line="480" w:lineRule="auto"/>
        <w:ind w:firstLine="0"/>
        <w:contextualSpacing w:val="0"/>
        <w:jc w:val="left"/>
      </w:pPr>
      <w:r>
        <w:br w:type="page"/>
      </w:r>
    </w:p>
    <w:p w14:paraId="5B88B906" w14:textId="4F0D94B9" w:rsidR="003F1EFD" w:rsidRPr="003F1EFD" w:rsidRDefault="003F1EFD" w:rsidP="004E5FEB">
      <w:pPr>
        <w:pStyle w:val="Heading1"/>
        <w:spacing w:line="480" w:lineRule="auto"/>
      </w:pPr>
      <w:bookmarkStart w:id="0" w:name="_Toc236476627"/>
      <w:r w:rsidRPr="003F1EFD">
        <w:lastRenderedPageBreak/>
        <w:t>Introduction</w:t>
      </w:r>
      <w:bookmarkEnd w:id="0"/>
    </w:p>
    <w:p w14:paraId="534BE684" w14:textId="5FD50F15" w:rsidR="003F1EFD" w:rsidRPr="003F1EFD" w:rsidRDefault="00A145F6" w:rsidP="004E5FEB">
      <w:pPr>
        <w:spacing w:line="480" w:lineRule="auto"/>
      </w:pPr>
      <w:r w:rsidRPr="00A145F6">
        <w:t xml:space="preserve">A key principle of current health and social care is </w:t>
      </w:r>
      <w:r w:rsidR="00571662">
        <w:t>person-centred</w:t>
      </w:r>
      <w:r w:rsidRPr="00A145F6">
        <w:t xml:space="preserve"> care</w:t>
      </w:r>
      <w:r w:rsidR="00571662">
        <w:t>,</w:t>
      </w:r>
      <w:r w:rsidRPr="00A145F6">
        <w:t xml:space="preserve"> which advocates for the dignity, autonomy and active involvement in </w:t>
      </w:r>
      <w:r w:rsidR="00571662">
        <w:t>care-making</w:t>
      </w:r>
      <w:r w:rsidRPr="00A145F6">
        <w:t xml:space="preserve"> of others. It acknowledges that people should be treated as partners to whom services and care must be tailored to their needs and desires (Santana et al., 2018</w:t>
      </w:r>
      <w:r w:rsidR="00571662">
        <w:t>;</w:t>
      </w:r>
      <w:r w:rsidRPr="00A145F6">
        <w:t xml:space="preserve"> Ahmed et al., 2022). This reflects the social model of disability</w:t>
      </w:r>
      <w:r w:rsidR="00571662">
        <w:t>,</w:t>
      </w:r>
      <w:r w:rsidRPr="00A145F6">
        <w:t xml:space="preserve"> which is one rooted </w:t>
      </w:r>
      <w:r w:rsidR="00571662">
        <w:t>in</w:t>
      </w:r>
      <w:r w:rsidRPr="00A145F6">
        <w:t xml:space="preserve"> the belief that disability occurs not because of impairment, but due to social and environmental barriers (Oliver, 1990; Shakespeare and Watson, 2022). This essay reviews the development of the model, challenges and the influence on health and social care policy and practice</w:t>
      </w:r>
      <w:r w:rsidR="00571662">
        <w:t xml:space="preserve"> </w:t>
      </w:r>
      <w:proofErr w:type="gramStart"/>
      <w:r w:rsidR="00571662">
        <w:t>critically</w:t>
      </w:r>
      <w:r w:rsidRPr="00A145F6">
        <w:t>, and</w:t>
      </w:r>
      <w:proofErr w:type="gramEnd"/>
      <w:r w:rsidRPr="00A145F6">
        <w:t xml:space="preserve"> offers suggestions to further develop </w:t>
      </w:r>
      <w:r w:rsidR="00571662">
        <w:t>person-centred</w:t>
      </w:r>
      <w:r w:rsidRPr="00A145F6">
        <w:t xml:space="preserve"> care. </w:t>
      </w:r>
    </w:p>
    <w:p w14:paraId="59FD71A3" w14:textId="73EEC861" w:rsidR="003F1EFD" w:rsidRPr="003F1EFD" w:rsidRDefault="003F1EFD" w:rsidP="004E5FEB">
      <w:pPr>
        <w:pStyle w:val="Heading2"/>
        <w:spacing w:line="480" w:lineRule="auto"/>
      </w:pPr>
      <w:bookmarkStart w:id="1" w:name="_Toc236476628"/>
      <w:r w:rsidRPr="003F1EFD">
        <w:t>The Emergence and Development of the Social Model of Disability</w:t>
      </w:r>
      <w:bookmarkEnd w:id="1"/>
    </w:p>
    <w:p w14:paraId="2D459460" w14:textId="77777777" w:rsidR="008D36B6" w:rsidRDefault="008D36B6" w:rsidP="004E5FEB">
      <w:pPr>
        <w:spacing w:line="480" w:lineRule="auto"/>
      </w:pPr>
      <w:r>
        <w:t>The Social Model of Disability developed in the 1970s disability rights movement in response to the prevailing Medical Model of Disability. The medical model viewed disability as a physical or mental deficiency within the person which needed diagnosis, treatment and rehabilitation. In this sense, disabled persons were often seen to rely on health professionals, and impediments to participation were seen to be an inevitable by-product of impairment. The medical view made important steps towards improving health and rehabilitation services, but the impact of disability and exclusion through social processes was largely overlooked (Oliver, 1990).</w:t>
      </w:r>
    </w:p>
    <w:p w14:paraId="6159E7E9" w14:textId="0480666D" w:rsidR="008D36B6" w:rsidRDefault="008D36B6" w:rsidP="004E5FEB">
      <w:pPr>
        <w:spacing w:line="480" w:lineRule="auto"/>
      </w:pPr>
      <w:r>
        <w:t>One of the defining moments was the publishing of Fundamental Principles of Disability, by the Union of the Physically Impaired Against Segregation (UPIAS). The organisation presented the concept of a difference between the nature of impairment (the physical or mental condition of an individual) and of disability caused by the environmental, institutional and social barriers imposed by society</w:t>
      </w:r>
      <w:r w:rsidR="00901C7C">
        <w:t>)</w:t>
      </w:r>
      <w:r>
        <w:t xml:space="preserve"> </w:t>
      </w:r>
      <w:r w:rsidR="00901C7C">
        <w:t>(</w:t>
      </w:r>
      <w:r>
        <w:t>UPIAS, 1976). This represented a significant shift in thinking because it challenged the notion that all people with disabilities are inevitably faced with circumstances of exclusion and that such exclusion is of little significance compared to the specimen value of a human life. Now disability was considered more of a social rather than just a medical problem.</w:t>
      </w:r>
    </w:p>
    <w:p w14:paraId="5122C8F5" w14:textId="0F6FA631" w:rsidR="008D36B6" w:rsidRDefault="008D36B6" w:rsidP="00901C7C">
      <w:pPr>
        <w:spacing w:line="480" w:lineRule="auto"/>
      </w:pPr>
      <w:r>
        <w:lastRenderedPageBreak/>
        <w:t xml:space="preserve">On this basis Oliver (1990) went on to establish the Social Model of Disability and place it firmly in its role </w:t>
      </w:r>
      <w:proofErr w:type="gramStart"/>
      <w:r>
        <w:t>as a means to</w:t>
      </w:r>
      <w:proofErr w:type="gramEnd"/>
      <w:r>
        <w:t xml:space="preserve"> grant equality, not merely to provide better health care. He stated that society </w:t>
      </w:r>
      <w:proofErr w:type="gramStart"/>
      <w:r>
        <w:t>is able to</w:t>
      </w:r>
      <w:proofErr w:type="gramEnd"/>
      <w:r>
        <w:t xml:space="preserve"> disable people by creating physical space, services and institutions for non-disabled people. Changing the lives of disabled people therefore should be done by removing structural barriers rather than trying to ‘normali</w:t>
      </w:r>
      <w:r w:rsidR="0030126B">
        <w:t>s</w:t>
      </w:r>
      <w:r>
        <w:t>e' certain individuals with various medical interventions</w:t>
      </w:r>
      <w:r w:rsidR="00901C7C">
        <w:t xml:space="preserve"> (</w:t>
      </w:r>
      <w:r w:rsidR="00901C7C" w:rsidRPr="00901C7C">
        <w:t>Shakespeare</w:t>
      </w:r>
      <w:r w:rsidR="00901C7C">
        <w:t xml:space="preserve"> et al., 2022)</w:t>
      </w:r>
      <w:r>
        <w:t>. This view, wounding the paradigm of disability, shifted it from the arena of disability to that of justice, rights and citizenship, thereby affecting disability activism, practice and public policy.</w:t>
      </w:r>
    </w:p>
    <w:p w14:paraId="3E844DC0" w14:textId="60D46241" w:rsidR="008D36B6" w:rsidRDefault="008D36B6" w:rsidP="004E5FEB">
      <w:pPr>
        <w:spacing w:line="480" w:lineRule="auto"/>
      </w:pPr>
      <w:r>
        <w:t>The Social Model has also informed the theoretical underpinning of person-centred care as an approach to healthcare</w:t>
      </w:r>
      <w:r w:rsidR="00571662">
        <w:t>,</w:t>
      </w:r>
      <w:r>
        <w:t xml:space="preserve"> as both models are anti-paternalistic. Unlike practitioner-centred care</w:t>
      </w:r>
      <w:r w:rsidR="00571662">
        <w:t>,</w:t>
      </w:r>
      <w:r>
        <w:t xml:space="preserve"> which leaves the choice of what is good or best for the individual to practitioners, </w:t>
      </w:r>
      <w:r w:rsidR="00571662">
        <w:t>person-centred</w:t>
      </w:r>
      <w:r>
        <w:t xml:space="preserve"> care requires practitioners to work collaboratively, involve the person in </w:t>
      </w:r>
      <w:r w:rsidR="00571662">
        <w:t>decision-making</w:t>
      </w:r>
      <w:r>
        <w:t xml:space="preserve"> and respect their preferences (Santana et al., 2018; Ahmed et al., 2022). These are reinforced in the Social Model</w:t>
      </w:r>
      <w:r w:rsidR="00571662">
        <w:t>,</w:t>
      </w:r>
      <w:r>
        <w:t xml:space="preserve"> which acknowledges learning from disabled people themselves as experts in the design and delivery of disabled-led services. As a result</w:t>
      </w:r>
      <w:r w:rsidR="00571662">
        <w:t>,</w:t>
      </w:r>
      <w:r>
        <w:t xml:space="preserve"> the concept of disability is no longer purely a concept of impairment but a matter of ‘organisation, social and political change'.</w:t>
      </w:r>
    </w:p>
    <w:p w14:paraId="32FA1B9D" w14:textId="55F01C0E" w:rsidR="003F1EFD" w:rsidRPr="003F1EFD" w:rsidRDefault="008D36B6" w:rsidP="00FB2704">
      <w:pPr>
        <w:spacing w:line="480" w:lineRule="auto"/>
      </w:pPr>
      <w:r>
        <w:t xml:space="preserve">Although the Social Model dates back 40 years to when it was created, it is still very influential as many of the barriers raised back then have not changed. Whilst access to disability services, including health services, schools, </w:t>
      </w:r>
      <w:r w:rsidR="00571662">
        <w:t>opportunities</w:t>
      </w:r>
      <w:r>
        <w:t xml:space="preserve"> to enter the workforce</w:t>
      </w:r>
      <w:r w:rsidR="00571662">
        <w:t>,</w:t>
      </w:r>
      <w:r>
        <w:t xml:space="preserve"> and willingness to engage in community is malleable and has not determined disability, these stresses are evident in the persistence of inequities</w:t>
      </w:r>
      <w:r w:rsidR="00FB2704">
        <w:t xml:space="preserve"> (</w:t>
      </w:r>
      <w:r w:rsidR="00FB2704" w:rsidRPr="00FB2704">
        <w:t>United Nations</w:t>
      </w:r>
      <w:r w:rsidR="00FB2704">
        <w:t xml:space="preserve">, </w:t>
      </w:r>
      <w:r w:rsidR="00FB2704" w:rsidRPr="00FB2704">
        <w:t>2006</w:t>
      </w:r>
      <w:r w:rsidR="00FB2704">
        <w:t>)</w:t>
      </w:r>
      <w:r>
        <w:t>.</w:t>
      </w:r>
      <w:r w:rsidR="00571662">
        <w:t xml:space="preserve"> </w:t>
      </w:r>
      <w:r>
        <w:t>Access to disability services, health services, schools, jobs and community participation are structurally and environmentally influenced and do not make or break disability, as evidenced by the lasting inequities. The Social Model continues to be relevant and one of the main theoretical bases that supports Person Centred Care in the current health and social care context.</w:t>
      </w:r>
    </w:p>
    <w:p w14:paraId="2CE56DB7" w14:textId="5D0E8F88" w:rsidR="003F1EFD" w:rsidRPr="003F1EFD" w:rsidRDefault="003F1EFD" w:rsidP="004E5FEB">
      <w:pPr>
        <w:pStyle w:val="Heading2"/>
        <w:spacing w:line="480" w:lineRule="auto"/>
      </w:pPr>
      <w:bookmarkStart w:id="2" w:name="_Toc236476629"/>
      <w:r w:rsidRPr="003F1EFD">
        <w:lastRenderedPageBreak/>
        <w:t>Critiques of the Social Model of Disability</w:t>
      </w:r>
      <w:bookmarkEnd w:id="2"/>
    </w:p>
    <w:p w14:paraId="4DADE42F" w14:textId="5AF6F441" w:rsidR="007714B0" w:rsidRDefault="007714B0" w:rsidP="004E5FEB">
      <w:pPr>
        <w:spacing w:line="480" w:lineRule="auto"/>
      </w:pPr>
      <w:r>
        <w:t xml:space="preserve">The Social Model of Disability can be seen as a successful tool in disability rights activism and providing cause for reassessing the need for </w:t>
      </w:r>
      <w:r w:rsidR="00571662">
        <w:t>person-centred</w:t>
      </w:r>
      <w:r>
        <w:t xml:space="preserve"> </w:t>
      </w:r>
      <w:proofErr w:type="gramStart"/>
      <w:r>
        <w:t>care</w:t>
      </w:r>
      <w:r w:rsidR="00571662">
        <w:t>,</w:t>
      </w:r>
      <w:r>
        <w:t xml:space="preserve"> yet</w:t>
      </w:r>
      <w:proofErr w:type="gramEnd"/>
      <w:r>
        <w:t xml:space="preserve"> has been subject to much academic scrutiny. It has been argued that its focus on external barriers oversimplifies the complex lives of disabled people (Shakespeare and Watson, 2022), while its main weakness is that it focuses on social, environmental and institutional barriers which lead to disability. The model has helped to raise awareness about equality and fight against discrimination, but when applied to health and social services is a topic of debate.</w:t>
      </w:r>
    </w:p>
    <w:p w14:paraId="2317B864" w14:textId="3EF4ACEE" w:rsidR="007714B0" w:rsidRDefault="007714B0" w:rsidP="004E5FEB">
      <w:pPr>
        <w:spacing w:line="480" w:lineRule="auto"/>
      </w:pPr>
      <w:r>
        <w:t xml:space="preserve">There is a serious issue in the concept of </w:t>
      </w:r>
      <w:r w:rsidR="00571662">
        <w:t xml:space="preserve">the </w:t>
      </w:r>
      <w:r>
        <w:t xml:space="preserve">difference between impairment and disability. The view of the Social Model is that the barrier is to the person's impairment, producing disability (Oliver, 1990; UPIAS, 1976). While this </w:t>
      </w:r>
      <w:r w:rsidR="00571662">
        <w:t>puts</w:t>
      </w:r>
      <w:r>
        <w:t xml:space="preserve"> a challenge on the assumptions of </w:t>
      </w:r>
      <w:r w:rsidR="00571662">
        <w:t xml:space="preserve">the </w:t>
      </w:r>
      <w:r>
        <w:t xml:space="preserve">Medical Model, it has been criticised as being under-empathic to the </w:t>
      </w:r>
      <w:r w:rsidR="00571662">
        <w:t>effects</w:t>
      </w:r>
      <w:r>
        <w:t xml:space="preserve"> of chronic illness, pain and progressive diseases. Those who have multiple sclerosis or Parkinson's disease may also need medical care and rehabilitation, and this doesn't depend on being able to access their environment (Shakespeare, 2018). Thus, just claiming disability </w:t>
      </w:r>
      <w:proofErr w:type="gramStart"/>
      <w:r>
        <w:t>as a consequence of</w:t>
      </w:r>
      <w:proofErr w:type="gramEnd"/>
      <w:r>
        <w:t xml:space="preserve"> social barriers neglects the interaction of the biological, psychological and social factors affecting health and wellbeing.</w:t>
      </w:r>
    </w:p>
    <w:p w14:paraId="60099B95" w14:textId="1BA8CF94" w:rsidR="007714B0" w:rsidRDefault="007714B0" w:rsidP="004E5FEB">
      <w:pPr>
        <w:spacing w:line="480" w:lineRule="auto"/>
      </w:pPr>
      <w:r>
        <w:t>The model has also been challenged for the lack of attention given to the variability of experiences of consequences of disability. Individuals with profound learning disabilities, with dementia or severe mental health conditions often need 24-hour health care and social support, meaning medical and social care should be used in supportive ways, not replacement and not comprehensive (Shakespeare and Watson, 2022). Moreover, the Social Model pays little attention to a protection or intersectionality argument whereby disability intersects with poverty, ethnicity, gender and age to give rise to inequalities in access to healthcare, education and employment (World Health Organi</w:t>
      </w:r>
      <w:r w:rsidR="0030126B">
        <w:t>s</w:t>
      </w:r>
      <w:r>
        <w:t xml:space="preserve">ation, 2022). Disability </w:t>
      </w:r>
      <w:r w:rsidR="0030126B">
        <w:t>cannot</w:t>
      </w:r>
      <w:r>
        <w:t xml:space="preserve"> be conceived entirely in terms of environmental barriers, however.</w:t>
      </w:r>
    </w:p>
    <w:p w14:paraId="7A162408" w14:textId="6BA2995D" w:rsidR="008F74D5" w:rsidRPr="008F74D5" w:rsidRDefault="007714B0" w:rsidP="004E5FEB">
      <w:pPr>
        <w:spacing w:line="480" w:lineRule="auto"/>
      </w:pPr>
      <w:r>
        <w:lastRenderedPageBreak/>
        <w:t>Although there are some restrictions in the Social Model, its criticism is to be refined and not rejected as it has a high relevance. Combining the Social Model with person-centred and biopsychosocial approaches creates the opportunities to support the individual with impairment and social barriers and offers a holistic perspective and individualised care, whilst also adhering to equality and inclusion and human rights principles (Ahmed et al., 2022).</w:t>
      </w:r>
    </w:p>
    <w:p w14:paraId="68E872AA" w14:textId="6E83F4BF" w:rsidR="003F1EFD" w:rsidRPr="003F1EFD" w:rsidRDefault="003F1EFD" w:rsidP="004E5FEB">
      <w:pPr>
        <w:pStyle w:val="Heading2"/>
        <w:spacing w:line="480" w:lineRule="auto"/>
      </w:pPr>
      <w:bookmarkStart w:id="3" w:name="_Toc236476630"/>
      <w:r w:rsidRPr="003F1EFD">
        <w:t>Application of the Social Model of Disability to Health and Social Care Policy and Practice</w:t>
      </w:r>
      <w:bookmarkEnd w:id="3"/>
    </w:p>
    <w:p w14:paraId="57BC66CF" w14:textId="0070C2AD" w:rsidR="003E156A" w:rsidRPr="003E156A" w:rsidRDefault="003E156A" w:rsidP="004E5FEB">
      <w:pPr>
        <w:spacing w:line="480" w:lineRule="auto"/>
      </w:pPr>
      <w:r w:rsidRPr="003E156A">
        <w:t xml:space="preserve">The Social Model of Disability has had a profound impact upon health and social care policy because it has challenged the idea of "impairment" and focused on the barriers which disabled people face to accessing society. This approach is underpinned by person-centred care, with the benefits of encouraging independence, autonomy and active involvement in </w:t>
      </w:r>
      <w:r w:rsidR="00571662">
        <w:t>decision-making</w:t>
      </w:r>
      <w:r w:rsidRPr="003E156A">
        <w:t xml:space="preserve">; moving away from professional assumptions of care; </w:t>
      </w:r>
      <w:r w:rsidR="00571662">
        <w:t xml:space="preserve">and </w:t>
      </w:r>
      <w:r w:rsidRPr="003E156A">
        <w:t>individualised care (Santana et al., 2018; Ahmed et al., 2022).</w:t>
      </w:r>
    </w:p>
    <w:p w14:paraId="077EE91B" w14:textId="0D453631" w:rsidR="00133E4C" w:rsidRDefault="00133E4C" w:rsidP="004E5FEB">
      <w:pPr>
        <w:spacing w:line="480" w:lineRule="auto"/>
      </w:pPr>
      <w:r>
        <w:t xml:space="preserve">The Equality Act 2010 is a prime example, as it gave the legal </w:t>
      </w:r>
      <w:r w:rsidR="00571662">
        <w:t>framework</w:t>
      </w:r>
      <w:r>
        <w:t xml:space="preserve"> around disability discrimination, and gave responsibilities to organisations to make reasonable adjustments to give people with disabilities an equal opportunity to access employment, education and healthcare (Equality Act, 2010). These changes involve providing access to environments, assistive technologies and alternative communication systems</w:t>
      </w:r>
      <w:r w:rsidR="00571662">
        <w:t>,</w:t>
      </w:r>
      <w:r>
        <w:t xml:space="preserve"> </w:t>
      </w:r>
      <w:proofErr w:type="gramStart"/>
      <w:r>
        <w:t>taking into account</w:t>
      </w:r>
      <w:proofErr w:type="gramEnd"/>
      <w:r>
        <w:t xml:space="preserve"> the mantras of the Social Model</w:t>
      </w:r>
      <w:r w:rsidR="00571662">
        <w:t>,</w:t>
      </w:r>
      <w:r>
        <w:t xml:space="preserve"> which emphasises that barriers to participation in organisations and the environments where they are situated lead to a disability and are not, themselves, the disability. Nevertheless, even with this legal system</w:t>
      </w:r>
      <w:r w:rsidR="00571662">
        <w:t>,</w:t>
      </w:r>
      <w:r>
        <w:t xml:space="preserve"> many disabled persons are facing unequal access to healthcare because of poor implementation, lack of resources and poor organisational accountability (World Health Organi</w:t>
      </w:r>
      <w:r w:rsidR="0030126B">
        <w:t>s</w:t>
      </w:r>
      <w:r>
        <w:t>ation, 2022). This shows that a law without enforcement and continued investment will not necessarily solve structural inequalities.</w:t>
      </w:r>
    </w:p>
    <w:p w14:paraId="2AC17093" w14:textId="1CBFFAB1" w:rsidR="00133E4C" w:rsidRDefault="00133E4C" w:rsidP="004E5FEB">
      <w:pPr>
        <w:spacing w:line="480" w:lineRule="auto"/>
      </w:pPr>
      <w:r>
        <w:t xml:space="preserve">The Care Act 2014 also ensures that the Social Model is embedded as the Care Act places wellbeing, independence and personal choice at the heart of adult social care. The Act places </w:t>
      </w:r>
      <w:r>
        <w:lastRenderedPageBreak/>
        <w:t xml:space="preserve">emphasis on individuals as partners in decisions about their support and social participation, dignity and community inclusion by using personalised assessments and care planning (Care Act, 2014). It shows that successful outcomes require knowledge of the wider social context that impinges upon wellbeing and does not just centre on physical care needs, a principle of </w:t>
      </w:r>
      <w:r w:rsidR="00571662">
        <w:t>person-centred</w:t>
      </w:r>
      <w:r>
        <w:t xml:space="preserve"> care.</w:t>
      </w:r>
    </w:p>
    <w:p w14:paraId="5A0880FB" w14:textId="08784E5F" w:rsidR="00133E4C" w:rsidRDefault="00133E4C" w:rsidP="004E5FEB">
      <w:pPr>
        <w:spacing w:line="480" w:lineRule="auto"/>
      </w:pPr>
      <w:r>
        <w:t>Likewise</w:t>
      </w:r>
      <w:r w:rsidR="00571662">
        <w:t>,</w:t>
      </w:r>
      <w:r>
        <w:t xml:space="preserve"> NHS England's Accessible Information Standard (AIS) states that the health care provider must consider and act upon what the disabled person needs to communicate, provide it in an appropriate accessible format (preferably Easy Read, or Braille and/or British Sign Language (BSL) interpretation) (NHS England, 2024). The Standard puts the onus on healthcare organisations to minimise communication barriers within, meaning informed consent, shared </w:t>
      </w:r>
      <w:r w:rsidR="00571662">
        <w:t>decision-making</w:t>
      </w:r>
      <w:r>
        <w:t xml:space="preserve"> and a more inclusive service delivery, again supporting the principles of the Social Model and </w:t>
      </w:r>
      <w:r w:rsidR="00571662">
        <w:t>person-centred</w:t>
      </w:r>
      <w:r>
        <w:t xml:space="preserve"> care.</w:t>
      </w:r>
    </w:p>
    <w:p w14:paraId="7B204225" w14:textId="748241CF" w:rsidR="00782B68" w:rsidRPr="00782B68" w:rsidRDefault="00133E4C" w:rsidP="004E5FEB">
      <w:pPr>
        <w:spacing w:line="480" w:lineRule="auto"/>
      </w:pPr>
      <w:r>
        <w:t>Notwithstanding these policy steps, there is still much that is challenging. Disabled individuals remain at a higher risk of sub-standard health outcomes due to inaccessibility of services, discriminatory attitudes and a lack of training of workers in health services (World Health Organi</w:t>
      </w:r>
      <w:r w:rsidR="0030126B">
        <w:t>s</w:t>
      </w:r>
      <w:r>
        <w:t>ation, 2022; World Health Organi</w:t>
      </w:r>
      <w:r w:rsidR="0030126B">
        <w:t>s</w:t>
      </w:r>
      <w:r>
        <w:t xml:space="preserve">ation, 2023). Changes in legislation and professional practice in the context of the Social Model have helped, but changes in practice must be ongoing if we are to make the transition towards </w:t>
      </w:r>
      <w:r w:rsidR="00571662">
        <w:t>person-centred</w:t>
      </w:r>
      <w:r>
        <w:t xml:space="preserve"> care a reality</w:t>
      </w:r>
      <w:r w:rsidR="00571662">
        <w:t>,</w:t>
      </w:r>
      <w:r>
        <w:t xml:space="preserve"> and this will mean a commitment to continuous professional development, adequate funding, and organisational commitment as well as legislation.</w:t>
      </w:r>
    </w:p>
    <w:p w14:paraId="4D2371E4" w14:textId="0F4EAD32" w:rsidR="003F1EFD" w:rsidRPr="003F1EFD" w:rsidRDefault="003F1EFD" w:rsidP="004E5FEB">
      <w:pPr>
        <w:pStyle w:val="Heading2"/>
        <w:spacing w:line="480" w:lineRule="auto"/>
      </w:pPr>
      <w:bookmarkStart w:id="4" w:name="_Toc236476631"/>
      <w:r w:rsidRPr="003F1EFD">
        <w:t>Recommendations</w:t>
      </w:r>
      <w:bookmarkEnd w:id="4"/>
    </w:p>
    <w:p w14:paraId="1BDC6650" w14:textId="3398DEC7" w:rsidR="00133E4C" w:rsidRDefault="00133E4C" w:rsidP="004E5FEB">
      <w:pPr>
        <w:spacing w:line="480" w:lineRule="auto"/>
      </w:pPr>
      <w:r>
        <w:t xml:space="preserve">While the Social Model of Disability has had a profound impact on policy for health and social care, there remains a need for this model to be further developed in line with its principles so that these are consistently implemented and disseminated into daily practice. </w:t>
      </w:r>
      <w:r w:rsidR="00571662">
        <w:t>Increasing</w:t>
      </w:r>
      <w:r>
        <w:t xml:space="preserve"> health and social care workforce disability competency is a priority. Knowledge of the law should be </w:t>
      </w:r>
      <w:r>
        <w:lastRenderedPageBreak/>
        <w:t xml:space="preserve">coupled with a focus on skills and skills training in communication, reasonable adjustment and shared decision making, culturally responsive care and support. There is evidence that disability competence training benefits health professionals' understanding of disability and minimises unconscious bias to enable more equitable and person-centred services (Phillips, England and </w:t>
      </w:r>
      <w:proofErr w:type="spellStart"/>
      <w:r>
        <w:t>Wishengrad</w:t>
      </w:r>
      <w:proofErr w:type="spellEnd"/>
      <w:r>
        <w:t>, 2021).</w:t>
      </w:r>
    </w:p>
    <w:p w14:paraId="714DC02F" w14:textId="0D34FC8B" w:rsidR="00133E4C" w:rsidRDefault="00133E4C" w:rsidP="004E5FEB">
      <w:pPr>
        <w:spacing w:line="480" w:lineRule="auto"/>
      </w:pPr>
      <w:r>
        <w:t xml:space="preserve">More disabled people involved in the planning, delivering and assessing of health and social care services is also important. In line with the principles of the Social Model, use the concept of service users being experts, via </w:t>
      </w:r>
      <w:r w:rsidR="00571662">
        <w:t>co-production-based</w:t>
      </w:r>
      <w:r>
        <w:t xml:space="preserve"> approaches where they can contribute to the making of policy and organisational </w:t>
      </w:r>
      <w:r w:rsidR="00571662">
        <w:t>decisions</w:t>
      </w:r>
      <w:r>
        <w:t>. This helps to enhance service effectiveness and responsiveness and to ensure that interventions are based on the experiences and voices of people with disabilities rather than the professional sector's assumptions (Ahmed et al., 2022).</w:t>
      </w:r>
    </w:p>
    <w:p w14:paraId="7A636C58" w14:textId="6AEE9466" w:rsidR="003F1EFD" w:rsidRPr="003F1EFD" w:rsidRDefault="00133E4C" w:rsidP="004E5FEB">
      <w:pPr>
        <w:spacing w:line="480" w:lineRule="auto"/>
      </w:pPr>
      <w:r>
        <w:t xml:space="preserve">Lastly, there is a need to enhance supervision of disability provisions. The Equality Act 2010 and the Care Act 2014 offer broad and far-reaching legislative frameworks; however, less than consistent implementation exists and is a barrier to fairness in access to care. Future policy should therefore focus on making it so that person-centred care is enacted as a consistent reality rather than as an aspirational principle through aspects such as </w:t>
      </w:r>
      <w:r w:rsidR="00571662">
        <w:t>organisational</w:t>
      </w:r>
      <w:r>
        <w:t xml:space="preserve"> accountability, infrastructure that is accessible, inclusion of digital and sustained investment </w:t>
      </w:r>
      <w:r w:rsidR="00571662">
        <w:t>in</w:t>
      </w:r>
      <w:r>
        <w:t xml:space="preserve"> inclusive services (</w:t>
      </w:r>
      <w:r w:rsidR="008D6470" w:rsidRPr="00F72F02">
        <w:t xml:space="preserve">World Health </w:t>
      </w:r>
      <w:r w:rsidR="000247C2">
        <w:t>Organisation</w:t>
      </w:r>
      <w:r w:rsidR="008D6470" w:rsidRPr="00F72F02">
        <w:t xml:space="preserve"> and United Nations Children's Fund</w:t>
      </w:r>
      <w:r w:rsidR="008D6470">
        <w:t xml:space="preserve">, </w:t>
      </w:r>
      <w:r w:rsidR="008D6470" w:rsidRPr="00F72F02">
        <w:t>2022</w:t>
      </w:r>
      <w:r>
        <w:t>).</w:t>
      </w:r>
    </w:p>
    <w:p w14:paraId="686332A9" w14:textId="5B93174F" w:rsidR="003F1EFD" w:rsidRPr="003F1EFD" w:rsidRDefault="003F1EFD" w:rsidP="004E5FEB">
      <w:pPr>
        <w:pStyle w:val="Heading1"/>
        <w:spacing w:line="480" w:lineRule="auto"/>
      </w:pPr>
      <w:bookmarkStart w:id="5" w:name="_Toc236476632"/>
      <w:r w:rsidRPr="003F1EFD">
        <w:t>Conclusion</w:t>
      </w:r>
      <w:bookmarkEnd w:id="5"/>
    </w:p>
    <w:p w14:paraId="68BDB63C" w14:textId="28C735FB" w:rsidR="00133E4C" w:rsidRPr="00133E4C" w:rsidRDefault="00133E4C" w:rsidP="004E5FEB">
      <w:pPr>
        <w:spacing w:line="480" w:lineRule="auto"/>
      </w:pPr>
      <w:r w:rsidRPr="00133E4C">
        <w:t xml:space="preserve">The Social Model of Disability has changed the way that disability is seen, from focusing on people's impairments, towards focusing on the social and environmental problems that exclude them from being able to participate. This view has been a key driver of </w:t>
      </w:r>
      <w:r w:rsidR="00571662">
        <w:t>person-centred</w:t>
      </w:r>
      <w:r w:rsidRPr="00133E4C">
        <w:t xml:space="preserve"> practice with a focus on autonomy, equality and inclusive practice</w:t>
      </w:r>
      <w:r w:rsidR="00571662">
        <w:t>,</w:t>
      </w:r>
      <w:r w:rsidRPr="00133E4C">
        <w:t xml:space="preserve"> as seen in the UK legislation in the Equality Act 2010 and the Care Act 2014. The model's lack of recognition of impairment and </w:t>
      </w:r>
      <w:r w:rsidRPr="00133E4C">
        <w:lastRenderedPageBreak/>
        <w:t xml:space="preserve">complexity of healthcare needs, however, emphasises the need for </w:t>
      </w:r>
      <w:r w:rsidR="00571662">
        <w:t xml:space="preserve">an </w:t>
      </w:r>
      <w:r w:rsidRPr="00133E4C">
        <w:t xml:space="preserve">integrated approach. </w:t>
      </w:r>
      <w:proofErr w:type="gramStart"/>
      <w:r w:rsidRPr="00133E4C">
        <w:t>As a whole, the</w:t>
      </w:r>
      <w:proofErr w:type="gramEnd"/>
      <w:r w:rsidRPr="00133E4C">
        <w:t xml:space="preserve"> Social Model is still important to modern health and social care as it supports the principles of equality, inclusion and </w:t>
      </w:r>
      <w:r w:rsidR="00571662">
        <w:t>rights-based</w:t>
      </w:r>
      <w:r w:rsidRPr="00133E4C">
        <w:t>, person-centred care and fosters transformative action.</w:t>
      </w:r>
    </w:p>
    <w:p w14:paraId="28A7FDEB" w14:textId="77777777" w:rsidR="00F72F02" w:rsidRDefault="00F72F02" w:rsidP="004E5FEB">
      <w:pPr>
        <w:spacing w:line="480" w:lineRule="auto"/>
      </w:pPr>
    </w:p>
    <w:p w14:paraId="312D0FEE" w14:textId="77777777" w:rsidR="00F72F02" w:rsidRDefault="00F72F02" w:rsidP="004E5FEB">
      <w:pPr>
        <w:spacing w:before="0" w:after="160" w:line="480" w:lineRule="auto"/>
        <w:ind w:firstLine="0"/>
        <w:contextualSpacing w:val="0"/>
        <w:jc w:val="left"/>
      </w:pPr>
      <w:r>
        <w:br w:type="page"/>
      </w:r>
    </w:p>
    <w:p w14:paraId="0608B44B" w14:textId="3CB2F7D4" w:rsidR="00F72F02" w:rsidRPr="00F72F02" w:rsidRDefault="00F72F02" w:rsidP="004E5FEB">
      <w:pPr>
        <w:pStyle w:val="Heading1"/>
        <w:spacing w:line="480" w:lineRule="auto"/>
      </w:pPr>
      <w:bookmarkStart w:id="6" w:name="_Toc236476633"/>
      <w:r w:rsidRPr="00F72F02">
        <w:lastRenderedPageBreak/>
        <w:t>Reference</w:t>
      </w:r>
      <w:r>
        <w:t>s</w:t>
      </w:r>
      <w:bookmarkEnd w:id="6"/>
    </w:p>
    <w:p w14:paraId="3D581628" w14:textId="77777777" w:rsidR="003847E2" w:rsidRDefault="003847E2" w:rsidP="003847E2">
      <w:pPr>
        <w:spacing w:line="480" w:lineRule="auto"/>
        <w:ind w:left="720" w:hanging="720"/>
      </w:pPr>
      <w:r w:rsidRPr="0064227E">
        <w:t xml:space="preserve">Ahmed, A., van den </w:t>
      </w:r>
      <w:proofErr w:type="spellStart"/>
      <w:r w:rsidRPr="0064227E">
        <w:t>Muijsenbergh</w:t>
      </w:r>
      <w:proofErr w:type="spellEnd"/>
      <w:r w:rsidRPr="0064227E">
        <w:t xml:space="preserve">, M. E., </w:t>
      </w:r>
      <w:r>
        <w:t>and</w:t>
      </w:r>
      <w:r w:rsidRPr="0064227E">
        <w:t xml:space="preserve"> </w:t>
      </w:r>
      <w:proofErr w:type="spellStart"/>
      <w:r w:rsidRPr="0064227E">
        <w:t>Vrijhoef</w:t>
      </w:r>
      <w:proofErr w:type="spellEnd"/>
      <w:r w:rsidRPr="0064227E">
        <w:t xml:space="preserve">, H. J. (2022). Person‐centred care in primary care: what works for whom, how and in what </w:t>
      </w:r>
      <w:proofErr w:type="gramStart"/>
      <w:r w:rsidRPr="0064227E">
        <w:t>circumstances?.</w:t>
      </w:r>
      <w:proofErr w:type="gramEnd"/>
      <w:r w:rsidRPr="0064227E">
        <w:t> </w:t>
      </w:r>
      <w:r w:rsidRPr="0064227E">
        <w:rPr>
          <w:i/>
          <w:iCs/>
        </w:rPr>
        <w:t xml:space="preserve">Health </w:t>
      </w:r>
      <w:r>
        <w:rPr>
          <w:i/>
          <w:iCs/>
        </w:rPr>
        <w:t>and</w:t>
      </w:r>
      <w:r w:rsidRPr="0064227E">
        <w:rPr>
          <w:i/>
          <w:iCs/>
        </w:rPr>
        <w:t xml:space="preserve"> social care in the community</w:t>
      </w:r>
      <w:r w:rsidRPr="0064227E">
        <w:t>, </w:t>
      </w:r>
      <w:r w:rsidRPr="0064227E">
        <w:rPr>
          <w:i/>
          <w:iCs/>
        </w:rPr>
        <w:t>30</w:t>
      </w:r>
      <w:r w:rsidRPr="0064227E">
        <w:t>(6), e3328-e3341.</w:t>
      </w:r>
    </w:p>
    <w:p w14:paraId="7756E1C2" w14:textId="77777777" w:rsidR="003847E2" w:rsidRPr="00F72F02" w:rsidRDefault="003847E2" w:rsidP="003847E2">
      <w:pPr>
        <w:spacing w:line="480" w:lineRule="auto"/>
        <w:ind w:left="720" w:hanging="720"/>
      </w:pPr>
      <w:r w:rsidRPr="00F72F02">
        <w:t xml:space="preserve">Care Act 2014. (2014) </w:t>
      </w:r>
      <w:r w:rsidRPr="00F72F02">
        <w:rPr>
          <w:i/>
          <w:iCs/>
        </w:rPr>
        <w:t>Care Act 2014</w:t>
      </w:r>
      <w:r w:rsidRPr="00F72F02">
        <w:t xml:space="preserve">. London: The Stationery Office. Available at: </w:t>
      </w:r>
      <w:hyperlink r:id="rId7" w:tgtFrame="_new" w:history="1">
        <w:r w:rsidRPr="00F72F02">
          <w:rPr>
            <w:rStyle w:val="Hyperlink"/>
          </w:rPr>
          <w:t>https://www.legislation.gov.uk/ukpga/2014/23/contents</w:t>
        </w:r>
      </w:hyperlink>
    </w:p>
    <w:p w14:paraId="5B1FB886" w14:textId="77777777" w:rsidR="003847E2" w:rsidRPr="00F72F02" w:rsidRDefault="003847E2" w:rsidP="003847E2">
      <w:pPr>
        <w:spacing w:line="480" w:lineRule="auto"/>
        <w:ind w:left="720" w:hanging="720"/>
      </w:pPr>
      <w:r w:rsidRPr="00F72F02">
        <w:t xml:space="preserve">Equality Act 2010. (2010) </w:t>
      </w:r>
      <w:r w:rsidRPr="00F72F02">
        <w:rPr>
          <w:i/>
          <w:iCs/>
        </w:rPr>
        <w:t>Equality Act 2010</w:t>
      </w:r>
      <w:r w:rsidRPr="00F72F02">
        <w:t xml:space="preserve">. London: The Stationery Office. Available at: </w:t>
      </w:r>
      <w:hyperlink r:id="rId8" w:tgtFrame="_new" w:history="1">
        <w:r w:rsidRPr="00F72F02">
          <w:rPr>
            <w:rStyle w:val="Hyperlink"/>
          </w:rPr>
          <w:t>https://www.legislation.gov.uk/ukpga/2010/15/contents</w:t>
        </w:r>
      </w:hyperlink>
    </w:p>
    <w:p w14:paraId="6AF6DFFE" w14:textId="77777777" w:rsidR="003847E2" w:rsidRPr="00F72F02" w:rsidRDefault="003847E2" w:rsidP="003847E2">
      <w:pPr>
        <w:spacing w:line="480" w:lineRule="auto"/>
        <w:ind w:left="720" w:hanging="720"/>
      </w:pPr>
      <w:r w:rsidRPr="00F72F02">
        <w:t xml:space="preserve">NHS England (2024) </w:t>
      </w:r>
      <w:r w:rsidRPr="00F72F02">
        <w:rPr>
          <w:i/>
          <w:iCs/>
        </w:rPr>
        <w:t>Accessible Information Standard: Specification</w:t>
      </w:r>
      <w:r w:rsidRPr="00F72F02">
        <w:t xml:space="preserve">. Available at: </w:t>
      </w:r>
      <w:hyperlink r:id="rId9" w:tgtFrame="_new" w:history="1">
        <w:r w:rsidRPr="00F72F02">
          <w:rPr>
            <w:rStyle w:val="Hyperlink"/>
          </w:rPr>
          <w:t>https://www.england.nhs.uk/long-read/accessible-information-standard-requirements-dapb1605/</w:t>
        </w:r>
      </w:hyperlink>
      <w:r w:rsidRPr="00F72F02">
        <w:t xml:space="preserve"> </w:t>
      </w:r>
    </w:p>
    <w:p w14:paraId="1BFC0205" w14:textId="77777777" w:rsidR="003847E2" w:rsidRPr="00F72F02" w:rsidRDefault="003847E2" w:rsidP="003847E2">
      <w:pPr>
        <w:spacing w:line="480" w:lineRule="auto"/>
        <w:ind w:left="720" w:hanging="720"/>
      </w:pPr>
      <w:r w:rsidRPr="00F72F02">
        <w:t xml:space="preserve">Oliver, M. (1990) </w:t>
      </w:r>
      <w:r w:rsidRPr="00F72F02">
        <w:rPr>
          <w:i/>
          <w:iCs/>
        </w:rPr>
        <w:t>The Politics of Disablement</w:t>
      </w:r>
      <w:r w:rsidRPr="00F72F02">
        <w:t>. London: Macmillan.</w:t>
      </w:r>
    </w:p>
    <w:p w14:paraId="2DE63F47" w14:textId="77777777" w:rsidR="003847E2" w:rsidRDefault="003847E2" w:rsidP="003847E2">
      <w:pPr>
        <w:spacing w:line="480" w:lineRule="auto"/>
        <w:ind w:left="720" w:hanging="720"/>
      </w:pPr>
      <w:r w:rsidRPr="0064227E">
        <w:t xml:space="preserve">Phillips, K. G., England, E., </w:t>
      </w:r>
      <w:r>
        <w:t>and</w:t>
      </w:r>
      <w:r w:rsidRPr="0064227E">
        <w:t xml:space="preserve"> </w:t>
      </w:r>
      <w:proofErr w:type="spellStart"/>
      <w:r w:rsidRPr="0064227E">
        <w:t>Wishengrad</w:t>
      </w:r>
      <w:proofErr w:type="spellEnd"/>
      <w:r w:rsidRPr="0064227E">
        <w:t>, J. S. (2021). Disability-competence training influences health care providers’ conceptualizations of disability: An evaluation study. </w:t>
      </w:r>
      <w:r w:rsidRPr="0064227E">
        <w:rPr>
          <w:i/>
          <w:iCs/>
        </w:rPr>
        <w:t>Disability and health journal</w:t>
      </w:r>
      <w:r w:rsidRPr="0064227E">
        <w:t>, </w:t>
      </w:r>
      <w:r w:rsidRPr="0064227E">
        <w:rPr>
          <w:i/>
          <w:iCs/>
        </w:rPr>
        <w:t>14</w:t>
      </w:r>
      <w:r w:rsidRPr="0064227E">
        <w:t>(4), 101124.</w:t>
      </w:r>
    </w:p>
    <w:p w14:paraId="751648E0" w14:textId="77777777" w:rsidR="003847E2" w:rsidRDefault="003847E2" w:rsidP="003847E2">
      <w:pPr>
        <w:spacing w:line="480" w:lineRule="auto"/>
        <w:ind w:left="720" w:hanging="720"/>
      </w:pPr>
      <w:r w:rsidRPr="008E6F8A">
        <w:t xml:space="preserve">Santana, M. J., Manalili, K., Jolley, R. J., Zelinsky, S., Quan, H., </w:t>
      </w:r>
      <w:r>
        <w:t>and</w:t>
      </w:r>
      <w:r w:rsidRPr="008E6F8A">
        <w:t xml:space="preserve"> Lu, M. (2018). How to practice person‐centred care: A conceptual framework. </w:t>
      </w:r>
      <w:r w:rsidRPr="008E6F8A">
        <w:rPr>
          <w:i/>
          <w:iCs/>
        </w:rPr>
        <w:t>Health Expectations</w:t>
      </w:r>
      <w:r w:rsidRPr="008E6F8A">
        <w:t>, </w:t>
      </w:r>
      <w:r w:rsidRPr="008E6F8A">
        <w:rPr>
          <w:i/>
          <w:iCs/>
        </w:rPr>
        <w:t>21</w:t>
      </w:r>
      <w:r w:rsidRPr="008E6F8A">
        <w:t>(2), 429-440.</w:t>
      </w:r>
    </w:p>
    <w:p w14:paraId="72F6C184" w14:textId="77777777" w:rsidR="003847E2" w:rsidRPr="00F72F02" w:rsidRDefault="003847E2" w:rsidP="003847E2">
      <w:pPr>
        <w:spacing w:line="480" w:lineRule="auto"/>
        <w:ind w:left="720" w:hanging="720"/>
      </w:pPr>
      <w:r w:rsidRPr="00F72F02">
        <w:t xml:space="preserve">Shakespeare, T. (2018) </w:t>
      </w:r>
      <w:r w:rsidRPr="00F72F02">
        <w:rPr>
          <w:i/>
          <w:iCs/>
        </w:rPr>
        <w:t>Disability: The Basics</w:t>
      </w:r>
      <w:r w:rsidRPr="00F72F02">
        <w:t>. London: Routledge.</w:t>
      </w:r>
    </w:p>
    <w:p w14:paraId="7F6AE6CD" w14:textId="4F0C54D7" w:rsidR="003847E2" w:rsidRDefault="009320C2" w:rsidP="009320C2">
      <w:pPr>
        <w:spacing w:line="480" w:lineRule="auto"/>
        <w:ind w:left="720" w:hanging="720"/>
      </w:pPr>
      <w:r w:rsidRPr="009320C2">
        <w:t xml:space="preserve">Shakespeare, T. and Watson, N. (2001) 'The social model of disability: An outdated ideology?', in </w:t>
      </w:r>
      <w:r w:rsidRPr="009320C2">
        <w:rPr>
          <w:i/>
          <w:iCs/>
        </w:rPr>
        <w:t>Research in Social Science and Disability</w:t>
      </w:r>
      <w:r w:rsidRPr="009320C2">
        <w:t>, Vol. 2. Oxford: Elsevier, pp. 9–28.</w:t>
      </w:r>
    </w:p>
    <w:p w14:paraId="43253E6F" w14:textId="77777777" w:rsidR="003847E2" w:rsidRDefault="003847E2" w:rsidP="003847E2">
      <w:pPr>
        <w:spacing w:line="480" w:lineRule="auto"/>
        <w:ind w:left="720" w:hanging="720"/>
      </w:pPr>
      <w:r w:rsidRPr="008E6F8A">
        <w:t xml:space="preserve">Shakespeare, T., </w:t>
      </w:r>
      <w:r>
        <w:t>and</w:t>
      </w:r>
      <w:r w:rsidRPr="008E6F8A">
        <w:t xml:space="preserve"> Watson, N. (2022). Frameworks, models, theories, and experiences for understanding disability. </w:t>
      </w:r>
      <w:r w:rsidRPr="008E6F8A">
        <w:rPr>
          <w:i/>
          <w:iCs/>
        </w:rPr>
        <w:t>The Oxford handbook of the sociology of disability</w:t>
      </w:r>
      <w:r w:rsidRPr="008E6F8A">
        <w:t>, 17-37.</w:t>
      </w:r>
    </w:p>
    <w:p w14:paraId="06D8FAD3" w14:textId="77777777" w:rsidR="003847E2" w:rsidRDefault="003847E2" w:rsidP="003847E2">
      <w:pPr>
        <w:spacing w:line="480" w:lineRule="auto"/>
        <w:ind w:left="720" w:hanging="720"/>
      </w:pPr>
      <w:r w:rsidRPr="0029590C">
        <w:t xml:space="preserve">Shakespeare, T., Watson, N., Brunner, R., Cullingworth, J., Hameed, S., Scherer, N., ... </w:t>
      </w:r>
      <w:r>
        <w:t>and</w:t>
      </w:r>
      <w:r w:rsidRPr="0029590C">
        <w:t xml:space="preserve"> Reichenberger, V. (2022). Disabled people in Britain and the impact of the COVID‐19 pandemic. </w:t>
      </w:r>
      <w:r w:rsidRPr="0029590C">
        <w:rPr>
          <w:i/>
          <w:iCs/>
        </w:rPr>
        <w:t xml:space="preserve">Social Policy </w:t>
      </w:r>
      <w:r>
        <w:rPr>
          <w:i/>
          <w:iCs/>
        </w:rPr>
        <w:t>and</w:t>
      </w:r>
      <w:r w:rsidRPr="0029590C">
        <w:rPr>
          <w:i/>
          <w:iCs/>
        </w:rPr>
        <w:t xml:space="preserve"> Administration</w:t>
      </w:r>
      <w:r w:rsidRPr="0029590C">
        <w:t>, </w:t>
      </w:r>
      <w:r w:rsidRPr="0029590C">
        <w:rPr>
          <w:i/>
          <w:iCs/>
        </w:rPr>
        <w:t>56</w:t>
      </w:r>
      <w:r w:rsidRPr="0029590C">
        <w:t>(1), 103-117.</w:t>
      </w:r>
    </w:p>
    <w:p w14:paraId="4D1B239A" w14:textId="77777777" w:rsidR="003847E2" w:rsidRPr="00F72F02" w:rsidRDefault="003847E2" w:rsidP="003847E2">
      <w:pPr>
        <w:spacing w:line="480" w:lineRule="auto"/>
        <w:ind w:left="720" w:hanging="720"/>
      </w:pPr>
      <w:r w:rsidRPr="00F72F02">
        <w:lastRenderedPageBreak/>
        <w:t xml:space="preserve">Union of the Physically Impaired Against Segregation (UPIAS) (1976) </w:t>
      </w:r>
      <w:r w:rsidRPr="00F72F02">
        <w:rPr>
          <w:i/>
          <w:iCs/>
        </w:rPr>
        <w:t>Fundamental Principles of Disability</w:t>
      </w:r>
      <w:r w:rsidRPr="00F72F02">
        <w:t>. London: UPIAS.</w:t>
      </w:r>
      <w:r>
        <w:t xml:space="preserve"> </w:t>
      </w:r>
      <w:r w:rsidRPr="00E56231">
        <w:t>https://disability-studies.leeds.ac.uk/wp-content/uploads/sites/40/library/UPIAS-fundamental-principles.pdf</w:t>
      </w:r>
    </w:p>
    <w:p w14:paraId="2531B891" w14:textId="77777777" w:rsidR="003847E2" w:rsidRPr="00F72F02" w:rsidRDefault="003847E2" w:rsidP="003847E2">
      <w:pPr>
        <w:spacing w:line="480" w:lineRule="auto"/>
        <w:ind w:left="720" w:hanging="720"/>
      </w:pPr>
      <w:r w:rsidRPr="00F72F02">
        <w:t xml:space="preserve">United Nations (2006) </w:t>
      </w:r>
      <w:r w:rsidRPr="00F72F02">
        <w:rPr>
          <w:i/>
          <w:iCs/>
        </w:rPr>
        <w:t>Convention on the Rights of Persons with Disabilities</w:t>
      </w:r>
      <w:r w:rsidRPr="00F72F02">
        <w:t xml:space="preserve">. New York: United Nations. Available at: </w:t>
      </w:r>
      <w:hyperlink r:id="rId10" w:tgtFrame="_new" w:history="1">
        <w:r w:rsidRPr="00F72F02">
          <w:rPr>
            <w:rStyle w:val="Hyperlink"/>
          </w:rPr>
          <w:t>https://www.un.org/disabilities/documents/convention/convention_accessible_pdf.pdf</w:t>
        </w:r>
      </w:hyperlink>
    </w:p>
    <w:p w14:paraId="7F82628C" w14:textId="77777777" w:rsidR="003847E2" w:rsidRPr="00F72F02" w:rsidRDefault="003847E2" w:rsidP="003847E2">
      <w:pPr>
        <w:spacing w:line="480" w:lineRule="auto"/>
        <w:ind w:left="720" w:hanging="720"/>
      </w:pPr>
      <w:r w:rsidRPr="00F72F02">
        <w:t xml:space="preserve">World Health Organization (2022) </w:t>
      </w:r>
      <w:r w:rsidRPr="00F72F02">
        <w:rPr>
          <w:i/>
          <w:iCs/>
        </w:rPr>
        <w:t>Global Report on Health Equity for Persons with Disabilities</w:t>
      </w:r>
      <w:r w:rsidRPr="00F72F02">
        <w:t xml:space="preserve">. Geneva: World Health Organization. Available at: </w:t>
      </w:r>
      <w:hyperlink r:id="rId11" w:tgtFrame="_new" w:history="1">
        <w:r w:rsidRPr="00F72F02">
          <w:rPr>
            <w:rStyle w:val="Hyperlink"/>
          </w:rPr>
          <w:t>https://www.who.int/publications/i/item/9789240063600</w:t>
        </w:r>
      </w:hyperlink>
    </w:p>
    <w:p w14:paraId="480B86D3" w14:textId="77777777" w:rsidR="003847E2" w:rsidRPr="00F72F02" w:rsidRDefault="003847E2" w:rsidP="003847E2">
      <w:pPr>
        <w:spacing w:line="480" w:lineRule="auto"/>
        <w:ind w:left="720" w:hanging="720"/>
      </w:pPr>
      <w:r w:rsidRPr="00F72F02">
        <w:t xml:space="preserve">World Health Organization (2023) </w:t>
      </w:r>
      <w:r w:rsidRPr="00F72F02">
        <w:rPr>
          <w:i/>
          <w:iCs/>
        </w:rPr>
        <w:t>Disability Inclusion in the Health Sector: A Guide for Action</w:t>
      </w:r>
      <w:r w:rsidRPr="00F72F02">
        <w:t>. Geneva: World Health Organization.</w:t>
      </w:r>
      <w:r>
        <w:t xml:space="preserve"> </w:t>
      </w:r>
      <w:r w:rsidRPr="00720D3D">
        <w:t>https://www.who.int/publications/i/item/9789240101517</w:t>
      </w:r>
    </w:p>
    <w:p w14:paraId="7D403121" w14:textId="77777777" w:rsidR="003847E2" w:rsidRPr="00F72F02" w:rsidRDefault="003847E2" w:rsidP="003847E2">
      <w:pPr>
        <w:spacing w:line="480" w:lineRule="auto"/>
        <w:ind w:left="720" w:hanging="720"/>
      </w:pPr>
      <w:r w:rsidRPr="00F72F02">
        <w:t xml:space="preserve">World Health Organization and United Nations Children's Fund (2022) </w:t>
      </w:r>
      <w:r w:rsidRPr="00F72F02">
        <w:rPr>
          <w:i/>
          <w:iCs/>
        </w:rPr>
        <w:t>Global Report on Health Equity for Persons with Disabilities</w:t>
      </w:r>
      <w:r w:rsidRPr="00F72F02">
        <w:t>. Geneva: World Health Organization.</w:t>
      </w:r>
      <w:r>
        <w:t xml:space="preserve"> </w:t>
      </w:r>
      <w:r w:rsidRPr="00720D3D">
        <w:t>https://www.who.int/teams/noncommunicable-diseases/sensory-functions-disability-and-rehabilitation/global-report-on-health-equity-for-persons-with-disabilities</w:t>
      </w:r>
    </w:p>
    <w:p w14:paraId="3EBE11B6" w14:textId="77777777" w:rsidR="00F8008B" w:rsidRDefault="00F8008B" w:rsidP="004E5FEB">
      <w:pPr>
        <w:spacing w:line="480" w:lineRule="auto"/>
      </w:pPr>
    </w:p>
    <w:sectPr w:rsidR="00F8008B" w:rsidSect="00F8008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F9B37" w14:textId="77777777" w:rsidR="00C93758" w:rsidRDefault="00C93758" w:rsidP="00F8008B">
      <w:pPr>
        <w:spacing w:before="0" w:after="0" w:line="240" w:lineRule="auto"/>
      </w:pPr>
      <w:r>
        <w:separator/>
      </w:r>
    </w:p>
  </w:endnote>
  <w:endnote w:type="continuationSeparator" w:id="0">
    <w:p w14:paraId="288D2622" w14:textId="77777777" w:rsidR="00C93758" w:rsidRDefault="00C93758" w:rsidP="00F8008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44BFD" w14:textId="77777777" w:rsidR="00C93758" w:rsidRDefault="00C93758" w:rsidP="00F8008B">
      <w:pPr>
        <w:spacing w:before="0" w:after="0" w:line="240" w:lineRule="auto"/>
      </w:pPr>
      <w:r>
        <w:separator/>
      </w:r>
    </w:p>
  </w:footnote>
  <w:footnote w:type="continuationSeparator" w:id="0">
    <w:p w14:paraId="3F0A5BD3" w14:textId="77777777" w:rsidR="00C93758" w:rsidRDefault="00C93758" w:rsidP="00F8008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7613411"/>
      <w:docPartObj>
        <w:docPartGallery w:val="Page Numbers (Top of Page)"/>
        <w:docPartUnique/>
      </w:docPartObj>
    </w:sdtPr>
    <w:sdtEndPr>
      <w:rPr>
        <w:noProof/>
      </w:rPr>
    </w:sdtEndPr>
    <w:sdtContent>
      <w:p w14:paraId="15D30F2B" w14:textId="6D4FD422" w:rsidR="00F8008B" w:rsidRDefault="00F8008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8EAA91" w14:textId="77777777" w:rsidR="00F8008B" w:rsidRDefault="00F8008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08B"/>
    <w:rsid w:val="00021EE9"/>
    <w:rsid w:val="000247C2"/>
    <w:rsid w:val="0002499B"/>
    <w:rsid w:val="0004296E"/>
    <w:rsid w:val="000743CD"/>
    <w:rsid w:val="000B3151"/>
    <w:rsid w:val="001007D3"/>
    <w:rsid w:val="001145EF"/>
    <w:rsid w:val="00131154"/>
    <w:rsid w:val="00133E4C"/>
    <w:rsid w:val="00175A56"/>
    <w:rsid w:val="001949B7"/>
    <w:rsid w:val="001A451A"/>
    <w:rsid w:val="001C360E"/>
    <w:rsid w:val="001C7117"/>
    <w:rsid w:val="001C76FC"/>
    <w:rsid w:val="00214778"/>
    <w:rsid w:val="002179DB"/>
    <w:rsid w:val="00220C58"/>
    <w:rsid w:val="0022501C"/>
    <w:rsid w:val="0029590C"/>
    <w:rsid w:val="002D77C1"/>
    <w:rsid w:val="002F1047"/>
    <w:rsid w:val="0030126B"/>
    <w:rsid w:val="00305D3C"/>
    <w:rsid w:val="0033495B"/>
    <w:rsid w:val="00371813"/>
    <w:rsid w:val="00374783"/>
    <w:rsid w:val="003847E2"/>
    <w:rsid w:val="0039364F"/>
    <w:rsid w:val="003B2F4C"/>
    <w:rsid w:val="003D3A21"/>
    <w:rsid w:val="003E156A"/>
    <w:rsid w:val="003E46B3"/>
    <w:rsid w:val="003F1EFD"/>
    <w:rsid w:val="004261BA"/>
    <w:rsid w:val="0045462D"/>
    <w:rsid w:val="004922ED"/>
    <w:rsid w:val="00497A8B"/>
    <w:rsid w:val="004B13BC"/>
    <w:rsid w:val="004B577E"/>
    <w:rsid w:val="004D3F8E"/>
    <w:rsid w:val="004E5FEB"/>
    <w:rsid w:val="004E6001"/>
    <w:rsid w:val="00513C28"/>
    <w:rsid w:val="00571662"/>
    <w:rsid w:val="005B30F3"/>
    <w:rsid w:val="005D1EB5"/>
    <w:rsid w:val="005E3AF9"/>
    <w:rsid w:val="00603175"/>
    <w:rsid w:val="0064227E"/>
    <w:rsid w:val="00654A28"/>
    <w:rsid w:val="00664C96"/>
    <w:rsid w:val="00677012"/>
    <w:rsid w:val="00680108"/>
    <w:rsid w:val="00697862"/>
    <w:rsid w:val="006B618D"/>
    <w:rsid w:val="006C0237"/>
    <w:rsid w:val="006D2554"/>
    <w:rsid w:val="006E6DD9"/>
    <w:rsid w:val="007012CC"/>
    <w:rsid w:val="00701572"/>
    <w:rsid w:val="00702EFF"/>
    <w:rsid w:val="00720D3D"/>
    <w:rsid w:val="00724D5D"/>
    <w:rsid w:val="0075122E"/>
    <w:rsid w:val="007714B0"/>
    <w:rsid w:val="0077255B"/>
    <w:rsid w:val="007746DF"/>
    <w:rsid w:val="00782B68"/>
    <w:rsid w:val="007957A2"/>
    <w:rsid w:val="007A74BE"/>
    <w:rsid w:val="007B3376"/>
    <w:rsid w:val="007C2C78"/>
    <w:rsid w:val="007C6B27"/>
    <w:rsid w:val="007E02B9"/>
    <w:rsid w:val="007F36E1"/>
    <w:rsid w:val="007F7EB9"/>
    <w:rsid w:val="00831F50"/>
    <w:rsid w:val="008433FA"/>
    <w:rsid w:val="00887CA9"/>
    <w:rsid w:val="008D36B6"/>
    <w:rsid w:val="008D6470"/>
    <w:rsid w:val="008E3810"/>
    <w:rsid w:val="008E6F8A"/>
    <w:rsid w:val="008F1551"/>
    <w:rsid w:val="008F74D5"/>
    <w:rsid w:val="00901C7C"/>
    <w:rsid w:val="00906BCF"/>
    <w:rsid w:val="009320C2"/>
    <w:rsid w:val="00946083"/>
    <w:rsid w:val="009470A5"/>
    <w:rsid w:val="009A05F0"/>
    <w:rsid w:val="009B5D3D"/>
    <w:rsid w:val="009C0981"/>
    <w:rsid w:val="009E1BB3"/>
    <w:rsid w:val="009F3757"/>
    <w:rsid w:val="009F3A37"/>
    <w:rsid w:val="009F4400"/>
    <w:rsid w:val="009F7660"/>
    <w:rsid w:val="00A0152B"/>
    <w:rsid w:val="00A145F6"/>
    <w:rsid w:val="00A20F03"/>
    <w:rsid w:val="00A237DB"/>
    <w:rsid w:val="00A60CD7"/>
    <w:rsid w:val="00A70688"/>
    <w:rsid w:val="00A712FD"/>
    <w:rsid w:val="00A93402"/>
    <w:rsid w:val="00A97940"/>
    <w:rsid w:val="00AA17D6"/>
    <w:rsid w:val="00AB02D4"/>
    <w:rsid w:val="00AD7A41"/>
    <w:rsid w:val="00B10AAC"/>
    <w:rsid w:val="00B17A9C"/>
    <w:rsid w:val="00B32517"/>
    <w:rsid w:val="00B46F41"/>
    <w:rsid w:val="00B5082F"/>
    <w:rsid w:val="00B52298"/>
    <w:rsid w:val="00B64187"/>
    <w:rsid w:val="00B841D3"/>
    <w:rsid w:val="00BE5331"/>
    <w:rsid w:val="00C11BC9"/>
    <w:rsid w:val="00C2615F"/>
    <w:rsid w:val="00C36209"/>
    <w:rsid w:val="00C43824"/>
    <w:rsid w:val="00C52143"/>
    <w:rsid w:val="00C626CC"/>
    <w:rsid w:val="00C648FA"/>
    <w:rsid w:val="00C80129"/>
    <w:rsid w:val="00C93758"/>
    <w:rsid w:val="00CB578B"/>
    <w:rsid w:val="00CC4136"/>
    <w:rsid w:val="00CD4AD5"/>
    <w:rsid w:val="00CF7781"/>
    <w:rsid w:val="00D226F1"/>
    <w:rsid w:val="00D26875"/>
    <w:rsid w:val="00D349D3"/>
    <w:rsid w:val="00D465AC"/>
    <w:rsid w:val="00D646EC"/>
    <w:rsid w:val="00D7162F"/>
    <w:rsid w:val="00D806E6"/>
    <w:rsid w:val="00DA27B1"/>
    <w:rsid w:val="00DB158D"/>
    <w:rsid w:val="00DE057A"/>
    <w:rsid w:val="00E06D11"/>
    <w:rsid w:val="00E2268E"/>
    <w:rsid w:val="00E4229B"/>
    <w:rsid w:val="00E45AC1"/>
    <w:rsid w:val="00E47F8C"/>
    <w:rsid w:val="00E534DB"/>
    <w:rsid w:val="00E56231"/>
    <w:rsid w:val="00E6332B"/>
    <w:rsid w:val="00E65884"/>
    <w:rsid w:val="00E67348"/>
    <w:rsid w:val="00E756A8"/>
    <w:rsid w:val="00EB130A"/>
    <w:rsid w:val="00EB6C98"/>
    <w:rsid w:val="00EC5F2E"/>
    <w:rsid w:val="00EC6E99"/>
    <w:rsid w:val="00ED06FD"/>
    <w:rsid w:val="00ED0D24"/>
    <w:rsid w:val="00F05391"/>
    <w:rsid w:val="00F32A0D"/>
    <w:rsid w:val="00F61798"/>
    <w:rsid w:val="00F71134"/>
    <w:rsid w:val="00F72F02"/>
    <w:rsid w:val="00F8008B"/>
    <w:rsid w:val="00F83C07"/>
    <w:rsid w:val="00F94D6D"/>
    <w:rsid w:val="00FB2704"/>
    <w:rsid w:val="00FD2A3C"/>
    <w:rsid w:val="00FE24D2"/>
    <w:rsid w:val="00FF515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C1AA1"/>
  <w15:chartTrackingRefBased/>
  <w15:docId w15:val="{EB9BF845-016D-45A6-93D6-44426E8AA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EB5"/>
    <w:pPr>
      <w:spacing w:before="120" w:after="120" w:line="360" w:lineRule="auto"/>
      <w:ind w:firstLine="720"/>
      <w:contextualSpacing/>
      <w:jc w:val="both"/>
    </w:pPr>
    <w:rPr>
      <w:rFonts w:ascii="Arial" w:hAnsi="Arial"/>
    </w:rPr>
  </w:style>
  <w:style w:type="paragraph" w:styleId="Heading1">
    <w:name w:val="heading 1"/>
    <w:basedOn w:val="Normal"/>
    <w:next w:val="Normal"/>
    <w:link w:val="Heading1Char"/>
    <w:uiPriority w:val="9"/>
    <w:qFormat/>
    <w:rsid w:val="00C36209"/>
    <w:pPr>
      <w:ind w:firstLine="0"/>
      <w:jc w:val="left"/>
      <w:outlineLvl w:val="0"/>
    </w:pPr>
    <w:rPr>
      <w:b/>
      <w:i/>
    </w:rPr>
  </w:style>
  <w:style w:type="paragraph" w:styleId="Heading2">
    <w:name w:val="heading 2"/>
    <w:basedOn w:val="Heading1"/>
    <w:next w:val="Normal"/>
    <w:link w:val="Heading2Char"/>
    <w:uiPriority w:val="9"/>
    <w:unhideWhenUsed/>
    <w:qFormat/>
    <w:rsid w:val="00C36209"/>
    <w:pPr>
      <w:outlineLvl w:val="1"/>
    </w:pPr>
    <w:rPr>
      <w:b w:val="0"/>
    </w:rPr>
  </w:style>
  <w:style w:type="paragraph" w:styleId="Heading3">
    <w:name w:val="heading 3"/>
    <w:basedOn w:val="Normal"/>
    <w:next w:val="Normal"/>
    <w:link w:val="Heading3Char"/>
    <w:uiPriority w:val="9"/>
    <w:semiHidden/>
    <w:unhideWhenUsed/>
    <w:qFormat/>
    <w:rsid w:val="00F8008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8008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008B"/>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8008B"/>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8008B"/>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8008B"/>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8008B"/>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209"/>
    <w:rPr>
      <w:rFonts w:ascii="Times New Roman" w:hAnsi="Times New Roman"/>
      <w:b/>
      <w:i/>
      <w:sz w:val="24"/>
    </w:rPr>
  </w:style>
  <w:style w:type="character" w:customStyle="1" w:styleId="Heading2Char">
    <w:name w:val="Heading 2 Char"/>
    <w:basedOn w:val="DefaultParagraphFont"/>
    <w:link w:val="Heading2"/>
    <w:uiPriority w:val="9"/>
    <w:rsid w:val="00C36209"/>
    <w:rPr>
      <w:rFonts w:ascii="Times New Roman" w:hAnsi="Times New Roman"/>
      <w:i/>
      <w:sz w:val="24"/>
    </w:rPr>
  </w:style>
  <w:style w:type="character" w:customStyle="1" w:styleId="Heading3Char">
    <w:name w:val="Heading 3 Char"/>
    <w:basedOn w:val="DefaultParagraphFont"/>
    <w:link w:val="Heading3"/>
    <w:uiPriority w:val="9"/>
    <w:semiHidden/>
    <w:rsid w:val="00F800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8008B"/>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F8008B"/>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F8008B"/>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F8008B"/>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F8008B"/>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F8008B"/>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F8008B"/>
    <w:pPr>
      <w:spacing w:before="0"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0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008B"/>
    <w:pPr>
      <w:numPr>
        <w:ilvl w:val="1"/>
      </w:numPr>
      <w:spacing w:after="160"/>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0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00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8008B"/>
    <w:rPr>
      <w:rFonts w:ascii="Times New Roman" w:hAnsi="Times New Roman"/>
      <w:i/>
      <w:iCs/>
      <w:color w:val="404040" w:themeColor="text1" w:themeTint="BF"/>
      <w:sz w:val="24"/>
    </w:rPr>
  </w:style>
  <w:style w:type="paragraph" w:styleId="ListParagraph">
    <w:name w:val="List Paragraph"/>
    <w:basedOn w:val="Normal"/>
    <w:uiPriority w:val="34"/>
    <w:qFormat/>
    <w:rsid w:val="00F8008B"/>
    <w:pPr>
      <w:ind w:left="720"/>
    </w:pPr>
  </w:style>
  <w:style w:type="character" w:styleId="IntenseEmphasis">
    <w:name w:val="Intense Emphasis"/>
    <w:basedOn w:val="DefaultParagraphFont"/>
    <w:uiPriority w:val="21"/>
    <w:qFormat/>
    <w:rsid w:val="00F8008B"/>
    <w:rPr>
      <w:i/>
      <w:iCs/>
      <w:color w:val="2F5496" w:themeColor="accent1" w:themeShade="BF"/>
    </w:rPr>
  </w:style>
  <w:style w:type="paragraph" w:styleId="IntenseQuote">
    <w:name w:val="Intense Quote"/>
    <w:basedOn w:val="Normal"/>
    <w:next w:val="Normal"/>
    <w:link w:val="IntenseQuoteChar"/>
    <w:uiPriority w:val="30"/>
    <w:qFormat/>
    <w:rsid w:val="00F800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8008B"/>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F8008B"/>
    <w:rPr>
      <w:b/>
      <w:bCs/>
      <w:smallCaps/>
      <w:color w:val="2F5496" w:themeColor="accent1" w:themeShade="BF"/>
      <w:spacing w:val="5"/>
    </w:rPr>
  </w:style>
  <w:style w:type="paragraph" w:styleId="Header">
    <w:name w:val="header"/>
    <w:basedOn w:val="Normal"/>
    <w:link w:val="HeaderChar"/>
    <w:uiPriority w:val="99"/>
    <w:unhideWhenUsed/>
    <w:rsid w:val="00F8008B"/>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8008B"/>
    <w:rPr>
      <w:rFonts w:ascii="Times New Roman" w:hAnsi="Times New Roman"/>
      <w:sz w:val="24"/>
    </w:rPr>
  </w:style>
  <w:style w:type="paragraph" w:styleId="Footer">
    <w:name w:val="footer"/>
    <w:basedOn w:val="Normal"/>
    <w:link w:val="FooterChar"/>
    <w:uiPriority w:val="99"/>
    <w:unhideWhenUsed/>
    <w:rsid w:val="00F8008B"/>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8008B"/>
    <w:rPr>
      <w:rFonts w:ascii="Times New Roman" w:hAnsi="Times New Roman"/>
      <w:sz w:val="24"/>
    </w:rPr>
  </w:style>
  <w:style w:type="character" w:styleId="Hyperlink">
    <w:name w:val="Hyperlink"/>
    <w:basedOn w:val="DefaultParagraphFont"/>
    <w:uiPriority w:val="99"/>
    <w:unhideWhenUsed/>
    <w:rsid w:val="00F72F02"/>
    <w:rPr>
      <w:color w:val="0563C1" w:themeColor="hyperlink"/>
      <w:u w:val="single"/>
    </w:rPr>
  </w:style>
  <w:style w:type="character" w:styleId="UnresolvedMention">
    <w:name w:val="Unresolved Mention"/>
    <w:basedOn w:val="DefaultParagraphFont"/>
    <w:uiPriority w:val="99"/>
    <w:semiHidden/>
    <w:unhideWhenUsed/>
    <w:rsid w:val="00F72F02"/>
    <w:rPr>
      <w:color w:val="605E5C"/>
      <w:shd w:val="clear" w:color="auto" w:fill="E1DFDD"/>
    </w:rPr>
  </w:style>
  <w:style w:type="paragraph" w:styleId="TOCHeading">
    <w:name w:val="TOC Heading"/>
    <w:basedOn w:val="Heading1"/>
    <w:next w:val="Normal"/>
    <w:uiPriority w:val="39"/>
    <w:unhideWhenUsed/>
    <w:qFormat/>
    <w:rsid w:val="005D1EB5"/>
    <w:pPr>
      <w:keepNext/>
      <w:keepLines/>
      <w:spacing w:before="240" w:after="0" w:line="259" w:lineRule="auto"/>
      <w:contextualSpacing w:val="0"/>
      <w:outlineLvl w:val="9"/>
    </w:pPr>
    <w:rPr>
      <w:rFonts w:asciiTheme="majorHAnsi" w:eastAsiaTheme="majorEastAsia" w:hAnsiTheme="majorHAnsi" w:cstheme="majorBidi"/>
      <w:b w:val="0"/>
      <w:i w:val="0"/>
      <w:color w:val="2F5496" w:themeColor="accent1" w:themeShade="BF"/>
      <w:sz w:val="32"/>
      <w:szCs w:val="32"/>
      <w:lang w:val="en-US"/>
      <w14:ligatures w14:val="none"/>
    </w:rPr>
  </w:style>
  <w:style w:type="paragraph" w:styleId="TOC1">
    <w:name w:val="toc 1"/>
    <w:basedOn w:val="Normal"/>
    <w:next w:val="Normal"/>
    <w:autoRedefine/>
    <w:uiPriority w:val="39"/>
    <w:unhideWhenUsed/>
    <w:rsid w:val="005D1EB5"/>
    <w:pPr>
      <w:spacing w:after="100"/>
    </w:pPr>
  </w:style>
  <w:style w:type="paragraph" w:styleId="TOC2">
    <w:name w:val="toc 2"/>
    <w:basedOn w:val="Normal"/>
    <w:next w:val="Normal"/>
    <w:autoRedefine/>
    <w:uiPriority w:val="39"/>
    <w:unhideWhenUsed/>
    <w:rsid w:val="005D1EB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0/15/conten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o.int/publications/i/item/9789240063600" TargetMode="External"/><Relationship Id="rId5" Type="http://schemas.openxmlformats.org/officeDocument/2006/relationships/footnotes" Target="footnotes.xml"/><Relationship Id="rId10" Type="http://schemas.openxmlformats.org/officeDocument/2006/relationships/hyperlink" Target="https://www.un.org/disabilities/documents/convention/convention_accessible_pdf.pdf" TargetMode="External"/><Relationship Id="rId4" Type="http://schemas.openxmlformats.org/officeDocument/2006/relationships/webSettings" Target="webSettings.xml"/><Relationship Id="rId9" Type="http://schemas.openxmlformats.org/officeDocument/2006/relationships/hyperlink" Target="https://www.england.nhs.uk/long-read/accessible-information-standard-requirements-dapb1605/?utm_source=chatgp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39DCE-782E-4AAA-A3EF-17C2D74596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11</Pages>
  <Words>2680</Words>
  <Characters>15277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dc:creator>
  <cp:keywords/>
  <dc:description/>
  <cp:lastModifiedBy>michelpina2025@outlook.com</cp:lastModifiedBy>
  <cp:revision>19</cp:revision>
  <dcterms:created xsi:type="dcterms:W3CDTF">2026-08-01T05:56:00Z</dcterms:created>
  <dcterms:modified xsi:type="dcterms:W3CDTF">2026-08-06T20:07:00Z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fe13eeb5-7872-425f-9003-c4d93b43341a</vt:lpwstr>
  </property>
</Properties>
</file>