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A390" w14:textId="35EFF5F6" w:rsidR="00E74991" w:rsidRDefault="00E74991" w:rsidP="00B1743C">
      <w:pPr>
        <w:spacing w:line="360" w:lineRule="auto"/>
        <w:jc w:val="center"/>
        <w:rPr>
          <w:rFonts w:ascii="Times New Roman" w:hAnsi="Times New Roman" w:cs="Times New Roman"/>
          <w:b/>
          <w:bCs/>
          <w:sz w:val="24"/>
          <w:szCs w:val="24"/>
          <w:u w:val="single"/>
        </w:rPr>
      </w:pPr>
    </w:p>
    <w:p w14:paraId="51BBBAD4" w14:textId="29FB3667" w:rsidR="00B1743C" w:rsidRDefault="00B1743C" w:rsidP="00B1743C">
      <w:pPr>
        <w:spacing w:line="360" w:lineRule="auto"/>
        <w:jc w:val="center"/>
        <w:rPr>
          <w:rFonts w:ascii="Times New Roman" w:hAnsi="Times New Roman" w:cs="Times New Roman"/>
          <w:b/>
          <w:bCs/>
          <w:sz w:val="24"/>
          <w:szCs w:val="24"/>
          <w:u w:val="single"/>
        </w:rPr>
      </w:pPr>
    </w:p>
    <w:p w14:paraId="2562C9AA" w14:textId="59DF33BB" w:rsidR="00B1743C" w:rsidRDefault="00B1743C" w:rsidP="00B1743C">
      <w:pPr>
        <w:spacing w:line="360" w:lineRule="auto"/>
        <w:jc w:val="center"/>
        <w:rPr>
          <w:rFonts w:ascii="Times New Roman" w:hAnsi="Times New Roman" w:cs="Times New Roman"/>
          <w:b/>
          <w:bCs/>
          <w:sz w:val="24"/>
          <w:szCs w:val="24"/>
          <w:u w:val="single"/>
        </w:rPr>
      </w:pPr>
    </w:p>
    <w:p w14:paraId="62D076E1" w14:textId="70325AD3" w:rsidR="00B1743C" w:rsidRPr="005169BA" w:rsidRDefault="00B1743C" w:rsidP="00B1743C">
      <w:pPr>
        <w:spacing w:line="360" w:lineRule="auto"/>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56D34910" wp14:editId="73D27C78">
            <wp:extent cx="2880000" cy="95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51E7E776" w14:textId="77777777" w:rsidR="00FD144E" w:rsidRDefault="00FD144E" w:rsidP="005169BA">
      <w:pPr>
        <w:spacing w:line="360" w:lineRule="auto"/>
        <w:jc w:val="center"/>
        <w:rPr>
          <w:rFonts w:ascii="Times New Roman" w:hAnsi="Times New Roman" w:cs="Times New Roman"/>
          <w:b/>
          <w:sz w:val="24"/>
          <w:szCs w:val="24"/>
        </w:rPr>
      </w:pPr>
    </w:p>
    <w:p w14:paraId="341E3B7D" w14:textId="43092BF3" w:rsidR="004A482A" w:rsidRPr="00FD144E" w:rsidRDefault="00B1743C" w:rsidP="005169BA">
      <w:pPr>
        <w:spacing w:line="360" w:lineRule="auto"/>
        <w:jc w:val="center"/>
        <w:rPr>
          <w:rFonts w:cstheme="minorHAnsi"/>
          <w:b/>
          <w:sz w:val="36"/>
          <w:szCs w:val="36"/>
        </w:rPr>
      </w:pPr>
      <w:r w:rsidRPr="00FD144E">
        <w:rPr>
          <w:rFonts w:cstheme="minorHAnsi"/>
          <w:b/>
          <w:sz w:val="36"/>
          <w:szCs w:val="36"/>
        </w:rPr>
        <w:t>Assignment on</w:t>
      </w:r>
    </w:p>
    <w:p w14:paraId="537FA410" w14:textId="567DF308" w:rsidR="00B1743C" w:rsidRPr="00FD144E" w:rsidRDefault="00B1743C" w:rsidP="005169BA">
      <w:pPr>
        <w:spacing w:line="360" w:lineRule="auto"/>
        <w:jc w:val="center"/>
        <w:rPr>
          <w:rFonts w:cstheme="minorHAnsi"/>
          <w:b/>
          <w:sz w:val="36"/>
          <w:szCs w:val="36"/>
        </w:rPr>
      </w:pPr>
      <w:r w:rsidRPr="00FD144E">
        <w:rPr>
          <w:rFonts w:cstheme="minorHAnsi"/>
          <w:b/>
          <w:sz w:val="36"/>
          <w:szCs w:val="36"/>
        </w:rPr>
        <w:t xml:space="preserve">A </w:t>
      </w:r>
      <w:r w:rsidR="00FD144E">
        <w:rPr>
          <w:rFonts w:cstheme="minorHAnsi"/>
          <w:b/>
          <w:sz w:val="36"/>
          <w:szCs w:val="36"/>
        </w:rPr>
        <w:t>C</w:t>
      </w:r>
      <w:r w:rsidRPr="00FD144E">
        <w:rPr>
          <w:rFonts w:cstheme="minorHAnsi"/>
          <w:b/>
          <w:sz w:val="36"/>
          <w:szCs w:val="36"/>
        </w:rPr>
        <w:t xml:space="preserve">omparison of the </w:t>
      </w:r>
      <w:r w:rsidR="00FD144E">
        <w:rPr>
          <w:rFonts w:cstheme="minorHAnsi"/>
          <w:b/>
          <w:sz w:val="36"/>
          <w:szCs w:val="36"/>
        </w:rPr>
        <w:t>M</w:t>
      </w:r>
      <w:r w:rsidRPr="00FD144E">
        <w:rPr>
          <w:rFonts w:cstheme="minorHAnsi"/>
          <w:b/>
          <w:sz w:val="36"/>
          <w:szCs w:val="36"/>
        </w:rPr>
        <w:t xml:space="preserve">arketing </w:t>
      </w:r>
      <w:r w:rsidR="00FD144E">
        <w:rPr>
          <w:rFonts w:cstheme="minorHAnsi"/>
          <w:b/>
          <w:sz w:val="36"/>
          <w:szCs w:val="36"/>
        </w:rPr>
        <w:t>M</w:t>
      </w:r>
      <w:r w:rsidRPr="00FD144E">
        <w:rPr>
          <w:rFonts w:cstheme="minorHAnsi"/>
          <w:b/>
          <w:sz w:val="36"/>
          <w:szCs w:val="36"/>
        </w:rPr>
        <w:t xml:space="preserve">ethods of two </w:t>
      </w:r>
      <w:r w:rsidR="00FD144E">
        <w:rPr>
          <w:rFonts w:cstheme="minorHAnsi"/>
          <w:b/>
          <w:sz w:val="36"/>
          <w:szCs w:val="36"/>
        </w:rPr>
        <w:t>M</w:t>
      </w:r>
      <w:r w:rsidRPr="00FD144E">
        <w:rPr>
          <w:rFonts w:cstheme="minorHAnsi"/>
          <w:b/>
          <w:sz w:val="36"/>
          <w:szCs w:val="36"/>
        </w:rPr>
        <w:t xml:space="preserve">ultinational </w:t>
      </w:r>
      <w:r w:rsidR="00FD144E">
        <w:rPr>
          <w:rFonts w:cstheme="minorHAnsi"/>
          <w:b/>
          <w:sz w:val="36"/>
          <w:szCs w:val="36"/>
        </w:rPr>
        <w:t>H</w:t>
      </w:r>
      <w:r w:rsidRPr="00FD144E">
        <w:rPr>
          <w:rFonts w:cstheme="minorHAnsi"/>
          <w:b/>
          <w:sz w:val="36"/>
          <w:szCs w:val="36"/>
        </w:rPr>
        <w:t xml:space="preserve">otel </w:t>
      </w:r>
      <w:r w:rsidR="00FD144E">
        <w:rPr>
          <w:rFonts w:cstheme="minorHAnsi"/>
          <w:b/>
          <w:sz w:val="36"/>
          <w:szCs w:val="36"/>
        </w:rPr>
        <w:t>B</w:t>
      </w:r>
      <w:r w:rsidRPr="00FD144E">
        <w:rPr>
          <w:rFonts w:cstheme="minorHAnsi"/>
          <w:b/>
          <w:sz w:val="36"/>
          <w:szCs w:val="36"/>
        </w:rPr>
        <w:t>rands</w:t>
      </w:r>
    </w:p>
    <w:p w14:paraId="5B85D95C" w14:textId="38F07E2E" w:rsidR="00B1743C" w:rsidRPr="00FD144E" w:rsidRDefault="00B1743C" w:rsidP="005169BA">
      <w:pPr>
        <w:spacing w:line="360" w:lineRule="auto"/>
        <w:jc w:val="center"/>
        <w:rPr>
          <w:rFonts w:cstheme="minorHAnsi"/>
          <w:b/>
          <w:sz w:val="24"/>
          <w:szCs w:val="24"/>
        </w:rPr>
      </w:pPr>
    </w:p>
    <w:p w14:paraId="7D2589CB" w14:textId="09C60585" w:rsidR="00B1743C" w:rsidRPr="00FD144E" w:rsidRDefault="00B1743C" w:rsidP="005169BA">
      <w:pPr>
        <w:spacing w:line="360" w:lineRule="auto"/>
        <w:jc w:val="center"/>
        <w:rPr>
          <w:rFonts w:cstheme="minorHAnsi"/>
          <w:b/>
          <w:sz w:val="32"/>
          <w:szCs w:val="32"/>
        </w:rPr>
      </w:pPr>
      <w:r w:rsidRPr="00FD144E">
        <w:rPr>
          <w:rFonts w:cstheme="minorHAnsi"/>
          <w:b/>
          <w:sz w:val="32"/>
          <w:szCs w:val="32"/>
        </w:rPr>
        <w:t>Prepared by</w:t>
      </w:r>
    </w:p>
    <w:p w14:paraId="0CCE8587" w14:textId="3E12275E" w:rsidR="00B1743C" w:rsidRPr="00FD144E" w:rsidRDefault="00B1743C" w:rsidP="005169BA">
      <w:pPr>
        <w:spacing w:line="360" w:lineRule="auto"/>
        <w:jc w:val="center"/>
        <w:rPr>
          <w:rFonts w:cstheme="minorHAnsi"/>
          <w:bCs/>
          <w:sz w:val="28"/>
          <w:szCs w:val="28"/>
        </w:rPr>
      </w:pPr>
      <w:r w:rsidRPr="00FD144E">
        <w:rPr>
          <w:rFonts w:cstheme="minorHAnsi"/>
          <w:bCs/>
          <w:sz w:val="28"/>
          <w:szCs w:val="28"/>
        </w:rPr>
        <w:t>Zakia Sultana Rahman</w:t>
      </w:r>
    </w:p>
    <w:p w14:paraId="597D1CB6" w14:textId="27CF6B76" w:rsidR="00B1743C" w:rsidRPr="00FD144E" w:rsidRDefault="00B1743C" w:rsidP="005169BA">
      <w:pPr>
        <w:spacing w:line="360" w:lineRule="auto"/>
        <w:jc w:val="center"/>
        <w:rPr>
          <w:rFonts w:cstheme="minorHAnsi"/>
          <w:bCs/>
          <w:sz w:val="28"/>
          <w:szCs w:val="28"/>
        </w:rPr>
      </w:pPr>
      <w:r w:rsidRPr="00FD144E">
        <w:rPr>
          <w:rFonts w:cstheme="minorHAnsi"/>
          <w:bCs/>
          <w:sz w:val="28"/>
          <w:szCs w:val="28"/>
        </w:rPr>
        <w:t xml:space="preserve">Student ID: </w:t>
      </w:r>
      <w:r w:rsidR="00CC4C0D" w:rsidRPr="00FD144E">
        <w:rPr>
          <w:rFonts w:cstheme="minorHAnsi"/>
          <w:bCs/>
          <w:sz w:val="28"/>
          <w:szCs w:val="28"/>
        </w:rPr>
        <w:t>2211724</w:t>
      </w:r>
    </w:p>
    <w:p w14:paraId="06DCF20C" w14:textId="77777777" w:rsidR="004A482A" w:rsidRPr="00FD144E" w:rsidRDefault="004A482A" w:rsidP="005169BA">
      <w:pPr>
        <w:spacing w:line="360" w:lineRule="auto"/>
        <w:rPr>
          <w:rFonts w:cstheme="minorHAnsi"/>
          <w:b/>
          <w:sz w:val="24"/>
          <w:szCs w:val="24"/>
        </w:rPr>
      </w:pPr>
    </w:p>
    <w:p w14:paraId="2CB32A15" w14:textId="652FBEC9" w:rsidR="00E74991" w:rsidRPr="00FD144E" w:rsidRDefault="00CC4C0D" w:rsidP="00CC4C0D">
      <w:pPr>
        <w:spacing w:line="360" w:lineRule="auto"/>
        <w:jc w:val="center"/>
        <w:rPr>
          <w:rFonts w:cstheme="minorHAnsi"/>
          <w:b/>
          <w:bCs/>
          <w:sz w:val="32"/>
          <w:szCs w:val="32"/>
        </w:rPr>
      </w:pPr>
      <w:r w:rsidRPr="00FD144E">
        <w:rPr>
          <w:rFonts w:cstheme="minorHAnsi"/>
          <w:b/>
          <w:bCs/>
          <w:sz w:val="32"/>
          <w:szCs w:val="32"/>
        </w:rPr>
        <w:t>Prepared for</w:t>
      </w:r>
    </w:p>
    <w:p w14:paraId="68CA952F" w14:textId="01C3A6B9" w:rsidR="00CC4C0D" w:rsidRDefault="00CC4C0D" w:rsidP="007B40E3">
      <w:pPr>
        <w:spacing w:line="360" w:lineRule="auto"/>
        <w:jc w:val="center"/>
        <w:rPr>
          <w:rFonts w:cstheme="minorHAnsi"/>
          <w:sz w:val="28"/>
          <w:szCs w:val="28"/>
        </w:rPr>
      </w:pPr>
      <w:r w:rsidRPr="00FD144E">
        <w:rPr>
          <w:rFonts w:cstheme="minorHAnsi"/>
          <w:sz w:val="28"/>
          <w:szCs w:val="28"/>
        </w:rPr>
        <w:t>Chris Wilkin</w:t>
      </w:r>
    </w:p>
    <w:p w14:paraId="49DFB00B" w14:textId="31FC7FA2" w:rsidR="007B40E3" w:rsidRPr="007B40E3" w:rsidRDefault="007B40E3" w:rsidP="007B40E3">
      <w:pPr>
        <w:spacing w:line="360" w:lineRule="auto"/>
        <w:jc w:val="center"/>
        <w:rPr>
          <w:rFonts w:cstheme="minorHAnsi"/>
          <w:sz w:val="28"/>
          <w:szCs w:val="28"/>
        </w:rPr>
      </w:pPr>
      <w:r>
        <w:rPr>
          <w:rFonts w:cstheme="minorHAnsi"/>
          <w:sz w:val="28"/>
          <w:szCs w:val="28"/>
        </w:rPr>
        <w:t>Word Count: 1627</w:t>
      </w:r>
    </w:p>
    <w:p w14:paraId="6CDDB3CA" w14:textId="77777777" w:rsidR="00CC4C0D" w:rsidRDefault="00CC4C0D">
      <w:pPr>
        <w:rPr>
          <w:rFonts w:asciiTheme="majorHAnsi" w:eastAsiaTheme="majorEastAsia" w:hAnsiTheme="majorHAnsi" w:cstheme="majorBidi"/>
          <w:color w:val="2E74B5" w:themeColor="accent1" w:themeShade="BF"/>
          <w:sz w:val="32"/>
          <w:szCs w:val="32"/>
        </w:rPr>
      </w:pPr>
      <w:r>
        <w:br w:type="page"/>
      </w:r>
    </w:p>
    <w:p w14:paraId="4D05A883" w14:textId="1EF7726E" w:rsidR="00FD7FA9" w:rsidRDefault="00754A4B" w:rsidP="00301B30">
      <w:pPr>
        <w:pStyle w:val="Heading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This research </w:t>
      </w:r>
      <w:r w:rsidR="00FD7FA9" w:rsidRPr="00FD7FA9">
        <w:rPr>
          <w:rFonts w:ascii="Times New Roman" w:eastAsia="Times New Roman" w:hAnsi="Times New Roman" w:cs="Times New Roman"/>
          <w:color w:val="0E101A"/>
          <w:sz w:val="24"/>
          <w:szCs w:val="24"/>
        </w:rPr>
        <w:t>will explain and examine a theoretical framework for understanding the nature, strategic marketing traits, and unique market-capturing attempts of two universally known hotel brands: Six Senses and Moxy. Marketing is critical in the hotel sector, and Six Senses and Moxy are two of the most opulent hotels. Six Senses and Moxy, two internationally famous hotel brands, have different approaches to recruiting, influencing, interacting with, and sustaining their target market. They employ integrated marketing communication processes and techniques to differentiate and outperform their competitors' services and products. This paper will compare and contrast the marketing strategies of Six Senses and Moxy. Current market and business impacts, trends, price culture, and demand-supply insights maneuvering functions will be used to determine how these companies market their products and services.</w:t>
      </w:r>
    </w:p>
    <w:p w14:paraId="1B35D33F" w14:textId="77777777" w:rsidR="00301B30" w:rsidRDefault="00B61EF9" w:rsidP="00301B30">
      <w:pPr>
        <w:pStyle w:val="Heading1"/>
        <w:spacing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t xml:space="preserve">Moxy and The Six Senses' marketing techniques need elaborating distinctions using SWOT, PESTEL, and Porter's 5 forces models. Moxy has lower labor costs than The Six Senses, although The Six Senses employs a large number of people (Nagatani, T. and Tanaka, K.I., 2021.). </w:t>
      </w:r>
    </w:p>
    <w:p w14:paraId="7B8DDE51" w14:textId="6807D4C3" w:rsidR="00B61EF9" w:rsidRPr="00B61EF9" w:rsidRDefault="00B61EF9" w:rsidP="00301B30">
      <w:pPr>
        <w:pStyle w:val="Heading1"/>
        <w:spacing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t>Hotels in Southeast Asia, South America, Africa, and the Middle East have lower labor costs than those in Europe and the Americas, despite the fact that the hotel business requires significant initial financial and organizational investment (Heikkurinen, P., and ForsmanHugg, S., 2011). While The Six Senses also improves its service distribution throughout the target region, Moxy provides mass employment. Poor positioning: The Six Senses is positioned as a family-friendly, multinational company that offers worldwide hospitality. They have been effective in promoting their goods abroad and providing their services by stabilizing them in accordance with their native cultures (Jhonson, 2017). The Six Senses is marketed and organized as a family-focused international enterprise that provides global hospitality. They have successfully used the adoption strategy for worldwide marketing of their products and services by stabilizing their offerings in accordance with their native culture.</w:t>
      </w:r>
    </w:p>
    <w:p w14:paraId="22F241B4" w14:textId="3228F661" w:rsidR="00B61EF9" w:rsidRPr="006177E9" w:rsidRDefault="00B61EF9" w:rsidP="00301B30">
      <w:pPr>
        <w:pStyle w:val="Heading1"/>
        <w:spacing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lastRenderedPageBreak/>
        <w:t xml:space="preserve">Moxy and The Six Senses are both hospitality and tourist accommodation providers in the equivalent businesses. Due to the current and pertinent economic downturn, hotel ventures have countersigned a resurgence in foreign travel trends, accumulative demand for longer stays due to fewer enrollment requirements, higher revenues proved durability, and more variety due to co-working, shopping, gyms, spas, and overall holistic wellness. The economic downturn has resulted in a comeback in foreign travel, an increase in demand for longer hotel stays, and a slew of new facilities such as co-working spaces, retail outlets, fitness centers, and spas (Laarman, J.G. and Gregersen, H.M., 2015). Investors are starting to consider ESG aspects when evaluating a possible investment, and several of the top hotel chains have made public comments supporting ESG activities (Neumann, J., Robson, A. and Sloan, D., 2018). Moxy faces legal challenges from The Six Senses, which serves consumers at a low margin, while new competitors serving the same target demographic with high-quality houses for rent pose a danger. Investors are increasingly including ESG factors in their due diligence processes, and they are interested in a variety of accommodation choices such as mixed-use complexes, long-stay options, and leisure resorts.MOXY employs SEO, a digital marketing method comprised of three parts: technical, on-page, and off-page. On-page optimization confirms that previously and futuristic published content is applicable smartly and provides a positive user experience, whereas technical optimization improves SEO. MOXY uses search engine optimization (SEO) to advertise itself online (Pirlone, F. and Spadaro, I., 2017.). On-page optimization is concerned with ensuring that content is helpful and delivers a positive user experience, whereas technical optimization is the process of carrying out operations to boost SEO. Web crawlers are used by search engines to trawl the World Wide Web for and classify freshly published sites (Pomering, A., Noble, G. and Johnson, L.W., 2011.). Indexing is the process through which a search engine determines whether or not to use the content it has crawled The way that the consumer demand alters the different businesses redesign and set businesses objectives accordingly so that they can maximize the turnover rates and indexes. </w:t>
      </w:r>
      <w:r w:rsidR="00301B30">
        <w:rPr>
          <w:rFonts w:ascii="Times New Roman" w:eastAsia="Times New Roman" w:hAnsi="Times New Roman" w:cs="Times New Roman"/>
          <w:color w:val="0E101A"/>
          <w:sz w:val="24"/>
          <w:szCs w:val="24"/>
        </w:rPr>
        <w:t xml:space="preserve"> </w:t>
      </w:r>
      <w:r w:rsidRPr="00B61EF9">
        <w:rPr>
          <w:rFonts w:ascii="Times New Roman" w:eastAsia="Times New Roman" w:hAnsi="Times New Roman" w:cs="Times New Roman"/>
          <w:color w:val="0E101A"/>
          <w:sz w:val="24"/>
          <w:szCs w:val="24"/>
        </w:rPr>
        <w:t xml:space="preserve">Off-page SEO improves search engine rankings by utilizing backlinks. online crawlers find new online sites and record information about them, whereas indexing assesses whether or not the crawled content should be used. The most important phase is ranking. The ranking is the most important phase; only after crawling and indexing have been completed can ranking take place. MOXY has an advantage over its competitors due to the digital process of SEO and other online logistical approaches. MOXY may therefore purposefully surge to the top of the mind while selecting for its </w:t>
      </w:r>
      <w:r w:rsidRPr="00B61EF9">
        <w:rPr>
          <w:rFonts w:ascii="Times New Roman" w:eastAsia="Times New Roman" w:hAnsi="Times New Roman" w:cs="Times New Roman"/>
          <w:color w:val="0E101A"/>
          <w:sz w:val="24"/>
          <w:szCs w:val="24"/>
        </w:rPr>
        <w:lastRenderedPageBreak/>
        <w:t>users' minds and become their first choice in the future.</w:t>
      </w:r>
      <w:r w:rsidR="00301B30">
        <w:rPr>
          <w:rFonts w:ascii="Times New Roman" w:eastAsia="Times New Roman" w:hAnsi="Times New Roman" w:cs="Times New Roman"/>
          <w:color w:val="0E101A"/>
          <w:sz w:val="24"/>
          <w:szCs w:val="24"/>
        </w:rPr>
        <w:t xml:space="preserve">To sustain </w:t>
      </w:r>
      <w:r w:rsidR="00F1515C">
        <w:rPr>
          <w:rFonts w:ascii="Times New Roman" w:eastAsia="Times New Roman" w:hAnsi="Times New Roman" w:cs="Times New Roman"/>
          <w:color w:val="0E101A"/>
          <w:sz w:val="24"/>
          <w:szCs w:val="24"/>
        </w:rPr>
        <w:t xml:space="preserve">in the </w:t>
      </w:r>
      <w:r w:rsidR="002C1955">
        <w:rPr>
          <w:rFonts w:ascii="Times New Roman" w:eastAsia="Times New Roman" w:hAnsi="Times New Roman" w:cs="Times New Roman"/>
          <w:color w:val="0E101A"/>
          <w:sz w:val="24"/>
          <w:szCs w:val="24"/>
        </w:rPr>
        <w:t>competition,</w:t>
      </w:r>
      <w:r w:rsidR="00F1515C">
        <w:rPr>
          <w:rFonts w:ascii="Times New Roman" w:eastAsia="Times New Roman" w:hAnsi="Times New Roman" w:cs="Times New Roman"/>
          <w:color w:val="0E101A"/>
          <w:sz w:val="24"/>
          <w:szCs w:val="24"/>
        </w:rPr>
        <w:t xml:space="preserve"> </w:t>
      </w:r>
      <w:r w:rsidRPr="00B61EF9">
        <w:rPr>
          <w:rFonts w:ascii="Times New Roman" w:eastAsia="Times New Roman" w:hAnsi="Times New Roman" w:cs="Times New Roman"/>
          <w:color w:val="0E101A"/>
          <w:sz w:val="24"/>
          <w:szCs w:val="24"/>
        </w:rPr>
        <w:t>The Six Senses employs current socially effective digital marketing methods by utilizing the 7p's marketing framework (Febriansyah, 2019). The primary aspect is the price at which an item is advertised, and there are several pricing approaches, such as Competitive Moxy's Pricing Strategy. The Six Senses uses the 7p's marketing strategy to advertise their products digitally, where they have had recent success (Boonpradub &amp; Thechatakerng, 2015). The most important part of a product's success is its advertising cost. Pricing approaches vary, such as Competitive Moxy's Pricing Strategy, which sets rates on par with the company's primary competitor. The Place is the channel via which goods/services are transmitted from the manufacturer to the client, and the Product is the firm's market offering (Grundy, T., 2016.). Six Senses' tangible proof is also a significant component in attracting more and more clients. Six Seasons, for example, provides enhanced services through coffee shops and party venues, but they must be carefully regulated and supervised. The means via which products and services are traded from producer to consumer is referred to as the Place, while the Product is the service or thing offered to customers. The Six Senses' success as a service company is dependent on its ability to create and maintain healthy connections with both its staff and its clients.</w:t>
      </w:r>
      <w:r w:rsidR="00301B30">
        <w:rPr>
          <w:rFonts w:ascii="Times New Roman" w:eastAsia="Times New Roman" w:hAnsi="Times New Roman" w:cs="Times New Roman"/>
          <w:color w:val="0E101A"/>
          <w:sz w:val="24"/>
          <w:szCs w:val="24"/>
        </w:rPr>
        <w:t xml:space="preserve"> Peo</w:t>
      </w:r>
      <w:r w:rsidRPr="00B61EF9">
        <w:rPr>
          <w:rFonts w:ascii="Times New Roman" w:eastAsia="Times New Roman" w:hAnsi="Times New Roman" w:cs="Times New Roman"/>
          <w:color w:val="0E101A"/>
          <w:sz w:val="24"/>
          <w:szCs w:val="24"/>
        </w:rPr>
        <w:t xml:space="preserve">ple relationship development is fundamental to the service sector hospitality industry and commerce phenomena (Salin, V. and Nayga, R.M., 2017.). Each sequential step of a standardized procedure is referred to as a process, and as an organization's administrator, it is critical to arrange and manage the progressions and the related procedures in the most effective manner that is promising in order to save expenditures and generate as much feasible turnover margin as feasible (De Leon, L., Rafferty, P.D. and Herschel, R., 2012.). "Internal parties" are individuals who are already employed by the firm in some capacity, and "external parties" are those who are not. As a result, the better organized a corporation's organizational resources are, the more profitable it will be. The fundamental objective of the six seasons is to cultivate meaningful ties with its consumers, as the service sector and value-providing corporate industry, and trade singularities and standardizations are intimately and significantly associated with individuals related to the sector generally called upon as direct stakeholders (Loo &amp; Leung, 2016). Processes are used to define the individual stages that comprise a certain technique, and it is critical for them to develop and execute the organization's processes and engenders them in the most efficient manner conceivable to the related party in order to </w:t>
      </w:r>
      <w:r w:rsidRPr="00B61EF9">
        <w:rPr>
          <w:rFonts w:ascii="Times New Roman" w:eastAsia="Times New Roman" w:hAnsi="Times New Roman" w:cs="Times New Roman"/>
          <w:color w:val="0E101A"/>
          <w:sz w:val="24"/>
          <w:szCs w:val="24"/>
        </w:rPr>
        <w:lastRenderedPageBreak/>
        <w:t>decrease expenditures and increase profit. One may conclude that a concern's monetarist aspects and performance are proportionate to how efficiently it handles its internal resources.</w:t>
      </w:r>
    </w:p>
    <w:p w14:paraId="42CF6BBC" w14:textId="77777777" w:rsidR="00B61EF9" w:rsidRPr="00B61EF9" w:rsidRDefault="00B61EF9" w:rsidP="00301B30">
      <w:pPr>
        <w:pStyle w:val="Heading1"/>
        <w:spacing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t>In that, they serve different target customers, and social media and online promotional strategies differ from those used by hospitality-oriented businesses (Visser, 2019). MOXY markets its products using a high-investment, high-value creation strategy, whereas Six Senses works in mass marketing by decreasing marketing expenditures (Quaddus &amp; Siddique, 2022). Hotels like Six Senses and Moxy are making changes to better suit eco-conscious guests who want to lessen their environmental impact. Six Senses promotes environmental responsibility by lowering water usage, energy consumption, and rubbish, whereas Moxy prioritizes economy and productivity for long-term viability. Moxy caters to a younger, more cost-conscious demographic, but older generations may appreciate the hotel's emphasis on comfort and convenience. To retain current consumers, both companies emphasize their environmental commitment and outstanding service. (Block, J.H., Fisch, C.O., Obschonka, M. and Sandner, P.G., 2019). As a way to compensate and nullify the errors and the pitfalls of the business process Moxy and The Six Season has implemented work specialization-based business and communication procedures to contemplate the contemporary market demands.</w:t>
      </w:r>
    </w:p>
    <w:p w14:paraId="20CAF431" w14:textId="77777777" w:rsidR="00B61EF9" w:rsidRDefault="00B61EF9" w:rsidP="00301B30">
      <w:pPr>
        <w:pStyle w:val="Heading1"/>
        <w:spacing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t xml:space="preserve"> Moxy defines its sub-brands in different ways, but Six Senses operates in mass marketing by decreasing marketing expenses. Six Senses caters to the masses, and their key selling feature is inexpensive prices, thus mass marketing is the greatest technique for them. Both companies have tackled environmental challenges in their marketing, with Moxy emphasizing the environmental and visitor advantages of environmentally responsible initiatives. The spa treatments, nutritional dining alternatives, and environmentally responsible practices at Six Senses encourage health and well-being. Renewable green natural economy-based energy and ecologically responsible construction have minimized the company's ecological effects on business and trade.</w:t>
      </w:r>
    </w:p>
    <w:p w14:paraId="3A6E72BC" w14:textId="3B9D4F9F" w:rsidR="00906442" w:rsidRDefault="00B61EF9" w:rsidP="00301B30">
      <w:pPr>
        <w:spacing w:after="0" w:line="360" w:lineRule="auto"/>
        <w:jc w:val="both"/>
        <w:rPr>
          <w:rFonts w:ascii="Times New Roman" w:eastAsia="Times New Roman" w:hAnsi="Times New Roman" w:cs="Times New Roman"/>
          <w:color w:val="0E101A"/>
          <w:sz w:val="24"/>
          <w:szCs w:val="24"/>
        </w:rPr>
      </w:pPr>
      <w:r w:rsidRPr="00B61EF9">
        <w:rPr>
          <w:rFonts w:ascii="Times New Roman" w:eastAsia="Times New Roman" w:hAnsi="Times New Roman" w:cs="Times New Roman"/>
          <w:color w:val="0E101A"/>
          <w:sz w:val="24"/>
          <w:szCs w:val="24"/>
        </w:rPr>
        <w:t xml:space="preserve">This literary and insight-diving article provides an analytical framework for grasping the marketing and economic endeavors of two globally recognized hotel brands, Six Senses, and Moxy. Although the hospitality industry requires a substantial preliminary investment, labor costs are lower and profit margins are set higher than conventional market structure. This article examines Six Senses and Moxy, two worldwide hotel brands, and their respective business methods. Labor costs are cheaper in Southeast Asia, South America, Africa, and the Middle East </w:t>
      </w:r>
      <w:r w:rsidRPr="00B61EF9">
        <w:rPr>
          <w:rFonts w:ascii="Times New Roman" w:eastAsia="Times New Roman" w:hAnsi="Times New Roman" w:cs="Times New Roman"/>
          <w:color w:val="0E101A"/>
          <w:sz w:val="24"/>
          <w:szCs w:val="24"/>
        </w:rPr>
        <w:lastRenderedPageBreak/>
        <w:t>than elsewhere in the world. Both brands use different methods to attract clients. Hospitality demands a substantial initial investment but has lower labor expenses and higher profit margins. Labor expenses for guesthouses are lower in Southeast Asia, South America, Africa, and the Middle East. Finally, the analysis reveals that the two hospitality behemoths use different mottos and cultures to entice customers.</w:t>
      </w:r>
    </w:p>
    <w:p w14:paraId="5AB439C2" w14:textId="3D66D356" w:rsidR="00145CB2" w:rsidRDefault="00145CB2" w:rsidP="00301B30">
      <w:pPr>
        <w:spacing w:after="0" w:line="360" w:lineRule="auto"/>
        <w:jc w:val="both"/>
        <w:rPr>
          <w:rFonts w:ascii="Times New Roman" w:eastAsia="Times New Roman" w:hAnsi="Times New Roman" w:cs="Times New Roman"/>
          <w:color w:val="0E101A"/>
          <w:sz w:val="24"/>
          <w:szCs w:val="24"/>
        </w:rPr>
      </w:pPr>
    </w:p>
    <w:p w14:paraId="2CC655B2" w14:textId="77777777" w:rsidR="00145CB2" w:rsidRDefault="00145CB2">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14:paraId="69169B39" w14:textId="77777777" w:rsidR="00552FA4" w:rsidRPr="005169BA" w:rsidRDefault="00E74991" w:rsidP="005169BA">
      <w:pPr>
        <w:spacing w:line="360" w:lineRule="auto"/>
        <w:jc w:val="both"/>
        <w:rPr>
          <w:rFonts w:ascii="Times New Roman" w:hAnsi="Times New Roman" w:cs="Times New Roman"/>
          <w:b/>
          <w:sz w:val="24"/>
          <w:szCs w:val="24"/>
        </w:rPr>
      </w:pPr>
      <w:bookmarkStart w:id="0" w:name="_Toc108193157"/>
      <w:r w:rsidRPr="005169BA">
        <w:rPr>
          <w:rFonts w:ascii="Times New Roman" w:hAnsi="Times New Roman" w:cs="Times New Roman"/>
          <w:b/>
          <w:sz w:val="24"/>
          <w:szCs w:val="24"/>
        </w:rPr>
        <w:lastRenderedPageBreak/>
        <w:t>References</w:t>
      </w:r>
      <w:bookmarkEnd w:id="0"/>
    </w:p>
    <w:p w14:paraId="234DCB86" w14:textId="77777777" w:rsidR="000D7924" w:rsidRPr="000D7924" w:rsidRDefault="000D7924" w:rsidP="000D7924">
      <w:pPr>
        <w:spacing w:line="360" w:lineRule="auto"/>
        <w:jc w:val="both"/>
        <w:rPr>
          <w:rFonts w:ascii="Times New Roman" w:hAnsi="Times New Roman" w:cs="Times New Roman"/>
          <w:color w:val="4472C4" w:themeColor="accent5"/>
          <w:sz w:val="24"/>
          <w:szCs w:val="24"/>
          <w:shd w:val="clear" w:color="auto" w:fill="FFFFFF"/>
        </w:rPr>
      </w:pPr>
    </w:p>
    <w:p w14:paraId="7A85AA25"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Block, J.H., Fisch, C.O., Obschonka, M. and Sandner, P.G., 2019. A personality perspective on business angel syndication</w:t>
      </w:r>
      <w:r w:rsidRPr="000D7924">
        <w:rPr>
          <w:rFonts w:ascii="Segoe UI Symbol" w:hAnsi="Segoe UI Symbol" w:cs="Segoe UI Symbol"/>
          <w:color w:val="222222"/>
          <w:sz w:val="24"/>
          <w:szCs w:val="24"/>
          <w:shd w:val="clear" w:color="auto" w:fill="FFFFFF"/>
        </w:rPr>
        <w:t>✰</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Journal of Banking &amp; Finance</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100</w:t>
      </w:r>
      <w:r w:rsidRPr="000D7924">
        <w:rPr>
          <w:rFonts w:ascii="Times New Roman" w:hAnsi="Times New Roman" w:cs="Times New Roman"/>
          <w:color w:val="222222"/>
          <w:sz w:val="24"/>
          <w:szCs w:val="24"/>
          <w:shd w:val="clear" w:color="auto" w:fill="FFFFFF"/>
        </w:rPr>
        <w:t>, pp.306-327.</w:t>
      </w:r>
    </w:p>
    <w:p w14:paraId="74DD3ECE" w14:textId="77777777" w:rsidR="000D7924" w:rsidRPr="000D7924" w:rsidRDefault="000D7924" w:rsidP="000D7924">
      <w:pPr>
        <w:pStyle w:val="NormalWeb"/>
        <w:spacing w:line="360" w:lineRule="auto"/>
        <w:ind w:left="567" w:hanging="567"/>
        <w:jc w:val="both"/>
      </w:pPr>
      <w:r w:rsidRPr="000D7924">
        <w:t xml:space="preserve">Boonpradub, W. and Thechatakerng, P. (2015) “Brand endorsement by celebrity in Thailand: 7ps of marketing mix and the impact of Brand Alliance,” </w:t>
      </w:r>
      <w:r w:rsidRPr="000D7924">
        <w:rPr>
          <w:i/>
          <w:iCs/>
        </w:rPr>
        <w:t>International Journal of Trade, Economics and Finance</w:t>
      </w:r>
      <w:r w:rsidRPr="000D7924">
        <w:t xml:space="preserve">, 6(1), pp. 8–13. Available at: https://doi.org/10.7763/ijtef.2015.v6.433. </w:t>
      </w:r>
    </w:p>
    <w:p w14:paraId="66BF5E4B"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De Leon, L., Rafferty, P.D. and Herschel, R., 2012. Replacing the annual budget with business intelligence driver-based forecasts.</w:t>
      </w:r>
    </w:p>
    <w:p w14:paraId="56914E05" w14:textId="77777777" w:rsidR="000D7924" w:rsidRPr="000D7924" w:rsidRDefault="000D7924" w:rsidP="000D7924">
      <w:pPr>
        <w:pStyle w:val="NormalWeb"/>
        <w:spacing w:line="360" w:lineRule="auto"/>
        <w:ind w:left="567" w:hanging="567"/>
        <w:jc w:val="both"/>
      </w:pPr>
      <w:r w:rsidRPr="000D7924">
        <w:t xml:space="preserve">Febriansyah, R. (2019) “Marketing mix 7PS in Islamic perspective,” </w:t>
      </w:r>
      <w:r w:rsidRPr="000D7924">
        <w:rPr>
          <w:i/>
          <w:iCs/>
        </w:rPr>
        <w:t>KnE Social Sciences</w:t>
      </w:r>
      <w:r w:rsidRPr="000D7924">
        <w:t xml:space="preserve">, 3(13), p. 619. Available at: https://doi.org/10.18502/kss.v3i13.4235. </w:t>
      </w:r>
    </w:p>
    <w:p w14:paraId="1F6AE970"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Grundy, T., 2016. Rethinking and reinventing Michael Porter's five forces model. </w:t>
      </w:r>
      <w:r w:rsidRPr="000D7924">
        <w:rPr>
          <w:rFonts w:ascii="Times New Roman" w:hAnsi="Times New Roman" w:cs="Times New Roman"/>
          <w:i/>
          <w:iCs/>
          <w:color w:val="222222"/>
          <w:sz w:val="24"/>
          <w:szCs w:val="24"/>
          <w:shd w:val="clear" w:color="auto" w:fill="FFFFFF"/>
        </w:rPr>
        <w:t>Strategic change</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15</w:t>
      </w:r>
      <w:r w:rsidRPr="000D7924">
        <w:rPr>
          <w:rFonts w:ascii="Times New Roman" w:hAnsi="Times New Roman" w:cs="Times New Roman"/>
          <w:color w:val="222222"/>
          <w:sz w:val="24"/>
          <w:szCs w:val="24"/>
          <w:shd w:val="clear" w:color="auto" w:fill="FFFFFF"/>
        </w:rPr>
        <w:t>(5), pp.213-229.</w:t>
      </w:r>
    </w:p>
    <w:p w14:paraId="638A3C6F"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GURL, E., 2017. SWOT analysis: A theoretical review.</w:t>
      </w:r>
    </w:p>
    <w:p w14:paraId="493D6ADB" w14:textId="77777777" w:rsidR="000D7924" w:rsidRPr="000D7924" w:rsidRDefault="000D7924" w:rsidP="000D7924">
      <w:pPr>
        <w:pStyle w:val="NormalWeb"/>
        <w:spacing w:line="360" w:lineRule="auto"/>
        <w:ind w:left="567" w:hanging="567"/>
        <w:jc w:val="both"/>
      </w:pPr>
      <w:r w:rsidRPr="000D7924">
        <w:t xml:space="preserve">Jhonson, G. (2017) “Combining firm-specific advantages and location advantages in a multinational network,” </w:t>
      </w:r>
      <w:r w:rsidRPr="000D7924">
        <w:rPr>
          <w:i/>
          <w:iCs/>
        </w:rPr>
        <w:t>International Business Strategy</w:t>
      </w:r>
      <w:r w:rsidRPr="000D7924">
        <w:t xml:space="preserve">, pp. 157–192. Available at: https://doi.org/10.1017/cbo9781139227162.009. </w:t>
      </w:r>
    </w:p>
    <w:p w14:paraId="5439290D"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Laarman, J.G. and Gregersen, H.M., 1996. Pricing policy in nature-based tourism. </w:t>
      </w:r>
      <w:r w:rsidRPr="000D7924">
        <w:rPr>
          <w:rFonts w:ascii="Times New Roman" w:hAnsi="Times New Roman" w:cs="Times New Roman"/>
          <w:i/>
          <w:iCs/>
          <w:color w:val="222222"/>
          <w:sz w:val="24"/>
          <w:szCs w:val="24"/>
          <w:shd w:val="clear" w:color="auto" w:fill="FFFFFF"/>
        </w:rPr>
        <w:t>Tourism management</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17</w:t>
      </w:r>
      <w:r w:rsidRPr="000D7924">
        <w:rPr>
          <w:rFonts w:ascii="Times New Roman" w:hAnsi="Times New Roman" w:cs="Times New Roman"/>
          <w:color w:val="222222"/>
          <w:sz w:val="24"/>
          <w:szCs w:val="24"/>
          <w:shd w:val="clear" w:color="auto" w:fill="FFFFFF"/>
        </w:rPr>
        <w:t>(4), pp.247-254.</w:t>
      </w:r>
    </w:p>
    <w:p w14:paraId="2FE8BB3B" w14:textId="77777777" w:rsidR="000D7924" w:rsidRPr="000D7924" w:rsidRDefault="000D7924" w:rsidP="000D7924">
      <w:pPr>
        <w:pStyle w:val="NormalWeb"/>
        <w:spacing w:line="360" w:lineRule="auto"/>
        <w:ind w:left="567" w:hanging="567"/>
        <w:jc w:val="both"/>
      </w:pPr>
      <w:r w:rsidRPr="000D7924">
        <w:t xml:space="preserve">Loo, P.T. and Leung, R. (2016) “A service failure framework of hotels in Taiwan,” </w:t>
      </w:r>
      <w:r w:rsidRPr="000D7924">
        <w:rPr>
          <w:i/>
          <w:iCs/>
        </w:rPr>
        <w:t>Journal of Vacation Marketing</w:t>
      </w:r>
      <w:r w:rsidRPr="000D7924">
        <w:t xml:space="preserve">, 24(1), pp. 79–100. Available at: https://doi.org/10.1177/1356766716682555. </w:t>
      </w:r>
    </w:p>
    <w:p w14:paraId="0E63824E" w14:textId="77777777" w:rsidR="000D7924" w:rsidRPr="000D7924" w:rsidRDefault="000D7924" w:rsidP="000D7924">
      <w:pPr>
        <w:spacing w:line="360" w:lineRule="auto"/>
        <w:jc w:val="both"/>
        <w:rPr>
          <w:rFonts w:ascii="Times New Roman" w:hAnsi="Times New Roman" w:cs="Times New Roman"/>
          <w:sz w:val="24"/>
          <w:szCs w:val="24"/>
        </w:rPr>
      </w:pPr>
      <w:r w:rsidRPr="000D7924">
        <w:rPr>
          <w:rFonts w:ascii="Times New Roman" w:hAnsi="Times New Roman" w:cs="Times New Roman"/>
          <w:color w:val="222222"/>
          <w:sz w:val="24"/>
          <w:szCs w:val="24"/>
          <w:shd w:val="clear" w:color="auto" w:fill="FFFFFF"/>
        </w:rPr>
        <w:lastRenderedPageBreak/>
        <w:t>Neumann, J., Robson, A. and Sloan, D., 2018. Monitoring and evaluation of strategic change programme implementation—Lessons from a case analysis. </w:t>
      </w:r>
      <w:r w:rsidRPr="000D7924">
        <w:rPr>
          <w:rFonts w:ascii="Times New Roman" w:hAnsi="Times New Roman" w:cs="Times New Roman"/>
          <w:i/>
          <w:iCs/>
          <w:color w:val="222222"/>
          <w:sz w:val="24"/>
          <w:szCs w:val="24"/>
          <w:shd w:val="clear" w:color="auto" w:fill="FFFFFF"/>
        </w:rPr>
        <w:t>Evaluation and program planning</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66</w:t>
      </w:r>
      <w:r w:rsidRPr="000D7924">
        <w:rPr>
          <w:rFonts w:ascii="Times New Roman" w:hAnsi="Times New Roman" w:cs="Times New Roman"/>
          <w:color w:val="222222"/>
          <w:sz w:val="24"/>
          <w:szCs w:val="24"/>
          <w:shd w:val="clear" w:color="auto" w:fill="FFFFFF"/>
        </w:rPr>
        <w:t>, pp.120-132</w:t>
      </w:r>
    </w:p>
    <w:p w14:paraId="1A8AA2D6"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Pirlone, F. and Spadaro, I., 2017. Sustainable tourism action plan in the Mediterranean coastal areas. </w:t>
      </w:r>
      <w:r w:rsidRPr="000D7924">
        <w:rPr>
          <w:rFonts w:ascii="Times New Roman" w:hAnsi="Times New Roman" w:cs="Times New Roman"/>
          <w:i/>
          <w:iCs/>
          <w:color w:val="222222"/>
          <w:sz w:val="24"/>
          <w:szCs w:val="24"/>
          <w:shd w:val="clear" w:color="auto" w:fill="FFFFFF"/>
        </w:rPr>
        <w:t>International Journal of Sustainable Development and Planning</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12</w:t>
      </w:r>
      <w:r w:rsidRPr="000D7924">
        <w:rPr>
          <w:rFonts w:ascii="Times New Roman" w:hAnsi="Times New Roman" w:cs="Times New Roman"/>
          <w:color w:val="222222"/>
          <w:sz w:val="24"/>
          <w:szCs w:val="24"/>
          <w:shd w:val="clear" w:color="auto" w:fill="FFFFFF"/>
        </w:rPr>
        <w:t>(6), pp.995-1005.</w:t>
      </w:r>
    </w:p>
    <w:p w14:paraId="53959D92"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Pomering, A., Noble, G. and Johnson, L.W., 2011. Conceptualising a contemporary marketing mix for sustainable tourism. </w:t>
      </w:r>
      <w:r w:rsidRPr="000D7924">
        <w:rPr>
          <w:rFonts w:ascii="Times New Roman" w:hAnsi="Times New Roman" w:cs="Times New Roman"/>
          <w:i/>
          <w:iCs/>
          <w:color w:val="222222"/>
          <w:sz w:val="24"/>
          <w:szCs w:val="24"/>
          <w:shd w:val="clear" w:color="auto" w:fill="FFFFFF"/>
        </w:rPr>
        <w:t>Journal of Sustainable Tourism</w:t>
      </w:r>
      <w:r w:rsidRPr="000D7924">
        <w:rPr>
          <w:rFonts w:ascii="Times New Roman" w:hAnsi="Times New Roman" w:cs="Times New Roman"/>
          <w:color w:val="222222"/>
          <w:sz w:val="24"/>
          <w:szCs w:val="24"/>
          <w:shd w:val="clear" w:color="auto" w:fill="FFFFFF"/>
        </w:rPr>
        <w:t>, </w:t>
      </w:r>
      <w:r w:rsidRPr="000D7924">
        <w:rPr>
          <w:rFonts w:ascii="Times New Roman" w:hAnsi="Times New Roman" w:cs="Times New Roman"/>
          <w:i/>
          <w:iCs/>
          <w:color w:val="222222"/>
          <w:sz w:val="24"/>
          <w:szCs w:val="24"/>
          <w:shd w:val="clear" w:color="auto" w:fill="FFFFFF"/>
        </w:rPr>
        <w:t>19</w:t>
      </w:r>
      <w:r w:rsidRPr="000D7924">
        <w:rPr>
          <w:rFonts w:ascii="Times New Roman" w:hAnsi="Times New Roman" w:cs="Times New Roman"/>
          <w:color w:val="222222"/>
          <w:sz w:val="24"/>
          <w:szCs w:val="24"/>
          <w:shd w:val="clear" w:color="auto" w:fill="FFFFFF"/>
        </w:rPr>
        <w:t>(8), pp.953-969.</w:t>
      </w:r>
    </w:p>
    <w:p w14:paraId="2DCABBDD" w14:textId="77777777" w:rsidR="000D7924" w:rsidRPr="000D7924" w:rsidRDefault="000D7924" w:rsidP="000D7924">
      <w:pPr>
        <w:pStyle w:val="NormalWeb"/>
        <w:spacing w:line="360" w:lineRule="auto"/>
        <w:ind w:left="567" w:hanging="567"/>
        <w:jc w:val="both"/>
      </w:pPr>
      <w:r w:rsidRPr="000D7924">
        <w:t xml:space="preserve">Quaddus, M.A. and Siddique, M.A.B. (2022) “Corporate sustainability: Future directions,” </w:t>
      </w:r>
      <w:r w:rsidRPr="000D7924">
        <w:rPr>
          <w:i/>
          <w:iCs/>
        </w:rPr>
        <w:t>Handbook of Corporate Sustainability</w:t>
      </w:r>
      <w:r w:rsidRPr="000D7924">
        <w:t xml:space="preserve"> [Preprint]. Available at: https://doi.org/10.4337/9781849807944.00024. </w:t>
      </w:r>
    </w:p>
    <w:p w14:paraId="5595CE3F" w14:textId="77777777" w:rsidR="000D7924" w:rsidRPr="000D7924" w:rsidRDefault="000D7924" w:rsidP="000D7924">
      <w:pPr>
        <w:spacing w:line="360" w:lineRule="auto"/>
        <w:jc w:val="both"/>
        <w:rPr>
          <w:rFonts w:ascii="Times New Roman" w:hAnsi="Times New Roman" w:cs="Times New Roman"/>
          <w:color w:val="222222"/>
          <w:sz w:val="24"/>
          <w:szCs w:val="24"/>
          <w:shd w:val="clear" w:color="auto" w:fill="FFFFFF"/>
        </w:rPr>
      </w:pPr>
      <w:r w:rsidRPr="000D7924">
        <w:rPr>
          <w:rFonts w:ascii="Times New Roman" w:hAnsi="Times New Roman" w:cs="Times New Roman"/>
          <w:color w:val="222222"/>
          <w:sz w:val="24"/>
          <w:szCs w:val="24"/>
          <w:shd w:val="clear" w:color="auto" w:fill="FFFFFF"/>
        </w:rPr>
        <w:t>Salin, V. and Nayga, R.M., 2017. A cold chain network for food exports to developing countries. </w:t>
      </w:r>
      <w:r w:rsidRPr="000D7924">
        <w:rPr>
          <w:rFonts w:ascii="Times New Roman" w:hAnsi="Times New Roman" w:cs="Times New Roman"/>
          <w:i/>
          <w:iCs/>
          <w:color w:val="222222"/>
          <w:sz w:val="24"/>
          <w:szCs w:val="24"/>
          <w:shd w:val="clear" w:color="auto" w:fill="FFFFFF"/>
        </w:rPr>
        <w:t>International Journal of Physical Distribution &amp; Logistics Management</w:t>
      </w:r>
      <w:r w:rsidRPr="000D7924">
        <w:rPr>
          <w:rFonts w:ascii="Times New Roman" w:hAnsi="Times New Roman" w:cs="Times New Roman"/>
          <w:color w:val="222222"/>
          <w:sz w:val="24"/>
          <w:szCs w:val="24"/>
          <w:shd w:val="clear" w:color="auto" w:fill="FFFFFF"/>
        </w:rPr>
        <w:t>.</w:t>
      </w:r>
    </w:p>
    <w:p w14:paraId="6F16333B" w14:textId="77777777" w:rsidR="000D7924" w:rsidRPr="000D7924" w:rsidRDefault="000D7924" w:rsidP="000D7924">
      <w:pPr>
        <w:pStyle w:val="NormalWeb"/>
        <w:spacing w:line="360" w:lineRule="auto"/>
        <w:ind w:left="567" w:hanging="567"/>
        <w:jc w:val="both"/>
      </w:pPr>
      <w:r w:rsidRPr="000D7924">
        <w:t xml:space="preserve">Visser, M. (2019) “Digital Marketing,” </w:t>
      </w:r>
      <w:r w:rsidRPr="000D7924">
        <w:rPr>
          <w:i/>
          <w:iCs/>
        </w:rPr>
        <w:t>Digital Marketing Fundamentals</w:t>
      </w:r>
      <w:r w:rsidRPr="000D7924">
        <w:t xml:space="preserve">, pp. 10–23. Available at: https://doi.org/10.4324/9781003021674-1. </w:t>
      </w:r>
    </w:p>
    <w:sectPr w:rsidR="000D7924" w:rsidRPr="000D792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81F06" w14:textId="77777777" w:rsidR="009D1FED" w:rsidRDefault="009D1FED">
      <w:pPr>
        <w:spacing w:after="0" w:line="240" w:lineRule="auto"/>
      </w:pPr>
      <w:r>
        <w:separator/>
      </w:r>
    </w:p>
  </w:endnote>
  <w:endnote w:type="continuationSeparator" w:id="0">
    <w:p w14:paraId="552822BE" w14:textId="77777777" w:rsidR="009D1FED" w:rsidRDefault="009D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82E0" w14:textId="77777777" w:rsidR="000B7D21"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289068"/>
      <w:docPartObj>
        <w:docPartGallery w:val="Page Numbers (Bottom of Page)"/>
        <w:docPartUnique/>
      </w:docPartObj>
    </w:sdtPr>
    <w:sdtEndPr>
      <w:rPr>
        <w:noProof/>
      </w:rPr>
    </w:sdtEndPr>
    <w:sdtContent>
      <w:p w14:paraId="06C53AFA" w14:textId="7EC0D2F7" w:rsidR="000B7D21" w:rsidRDefault="00453D48">
        <w:pPr>
          <w:pStyle w:val="Footer"/>
          <w:jc w:val="center"/>
        </w:pPr>
        <w:r>
          <w:fldChar w:fldCharType="begin"/>
        </w:r>
        <w:r>
          <w:instrText xml:space="preserve"> PAGE   \* MERGEFORMAT </w:instrText>
        </w:r>
        <w:r>
          <w:fldChar w:fldCharType="separate"/>
        </w:r>
        <w:r w:rsidR="007B40E3">
          <w:rPr>
            <w:noProof/>
          </w:rPr>
          <w:t>2</w:t>
        </w:r>
        <w:r>
          <w:rPr>
            <w:noProof/>
          </w:rPr>
          <w:fldChar w:fldCharType="end"/>
        </w:r>
      </w:p>
    </w:sdtContent>
  </w:sdt>
  <w:p w14:paraId="57742EA8" w14:textId="77777777" w:rsidR="000B7D21"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FF96" w14:textId="77777777" w:rsidR="000B7D2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2603F" w14:textId="77777777" w:rsidR="009D1FED" w:rsidRDefault="009D1FED">
      <w:pPr>
        <w:spacing w:after="0" w:line="240" w:lineRule="auto"/>
      </w:pPr>
      <w:r>
        <w:separator/>
      </w:r>
    </w:p>
  </w:footnote>
  <w:footnote w:type="continuationSeparator" w:id="0">
    <w:p w14:paraId="11EC95CB" w14:textId="77777777" w:rsidR="009D1FED" w:rsidRDefault="009D1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915FE" w14:textId="77777777" w:rsidR="000B7D21"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E44C" w14:textId="77777777" w:rsidR="000B7D21"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0B871" w14:textId="77777777" w:rsidR="000B7D21"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18FF"/>
    <w:multiLevelType w:val="hybridMultilevel"/>
    <w:tmpl w:val="897860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9A0064"/>
    <w:multiLevelType w:val="hybridMultilevel"/>
    <w:tmpl w:val="BFCA57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6A1EDC"/>
    <w:multiLevelType w:val="hybridMultilevel"/>
    <w:tmpl w:val="6FBA8D32"/>
    <w:lvl w:ilvl="0" w:tplc="29562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348115">
    <w:abstractNumId w:val="2"/>
  </w:num>
  <w:num w:numId="2" w16cid:durableId="820389199">
    <w:abstractNumId w:val="1"/>
  </w:num>
  <w:num w:numId="3" w16cid:durableId="91557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4C7"/>
    <w:rsid w:val="000023CA"/>
    <w:rsid w:val="000050C7"/>
    <w:rsid w:val="00005DB8"/>
    <w:rsid w:val="0005015D"/>
    <w:rsid w:val="00052413"/>
    <w:rsid w:val="000A11C4"/>
    <w:rsid w:val="000B0AF0"/>
    <w:rsid w:val="000B31C2"/>
    <w:rsid w:val="000D6EA6"/>
    <w:rsid w:val="000D7924"/>
    <w:rsid w:val="00117F75"/>
    <w:rsid w:val="00122282"/>
    <w:rsid w:val="00124E1B"/>
    <w:rsid w:val="00130E2B"/>
    <w:rsid w:val="00133842"/>
    <w:rsid w:val="00145CB2"/>
    <w:rsid w:val="00174641"/>
    <w:rsid w:val="001A64A0"/>
    <w:rsid w:val="001B4BC0"/>
    <w:rsid w:val="001C348F"/>
    <w:rsid w:val="001C4F8B"/>
    <w:rsid w:val="001E1456"/>
    <w:rsid w:val="002201E9"/>
    <w:rsid w:val="00220EE6"/>
    <w:rsid w:val="002500B5"/>
    <w:rsid w:val="0025730C"/>
    <w:rsid w:val="0025738B"/>
    <w:rsid w:val="00262D1C"/>
    <w:rsid w:val="0026610B"/>
    <w:rsid w:val="0027237B"/>
    <w:rsid w:val="002778C1"/>
    <w:rsid w:val="002B2190"/>
    <w:rsid w:val="002C1955"/>
    <w:rsid w:val="002C7E3A"/>
    <w:rsid w:val="002D3A56"/>
    <w:rsid w:val="002F681C"/>
    <w:rsid w:val="002F710A"/>
    <w:rsid w:val="00301B30"/>
    <w:rsid w:val="00307749"/>
    <w:rsid w:val="00396C39"/>
    <w:rsid w:val="003B54C7"/>
    <w:rsid w:val="003D006E"/>
    <w:rsid w:val="003E705E"/>
    <w:rsid w:val="003F2AE8"/>
    <w:rsid w:val="003F5C20"/>
    <w:rsid w:val="004060C4"/>
    <w:rsid w:val="0041123F"/>
    <w:rsid w:val="004228C0"/>
    <w:rsid w:val="00433684"/>
    <w:rsid w:val="004353B4"/>
    <w:rsid w:val="00440210"/>
    <w:rsid w:val="004430B1"/>
    <w:rsid w:val="00453D48"/>
    <w:rsid w:val="00472EAA"/>
    <w:rsid w:val="004812F2"/>
    <w:rsid w:val="00491477"/>
    <w:rsid w:val="0049321C"/>
    <w:rsid w:val="00496CC1"/>
    <w:rsid w:val="004A482A"/>
    <w:rsid w:val="004B5F9C"/>
    <w:rsid w:val="004C7499"/>
    <w:rsid w:val="004D0E13"/>
    <w:rsid w:val="004E6B02"/>
    <w:rsid w:val="004F6395"/>
    <w:rsid w:val="004F6D5A"/>
    <w:rsid w:val="005169BA"/>
    <w:rsid w:val="00533DA5"/>
    <w:rsid w:val="00552FA4"/>
    <w:rsid w:val="005544BC"/>
    <w:rsid w:val="005574D4"/>
    <w:rsid w:val="00567771"/>
    <w:rsid w:val="0057193F"/>
    <w:rsid w:val="00573AFF"/>
    <w:rsid w:val="0058244F"/>
    <w:rsid w:val="005B220A"/>
    <w:rsid w:val="005B482A"/>
    <w:rsid w:val="005C5FFB"/>
    <w:rsid w:val="005E1805"/>
    <w:rsid w:val="00604138"/>
    <w:rsid w:val="00615FE0"/>
    <w:rsid w:val="006177E9"/>
    <w:rsid w:val="00633E01"/>
    <w:rsid w:val="006634F4"/>
    <w:rsid w:val="00663C8A"/>
    <w:rsid w:val="00694CA8"/>
    <w:rsid w:val="006955D1"/>
    <w:rsid w:val="006A3616"/>
    <w:rsid w:val="006A7141"/>
    <w:rsid w:val="006B4C44"/>
    <w:rsid w:val="006C336F"/>
    <w:rsid w:val="00717C36"/>
    <w:rsid w:val="00733D14"/>
    <w:rsid w:val="007363E3"/>
    <w:rsid w:val="00754A4B"/>
    <w:rsid w:val="00763BF7"/>
    <w:rsid w:val="00771675"/>
    <w:rsid w:val="00776EE7"/>
    <w:rsid w:val="007904F8"/>
    <w:rsid w:val="007B40E3"/>
    <w:rsid w:val="008423CB"/>
    <w:rsid w:val="00850483"/>
    <w:rsid w:val="008600C0"/>
    <w:rsid w:val="008604E6"/>
    <w:rsid w:val="00864C05"/>
    <w:rsid w:val="0086585D"/>
    <w:rsid w:val="00892FEF"/>
    <w:rsid w:val="008C3937"/>
    <w:rsid w:val="008D674A"/>
    <w:rsid w:val="008E0DC5"/>
    <w:rsid w:val="009041FA"/>
    <w:rsid w:val="00906442"/>
    <w:rsid w:val="00907630"/>
    <w:rsid w:val="00921E40"/>
    <w:rsid w:val="0092616A"/>
    <w:rsid w:val="00956C2E"/>
    <w:rsid w:val="0096021B"/>
    <w:rsid w:val="009634FA"/>
    <w:rsid w:val="00987F06"/>
    <w:rsid w:val="00993A2F"/>
    <w:rsid w:val="009A576A"/>
    <w:rsid w:val="009B7D1B"/>
    <w:rsid w:val="009C5383"/>
    <w:rsid w:val="009C6529"/>
    <w:rsid w:val="009D1FED"/>
    <w:rsid w:val="009F72E3"/>
    <w:rsid w:val="00A251C4"/>
    <w:rsid w:val="00A358AF"/>
    <w:rsid w:val="00A37F01"/>
    <w:rsid w:val="00A524E4"/>
    <w:rsid w:val="00A55120"/>
    <w:rsid w:val="00A658C7"/>
    <w:rsid w:val="00A961A0"/>
    <w:rsid w:val="00AA549A"/>
    <w:rsid w:val="00AF4B7E"/>
    <w:rsid w:val="00B16264"/>
    <w:rsid w:val="00B1743C"/>
    <w:rsid w:val="00B37324"/>
    <w:rsid w:val="00B43507"/>
    <w:rsid w:val="00B52B25"/>
    <w:rsid w:val="00B564D3"/>
    <w:rsid w:val="00B61EF9"/>
    <w:rsid w:val="00B63153"/>
    <w:rsid w:val="00B72B80"/>
    <w:rsid w:val="00BB2027"/>
    <w:rsid w:val="00BB3185"/>
    <w:rsid w:val="00BF10AA"/>
    <w:rsid w:val="00C01AB7"/>
    <w:rsid w:val="00C355B1"/>
    <w:rsid w:val="00C36D8A"/>
    <w:rsid w:val="00C51A74"/>
    <w:rsid w:val="00C7218B"/>
    <w:rsid w:val="00C72AAE"/>
    <w:rsid w:val="00C96A1D"/>
    <w:rsid w:val="00CA1FDE"/>
    <w:rsid w:val="00CB202E"/>
    <w:rsid w:val="00CB495F"/>
    <w:rsid w:val="00CC0274"/>
    <w:rsid w:val="00CC4C0D"/>
    <w:rsid w:val="00CD0302"/>
    <w:rsid w:val="00CD053F"/>
    <w:rsid w:val="00CD7892"/>
    <w:rsid w:val="00CF4554"/>
    <w:rsid w:val="00D06B0A"/>
    <w:rsid w:val="00D17584"/>
    <w:rsid w:val="00D21105"/>
    <w:rsid w:val="00D23714"/>
    <w:rsid w:val="00D26300"/>
    <w:rsid w:val="00D2663A"/>
    <w:rsid w:val="00D57C1D"/>
    <w:rsid w:val="00D611AB"/>
    <w:rsid w:val="00D656CA"/>
    <w:rsid w:val="00DA6741"/>
    <w:rsid w:val="00DB2D80"/>
    <w:rsid w:val="00DC3F92"/>
    <w:rsid w:val="00DD17C7"/>
    <w:rsid w:val="00DF16B8"/>
    <w:rsid w:val="00E05C79"/>
    <w:rsid w:val="00E07F66"/>
    <w:rsid w:val="00E14E10"/>
    <w:rsid w:val="00E43693"/>
    <w:rsid w:val="00E50C28"/>
    <w:rsid w:val="00E74991"/>
    <w:rsid w:val="00E92CF0"/>
    <w:rsid w:val="00E97552"/>
    <w:rsid w:val="00EA47F3"/>
    <w:rsid w:val="00EB6259"/>
    <w:rsid w:val="00EC397D"/>
    <w:rsid w:val="00EE3111"/>
    <w:rsid w:val="00EE4552"/>
    <w:rsid w:val="00EF38B1"/>
    <w:rsid w:val="00EF5711"/>
    <w:rsid w:val="00F0159A"/>
    <w:rsid w:val="00F10973"/>
    <w:rsid w:val="00F1515C"/>
    <w:rsid w:val="00F4065E"/>
    <w:rsid w:val="00F412F3"/>
    <w:rsid w:val="00F52287"/>
    <w:rsid w:val="00F57819"/>
    <w:rsid w:val="00F81036"/>
    <w:rsid w:val="00F8400A"/>
    <w:rsid w:val="00FA58DE"/>
    <w:rsid w:val="00FD144E"/>
    <w:rsid w:val="00FD4A46"/>
    <w:rsid w:val="00FD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50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3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31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7">
    <w:name w:val="heading 7"/>
    <w:basedOn w:val="Heading1"/>
    <w:next w:val="Normal"/>
    <w:link w:val="Heading7Char"/>
    <w:autoRedefine/>
    <w:uiPriority w:val="9"/>
    <w:unhideWhenUsed/>
    <w:qFormat/>
    <w:rsid w:val="0025738B"/>
    <w:pPr>
      <w:spacing w:before="40" w:line="240" w:lineRule="auto"/>
      <w:outlineLvl w:val="6"/>
    </w:pPr>
    <w:rPr>
      <w:rFonts w:asciiTheme="minorHAnsi" w:hAnsiTheme="minorHAnsi" w:cstheme="minorBidi"/>
      <w:b/>
      <w:iCs/>
      <w:color w:val="0E101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5738B"/>
    <w:rPr>
      <w:rFonts w:eastAsiaTheme="majorEastAsia"/>
      <w:b/>
      <w:iCs/>
      <w:color w:val="0E101A"/>
      <w:sz w:val="32"/>
      <w:szCs w:val="24"/>
    </w:rPr>
  </w:style>
  <w:style w:type="character" w:customStyle="1" w:styleId="Heading1Char">
    <w:name w:val="Heading 1 Char"/>
    <w:basedOn w:val="DefaultParagraphFont"/>
    <w:link w:val="Heading1"/>
    <w:uiPriority w:val="9"/>
    <w:rsid w:val="0025738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74991"/>
    <w:pPr>
      <w:tabs>
        <w:tab w:val="center" w:pos="4680"/>
        <w:tab w:val="right" w:pos="9360"/>
      </w:tabs>
      <w:spacing w:after="0" w:line="240" w:lineRule="auto"/>
      <w:jc w:val="both"/>
    </w:pPr>
    <w:rPr>
      <w:rFonts w:ascii="Times New Roman" w:hAnsi="Times New Roman"/>
      <w:sz w:val="24"/>
    </w:rPr>
  </w:style>
  <w:style w:type="character" w:customStyle="1" w:styleId="HeaderChar">
    <w:name w:val="Header Char"/>
    <w:basedOn w:val="DefaultParagraphFont"/>
    <w:link w:val="Header"/>
    <w:uiPriority w:val="99"/>
    <w:rsid w:val="00E74991"/>
    <w:rPr>
      <w:rFonts w:ascii="Times New Roman" w:hAnsi="Times New Roman"/>
      <w:sz w:val="24"/>
    </w:rPr>
  </w:style>
  <w:style w:type="paragraph" w:styleId="Footer">
    <w:name w:val="footer"/>
    <w:basedOn w:val="Normal"/>
    <w:link w:val="FooterChar"/>
    <w:uiPriority w:val="99"/>
    <w:unhideWhenUsed/>
    <w:rsid w:val="00E74991"/>
    <w:pPr>
      <w:tabs>
        <w:tab w:val="center" w:pos="4680"/>
        <w:tab w:val="right" w:pos="9360"/>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E74991"/>
    <w:rPr>
      <w:rFonts w:ascii="Times New Roman" w:hAnsi="Times New Roman"/>
      <w:sz w:val="24"/>
    </w:rPr>
  </w:style>
  <w:style w:type="paragraph" w:styleId="ListParagraph">
    <w:name w:val="List Paragraph"/>
    <w:basedOn w:val="Normal"/>
    <w:uiPriority w:val="34"/>
    <w:qFormat/>
    <w:rsid w:val="00A358AF"/>
    <w:pPr>
      <w:ind w:left="720"/>
      <w:contextualSpacing/>
    </w:pPr>
  </w:style>
  <w:style w:type="paragraph" w:styleId="TOC1">
    <w:name w:val="toc 1"/>
    <w:basedOn w:val="Normal"/>
    <w:next w:val="Normal"/>
    <w:autoRedefine/>
    <w:uiPriority w:val="39"/>
    <w:unhideWhenUsed/>
    <w:rsid w:val="00FA58DE"/>
    <w:pPr>
      <w:spacing w:after="100"/>
    </w:pPr>
  </w:style>
  <w:style w:type="paragraph" w:styleId="TOC2">
    <w:name w:val="toc 2"/>
    <w:basedOn w:val="Normal"/>
    <w:next w:val="Normal"/>
    <w:autoRedefine/>
    <w:uiPriority w:val="39"/>
    <w:unhideWhenUsed/>
    <w:rsid w:val="00FA58DE"/>
    <w:pPr>
      <w:spacing w:after="100"/>
      <w:ind w:left="220"/>
    </w:pPr>
  </w:style>
  <w:style w:type="character" w:styleId="Hyperlink">
    <w:name w:val="Hyperlink"/>
    <w:basedOn w:val="DefaultParagraphFont"/>
    <w:uiPriority w:val="99"/>
    <w:unhideWhenUsed/>
    <w:rsid w:val="00FA58DE"/>
    <w:rPr>
      <w:color w:val="0563C1" w:themeColor="hyperlink"/>
      <w:u w:val="single"/>
    </w:rPr>
  </w:style>
  <w:style w:type="paragraph" w:styleId="NormalWeb">
    <w:name w:val="Normal (Web)"/>
    <w:basedOn w:val="Normal"/>
    <w:uiPriority w:val="99"/>
    <w:semiHidden/>
    <w:unhideWhenUsed/>
    <w:rsid w:val="009B7D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7D1B"/>
    <w:rPr>
      <w:b/>
      <w:bCs/>
    </w:rPr>
  </w:style>
  <w:style w:type="character" w:customStyle="1" w:styleId="Heading2Char">
    <w:name w:val="Heading 2 Char"/>
    <w:basedOn w:val="DefaultParagraphFont"/>
    <w:link w:val="Heading2"/>
    <w:uiPriority w:val="9"/>
    <w:rsid w:val="00EE311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5867">
      <w:bodyDiv w:val="1"/>
      <w:marLeft w:val="0"/>
      <w:marRight w:val="0"/>
      <w:marTop w:val="0"/>
      <w:marBottom w:val="0"/>
      <w:divBdr>
        <w:top w:val="none" w:sz="0" w:space="0" w:color="auto"/>
        <w:left w:val="none" w:sz="0" w:space="0" w:color="auto"/>
        <w:bottom w:val="none" w:sz="0" w:space="0" w:color="auto"/>
        <w:right w:val="none" w:sz="0" w:space="0" w:color="auto"/>
      </w:divBdr>
    </w:div>
    <w:div w:id="283387873">
      <w:bodyDiv w:val="1"/>
      <w:marLeft w:val="0"/>
      <w:marRight w:val="0"/>
      <w:marTop w:val="0"/>
      <w:marBottom w:val="0"/>
      <w:divBdr>
        <w:top w:val="none" w:sz="0" w:space="0" w:color="auto"/>
        <w:left w:val="none" w:sz="0" w:space="0" w:color="auto"/>
        <w:bottom w:val="none" w:sz="0" w:space="0" w:color="auto"/>
        <w:right w:val="none" w:sz="0" w:space="0" w:color="auto"/>
      </w:divBdr>
    </w:div>
    <w:div w:id="336923481">
      <w:bodyDiv w:val="1"/>
      <w:marLeft w:val="0"/>
      <w:marRight w:val="0"/>
      <w:marTop w:val="0"/>
      <w:marBottom w:val="0"/>
      <w:divBdr>
        <w:top w:val="none" w:sz="0" w:space="0" w:color="auto"/>
        <w:left w:val="none" w:sz="0" w:space="0" w:color="auto"/>
        <w:bottom w:val="none" w:sz="0" w:space="0" w:color="auto"/>
        <w:right w:val="none" w:sz="0" w:space="0" w:color="auto"/>
      </w:divBdr>
    </w:div>
    <w:div w:id="394402042">
      <w:bodyDiv w:val="1"/>
      <w:marLeft w:val="0"/>
      <w:marRight w:val="0"/>
      <w:marTop w:val="0"/>
      <w:marBottom w:val="0"/>
      <w:divBdr>
        <w:top w:val="none" w:sz="0" w:space="0" w:color="auto"/>
        <w:left w:val="none" w:sz="0" w:space="0" w:color="auto"/>
        <w:bottom w:val="none" w:sz="0" w:space="0" w:color="auto"/>
        <w:right w:val="none" w:sz="0" w:space="0" w:color="auto"/>
      </w:divBdr>
    </w:div>
    <w:div w:id="406147530">
      <w:bodyDiv w:val="1"/>
      <w:marLeft w:val="0"/>
      <w:marRight w:val="0"/>
      <w:marTop w:val="0"/>
      <w:marBottom w:val="0"/>
      <w:divBdr>
        <w:top w:val="none" w:sz="0" w:space="0" w:color="auto"/>
        <w:left w:val="none" w:sz="0" w:space="0" w:color="auto"/>
        <w:bottom w:val="none" w:sz="0" w:space="0" w:color="auto"/>
        <w:right w:val="none" w:sz="0" w:space="0" w:color="auto"/>
      </w:divBdr>
    </w:div>
    <w:div w:id="504515060">
      <w:bodyDiv w:val="1"/>
      <w:marLeft w:val="0"/>
      <w:marRight w:val="0"/>
      <w:marTop w:val="0"/>
      <w:marBottom w:val="0"/>
      <w:divBdr>
        <w:top w:val="none" w:sz="0" w:space="0" w:color="auto"/>
        <w:left w:val="none" w:sz="0" w:space="0" w:color="auto"/>
        <w:bottom w:val="none" w:sz="0" w:space="0" w:color="auto"/>
        <w:right w:val="none" w:sz="0" w:space="0" w:color="auto"/>
      </w:divBdr>
    </w:div>
    <w:div w:id="656154163">
      <w:bodyDiv w:val="1"/>
      <w:marLeft w:val="0"/>
      <w:marRight w:val="0"/>
      <w:marTop w:val="0"/>
      <w:marBottom w:val="0"/>
      <w:divBdr>
        <w:top w:val="none" w:sz="0" w:space="0" w:color="auto"/>
        <w:left w:val="none" w:sz="0" w:space="0" w:color="auto"/>
        <w:bottom w:val="none" w:sz="0" w:space="0" w:color="auto"/>
        <w:right w:val="none" w:sz="0" w:space="0" w:color="auto"/>
      </w:divBdr>
    </w:div>
    <w:div w:id="660503247">
      <w:bodyDiv w:val="1"/>
      <w:marLeft w:val="0"/>
      <w:marRight w:val="0"/>
      <w:marTop w:val="0"/>
      <w:marBottom w:val="0"/>
      <w:divBdr>
        <w:top w:val="none" w:sz="0" w:space="0" w:color="auto"/>
        <w:left w:val="none" w:sz="0" w:space="0" w:color="auto"/>
        <w:bottom w:val="none" w:sz="0" w:space="0" w:color="auto"/>
        <w:right w:val="none" w:sz="0" w:space="0" w:color="auto"/>
      </w:divBdr>
    </w:div>
    <w:div w:id="777679536">
      <w:bodyDiv w:val="1"/>
      <w:marLeft w:val="0"/>
      <w:marRight w:val="0"/>
      <w:marTop w:val="0"/>
      <w:marBottom w:val="0"/>
      <w:divBdr>
        <w:top w:val="none" w:sz="0" w:space="0" w:color="auto"/>
        <w:left w:val="none" w:sz="0" w:space="0" w:color="auto"/>
        <w:bottom w:val="none" w:sz="0" w:space="0" w:color="auto"/>
        <w:right w:val="none" w:sz="0" w:space="0" w:color="auto"/>
      </w:divBdr>
    </w:div>
    <w:div w:id="878398615">
      <w:bodyDiv w:val="1"/>
      <w:marLeft w:val="0"/>
      <w:marRight w:val="0"/>
      <w:marTop w:val="0"/>
      <w:marBottom w:val="0"/>
      <w:divBdr>
        <w:top w:val="none" w:sz="0" w:space="0" w:color="auto"/>
        <w:left w:val="none" w:sz="0" w:space="0" w:color="auto"/>
        <w:bottom w:val="none" w:sz="0" w:space="0" w:color="auto"/>
        <w:right w:val="none" w:sz="0" w:space="0" w:color="auto"/>
      </w:divBdr>
    </w:div>
    <w:div w:id="1079251086">
      <w:bodyDiv w:val="1"/>
      <w:marLeft w:val="0"/>
      <w:marRight w:val="0"/>
      <w:marTop w:val="0"/>
      <w:marBottom w:val="0"/>
      <w:divBdr>
        <w:top w:val="none" w:sz="0" w:space="0" w:color="auto"/>
        <w:left w:val="none" w:sz="0" w:space="0" w:color="auto"/>
        <w:bottom w:val="none" w:sz="0" w:space="0" w:color="auto"/>
        <w:right w:val="none" w:sz="0" w:space="0" w:color="auto"/>
      </w:divBdr>
    </w:div>
    <w:div w:id="1108086851">
      <w:bodyDiv w:val="1"/>
      <w:marLeft w:val="0"/>
      <w:marRight w:val="0"/>
      <w:marTop w:val="0"/>
      <w:marBottom w:val="0"/>
      <w:divBdr>
        <w:top w:val="none" w:sz="0" w:space="0" w:color="auto"/>
        <w:left w:val="none" w:sz="0" w:space="0" w:color="auto"/>
        <w:bottom w:val="none" w:sz="0" w:space="0" w:color="auto"/>
        <w:right w:val="none" w:sz="0" w:space="0" w:color="auto"/>
      </w:divBdr>
    </w:div>
    <w:div w:id="1359625562">
      <w:bodyDiv w:val="1"/>
      <w:marLeft w:val="0"/>
      <w:marRight w:val="0"/>
      <w:marTop w:val="0"/>
      <w:marBottom w:val="0"/>
      <w:divBdr>
        <w:top w:val="none" w:sz="0" w:space="0" w:color="auto"/>
        <w:left w:val="none" w:sz="0" w:space="0" w:color="auto"/>
        <w:bottom w:val="none" w:sz="0" w:space="0" w:color="auto"/>
        <w:right w:val="none" w:sz="0" w:space="0" w:color="auto"/>
      </w:divBdr>
    </w:div>
    <w:div w:id="1478259038">
      <w:bodyDiv w:val="1"/>
      <w:marLeft w:val="0"/>
      <w:marRight w:val="0"/>
      <w:marTop w:val="0"/>
      <w:marBottom w:val="0"/>
      <w:divBdr>
        <w:top w:val="none" w:sz="0" w:space="0" w:color="auto"/>
        <w:left w:val="none" w:sz="0" w:space="0" w:color="auto"/>
        <w:bottom w:val="none" w:sz="0" w:space="0" w:color="auto"/>
        <w:right w:val="none" w:sz="0" w:space="0" w:color="auto"/>
      </w:divBdr>
    </w:div>
    <w:div w:id="1506631988">
      <w:bodyDiv w:val="1"/>
      <w:marLeft w:val="0"/>
      <w:marRight w:val="0"/>
      <w:marTop w:val="0"/>
      <w:marBottom w:val="0"/>
      <w:divBdr>
        <w:top w:val="none" w:sz="0" w:space="0" w:color="auto"/>
        <w:left w:val="none" w:sz="0" w:space="0" w:color="auto"/>
        <w:bottom w:val="none" w:sz="0" w:space="0" w:color="auto"/>
        <w:right w:val="none" w:sz="0" w:space="0" w:color="auto"/>
      </w:divBdr>
    </w:div>
    <w:div w:id="1674843773">
      <w:bodyDiv w:val="1"/>
      <w:marLeft w:val="0"/>
      <w:marRight w:val="0"/>
      <w:marTop w:val="0"/>
      <w:marBottom w:val="0"/>
      <w:divBdr>
        <w:top w:val="none" w:sz="0" w:space="0" w:color="auto"/>
        <w:left w:val="none" w:sz="0" w:space="0" w:color="auto"/>
        <w:bottom w:val="none" w:sz="0" w:space="0" w:color="auto"/>
        <w:right w:val="none" w:sz="0" w:space="0" w:color="auto"/>
      </w:divBdr>
    </w:div>
    <w:div w:id="183764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2AA66-9407-4E5B-82FD-AE89CC28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2023-02-10T23:53:00Z</dcterms:created>
  <dcterms:modified xsi:type="dcterms:W3CDTF">2023-05-20T09:58:00Z</dcterms:modified>
</cp:coreProperties>
</file>