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DCB3B1" w14:textId="77777777" w:rsidR="00DE7756" w:rsidRDefault="00DE7756" w:rsidP="00DE7756">
      <w:pPr>
        <w:jc w:val="center"/>
        <w:rPr>
          <w:noProof/>
          <w:sz w:val="20"/>
          <w:szCs w:val="20"/>
        </w:rPr>
      </w:pPr>
    </w:p>
    <w:p w14:paraId="31E66139" w14:textId="77777777" w:rsidR="00DE7756" w:rsidRDefault="00DE7756" w:rsidP="00DE7756">
      <w:pPr>
        <w:jc w:val="center"/>
        <w:rPr>
          <w:noProof/>
          <w:sz w:val="20"/>
          <w:szCs w:val="20"/>
        </w:rPr>
      </w:pPr>
    </w:p>
    <w:p w14:paraId="6E2C8BF7" w14:textId="77777777" w:rsidR="00DE7756" w:rsidRDefault="00DE7756" w:rsidP="00DE7756">
      <w:pPr>
        <w:jc w:val="center"/>
      </w:pPr>
      <w:r w:rsidRPr="00A15B91">
        <w:rPr>
          <w:noProof/>
          <w:sz w:val="20"/>
          <w:szCs w:val="20"/>
        </w:rPr>
        <w:drawing>
          <wp:inline distT="0" distB="0" distL="0" distR="0" wp14:anchorId="2540B78C" wp14:editId="3ECE4E20">
            <wp:extent cx="3520800" cy="1407600"/>
            <wp:effectExtent l="0" t="0" r="381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0800" cy="1407600"/>
                    </a:xfrm>
                    <a:prstGeom prst="rect">
                      <a:avLst/>
                    </a:prstGeom>
                    <a:noFill/>
                    <a:ln>
                      <a:noFill/>
                    </a:ln>
                  </pic:spPr>
                </pic:pic>
              </a:graphicData>
            </a:graphic>
          </wp:inline>
        </w:drawing>
      </w:r>
    </w:p>
    <w:p w14:paraId="3E026EC7" w14:textId="77777777" w:rsidR="00DE7756" w:rsidRDefault="00DE7756" w:rsidP="00DE7756">
      <w:pPr>
        <w:jc w:val="center"/>
      </w:pPr>
    </w:p>
    <w:p w14:paraId="7E609F6E" w14:textId="77777777" w:rsidR="00DE7756" w:rsidRPr="00E775CA" w:rsidRDefault="00DE7756" w:rsidP="00DE7756">
      <w:pPr>
        <w:jc w:val="center"/>
        <w:rPr>
          <w:b/>
          <w:bCs/>
          <w:sz w:val="32"/>
          <w:szCs w:val="32"/>
        </w:rPr>
      </w:pPr>
      <w:r w:rsidRPr="00E775CA">
        <w:rPr>
          <w:b/>
          <w:bCs/>
          <w:sz w:val="32"/>
          <w:szCs w:val="32"/>
        </w:rPr>
        <w:t>Programme: Master of Business Administration</w:t>
      </w:r>
    </w:p>
    <w:p w14:paraId="5BD148AE" w14:textId="13168F1D" w:rsidR="00DE7756" w:rsidRPr="00E775CA" w:rsidRDefault="00DE7756" w:rsidP="00DE7756">
      <w:pPr>
        <w:jc w:val="center"/>
        <w:rPr>
          <w:b/>
          <w:bCs/>
          <w:sz w:val="32"/>
          <w:szCs w:val="32"/>
        </w:rPr>
      </w:pPr>
      <w:r w:rsidRPr="00E775CA">
        <w:rPr>
          <w:b/>
          <w:bCs/>
          <w:sz w:val="32"/>
          <w:szCs w:val="32"/>
        </w:rPr>
        <w:t xml:space="preserve">Module: </w:t>
      </w:r>
      <w:r w:rsidRPr="00DE7756">
        <w:rPr>
          <w:b/>
          <w:bCs/>
          <w:sz w:val="32"/>
          <w:szCs w:val="32"/>
        </w:rPr>
        <w:t>International Marketing: Principles and Practices</w:t>
      </w:r>
    </w:p>
    <w:p w14:paraId="06DE0FA9" w14:textId="50B7CA0F" w:rsidR="00DE7756" w:rsidRPr="00E775CA" w:rsidRDefault="00DE7756" w:rsidP="00DE7756">
      <w:pPr>
        <w:jc w:val="center"/>
        <w:rPr>
          <w:b/>
          <w:bCs/>
          <w:sz w:val="32"/>
          <w:szCs w:val="32"/>
        </w:rPr>
      </w:pPr>
      <w:r w:rsidRPr="00E775CA">
        <w:rPr>
          <w:b/>
          <w:bCs/>
          <w:sz w:val="32"/>
          <w:szCs w:val="32"/>
        </w:rPr>
        <w:t xml:space="preserve">Module code: </w:t>
      </w:r>
      <w:r w:rsidRPr="00DE7756">
        <w:rPr>
          <w:b/>
          <w:bCs/>
          <w:sz w:val="32"/>
          <w:szCs w:val="32"/>
        </w:rPr>
        <w:t>LCMB7026</w:t>
      </w:r>
    </w:p>
    <w:p w14:paraId="100B6EB6" w14:textId="77777777" w:rsidR="00DE7756" w:rsidRPr="00E775CA" w:rsidRDefault="00DE7756" w:rsidP="00DE7756">
      <w:pPr>
        <w:jc w:val="center"/>
        <w:rPr>
          <w:b/>
          <w:bCs/>
          <w:sz w:val="32"/>
          <w:szCs w:val="32"/>
        </w:rPr>
      </w:pPr>
    </w:p>
    <w:p w14:paraId="21A2E4F5" w14:textId="77777777" w:rsidR="00DE7756" w:rsidRPr="00E775CA" w:rsidRDefault="00DE7756" w:rsidP="00DE7756">
      <w:pPr>
        <w:jc w:val="center"/>
        <w:rPr>
          <w:b/>
          <w:bCs/>
          <w:sz w:val="32"/>
          <w:szCs w:val="32"/>
        </w:rPr>
      </w:pPr>
      <w:r w:rsidRPr="00E775CA">
        <w:rPr>
          <w:b/>
          <w:bCs/>
          <w:sz w:val="32"/>
          <w:szCs w:val="32"/>
        </w:rPr>
        <w:t xml:space="preserve">Student Name: Raj </w:t>
      </w:r>
      <w:proofErr w:type="spellStart"/>
      <w:r w:rsidRPr="00E775CA">
        <w:rPr>
          <w:b/>
          <w:bCs/>
          <w:sz w:val="32"/>
          <w:szCs w:val="32"/>
        </w:rPr>
        <w:t>Kanubhai</w:t>
      </w:r>
      <w:proofErr w:type="spellEnd"/>
      <w:r w:rsidRPr="00E775CA">
        <w:rPr>
          <w:b/>
          <w:bCs/>
          <w:sz w:val="32"/>
          <w:szCs w:val="32"/>
        </w:rPr>
        <w:t xml:space="preserve"> Hirpara</w:t>
      </w:r>
    </w:p>
    <w:p w14:paraId="01363E42" w14:textId="77777777" w:rsidR="00DE7756" w:rsidRPr="00E775CA" w:rsidRDefault="00DE7756" w:rsidP="00DE7756">
      <w:pPr>
        <w:jc w:val="center"/>
        <w:rPr>
          <w:b/>
          <w:bCs/>
          <w:sz w:val="32"/>
          <w:szCs w:val="32"/>
        </w:rPr>
      </w:pPr>
      <w:r w:rsidRPr="00E775CA">
        <w:rPr>
          <w:b/>
          <w:bCs/>
          <w:sz w:val="32"/>
          <w:szCs w:val="32"/>
        </w:rPr>
        <w:t>Student ID: 2413602</w:t>
      </w:r>
    </w:p>
    <w:p w14:paraId="18FF26BF" w14:textId="77777777" w:rsidR="00DE7756" w:rsidRPr="00E775CA" w:rsidRDefault="00DE7756" w:rsidP="00DE7756">
      <w:pPr>
        <w:jc w:val="center"/>
        <w:rPr>
          <w:b/>
          <w:bCs/>
          <w:sz w:val="32"/>
          <w:szCs w:val="32"/>
        </w:rPr>
      </w:pPr>
      <w:r w:rsidRPr="00E775CA">
        <w:rPr>
          <w:b/>
          <w:bCs/>
          <w:sz w:val="32"/>
          <w:szCs w:val="32"/>
        </w:rPr>
        <w:t>Group: 3</w:t>
      </w:r>
    </w:p>
    <w:p w14:paraId="0F7E2CC8" w14:textId="77777777" w:rsidR="00DE7756" w:rsidRPr="00E775CA" w:rsidRDefault="00DE7756" w:rsidP="00DE7756">
      <w:pPr>
        <w:jc w:val="center"/>
        <w:rPr>
          <w:b/>
          <w:bCs/>
          <w:sz w:val="32"/>
          <w:szCs w:val="32"/>
        </w:rPr>
      </w:pPr>
    </w:p>
    <w:p w14:paraId="7688A6E5" w14:textId="5D3A7032" w:rsidR="00DE7756" w:rsidRPr="00E775CA" w:rsidRDefault="00DE7756" w:rsidP="00DE7756">
      <w:pPr>
        <w:jc w:val="center"/>
        <w:rPr>
          <w:b/>
          <w:bCs/>
          <w:sz w:val="32"/>
          <w:szCs w:val="32"/>
        </w:rPr>
      </w:pPr>
      <w:r w:rsidRPr="00E775CA">
        <w:rPr>
          <w:b/>
          <w:bCs/>
          <w:sz w:val="32"/>
          <w:szCs w:val="32"/>
        </w:rPr>
        <w:t xml:space="preserve">Lecturer: </w:t>
      </w:r>
      <w:r w:rsidRPr="00DE7756">
        <w:rPr>
          <w:b/>
          <w:bCs/>
          <w:sz w:val="32"/>
          <w:szCs w:val="32"/>
        </w:rPr>
        <w:t xml:space="preserve">Tushara </w:t>
      </w:r>
      <w:proofErr w:type="spellStart"/>
      <w:r w:rsidRPr="00DE7756">
        <w:rPr>
          <w:b/>
          <w:bCs/>
          <w:sz w:val="32"/>
          <w:szCs w:val="32"/>
        </w:rPr>
        <w:t>Balendran</w:t>
      </w:r>
      <w:proofErr w:type="spellEnd"/>
    </w:p>
    <w:p w14:paraId="73778428" w14:textId="77777777" w:rsidR="00DE7756" w:rsidRDefault="00DE7756" w:rsidP="00DE7756">
      <w:pPr>
        <w:jc w:val="center"/>
        <w:rPr>
          <w:sz w:val="32"/>
          <w:szCs w:val="32"/>
        </w:rPr>
      </w:pPr>
    </w:p>
    <w:p w14:paraId="4B15D669" w14:textId="77777777" w:rsidR="00DE7756" w:rsidRDefault="00DE7756" w:rsidP="00DE7756">
      <w:pPr>
        <w:jc w:val="center"/>
        <w:rPr>
          <w:sz w:val="32"/>
          <w:szCs w:val="32"/>
        </w:rPr>
      </w:pPr>
    </w:p>
    <w:p w14:paraId="1FCF58EE" w14:textId="77777777" w:rsidR="00DE7756" w:rsidRDefault="00DE7756" w:rsidP="00DE7756">
      <w:pPr>
        <w:jc w:val="center"/>
        <w:rPr>
          <w:sz w:val="32"/>
          <w:szCs w:val="32"/>
        </w:rPr>
      </w:pPr>
    </w:p>
    <w:p w14:paraId="709373AE" w14:textId="77777777" w:rsidR="00DE7756" w:rsidRDefault="00DE7756" w:rsidP="00DE7756">
      <w:pPr>
        <w:jc w:val="center"/>
        <w:rPr>
          <w:sz w:val="32"/>
          <w:szCs w:val="32"/>
        </w:rPr>
      </w:pPr>
    </w:p>
    <w:p w14:paraId="63C9D684" w14:textId="77777777" w:rsidR="00DE7756" w:rsidRDefault="00DE7756" w:rsidP="00DE7756">
      <w:pPr>
        <w:jc w:val="center"/>
        <w:rPr>
          <w:sz w:val="32"/>
          <w:szCs w:val="32"/>
        </w:rPr>
      </w:pPr>
    </w:p>
    <w:p w14:paraId="51376CFB" w14:textId="77777777" w:rsidR="00DE7756" w:rsidRDefault="00DE7756" w:rsidP="00DE7756">
      <w:pPr>
        <w:jc w:val="center"/>
        <w:rPr>
          <w:sz w:val="32"/>
          <w:szCs w:val="32"/>
        </w:rPr>
      </w:pPr>
    </w:p>
    <w:p w14:paraId="565CA9A8" w14:textId="77777777" w:rsidR="00DE7756" w:rsidRDefault="00DE7756" w:rsidP="00DE7756">
      <w:pPr>
        <w:jc w:val="center"/>
        <w:rPr>
          <w:sz w:val="32"/>
          <w:szCs w:val="32"/>
        </w:rPr>
      </w:pPr>
    </w:p>
    <w:p w14:paraId="3BE56F05" w14:textId="77777777" w:rsidR="00DE7756" w:rsidRDefault="00DE7756" w:rsidP="00DE7756">
      <w:pPr>
        <w:rPr>
          <w:b/>
          <w:bCs/>
          <w:noProof/>
        </w:rPr>
      </w:pPr>
    </w:p>
    <w:p w14:paraId="6BE0D640" w14:textId="77777777" w:rsidR="00DE7756" w:rsidRPr="00E775CA" w:rsidRDefault="00DE7756" w:rsidP="00DE7756">
      <w:pPr>
        <w:rPr>
          <w:b/>
          <w:bCs/>
          <w:noProof/>
          <w:sz w:val="24"/>
          <w:szCs w:val="24"/>
        </w:rPr>
      </w:pPr>
      <w:r w:rsidRPr="00E775CA">
        <w:rPr>
          <w:b/>
          <w:bCs/>
          <w:noProof/>
          <w:sz w:val="24"/>
          <w:szCs w:val="24"/>
        </w:rPr>
        <w:t>AI acknowledgement</w:t>
      </w:r>
    </w:p>
    <w:p w14:paraId="2B884160" w14:textId="77777777" w:rsidR="00DE7756" w:rsidRDefault="00DE7756" w:rsidP="00DE7756">
      <w:pPr>
        <w:jc w:val="center"/>
        <w:rPr>
          <w:sz w:val="32"/>
          <w:szCs w:val="32"/>
        </w:rPr>
      </w:pPr>
      <w:r>
        <w:rPr>
          <w:noProof/>
          <w:sz w:val="32"/>
          <w:szCs w:val="32"/>
        </w:rPr>
        <w:drawing>
          <wp:inline distT="0" distB="0" distL="0" distR="0" wp14:anchorId="0B97FA6B" wp14:editId="606E97B6">
            <wp:extent cx="5684520" cy="65534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93694" cy="6564016"/>
                    </a:xfrm>
                    <a:prstGeom prst="rect">
                      <a:avLst/>
                    </a:prstGeom>
                    <a:noFill/>
                    <a:ln>
                      <a:noFill/>
                    </a:ln>
                  </pic:spPr>
                </pic:pic>
              </a:graphicData>
            </a:graphic>
          </wp:inline>
        </w:drawing>
      </w:r>
    </w:p>
    <w:p w14:paraId="3A3CE4C1" w14:textId="77777777" w:rsidR="00DE7756" w:rsidRPr="00A15B91" w:rsidRDefault="00DE7756" w:rsidP="00DE7756">
      <w:pPr>
        <w:jc w:val="center"/>
        <w:rPr>
          <w:sz w:val="32"/>
          <w:szCs w:val="32"/>
        </w:rPr>
      </w:pPr>
    </w:p>
    <w:p w14:paraId="6A1A1AD5" w14:textId="0880EBA4" w:rsidR="00DC004C" w:rsidRDefault="00DC004C" w:rsidP="00595CE6">
      <w:pPr>
        <w:ind w:left="2410"/>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224417557"/>
        <w:docPartObj>
          <w:docPartGallery w:val="Table of Contents"/>
          <w:docPartUnique/>
        </w:docPartObj>
      </w:sdtPr>
      <w:sdtEndPr>
        <w:rPr>
          <w:b/>
          <w:bCs/>
          <w:noProof/>
        </w:rPr>
      </w:sdtEndPr>
      <w:sdtContent>
        <w:p w14:paraId="0E84EB8F" w14:textId="227AC58F" w:rsidR="00DC004C" w:rsidRPr="00B61511" w:rsidRDefault="00DC004C">
          <w:pPr>
            <w:pStyle w:val="TOCHeading"/>
          </w:pPr>
          <w:r w:rsidRPr="00B61511">
            <w:t>Table of Contents</w:t>
          </w:r>
        </w:p>
        <w:p w14:paraId="021B6B3F" w14:textId="5DC876F5" w:rsidR="00B61511" w:rsidRPr="00B61511" w:rsidRDefault="00DC004C">
          <w:pPr>
            <w:pStyle w:val="TOC1"/>
            <w:rPr>
              <w:rFonts w:asciiTheme="minorHAnsi" w:eastAsiaTheme="minorEastAsia" w:hAnsiTheme="minorHAnsi" w:cstheme="minorBidi"/>
              <w:b w:val="0"/>
              <w:bCs w:val="0"/>
              <w:sz w:val="24"/>
              <w:szCs w:val="24"/>
              <w:lang w:val="en-US"/>
            </w:rPr>
          </w:pPr>
          <w:r w:rsidRPr="00B61511">
            <w:rPr>
              <w:b w:val="0"/>
              <w:bCs w:val="0"/>
            </w:rPr>
            <w:fldChar w:fldCharType="begin"/>
          </w:r>
          <w:r w:rsidRPr="00B61511">
            <w:rPr>
              <w:b w:val="0"/>
              <w:bCs w:val="0"/>
            </w:rPr>
            <w:instrText xml:space="preserve"> TOC \o "1-3" \h \z \u </w:instrText>
          </w:r>
          <w:r w:rsidRPr="00B61511">
            <w:rPr>
              <w:b w:val="0"/>
              <w:bCs w:val="0"/>
            </w:rPr>
            <w:fldChar w:fldCharType="separate"/>
          </w:r>
          <w:hyperlink w:anchor="_Toc237516309" w:history="1">
            <w:r w:rsidR="00B61511" w:rsidRPr="00B61511">
              <w:rPr>
                <w:rStyle w:val="Hyperlink"/>
                <w:b w:val="0"/>
                <w:bCs w:val="0"/>
              </w:rPr>
              <w:t>Section 1: International Market Entry Strategy and Marketing Mix Report</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_Toc237516309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4</w:t>
            </w:r>
            <w:r w:rsidR="00B61511" w:rsidRPr="00B61511">
              <w:rPr>
                <w:b w:val="0"/>
                <w:bCs w:val="0"/>
                <w:webHidden/>
              </w:rPr>
              <w:fldChar w:fldCharType="end"/>
            </w:r>
          </w:hyperlink>
        </w:p>
        <w:p w14:paraId="70EDF38D" w14:textId="03928053" w:rsidR="00B61511" w:rsidRPr="00B61511" w:rsidRDefault="00000000">
          <w:pPr>
            <w:pStyle w:val="TOC1"/>
            <w:rPr>
              <w:rFonts w:asciiTheme="minorHAnsi" w:eastAsiaTheme="minorEastAsia" w:hAnsiTheme="minorHAnsi" w:cstheme="minorBidi"/>
              <w:b w:val="0"/>
              <w:bCs w:val="0"/>
              <w:sz w:val="24"/>
              <w:szCs w:val="24"/>
              <w:lang w:val="en-US"/>
            </w:rPr>
          </w:pPr>
          <w:hyperlink w:anchor="_Toc237516310" w:history="1">
            <w:r w:rsidR="00B61511" w:rsidRPr="00B61511">
              <w:rPr>
                <w:rStyle w:val="Hyperlink"/>
                <w:b w:val="0"/>
                <w:bCs w:val="0"/>
              </w:rPr>
              <w:t>1. Introduction</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_Toc237516310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4</w:t>
            </w:r>
            <w:r w:rsidR="00B61511" w:rsidRPr="00B61511">
              <w:rPr>
                <w:b w:val="0"/>
                <w:bCs w:val="0"/>
                <w:webHidden/>
              </w:rPr>
              <w:fldChar w:fldCharType="end"/>
            </w:r>
          </w:hyperlink>
        </w:p>
        <w:p w14:paraId="73A553BF" w14:textId="25E51ED1" w:rsidR="00B61511" w:rsidRPr="00B61511" w:rsidRDefault="00000000">
          <w:pPr>
            <w:pStyle w:val="TOC2"/>
            <w:tabs>
              <w:tab w:val="right" w:leader="dot" w:pos="9350"/>
            </w:tabs>
            <w:rPr>
              <w:rFonts w:eastAsiaTheme="minorEastAsia"/>
              <w:noProof/>
              <w:sz w:val="24"/>
              <w:szCs w:val="24"/>
              <w:lang w:val="en-US"/>
            </w:rPr>
          </w:pPr>
          <w:hyperlink w:anchor="_Toc237516311" w:history="1">
            <w:r w:rsidR="00B61511" w:rsidRPr="00B61511">
              <w:rPr>
                <w:rStyle w:val="Hyperlink"/>
                <w:rFonts w:ascii="Arial" w:hAnsi="Arial" w:cs="Arial"/>
                <w:noProof/>
              </w:rPr>
              <w:t>1.1 Background to Cadbury and Mondelēz International</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_Toc237516311 \h </w:instrText>
            </w:r>
            <w:r w:rsidR="00B61511" w:rsidRPr="00B61511">
              <w:rPr>
                <w:noProof/>
                <w:webHidden/>
              </w:rPr>
            </w:r>
            <w:r w:rsidR="00B61511" w:rsidRPr="00B61511">
              <w:rPr>
                <w:noProof/>
                <w:webHidden/>
              </w:rPr>
              <w:fldChar w:fldCharType="separate"/>
            </w:r>
            <w:r w:rsidR="00B61511" w:rsidRPr="00B61511">
              <w:rPr>
                <w:noProof/>
                <w:webHidden/>
              </w:rPr>
              <w:t>4</w:t>
            </w:r>
            <w:r w:rsidR="00B61511" w:rsidRPr="00B61511">
              <w:rPr>
                <w:noProof/>
                <w:webHidden/>
              </w:rPr>
              <w:fldChar w:fldCharType="end"/>
            </w:r>
          </w:hyperlink>
        </w:p>
        <w:p w14:paraId="288AA9F8" w14:textId="4F2745F7" w:rsidR="00B61511" w:rsidRPr="00B61511" w:rsidRDefault="00000000">
          <w:pPr>
            <w:pStyle w:val="TOC2"/>
            <w:tabs>
              <w:tab w:val="right" w:leader="dot" w:pos="9350"/>
            </w:tabs>
            <w:rPr>
              <w:rFonts w:eastAsiaTheme="minorEastAsia"/>
              <w:noProof/>
              <w:sz w:val="24"/>
              <w:szCs w:val="24"/>
              <w:lang w:val="en-US"/>
            </w:rPr>
          </w:pPr>
          <w:hyperlink w:anchor="_Toc237516312" w:history="1">
            <w:r w:rsidR="00B61511" w:rsidRPr="00B61511">
              <w:rPr>
                <w:rStyle w:val="Hyperlink"/>
                <w:rFonts w:ascii="Arial" w:hAnsi="Arial" w:cs="Arial"/>
                <w:noProof/>
              </w:rPr>
              <w:t>1.2 Rationale for Selecting the United Kingdom and India</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_Toc237516312 \h </w:instrText>
            </w:r>
            <w:r w:rsidR="00B61511" w:rsidRPr="00B61511">
              <w:rPr>
                <w:noProof/>
                <w:webHidden/>
              </w:rPr>
            </w:r>
            <w:r w:rsidR="00B61511" w:rsidRPr="00B61511">
              <w:rPr>
                <w:noProof/>
                <w:webHidden/>
              </w:rPr>
              <w:fldChar w:fldCharType="separate"/>
            </w:r>
            <w:r w:rsidR="00B61511" w:rsidRPr="00B61511">
              <w:rPr>
                <w:noProof/>
                <w:webHidden/>
              </w:rPr>
              <w:t>4</w:t>
            </w:r>
            <w:r w:rsidR="00B61511" w:rsidRPr="00B61511">
              <w:rPr>
                <w:noProof/>
                <w:webHidden/>
              </w:rPr>
              <w:fldChar w:fldCharType="end"/>
            </w:r>
          </w:hyperlink>
        </w:p>
        <w:p w14:paraId="6AA75201" w14:textId="037D9593" w:rsidR="00B61511" w:rsidRPr="00B61511" w:rsidRDefault="00000000">
          <w:pPr>
            <w:pStyle w:val="TOC2"/>
            <w:tabs>
              <w:tab w:val="right" w:leader="dot" w:pos="9350"/>
            </w:tabs>
            <w:rPr>
              <w:rFonts w:eastAsiaTheme="minorEastAsia"/>
              <w:noProof/>
              <w:sz w:val="24"/>
              <w:szCs w:val="24"/>
              <w:lang w:val="en-US"/>
            </w:rPr>
          </w:pPr>
          <w:hyperlink w:anchor="_Toc237516313" w:history="1">
            <w:r w:rsidR="00B61511" w:rsidRPr="00B61511">
              <w:rPr>
                <w:rStyle w:val="Hyperlink"/>
                <w:rFonts w:ascii="Arial" w:hAnsi="Arial" w:cs="Arial"/>
                <w:noProof/>
              </w:rPr>
              <w:t>1.3 Aim and Objectives of the Report</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_Toc237516313 \h </w:instrText>
            </w:r>
            <w:r w:rsidR="00B61511" w:rsidRPr="00B61511">
              <w:rPr>
                <w:noProof/>
                <w:webHidden/>
              </w:rPr>
            </w:r>
            <w:r w:rsidR="00B61511" w:rsidRPr="00B61511">
              <w:rPr>
                <w:noProof/>
                <w:webHidden/>
              </w:rPr>
              <w:fldChar w:fldCharType="separate"/>
            </w:r>
            <w:r w:rsidR="00B61511" w:rsidRPr="00B61511">
              <w:rPr>
                <w:noProof/>
                <w:webHidden/>
              </w:rPr>
              <w:t>4</w:t>
            </w:r>
            <w:r w:rsidR="00B61511" w:rsidRPr="00B61511">
              <w:rPr>
                <w:noProof/>
                <w:webHidden/>
              </w:rPr>
              <w:fldChar w:fldCharType="end"/>
            </w:r>
          </w:hyperlink>
        </w:p>
        <w:p w14:paraId="3001D212" w14:textId="3E875276" w:rsidR="00B61511" w:rsidRPr="00B61511" w:rsidRDefault="00000000">
          <w:pPr>
            <w:pStyle w:val="TOC2"/>
            <w:tabs>
              <w:tab w:val="right" w:leader="dot" w:pos="9350"/>
            </w:tabs>
            <w:rPr>
              <w:rFonts w:eastAsiaTheme="minorEastAsia"/>
              <w:noProof/>
              <w:sz w:val="24"/>
              <w:szCs w:val="24"/>
              <w:lang w:val="en-US"/>
            </w:rPr>
          </w:pPr>
          <w:hyperlink w:anchor="_Toc237516314" w:history="1">
            <w:r w:rsidR="00B61511" w:rsidRPr="00B61511">
              <w:rPr>
                <w:rStyle w:val="Hyperlink"/>
                <w:rFonts w:ascii="Arial" w:hAnsi="Arial" w:cs="Arial"/>
                <w:noProof/>
              </w:rPr>
              <w:t>1.4 Scope, Frameworks and Structure</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_Toc237516314 \h </w:instrText>
            </w:r>
            <w:r w:rsidR="00B61511" w:rsidRPr="00B61511">
              <w:rPr>
                <w:noProof/>
                <w:webHidden/>
              </w:rPr>
            </w:r>
            <w:r w:rsidR="00B61511" w:rsidRPr="00B61511">
              <w:rPr>
                <w:noProof/>
                <w:webHidden/>
              </w:rPr>
              <w:fldChar w:fldCharType="separate"/>
            </w:r>
            <w:r w:rsidR="00B61511" w:rsidRPr="00B61511">
              <w:rPr>
                <w:noProof/>
                <w:webHidden/>
              </w:rPr>
              <w:t>4</w:t>
            </w:r>
            <w:r w:rsidR="00B61511" w:rsidRPr="00B61511">
              <w:rPr>
                <w:noProof/>
                <w:webHidden/>
              </w:rPr>
              <w:fldChar w:fldCharType="end"/>
            </w:r>
          </w:hyperlink>
        </w:p>
        <w:p w14:paraId="50E4D0FC" w14:textId="2B7DB853" w:rsidR="00B61511" w:rsidRPr="00B61511" w:rsidRDefault="00000000">
          <w:pPr>
            <w:pStyle w:val="TOC1"/>
            <w:rPr>
              <w:rFonts w:asciiTheme="minorHAnsi" w:eastAsiaTheme="minorEastAsia" w:hAnsiTheme="minorHAnsi" w:cstheme="minorBidi"/>
              <w:b w:val="0"/>
              <w:bCs w:val="0"/>
              <w:sz w:val="24"/>
              <w:szCs w:val="24"/>
              <w:lang w:val="en-US"/>
            </w:rPr>
          </w:pPr>
          <w:hyperlink w:anchor="_Toc237516315" w:history="1">
            <w:r w:rsidR="00B61511" w:rsidRPr="00B61511">
              <w:rPr>
                <w:rStyle w:val="Hyperlink"/>
                <w:b w:val="0"/>
                <w:bCs w:val="0"/>
              </w:rPr>
              <w:t>2. Cadbury and Market Context</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_Toc237516315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5</w:t>
            </w:r>
            <w:r w:rsidR="00B61511" w:rsidRPr="00B61511">
              <w:rPr>
                <w:b w:val="0"/>
                <w:bCs w:val="0"/>
                <w:webHidden/>
              </w:rPr>
              <w:fldChar w:fldCharType="end"/>
            </w:r>
          </w:hyperlink>
        </w:p>
        <w:p w14:paraId="75322238" w14:textId="6F61C600" w:rsidR="00B61511" w:rsidRPr="00B61511" w:rsidRDefault="00000000">
          <w:pPr>
            <w:pStyle w:val="TOC2"/>
            <w:tabs>
              <w:tab w:val="right" w:leader="dot" w:pos="9350"/>
            </w:tabs>
            <w:rPr>
              <w:rFonts w:eastAsiaTheme="minorEastAsia"/>
              <w:noProof/>
              <w:sz w:val="24"/>
              <w:szCs w:val="24"/>
              <w:lang w:val="en-US"/>
            </w:rPr>
          </w:pPr>
          <w:hyperlink w:anchor="_Toc237516316" w:history="1">
            <w:r w:rsidR="00B61511" w:rsidRPr="00B61511">
              <w:rPr>
                <w:rStyle w:val="Hyperlink"/>
                <w:rFonts w:ascii="Arial" w:hAnsi="Arial" w:cs="Arial"/>
                <w:noProof/>
              </w:rPr>
              <w:t>2.1 Cadbury’s International Brand and Product Portfolio</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_Toc237516316 \h </w:instrText>
            </w:r>
            <w:r w:rsidR="00B61511" w:rsidRPr="00B61511">
              <w:rPr>
                <w:noProof/>
                <w:webHidden/>
              </w:rPr>
            </w:r>
            <w:r w:rsidR="00B61511" w:rsidRPr="00B61511">
              <w:rPr>
                <w:noProof/>
                <w:webHidden/>
              </w:rPr>
              <w:fldChar w:fldCharType="separate"/>
            </w:r>
            <w:r w:rsidR="00B61511" w:rsidRPr="00B61511">
              <w:rPr>
                <w:noProof/>
                <w:webHidden/>
              </w:rPr>
              <w:t>5</w:t>
            </w:r>
            <w:r w:rsidR="00B61511" w:rsidRPr="00B61511">
              <w:rPr>
                <w:noProof/>
                <w:webHidden/>
              </w:rPr>
              <w:fldChar w:fldCharType="end"/>
            </w:r>
          </w:hyperlink>
        </w:p>
        <w:p w14:paraId="1F57B3E9" w14:textId="3678B867" w:rsidR="00B61511" w:rsidRPr="00B61511" w:rsidRDefault="00000000">
          <w:pPr>
            <w:pStyle w:val="TOC2"/>
            <w:tabs>
              <w:tab w:val="right" w:leader="dot" w:pos="9350"/>
            </w:tabs>
            <w:rPr>
              <w:rFonts w:eastAsiaTheme="minorEastAsia"/>
              <w:noProof/>
              <w:sz w:val="24"/>
              <w:szCs w:val="24"/>
              <w:lang w:val="en-US"/>
            </w:rPr>
          </w:pPr>
          <w:hyperlink w:anchor="_Toc237516317" w:history="1">
            <w:r w:rsidR="00B61511" w:rsidRPr="00B61511">
              <w:rPr>
                <w:rStyle w:val="Hyperlink"/>
                <w:rFonts w:ascii="Arial" w:hAnsi="Arial" w:cs="Arial"/>
                <w:noProof/>
              </w:rPr>
              <w:t>2.2 Cadbury’s Position in the United Kingdom</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_Toc237516317 \h </w:instrText>
            </w:r>
            <w:r w:rsidR="00B61511" w:rsidRPr="00B61511">
              <w:rPr>
                <w:noProof/>
                <w:webHidden/>
              </w:rPr>
            </w:r>
            <w:r w:rsidR="00B61511" w:rsidRPr="00B61511">
              <w:rPr>
                <w:noProof/>
                <w:webHidden/>
              </w:rPr>
              <w:fldChar w:fldCharType="separate"/>
            </w:r>
            <w:r w:rsidR="00B61511" w:rsidRPr="00B61511">
              <w:rPr>
                <w:noProof/>
                <w:webHidden/>
              </w:rPr>
              <w:t>5</w:t>
            </w:r>
            <w:r w:rsidR="00B61511" w:rsidRPr="00B61511">
              <w:rPr>
                <w:noProof/>
                <w:webHidden/>
              </w:rPr>
              <w:fldChar w:fldCharType="end"/>
            </w:r>
          </w:hyperlink>
        </w:p>
        <w:p w14:paraId="029DA4F9" w14:textId="512A714C" w:rsidR="00B61511" w:rsidRPr="00B61511" w:rsidRDefault="00000000">
          <w:pPr>
            <w:pStyle w:val="TOC2"/>
            <w:tabs>
              <w:tab w:val="right" w:leader="dot" w:pos="9350"/>
            </w:tabs>
            <w:rPr>
              <w:rFonts w:eastAsiaTheme="minorEastAsia"/>
              <w:noProof/>
              <w:sz w:val="24"/>
              <w:szCs w:val="24"/>
              <w:lang w:val="en-US"/>
            </w:rPr>
          </w:pPr>
          <w:hyperlink w:anchor="_Toc237516318" w:history="1">
            <w:r w:rsidR="00B61511" w:rsidRPr="00B61511">
              <w:rPr>
                <w:rStyle w:val="Hyperlink"/>
                <w:rFonts w:ascii="Arial" w:hAnsi="Arial" w:cs="Arial"/>
                <w:noProof/>
              </w:rPr>
              <w:t>2.3 Cadbury’s Position in India</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_Toc237516318 \h </w:instrText>
            </w:r>
            <w:r w:rsidR="00B61511" w:rsidRPr="00B61511">
              <w:rPr>
                <w:noProof/>
                <w:webHidden/>
              </w:rPr>
            </w:r>
            <w:r w:rsidR="00B61511" w:rsidRPr="00B61511">
              <w:rPr>
                <w:noProof/>
                <w:webHidden/>
              </w:rPr>
              <w:fldChar w:fldCharType="separate"/>
            </w:r>
            <w:r w:rsidR="00B61511" w:rsidRPr="00B61511">
              <w:rPr>
                <w:noProof/>
                <w:webHidden/>
              </w:rPr>
              <w:t>5</w:t>
            </w:r>
            <w:r w:rsidR="00B61511" w:rsidRPr="00B61511">
              <w:rPr>
                <w:noProof/>
                <w:webHidden/>
              </w:rPr>
              <w:fldChar w:fldCharType="end"/>
            </w:r>
          </w:hyperlink>
        </w:p>
        <w:p w14:paraId="74CEA830" w14:textId="6D4C31D5" w:rsidR="00B61511" w:rsidRPr="00B61511" w:rsidRDefault="00000000">
          <w:pPr>
            <w:pStyle w:val="TOC2"/>
            <w:tabs>
              <w:tab w:val="right" w:leader="dot" w:pos="9350"/>
            </w:tabs>
            <w:rPr>
              <w:rFonts w:eastAsiaTheme="minorEastAsia"/>
              <w:noProof/>
              <w:sz w:val="24"/>
              <w:szCs w:val="24"/>
              <w:lang w:val="en-US"/>
            </w:rPr>
          </w:pPr>
          <w:hyperlink w:anchor="_Toc237516319" w:history="1">
            <w:r w:rsidR="00B61511" w:rsidRPr="00B61511">
              <w:rPr>
                <w:rStyle w:val="Hyperlink"/>
                <w:rFonts w:ascii="Arial" w:hAnsi="Arial" w:cs="Arial"/>
                <w:noProof/>
              </w:rPr>
              <w:t>2.4 Key Competitors and Current Challenges</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_Toc237516319 \h </w:instrText>
            </w:r>
            <w:r w:rsidR="00B61511" w:rsidRPr="00B61511">
              <w:rPr>
                <w:noProof/>
                <w:webHidden/>
              </w:rPr>
            </w:r>
            <w:r w:rsidR="00B61511" w:rsidRPr="00B61511">
              <w:rPr>
                <w:noProof/>
                <w:webHidden/>
              </w:rPr>
              <w:fldChar w:fldCharType="separate"/>
            </w:r>
            <w:r w:rsidR="00B61511" w:rsidRPr="00B61511">
              <w:rPr>
                <w:noProof/>
                <w:webHidden/>
              </w:rPr>
              <w:t>5</w:t>
            </w:r>
            <w:r w:rsidR="00B61511" w:rsidRPr="00B61511">
              <w:rPr>
                <w:noProof/>
                <w:webHidden/>
              </w:rPr>
              <w:fldChar w:fldCharType="end"/>
            </w:r>
          </w:hyperlink>
        </w:p>
        <w:p w14:paraId="37174170" w14:textId="41D2466E" w:rsidR="00B61511" w:rsidRPr="00B61511" w:rsidRDefault="00000000">
          <w:pPr>
            <w:pStyle w:val="TOC1"/>
            <w:rPr>
              <w:rFonts w:asciiTheme="minorHAnsi" w:eastAsiaTheme="minorEastAsia" w:hAnsiTheme="minorHAnsi" w:cstheme="minorBidi"/>
              <w:b w:val="0"/>
              <w:bCs w:val="0"/>
              <w:sz w:val="24"/>
              <w:szCs w:val="24"/>
              <w:lang w:val="en-US"/>
            </w:rPr>
          </w:pPr>
          <w:hyperlink w:anchor="_Toc237516320" w:history="1">
            <w:r w:rsidR="00B61511" w:rsidRPr="00B61511">
              <w:rPr>
                <w:rStyle w:val="Hyperlink"/>
                <w:b w:val="0"/>
                <w:bCs w:val="0"/>
              </w:rPr>
              <w:t>3. Comparative Macro-Environmental Analysis</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_Toc237516320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6</w:t>
            </w:r>
            <w:r w:rsidR="00B61511" w:rsidRPr="00B61511">
              <w:rPr>
                <w:b w:val="0"/>
                <w:bCs w:val="0"/>
                <w:webHidden/>
              </w:rPr>
              <w:fldChar w:fldCharType="end"/>
            </w:r>
          </w:hyperlink>
        </w:p>
        <w:p w14:paraId="123623CE" w14:textId="751302D3" w:rsidR="00B61511" w:rsidRPr="00B61511" w:rsidRDefault="00000000">
          <w:pPr>
            <w:pStyle w:val="TOC2"/>
            <w:tabs>
              <w:tab w:val="right" w:leader="dot" w:pos="9350"/>
            </w:tabs>
            <w:rPr>
              <w:rFonts w:eastAsiaTheme="minorEastAsia"/>
              <w:noProof/>
              <w:sz w:val="24"/>
              <w:szCs w:val="24"/>
              <w:lang w:val="en-US"/>
            </w:rPr>
          </w:pPr>
          <w:hyperlink w:anchor="_Toc237516321" w:history="1">
            <w:r w:rsidR="00B61511" w:rsidRPr="00B61511">
              <w:rPr>
                <w:rStyle w:val="Hyperlink"/>
                <w:rFonts w:ascii="Arial" w:hAnsi="Arial" w:cs="Arial"/>
                <w:noProof/>
              </w:rPr>
              <w:t>3.1 Introduction to the PESTLE Framework</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_Toc237516321 \h </w:instrText>
            </w:r>
            <w:r w:rsidR="00B61511" w:rsidRPr="00B61511">
              <w:rPr>
                <w:noProof/>
                <w:webHidden/>
              </w:rPr>
            </w:r>
            <w:r w:rsidR="00B61511" w:rsidRPr="00B61511">
              <w:rPr>
                <w:noProof/>
                <w:webHidden/>
              </w:rPr>
              <w:fldChar w:fldCharType="separate"/>
            </w:r>
            <w:r w:rsidR="00B61511" w:rsidRPr="00B61511">
              <w:rPr>
                <w:noProof/>
                <w:webHidden/>
              </w:rPr>
              <w:t>6</w:t>
            </w:r>
            <w:r w:rsidR="00B61511" w:rsidRPr="00B61511">
              <w:rPr>
                <w:noProof/>
                <w:webHidden/>
              </w:rPr>
              <w:fldChar w:fldCharType="end"/>
            </w:r>
          </w:hyperlink>
        </w:p>
        <w:p w14:paraId="42085F91" w14:textId="08B423F9" w:rsidR="00B61511" w:rsidRPr="00B61511" w:rsidRDefault="00000000">
          <w:pPr>
            <w:pStyle w:val="TOC2"/>
            <w:tabs>
              <w:tab w:val="right" w:leader="dot" w:pos="9350"/>
            </w:tabs>
            <w:rPr>
              <w:rFonts w:eastAsiaTheme="minorEastAsia"/>
              <w:noProof/>
              <w:sz w:val="24"/>
              <w:szCs w:val="24"/>
              <w:lang w:val="en-US"/>
            </w:rPr>
          </w:pPr>
          <w:hyperlink w:anchor="_Toc237516322" w:history="1">
            <w:r w:rsidR="00B61511" w:rsidRPr="00B61511">
              <w:rPr>
                <w:rStyle w:val="Hyperlink"/>
                <w:rFonts w:ascii="Arial" w:hAnsi="Arial" w:cs="Arial"/>
                <w:noProof/>
              </w:rPr>
              <w:t>3.2 PESTLE ANALYSIS</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_Toc237516322 \h </w:instrText>
            </w:r>
            <w:r w:rsidR="00B61511" w:rsidRPr="00B61511">
              <w:rPr>
                <w:noProof/>
                <w:webHidden/>
              </w:rPr>
            </w:r>
            <w:r w:rsidR="00B61511" w:rsidRPr="00B61511">
              <w:rPr>
                <w:noProof/>
                <w:webHidden/>
              </w:rPr>
              <w:fldChar w:fldCharType="separate"/>
            </w:r>
            <w:r w:rsidR="00B61511" w:rsidRPr="00B61511">
              <w:rPr>
                <w:noProof/>
                <w:webHidden/>
              </w:rPr>
              <w:t>6</w:t>
            </w:r>
            <w:r w:rsidR="00B61511" w:rsidRPr="00B61511">
              <w:rPr>
                <w:noProof/>
                <w:webHidden/>
              </w:rPr>
              <w:fldChar w:fldCharType="end"/>
            </w:r>
          </w:hyperlink>
        </w:p>
        <w:p w14:paraId="56470D53" w14:textId="58173FE0" w:rsidR="00B61511" w:rsidRPr="00B61511" w:rsidRDefault="00000000">
          <w:pPr>
            <w:pStyle w:val="TOC2"/>
            <w:tabs>
              <w:tab w:val="right" w:leader="dot" w:pos="9350"/>
            </w:tabs>
            <w:rPr>
              <w:rFonts w:eastAsiaTheme="minorEastAsia"/>
              <w:noProof/>
              <w:sz w:val="24"/>
              <w:szCs w:val="24"/>
              <w:lang w:val="en-US"/>
            </w:rPr>
          </w:pPr>
          <w:hyperlink w:anchor="_Toc237516323" w:history="1">
            <w:r w:rsidR="00B61511" w:rsidRPr="00B61511">
              <w:rPr>
                <w:rStyle w:val="Hyperlink"/>
                <w:rFonts w:ascii="Arial" w:hAnsi="Arial" w:cs="Arial"/>
                <w:noProof/>
                <w:lang w:val="en-US"/>
              </w:rPr>
              <w:t>3.3 PESTLE Comparison</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_Toc237516323 \h </w:instrText>
            </w:r>
            <w:r w:rsidR="00B61511" w:rsidRPr="00B61511">
              <w:rPr>
                <w:noProof/>
                <w:webHidden/>
              </w:rPr>
            </w:r>
            <w:r w:rsidR="00B61511" w:rsidRPr="00B61511">
              <w:rPr>
                <w:noProof/>
                <w:webHidden/>
              </w:rPr>
              <w:fldChar w:fldCharType="separate"/>
            </w:r>
            <w:r w:rsidR="00B61511" w:rsidRPr="00B61511">
              <w:rPr>
                <w:noProof/>
                <w:webHidden/>
              </w:rPr>
              <w:t>8</w:t>
            </w:r>
            <w:r w:rsidR="00B61511" w:rsidRPr="00B61511">
              <w:rPr>
                <w:noProof/>
                <w:webHidden/>
              </w:rPr>
              <w:fldChar w:fldCharType="end"/>
            </w:r>
          </w:hyperlink>
        </w:p>
        <w:p w14:paraId="7ED70636" w14:textId="36211F6E" w:rsidR="00B61511" w:rsidRPr="00B61511" w:rsidRDefault="00000000">
          <w:pPr>
            <w:pStyle w:val="TOC1"/>
            <w:rPr>
              <w:rFonts w:asciiTheme="minorHAnsi" w:eastAsiaTheme="minorEastAsia" w:hAnsiTheme="minorHAnsi" w:cstheme="minorBidi"/>
              <w:b w:val="0"/>
              <w:bCs w:val="0"/>
              <w:sz w:val="24"/>
              <w:szCs w:val="24"/>
              <w:lang w:val="en-US"/>
            </w:rPr>
          </w:pPr>
          <w:hyperlink w:anchor="_Toc237516324" w:history="1">
            <w:r w:rsidR="00B61511" w:rsidRPr="00B61511">
              <w:rPr>
                <w:rStyle w:val="Hyperlink"/>
                <w:b w:val="0"/>
                <w:bCs w:val="0"/>
              </w:rPr>
              <w:t>4. Comparative Cultural Analysis</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_Toc237516324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9</w:t>
            </w:r>
            <w:r w:rsidR="00B61511" w:rsidRPr="00B61511">
              <w:rPr>
                <w:b w:val="0"/>
                <w:bCs w:val="0"/>
                <w:webHidden/>
              </w:rPr>
              <w:fldChar w:fldCharType="end"/>
            </w:r>
          </w:hyperlink>
        </w:p>
        <w:p w14:paraId="1A163663" w14:textId="615084EE" w:rsidR="00B61511" w:rsidRPr="00B61511" w:rsidRDefault="00000000">
          <w:pPr>
            <w:pStyle w:val="TOC2"/>
            <w:tabs>
              <w:tab w:val="right" w:leader="dot" w:pos="9350"/>
            </w:tabs>
            <w:rPr>
              <w:rFonts w:eastAsiaTheme="minorEastAsia"/>
              <w:noProof/>
              <w:sz w:val="24"/>
              <w:szCs w:val="24"/>
              <w:lang w:val="en-US"/>
            </w:rPr>
          </w:pPr>
          <w:hyperlink w:anchor="_Toc237516325" w:history="1">
            <w:r w:rsidR="00B61511" w:rsidRPr="00B61511">
              <w:rPr>
                <w:rStyle w:val="Hyperlink"/>
                <w:rFonts w:ascii="Arial" w:hAnsi="Arial" w:cs="Arial"/>
                <w:noProof/>
              </w:rPr>
              <w:t>4.1 Introduction to Hofstede’s Cultural Dimensions Framework</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_Toc237516325 \h </w:instrText>
            </w:r>
            <w:r w:rsidR="00B61511" w:rsidRPr="00B61511">
              <w:rPr>
                <w:noProof/>
                <w:webHidden/>
              </w:rPr>
            </w:r>
            <w:r w:rsidR="00B61511" w:rsidRPr="00B61511">
              <w:rPr>
                <w:noProof/>
                <w:webHidden/>
              </w:rPr>
              <w:fldChar w:fldCharType="separate"/>
            </w:r>
            <w:r w:rsidR="00B61511" w:rsidRPr="00B61511">
              <w:rPr>
                <w:noProof/>
                <w:webHidden/>
              </w:rPr>
              <w:t>9</w:t>
            </w:r>
            <w:r w:rsidR="00B61511" w:rsidRPr="00B61511">
              <w:rPr>
                <w:noProof/>
                <w:webHidden/>
              </w:rPr>
              <w:fldChar w:fldCharType="end"/>
            </w:r>
          </w:hyperlink>
        </w:p>
        <w:p w14:paraId="613135AD" w14:textId="0A121910" w:rsidR="00B61511" w:rsidRPr="00B61511" w:rsidRDefault="00000000">
          <w:pPr>
            <w:pStyle w:val="TOC2"/>
            <w:tabs>
              <w:tab w:val="right" w:leader="dot" w:pos="9350"/>
            </w:tabs>
            <w:rPr>
              <w:rFonts w:eastAsiaTheme="minorEastAsia"/>
              <w:noProof/>
              <w:sz w:val="24"/>
              <w:szCs w:val="24"/>
              <w:lang w:val="en-US"/>
            </w:rPr>
          </w:pPr>
          <w:hyperlink w:anchor="_Toc237516326" w:history="1">
            <w:r w:rsidR="00B61511" w:rsidRPr="00B61511">
              <w:rPr>
                <w:rStyle w:val="Hyperlink"/>
                <w:rFonts w:ascii="Arial" w:hAnsi="Arial" w:cs="Arial"/>
                <w:noProof/>
              </w:rPr>
              <w:t>4.2 Comparison of the United Kingdom and India</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_Toc237516326 \h </w:instrText>
            </w:r>
            <w:r w:rsidR="00B61511" w:rsidRPr="00B61511">
              <w:rPr>
                <w:noProof/>
                <w:webHidden/>
              </w:rPr>
            </w:r>
            <w:r w:rsidR="00B61511" w:rsidRPr="00B61511">
              <w:rPr>
                <w:noProof/>
                <w:webHidden/>
              </w:rPr>
              <w:fldChar w:fldCharType="separate"/>
            </w:r>
            <w:r w:rsidR="00B61511" w:rsidRPr="00B61511">
              <w:rPr>
                <w:noProof/>
                <w:webHidden/>
              </w:rPr>
              <w:t>9</w:t>
            </w:r>
            <w:r w:rsidR="00B61511" w:rsidRPr="00B61511">
              <w:rPr>
                <w:noProof/>
                <w:webHidden/>
              </w:rPr>
              <w:fldChar w:fldCharType="end"/>
            </w:r>
          </w:hyperlink>
        </w:p>
        <w:p w14:paraId="37E51327" w14:textId="1AD4A8F6" w:rsidR="00B61511" w:rsidRPr="00B61511" w:rsidRDefault="00000000">
          <w:pPr>
            <w:pStyle w:val="TOC2"/>
            <w:tabs>
              <w:tab w:val="right" w:leader="dot" w:pos="9350"/>
            </w:tabs>
            <w:rPr>
              <w:rFonts w:eastAsiaTheme="minorEastAsia"/>
              <w:noProof/>
              <w:sz w:val="24"/>
              <w:szCs w:val="24"/>
              <w:lang w:val="en-US"/>
            </w:rPr>
          </w:pPr>
          <w:hyperlink w:anchor="_Toc237516327" w:history="1">
            <w:r w:rsidR="00B61511" w:rsidRPr="00B61511">
              <w:rPr>
                <w:rStyle w:val="Hyperlink"/>
                <w:rFonts w:ascii="Arial" w:hAnsi="Arial" w:cs="Arial"/>
                <w:noProof/>
              </w:rPr>
              <w:t>4.3 Cultural Similarities and Differences Affecting Cadbury</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_Toc237516327 \h </w:instrText>
            </w:r>
            <w:r w:rsidR="00B61511" w:rsidRPr="00B61511">
              <w:rPr>
                <w:noProof/>
                <w:webHidden/>
              </w:rPr>
            </w:r>
            <w:r w:rsidR="00B61511" w:rsidRPr="00B61511">
              <w:rPr>
                <w:noProof/>
                <w:webHidden/>
              </w:rPr>
              <w:fldChar w:fldCharType="separate"/>
            </w:r>
            <w:r w:rsidR="00B61511" w:rsidRPr="00B61511">
              <w:rPr>
                <w:noProof/>
                <w:webHidden/>
              </w:rPr>
              <w:t>10</w:t>
            </w:r>
            <w:r w:rsidR="00B61511" w:rsidRPr="00B61511">
              <w:rPr>
                <w:noProof/>
                <w:webHidden/>
              </w:rPr>
              <w:fldChar w:fldCharType="end"/>
            </w:r>
          </w:hyperlink>
        </w:p>
        <w:p w14:paraId="6A1C88D2" w14:textId="40D924C7" w:rsidR="00B61511" w:rsidRPr="00B61511" w:rsidRDefault="00000000">
          <w:pPr>
            <w:pStyle w:val="TOC2"/>
            <w:tabs>
              <w:tab w:val="right" w:leader="dot" w:pos="9350"/>
            </w:tabs>
            <w:rPr>
              <w:rFonts w:eastAsiaTheme="minorEastAsia"/>
              <w:noProof/>
              <w:sz w:val="24"/>
              <w:szCs w:val="24"/>
              <w:lang w:val="en-US"/>
            </w:rPr>
          </w:pPr>
          <w:hyperlink w:anchor="_Toc237516328" w:history="1">
            <w:r w:rsidR="00B61511" w:rsidRPr="00B61511">
              <w:rPr>
                <w:rStyle w:val="Hyperlink"/>
                <w:rFonts w:ascii="Arial" w:hAnsi="Arial" w:cs="Arial"/>
                <w:noProof/>
              </w:rPr>
              <w:t>4.4 Strengths and Limitations of Hofstede’s Model</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_Toc237516328 \h </w:instrText>
            </w:r>
            <w:r w:rsidR="00B61511" w:rsidRPr="00B61511">
              <w:rPr>
                <w:noProof/>
                <w:webHidden/>
              </w:rPr>
            </w:r>
            <w:r w:rsidR="00B61511" w:rsidRPr="00B61511">
              <w:rPr>
                <w:noProof/>
                <w:webHidden/>
              </w:rPr>
              <w:fldChar w:fldCharType="separate"/>
            </w:r>
            <w:r w:rsidR="00B61511" w:rsidRPr="00B61511">
              <w:rPr>
                <w:noProof/>
                <w:webHidden/>
              </w:rPr>
              <w:t>10</w:t>
            </w:r>
            <w:r w:rsidR="00B61511" w:rsidRPr="00B61511">
              <w:rPr>
                <w:noProof/>
                <w:webHidden/>
              </w:rPr>
              <w:fldChar w:fldCharType="end"/>
            </w:r>
          </w:hyperlink>
        </w:p>
        <w:p w14:paraId="63B9CF55" w14:textId="664B1D17" w:rsidR="00B61511" w:rsidRPr="00B61511" w:rsidRDefault="00000000">
          <w:pPr>
            <w:pStyle w:val="TOC1"/>
            <w:rPr>
              <w:rFonts w:asciiTheme="minorHAnsi" w:eastAsiaTheme="minorEastAsia" w:hAnsiTheme="minorHAnsi" w:cstheme="minorBidi"/>
              <w:b w:val="0"/>
              <w:bCs w:val="0"/>
              <w:sz w:val="24"/>
              <w:szCs w:val="24"/>
              <w:lang w:val="en-US"/>
            </w:rPr>
          </w:pPr>
          <w:hyperlink w:anchor="_Toc237516329" w:history="1">
            <w:r w:rsidR="00B61511" w:rsidRPr="00B61511">
              <w:rPr>
                <w:rStyle w:val="Hyperlink"/>
                <w:b w:val="0"/>
                <w:bCs w:val="0"/>
              </w:rPr>
              <w:t>5. Comparative STP Strategy</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_Toc237516329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11</w:t>
            </w:r>
            <w:r w:rsidR="00B61511" w:rsidRPr="00B61511">
              <w:rPr>
                <w:b w:val="0"/>
                <w:bCs w:val="0"/>
                <w:webHidden/>
              </w:rPr>
              <w:fldChar w:fldCharType="end"/>
            </w:r>
          </w:hyperlink>
        </w:p>
        <w:p w14:paraId="6A53D10F" w14:textId="4514E08A" w:rsidR="00B61511" w:rsidRPr="00B61511" w:rsidRDefault="00000000">
          <w:pPr>
            <w:pStyle w:val="TOC2"/>
            <w:tabs>
              <w:tab w:val="right" w:leader="dot" w:pos="9350"/>
            </w:tabs>
            <w:rPr>
              <w:rFonts w:eastAsiaTheme="minorEastAsia"/>
              <w:noProof/>
              <w:sz w:val="24"/>
              <w:szCs w:val="24"/>
              <w:lang w:val="en-US"/>
            </w:rPr>
          </w:pPr>
          <w:hyperlink w:anchor="_Toc237516330" w:history="1">
            <w:r w:rsidR="00B61511" w:rsidRPr="00B61511">
              <w:rPr>
                <w:rStyle w:val="Hyperlink"/>
                <w:rFonts w:ascii="Arial" w:hAnsi="Arial" w:cs="Arial"/>
                <w:noProof/>
              </w:rPr>
              <w:t>5.1 Introduction to STP</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_Toc237516330 \h </w:instrText>
            </w:r>
            <w:r w:rsidR="00B61511" w:rsidRPr="00B61511">
              <w:rPr>
                <w:noProof/>
                <w:webHidden/>
              </w:rPr>
            </w:r>
            <w:r w:rsidR="00B61511" w:rsidRPr="00B61511">
              <w:rPr>
                <w:noProof/>
                <w:webHidden/>
              </w:rPr>
              <w:fldChar w:fldCharType="separate"/>
            </w:r>
            <w:r w:rsidR="00B61511" w:rsidRPr="00B61511">
              <w:rPr>
                <w:noProof/>
                <w:webHidden/>
              </w:rPr>
              <w:t>11</w:t>
            </w:r>
            <w:r w:rsidR="00B61511" w:rsidRPr="00B61511">
              <w:rPr>
                <w:noProof/>
                <w:webHidden/>
              </w:rPr>
              <w:fldChar w:fldCharType="end"/>
            </w:r>
          </w:hyperlink>
        </w:p>
        <w:p w14:paraId="2C881CD8" w14:textId="39C8EF20" w:rsidR="00B61511" w:rsidRPr="00B61511" w:rsidRDefault="00000000">
          <w:pPr>
            <w:pStyle w:val="TOC2"/>
            <w:tabs>
              <w:tab w:val="right" w:leader="dot" w:pos="9350"/>
            </w:tabs>
            <w:rPr>
              <w:rFonts w:eastAsiaTheme="minorEastAsia"/>
              <w:noProof/>
              <w:sz w:val="24"/>
              <w:szCs w:val="24"/>
              <w:lang w:val="en-US"/>
            </w:rPr>
          </w:pPr>
          <w:hyperlink w:anchor="_Toc237516331" w:history="1">
            <w:r w:rsidR="00B61511" w:rsidRPr="00B61511">
              <w:rPr>
                <w:rStyle w:val="Hyperlink"/>
                <w:rFonts w:ascii="Arial" w:hAnsi="Arial" w:cs="Arial"/>
                <w:noProof/>
              </w:rPr>
              <w:t>5.2 Perceptual Map Summary</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_Toc237516331 \h </w:instrText>
            </w:r>
            <w:r w:rsidR="00B61511" w:rsidRPr="00B61511">
              <w:rPr>
                <w:noProof/>
                <w:webHidden/>
              </w:rPr>
            </w:r>
            <w:r w:rsidR="00B61511" w:rsidRPr="00B61511">
              <w:rPr>
                <w:noProof/>
                <w:webHidden/>
              </w:rPr>
              <w:fldChar w:fldCharType="separate"/>
            </w:r>
            <w:r w:rsidR="00B61511" w:rsidRPr="00B61511">
              <w:rPr>
                <w:noProof/>
                <w:webHidden/>
              </w:rPr>
              <w:t>13</w:t>
            </w:r>
            <w:r w:rsidR="00B61511" w:rsidRPr="00B61511">
              <w:rPr>
                <w:noProof/>
                <w:webHidden/>
              </w:rPr>
              <w:fldChar w:fldCharType="end"/>
            </w:r>
          </w:hyperlink>
        </w:p>
        <w:p w14:paraId="7CC74FA0" w14:textId="179DFA82" w:rsidR="00B61511" w:rsidRPr="00B61511" w:rsidRDefault="00000000">
          <w:pPr>
            <w:pStyle w:val="TOC1"/>
            <w:rPr>
              <w:rFonts w:asciiTheme="minorHAnsi" w:eastAsiaTheme="minorEastAsia" w:hAnsiTheme="minorHAnsi" w:cstheme="minorBidi"/>
              <w:b w:val="0"/>
              <w:bCs w:val="0"/>
              <w:sz w:val="24"/>
              <w:szCs w:val="24"/>
              <w:lang w:val="en-US"/>
            </w:rPr>
          </w:pPr>
          <w:hyperlink w:anchor="_Toc237516332" w:history="1">
            <w:r w:rsidR="00B61511" w:rsidRPr="00B61511">
              <w:rPr>
                <w:rStyle w:val="Hyperlink"/>
                <w:b w:val="0"/>
                <w:bCs w:val="0"/>
              </w:rPr>
              <w:t>6. Comparative International Marketing Mix: 7Ps</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_Toc237516332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14</w:t>
            </w:r>
            <w:r w:rsidR="00B61511" w:rsidRPr="00B61511">
              <w:rPr>
                <w:b w:val="0"/>
                <w:bCs w:val="0"/>
                <w:webHidden/>
              </w:rPr>
              <w:fldChar w:fldCharType="end"/>
            </w:r>
          </w:hyperlink>
        </w:p>
        <w:p w14:paraId="0546A012" w14:textId="713634D1" w:rsidR="00B61511" w:rsidRPr="00B61511" w:rsidRDefault="00000000">
          <w:pPr>
            <w:pStyle w:val="TOC2"/>
            <w:tabs>
              <w:tab w:val="right" w:leader="dot" w:pos="9350"/>
            </w:tabs>
            <w:rPr>
              <w:rFonts w:eastAsiaTheme="minorEastAsia"/>
              <w:noProof/>
              <w:sz w:val="24"/>
              <w:szCs w:val="24"/>
              <w:lang w:val="en-US"/>
            </w:rPr>
          </w:pPr>
          <w:hyperlink w:anchor="_Toc237516333" w:history="1">
            <w:r w:rsidR="00B61511" w:rsidRPr="00B61511">
              <w:rPr>
                <w:rStyle w:val="Hyperlink"/>
                <w:rFonts w:ascii="Arial" w:hAnsi="Arial" w:cs="Arial"/>
                <w:noProof/>
              </w:rPr>
              <w:t>6.1 Introduction to the Extended Marketing Mix</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_Toc237516333 \h </w:instrText>
            </w:r>
            <w:r w:rsidR="00B61511" w:rsidRPr="00B61511">
              <w:rPr>
                <w:noProof/>
                <w:webHidden/>
              </w:rPr>
            </w:r>
            <w:r w:rsidR="00B61511" w:rsidRPr="00B61511">
              <w:rPr>
                <w:noProof/>
                <w:webHidden/>
              </w:rPr>
              <w:fldChar w:fldCharType="separate"/>
            </w:r>
            <w:r w:rsidR="00B61511" w:rsidRPr="00B61511">
              <w:rPr>
                <w:noProof/>
                <w:webHidden/>
              </w:rPr>
              <w:t>14</w:t>
            </w:r>
            <w:r w:rsidR="00B61511" w:rsidRPr="00B61511">
              <w:rPr>
                <w:noProof/>
                <w:webHidden/>
              </w:rPr>
              <w:fldChar w:fldCharType="end"/>
            </w:r>
          </w:hyperlink>
        </w:p>
        <w:p w14:paraId="0177783B" w14:textId="3F7BC211" w:rsidR="00B61511" w:rsidRPr="00B61511" w:rsidRDefault="00000000">
          <w:pPr>
            <w:pStyle w:val="TOC2"/>
            <w:tabs>
              <w:tab w:val="right" w:leader="dot" w:pos="9350"/>
            </w:tabs>
            <w:rPr>
              <w:rFonts w:eastAsiaTheme="minorEastAsia"/>
              <w:noProof/>
              <w:sz w:val="24"/>
              <w:szCs w:val="24"/>
              <w:lang w:val="en-US"/>
            </w:rPr>
          </w:pPr>
          <w:hyperlink w:anchor="_Toc237516334" w:history="1">
            <w:r w:rsidR="00B61511" w:rsidRPr="00B61511">
              <w:rPr>
                <w:rStyle w:val="Hyperlink"/>
                <w:rFonts w:ascii="Arial" w:hAnsi="Arial" w:cs="Arial"/>
                <w:noProof/>
              </w:rPr>
              <w:t>6.2 Overall 7Ps Comparison and Strategic Implications</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_Toc237516334 \h </w:instrText>
            </w:r>
            <w:r w:rsidR="00B61511" w:rsidRPr="00B61511">
              <w:rPr>
                <w:noProof/>
                <w:webHidden/>
              </w:rPr>
            </w:r>
            <w:r w:rsidR="00B61511" w:rsidRPr="00B61511">
              <w:rPr>
                <w:noProof/>
                <w:webHidden/>
              </w:rPr>
              <w:fldChar w:fldCharType="separate"/>
            </w:r>
            <w:r w:rsidR="00B61511" w:rsidRPr="00B61511">
              <w:rPr>
                <w:noProof/>
                <w:webHidden/>
              </w:rPr>
              <w:t>15</w:t>
            </w:r>
            <w:r w:rsidR="00B61511" w:rsidRPr="00B61511">
              <w:rPr>
                <w:noProof/>
                <w:webHidden/>
              </w:rPr>
              <w:fldChar w:fldCharType="end"/>
            </w:r>
          </w:hyperlink>
        </w:p>
        <w:p w14:paraId="5F4C30EB" w14:textId="2D542972" w:rsidR="00B61511" w:rsidRPr="00B61511" w:rsidRDefault="00000000">
          <w:pPr>
            <w:pStyle w:val="TOC1"/>
            <w:rPr>
              <w:rFonts w:asciiTheme="minorHAnsi" w:eastAsiaTheme="minorEastAsia" w:hAnsiTheme="minorHAnsi" w:cstheme="minorBidi"/>
              <w:b w:val="0"/>
              <w:bCs w:val="0"/>
              <w:sz w:val="24"/>
              <w:szCs w:val="24"/>
              <w:lang w:val="en-US"/>
            </w:rPr>
          </w:pPr>
          <w:hyperlink w:anchor="_Toc237516335" w:history="1">
            <w:r w:rsidR="00B61511" w:rsidRPr="00B61511">
              <w:rPr>
                <w:rStyle w:val="Hyperlink"/>
                <w:b w:val="0"/>
                <w:bCs w:val="0"/>
              </w:rPr>
              <w:t>7. Cadbury’s Market Entry Strategy in India</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_Toc237516335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17</w:t>
            </w:r>
            <w:r w:rsidR="00B61511" w:rsidRPr="00B61511">
              <w:rPr>
                <w:b w:val="0"/>
                <w:bCs w:val="0"/>
                <w:webHidden/>
              </w:rPr>
              <w:fldChar w:fldCharType="end"/>
            </w:r>
          </w:hyperlink>
        </w:p>
        <w:p w14:paraId="08FD9E23" w14:textId="3470CE51" w:rsidR="00B61511" w:rsidRPr="00B61511" w:rsidRDefault="00000000">
          <w:pPr>
            <w:pStyle w:val="TOC1"/>
            <w:rPr>
              <w:rFonts w:asciiTheme="minorHAnsi" w:eastAsiaTheme="minorEastAsia" w:hAnsiTheme="minorHAnsi" w:cstheme="minorBidi"/>
              <w:b w:val="0"/>
              <w:bCs w:val="0"/>
              <w:sz w:val="24"/>
              <w:szCs w:val="24"/>
              <w:lang w:val="en-US"/>
            </w:rPr>
          </w:pPr>
          <w:hyperlink w:anchor="_Toc237516336" w:history="1">
            <w:r w:rsidR="00B61511" w:rsidRPr="00B61511">
              <w:rPr>
                <w:rStyle w:val="Hyperlink"/>
                <w:b w:val="0"/>
                <w:bCs w:val="0"/>
              </w:rPr>
              <w:t>8. Ethical Marketing Analysis: India</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_Toc237516336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18</w:t>
            </w:r>
            <w:r w:rsidR="00B61511" w:rsidRPr="00B61511">
              <w:rPr>
                <w:b w:val="0"/>
                <w:bCs w:val="0"/>
                <w:webHidden/>
              </w:rPr>
              <w:fldChar w:fldCharType="end"/>
            </w:r>
          </w:hyperlink>
        </w:p>
        <w:p w14:paraId="04A85FD6" w14:textId="4C27AE7E" w:rsidR="00B61511" w:rsidRPr="00B61511" w:rsidRDefault="00000000">
          <w:pPr>
            <w:pStyle w:val="TOC2"/>
            <w:tabs>
              <w:tab w:val="right" w:leader="dot" w:pos="9350"/>
            </w:tabs>
            <w:rPr>
              <w:rFonts w:eastAsiaTheme="minorEastAsia"/>
              <w:noProof/>
              <w:sz w:val="24"/>
              <w:szCs w:val="24"/>
              <w:lang w:val="en-US"/>
            </w:rPr>
          </w:pPr>
          <w:hyperlink w:anchor="_Toc237516337" w:history="1">
            <w:r w:rsidR="00B61511" w:rsidRPr="00B61511">
              <w:rPr>
                <w:rStyle w:val="Hyperlink"/>
                <w:rFonts w:ascii="Arial" w:hAnsi="Arial" w:cs="Arial"/>
                <w:noProof/>
              </w:rPr>
              <w:t>8.1 Introduction to Ethical Marketing</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_Toc237516337 \h </w:instrText>
            </w:r>
            <w:r w:rsidR="00B61511" w:rsidRPr="00B61511">
              <w:rPr>
                <w:noProof/>
                <w:webHidden/>
              </w:rPr>
            </w:r>
            <w:r w:rsidR="00B61511" w:rsidRPr="00B61511">
              <w:rPr>
                <w:noProof/>
                <w:webHidden/>
              </w:rPr>
              <w:fldChar w:fldCharType="separate"/>
            </w:r>
            <w:r w:rsidR="00B61511" w:rsidRPr="00B61511">
              <w:rPr>
                <w:noProof/>
                <w:webHidden/>
              </w:rPr>
              <w:t>18</w:t>
            </w:r>
            <w:r w:rsidR="00B61511" w:rsidRPr="00B61511">
              <w:rPr>
                <w:noProof/>
                <w:webHidden/>
              </w:rPr>
              <w:fldChar w:fldCharType="end"/>
            </w:r>
          </w:hyperlink>
        </w:p>
        <w:p w14:paraId="4A715448" w14:textId="12FF91BD" w:rsidR="00B61511" w:rsidRPr="00B61511" w:rsidRDefault="00000000">
          <w:pPr>
            <w:pStyle w:val="TOC2"/>
            <w:tabs>
              <w:tab w:val="right" w:leader="dot" w:pos="9350"/>
            </w:tabs>
            <w:rPr>
              <w:rFonts w:eastAsiaTheme="minorEastAsia"/>
              <w:noProof/>
              <w:sz w:val="24"/>
              <w:szCs w:val="24"/>
              <w:lang w:val="en-US"/>
            </w:rPr>
          </w:pPr>
          <w:hyperlink w:anchor="_Toc237516338" w:history="1">
            <w:r w:rsidR="00B61511" w:rsidRPr="00B61511">
              <w:rPr>
                <w:rStyle w:val="Hyperlink"/>
                <w:rFonts w:ascii="Arial" w:hAnsi="Arial" w:cs="Arial"/>
                <w:noProof/>
              </w:rPr>
              <w:t>8.2 Ethical Marketing Practices by Cadbury in India</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_Toc237516338 \h </w:instrText>
            </w:r>
            <w:r w:rsidR="00B61511" w:rsidRPr="00B61511">
              <w:rPr>
                <w:noProof/>
                <w:webHidden/>
              </w:rPr>
            </w:r>
            <w:r w:rsidR="00B61511" w:rsidRPr="00B61511">
              <w:rPr>
                <w:noProof/>
                <w:webHidden/>
              </w:rPr>
              <w:fldChar w:fldCharType="separate"/>
            </w:r>
            <w:r w:rsidR="00B61511" w:rsidRPr="00B61511">
              <w:rPr>
                <w:noProof/>
                <w:webHidden/>
              </w:rPr>
              <w:t>18</w:t>
            </w:r>
            <w:r w:rsidR="00B61511" w:rsidRPr="00B61511">
              <w:rPr>
                <w:noProof/>
                <w:webHidden/>
              </w:rPr>
              <w:fldChar w:fldCharType="end"/>
            </w:r>
          </w:hyperlink>
        </w:p>
        <w:p w14:paraId="78BB2931" w14:textId="577378CF" w:rsidR="00B61511" w:rsidRPr="00B61511" w:rsidRDefault="00000000">
          <w:pPr>
            <w:pStyle w:val="TOC2"/>
            <w:tabs>
              <w:tab w:val="right" w:leader="dot" w:pos="9350"/>
            </w:tabs>
            <w:rPr>
              <w:rFonts w:eastAsiaTheme="minorEastAsia"/>
              <w:noProof/>
              <w:sz w:val="24"/>
              <w:szCs w:val="24"/>
              <w:lang w:val="en-US"/>
            </w:rPr>
          </w:pPr>
          <w:hyperlink w:anchor="_Toc237516339" w:history="1">
            <w:r w:rsidR="00B61511" w:rsidRPr="00B61511">
              <w:rPr>
                <w:rStyle w:val="Hyperlink"/>
                <w:rFonts w:ascii="Arial" w:hAnsi="Arial" w:cs="Arial"/>
                <w:noProof/>
              </w:rPr>
              <w:t>8.3 Ethical Concerns and Controversial Practices</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_Toc237516339 \h </w:instrText>
            </w:r>
            <w:r w:rsidR="00B61511" w:rsidRPr="00B61511">
              <w:rPr>
                <w:noProof/>
                <w:webHidden/>
              </w:rPr>
            </w:r>
            <w:r w:rsidR="00B61511" w:rsidRPr="00B61511">
              <w:rPr>
                <w:noProof/>
                <w:webHidden/>
              </w:rPr>
              <w:fldChar w:fldCharType="separate"/>
            </w:r>
            <w:r w:rsidR="00B61511" w:rsidRPr="00B61511">
              <w:rPr>
                <w:noProof/>
                <w:webHidden/>
              </w:rPr>
              <w:t>18</w:t>
            </w:r>
            <w:r w:rsidR="00B61511" w:rsidRPr="00B61511">
              <w:rPr>
                <w:noProof/>
                <w:webHidden/>
              </w:rPr>
              <w:fldChar w:fldCharType="end"/>
            </w:r>
          </w:hyperlink>
        </w:p>
        <w:p w14:paraId="3F28313D" w14:textId="6F5680EC" w:rsidR="00B61511" w:rsidRPr="00B61511" w:rsidRDefault="00000000">
          <w:pPr>
            <w:pStyle w:val="TOC1"/>
            <w:rPr>
              <w:rFonts w:asciiTheme="minorHAnsi" w:eastAsiaTheme="minorEastAsia" w:hAnsiTheme="minorHAnsi" w:cstheme="minorBidi"/>
              <w:b w:val="0"/>
              <w:bCs w:val="0"/>
              <w:sz w:val="24"/>
              <w:szCs w:val="24"/>
              <w:lang w:val="en-US"/>
            </w:rPr>
          </w:pPr>
          <w:hyperlink w:anchor="_Toc237516340" w:history="1">
            <w:r w:rsidR="00B61511" w:rsidRPr="00B61511">
              <w:rPr>
                <w:rStyle w:val="Hyperlink"/>
                <w:b w:val="0"/>
                <w:bCs w:val="0"/>
              </w:rPr>
              <w:t>9. Recommendations</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_Toc237516340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19</w:t>
            </w:r>
            <w:r w:rsidR="00B61511" w:rsidRPr="00B61511">
              <w:rPr>
                <w:b w:val="0"/>
                <w:bCs w:val="0"/>
                <w:webHidden/>
              </w:rPr>
              <w:fldChar w:fldCharType="end"/>
            </w:r>
          </w:hyperlink>
        </w:p>
        <w:p w14:paraId="03F5D57E" w14:textId="6E4EF0B6" w:rsidR="00B61511" w:rsidRPr="00B61511" w:rsidRDefault="00000000">
          <w:pPr>
            <w:pStyle w:val="TOC2"/>
            <w:tabs>
              <w:tab w:val="right" w:leader="dot" w:pos="9350"/>
            </w:tabs>
            <w:rPr>
              <w:rFonts w:eastAsiaTheme="minorEastAsia"/>
              <w:noProof/>
              <w:sz w:val="24"/>
              <w:szCs w:val="24"/>
              <w:lang w:val="en-US"/>
            </w:rPr>
          </w:pPr>
          <w:hyperlink w:anchor="_Toc237516341" w:history="1">
            <w:r w:rsidR="00B61511" w:rsidRPr="00B61511">
              <w:rPr>
                <w:rStyle w:val="Hyperlink"/>
                <w:rFonts w:ascii="Arial" w:hAnsi="Arial" w:cs="Arial"/>
                <w:noProof/>
              </w:rPr>
              <w:t>9.1 Recommendation 1: United Kingdom Marketing Strategy</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_Toc237516341 \h </w:instrText>
            </w:r>
            <w:r w:rsidR="00B61511" w:rsidRPr="00B61511">
              <w:rPr>
                <w:noProof/>
                <w:webHidden/>
              </w:rPr>
            </w:r>
            <w:r w:rsidR="00B61511" w:rsidRPr="00B61511">
              <w:rPr>
                <w:noProof/>
                <w:webHidden/>
              </w:rPr>
              <w:fldChar w:fldCharType="separate"/>
            </w:r>
            <w:r w:rsidR="00B61511" w:rsidRPr="00B61511">
              <w:rPr>
                <w:noProof/>
                <w:webHidden/>
              </w:rPr>
              <w:t>19</w:t>
            </w:r>
            <w:r w:rsidR="00B61511" w:rsidRPr="00B61511">
              <w:rPr>
                <w:noProof/>
                <w:webHidden/>
              </w:rPr>
              <w:fldChar w:fldCharType="end"/>
            </w:r>
          </w:hyperlink>
        </w:p>
        <w:p w14:paraId="090BFE92" w14:textId="64C4EAEB" w:rsidR="00B61511" w:rsidRPr="00B61511" w:rsidRDefault="00000000">
          <w:pPr>
            <w:pStyle w:val="TOC2"/>
            <w:tabs>
              <w:tab w:val="right" w:leader="dot" w:pos="9350"/>
            </w:tabs>
            <w:rPr>
              <w:rFonts w:eastAsiaTheme="minorEastAsia"/>
              <w:noProof/>
              <w:sz w:val="24"/>
              <w:szCs w:val="24"/>
              <w:lang w:val="en-US"/>
            </w:rPr>
          </w:pPr>
          <w:hyperlink w:anchor="_Toc237516342" w:history="1">
            <w:r w:rsidR="00B61511" w:rsidRPr="00B61511">
              <w:rPr>
                <w:rStyle w:val="Hyperlink"/>
                <w:rFonts w:ascii="Arial" w:hAnsi="Arial" w:cs="Arial"/>
                <w:noProof/>
              </w:rPr>
              <w:t>9.2 Recommendation 2: India Marketing Strategy</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_Toc237516342 \h </w:instrText>
            </w:r>
            <w:r w:rsidR="00B61511" w:rsidRPr="00B61511">
              <w:rPr>
                <w:noProof/>
                <w:webHidden/>
              </w:rPr>
            </w:r>
            <w:r w:rsidR="00B61511" w:rsidRPr="00B61511">
              <w:rPr>
                <w:noProof/>
                <w:webHidden/>
              </w:rPr>
              <w:fldChar w:fldCharType="separate"/>
            </w:r>
            <w:r w:rsidR="00B61511" w:rsidRPr="00B61511">
              <w:rPr>
                <w:noProof/>
                <w:webHidden/>
              </w:rPr>
              <w:t>19</w:t>
            </w:r>
            <w:r w:rsidR="00B61511" w:rsidRPr="00B61511">
              <w:rPr>
                <w:noProof/>
                <w:webHidden/>
              </w:rPr>
              <w:fldChar w:fldCharType="end"/>
            </w:r>
          </w:hyperlink>
        </w:p>
        <w:p w14:paraId="2C31D891" w14:textId="36404FD4" w:rsidR="00B61511" w:rsidRPr="00B61511" w:rsidRDefault="00000000">
          <w:pPr>
            <w:pStyle w:val="TOC2"/>
            <w:tabs>
              <w:tab w:val="right" w:leader="dot" w:pos="9350"/>
            </w:tabs>
            <w:rPr>
              <w:rFonts w:eastAsiaTheme="minorEastAsia"/>
              <w:noProof/>
              <w:sz w:val="24"/>
              <w:szCs w:val="24"/>
              <w:lang w:val="en-US"/>
            </w:rPr>
          </w:pPr>
          <w:hyperlink w:anchor="_Toc237516343" w:history="1">
            <w:r w:rsidR="00B61511" w:rsidRPr="00B61511">
              <w:rPr>
                <w:rStyle w:val="Hyperlink"/>
                <w:rFonts w:ascii="Arial" w:hAnsi="Arial" w:cs="Arial"/>
                <w:noProof/>
              </w:rPr>
              <w:t>9.3 Recommendation 3: Cross-Market Strategy</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_Toc237516343 \h </w:instrText>
            </w:r>
            <w:r w:rsidR="00B61511" w:rsidRPr="00B61511">
              <w:rPr>
                <w:noProof/>
                <w:webHidden/>
              </w:rPr>
            </w:r>
            <w:r w:rsidR="00B61511" w:rsidRPr="00B61511">
              <w:rPr>
                <w:noProof/>
                <w:webHidden/>
              </w:rPr>
              <w:fldChar w:fldCharType="separate"/>
            </w:r>
            <w:r w:rsidR="00B61511" w:rsidRPr="00B61511">
              <w:rPr>
                <w:noProof/>
                <w:webHidden/>
              </w:rPr>
              <w:t>19</w:t>
            </w:r>
            <w:r w:rsidR="00B61511" w:rsidRPr="00B61511">
              <w:rPr>
                <w:noProof/>
                <w:webHidden/>
              </w:rPr>
              <w:fldChar w:fldCharType="end"/>
            </w:r>
          </w:hyperlink>
        </w:p>
        <w:p w14:paraId="0F4E0EFE" w14:textId="1DD04E6C" w:rsidR="00B61511" w:rsidRPr="00B61511" w:rsidRDefault="00000000">
          <w:pPr>
            <w:pStyle w:val="TOC2"/>
            <w:tabs>
              <w:tab w:val="right" w:leader="dot" w:pos="9350"/>
            </w:tabs>
            <w:rPr>
              <w:rFonts w:eastAsiaTheme="minorEastAsia"/>
              <w:noProof/>
              <w:sz w:val="24"/>
              <w:szCs w:val="24"/>
              <w:lang w:val="en-US"/>
            </w:rPr>
          </w:pPr>
          <w:hyperlink w:anchor="_Toc237516344" w:history="1">
            <w:r w:rsidR="00B61511" w:rsidRPr="00B61511">
              <w:rPr>
                <w:rStyle w:val="Hyperlink"/>
                <w:rFonts w:ascii="Arial" w:hAnsi="Arial" w:cs="Arial"/>
                <w:noProof/>
              </w:rPr>
              <w:t>9.4 Implementation Priorities and Expected Outcomes</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_Toc237516344 \h </w:instrText>
            </w:r>
            <w:r w:rsidR="00B61511" w:rsidRPr="00B61511">
              <w:rPr>
                <w:noProof/>
                <w:webHidden/>
              </w:rPr>
            </w:r>
            <w:r w:rsidR="00B61511" w:rsidRPr="00B61511">
              <w:rPr>
                <w:noProof/>
                <w:webHidden/>
              </w:rPr>
              <w:fldChar w:fldCharType="separate"/>
            </w:r>
            <w:r w:rsidR="00B61511" w:rsidRPr="00B61511">
              <w:rPr>
                <w:noProof/>
                <w:webHidden/>
              </w:rPr>
              <w:t>19</w:t>
            </w:r>
            <w:r w:rsidR="00B61511" w:rsidRPr="00B61511">
              <w:rPr>
                <w:noProof/>
                <w:webHidden/>
              </w:rPr>
              <w:fldChar w:fldCharType="end"/>
            </w:r>
          </w:hyperlink>
        </w:p>
        <w:p w14:paraId="40A1D15C" w14:textId="251E4FB8" w:rsidR="00B61511" w:rsidRPr="00B61511" w:rsidRDefault="00000000">
          <w:pPr>
            <w:pStyle w:val="TOC1"/>
            <w:rPr>
              <w:rFonts w:asciiTheme="minorHAnsi" w:eastAsiaTheme="minorEastAsia" w:hAnsiTheme="minorHAnsi" w:cstheme="minorBidi"/>
              <w:b w:val="0"/>
              <w:bCs w:val="0"/>
              <w:sz w:val="24"/>
              <w:szCs w:val="24"/>
              <w:lang w:val="en-US"/>
            </w:rPr>
          </w:pPr>
          <w:hyperlink w:anchor="_Toc237516345" w:history="1">
            <w:r w:rsidR="00B61511" w:rsidRPr="00B61511">
              <w:rPr>
                <w:rStyle w:val="Hyperlink"/>
                <w:b w:val="0"/>
                <w:bCs w:val="0"/>
              </w:rPr>
              <w:t>10. Conclusion</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_Toc237516345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20</w:t>
            </w:r>
            <w:r w:rsidR="00B61511" w:rsidRPr="00B61511">
              <w:rPr>
                <w:b w:val="0"/>
                <w:bCs w:val="0"/>
                <w:webHidden/>
              </w:rPr>
              <w:fldChar w:fldCharType="end"/>
            </w:r>
          </w:hyperlink>
        </w:p>
        <w:p w14:paraId="1AE97AE9" w14:textId="6B3D3970" w:rsidR="00B61511" w:rsidRPr="00B61511" w:rsidRDefault="00000000">
          <w:pPr>
            <w:pStyle w:val="TOC1"/>
            <w:rPr>
              <w:rFonts w:asciiTheme="minorHAnsi" w:eastAsiaTheme="minorEastAsia" w:hAnsiTheme="minorHAnsi" w:cstheme="minorBidi"/>
              <w:b w:val="0"/>
              <w:bCs w:val="0"/>
              <w:sz w:val="24"/>
              <w:szCs w:val="24"/>
              <w:lang w:val="en-US"/>
            </w:rPr>
          </w:pPr>
          <w:hyperlink w:anchor="_Toc237516346" w:history="1">
            <w:r w:rsidR="00B61511" w:rsidRPr="00B61511">
              <w:rPr>
                <w:rStyle w:val="Hyperlink"/>
                <w:b w:val="0"/>
                <w:bCs w:val="0"/>
              </w:rPr>
              <w:t>Section 2: Reflective Account Using Gibbs’ Reflective Cycle</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_Toc237516346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21</w:t>
            </w:r>
            <w:r w:rsidR="00B61511" w:rsidRPr="00B61511">
              <w:rPr>
                <w:b w:val="0"/>
                <w:bCs w:val="0"/>
                <w:webHidden/>
              </w:rPr>
              <w:fldChar w:fldCharType="end"/>
            </w:r>
          </w:hyperlink>
        </w:p>
        <w:p w14:paraId="0A1CF0E0" w14:textId="4D13EE5E" w:rsidR="00B61511" w:rsidRPr="00B61511" w:rsidRDefault="00000000">
          <w:pPr>
            <w:pStyle w:val="TOC1"/>
            <w:rPr>
              <w:rFonts w:asciiTheme="minorHAnsi" w:eastAsiaTheme="minorEastAsia" w:hAnsiTheme="minorHAnsi" w:cstheme="minorBidi"/>
              <w:b w:val="0"/>
              <w:bCs w:val="0"/>
              <w:sz w:val="24"/>
              <w:szCs w:val="24"/>
              <w:lang w:val="en-US"/>
            </w:rPr>
          </w:pPr>
          <w:hyperlink w:anchor="_Toc237516347" w:history="1">
            <w:r w:rsidR="00B61511" w:rsidRPr="00B61511">
              <w:rPr>
                <w:rStyle w:val="Hyperlink"/>
                <w:b w:val="0"/>
                <w:bCs w:val="0"/>
              </w:rPr>
              <w:t>11. Introduction to Reflection</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_Toc237516347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21</w:t>
            </w:r>
            <w:r w:rsidR="00B61511" w:rsidRPr="00B61511">
              <w:rPr>
                <w:b w:val="0"/>
                <w:bCs w:val="0"/>
                <w:webHidden/>
              </w:rPr>
              <w:fldChar w:fldCharType="end"/>
            </w:r>
          </w:hyperlink>
        </w:p>
        <w:p w14:paraId="135165A5" w14:textId="438BED28" w:rsidR="00B61511" w:rsidRPr="00B61511" w:rsidRDefault="00000000">
          <w:pPr>
            <w:pStyle w:val="TOC2"/>
            <w:tabs>
              <w:tab w:val="right" w:leader="dot" w:pos="9350"/>
            </w:tabs>
            <w:rPr>
              <w:rFonts w:eastAsiaTheme="minorEastAsia"/>
              <w:noProof/>
              <w:sz w:val="24"/>
              <w:szCs w:val="24"/>
              <w:lang w:val="en-US"/>
            </w:rPr>
          </w:pPr>
          <w:hyperlink w:anchor="_Toc237516348" w:history="1">
            <w:r w:rsidR="00B61511" w:rsidRPr="00B61511">
              <w:rPr>
                <w:rStyle w:val="Hyperlink"/>
                <w:rFonts w:ascii="Arial" w:hAnsi="Arial" w:cs="Arial"/>
                <w:noProof/>
              </w:rPr>
              <w:t>11.1 Purpose of the Reflective Account</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_Toc237516348 \h </w:instrText>
            </w:r>
            <w:r w:rsidR="00B61511" w:rsidRPr="00B61511">
              <w:rPr>
                <w:noProof/>
                <w:webHidden/>
              </w:rPr>
            </w:r>
            <w:r w:rsidR="00B61511" w:rsidRPr="00B61511">
              <w:rPr>
                <w:noProof/>
                <w:webHidden/>
              </w:rPr>
              <w:fldChar w:fldCharType="separate"/>
            </w:r>
            <w:r w:rsidR="00B61511" w:rsidRPr="00B61511">
              <w:rPr>
                <w:noProof/>
                <w:webHidden/>
              </w:rPr>
              <w:t>21</w:t>
            </w:r>
            <w:r w:rsidR="00B61511" w:rsidRPr="00B61511">
              <w:rPr>
                <w:noProof/>
                <w:webHidden/>
              </w:rPr>
              <w:fldChar w:fldCharType="end"/>
            </w:r>
          </w:hyperlink>
        </w:p>
        <w:p w14:paraId="34B51B1F" w14:textId="663002D0" w:rsidR="00B61511" w:rsidRPr="00B61511" w:rsidRDefault="00000000">
          <w:pPr>
            <w:pStyle w:val="TOC2"/>
            <w:tabs>
              <w:tab w:val="right" w:leader="dot" w:pos="9350"/>
            </w:tabs>
            <w:rPr>
              <w:rFonts w:eastAsiaTheme="minorEastAsia"/>
              <w:noProof/>
              <w:sz w:val="24"/>
              <w:szCs w:val="24"/>
              <w:lang w:val="en-US"/>
            </w:rPr>
          </w:pPr>
          <w:hyperlink w:anchor="_Toc237516349" w:history="1">
            <w:r w:rsidR="00B61511" w:rsidRPr="00B61511">
              <w:rPr>
                <w:rStyle w:val="Hyperlink"/>
                <w:rFonts w:ascii="Arial" w:hAnsi="Arial" w:cs="Arial"/>
                <w:noProof/>
              </w:rPr>
              <w:t>11.2 Introduction to Gibbs’ Reflective Cycle</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_Toc237516349 \h </w:instrText>
            </w:r>
            <w:r w:rsidR="00B61511" w:rsidRPr="00B61511">
              <w:rPr>
                <w:noProof/>
                <w:webHidden/>
              </w:rPr>
            </w:r>
            <w:r w:rsidR="00B61511" w:rsidRPr="00B61511">
              <w:rPr>
                <w:noProof/>
                <w:webHidden/>
              </w:rPr>
              <w:fldChar w:fldCharType="separate"/>
            </w:r>
            <w:r w:rsidR="00B61511" w:rsidRPr="00B61511">
              <w:rPr>
                <w:noProof/>
                <w:webHidden/>
              </w:rPr>
              <w:t>21</w:t>
            </w:r>
            <w:r w:rsidR="00B61511" w:rsidRPr="00B61511">
              <w:rPr>
                <w:noProof/>
                <w:webHidden/>
              </w:rPr>
              <w:fldChar w:fldCharType="end"/>
            </w:r>
          </w:hyperlink>
        </w:p>
        <w:p w14:paraId="22DE463C" w14:textId="2FE3AE7E" w:rsidR="00B61511" w:rsidRPr="00B61511" w:rsidRDefault="00000000">
          <w:pPr>
            <w:pStyle w:val="TOC1"/>
            <w:rPr>
              <w:rFonts w:asciiTheme="minorHAnsi" w:eastAsiaTheme="minorEastAsia" w:hAnsiTheme="minorHAnsi" w:cstheme="minorBidi"/>
              <w:b w:val="0"/>
              <w:bCs w:val="0"/>
              <w:sz w:val="24"/>
              <w:szCs w:val="24"/>
              <w:lang w:val="en-US"/>
            </w:rPr>
          </w:pPr>
          <w:hyperlink w:anchor="_Toc237516350" w:history="1">
            <w:r w:rsidR="00B61511" w:rsidRPr="00B61511">
              <w:rPr>
                <w:rStyle w:val="Hyperlink"/>
                <w:b w:val="0"/>
                <w:bCs w:val="0"/>
              </w:rPr>
              <w:t>12. Description</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_Toc237516350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21</w:t>
            </w:r>
            <w:r w:rsidR="00B61511" w:rsidRPr="00B61511">
              <w:rPr>
                <w:b w:val="0"/>
                <w:bCs w:val="0"/>
                <w:webHidden/>
              </w:rPr>
              <w:fldChar w:fldCharType="end"/>
            </w:r>
          </w:hyperlink>
        </w:p>
        <w:p w14:paraId="44393AB2" w14:textId="2EEEC27A" w:rsidR="00B61511" w:rsidRPr="00B61511" w:rsidRDefault="00000000">
          <w:pPr>
            <w:pStyle w:val="TOC2"/>
            <w:tabs>
              <w:tab w:val="right" w:leader="dot" w:pos="9350"/>
            </w:tabs>
            <w:rPr>
              <w:rFonts w:eastAsiaTheme="minorEastAsia"/>
              <w:noProof/>
              <w:sz w:val="24"/>
              <w:szCs w:val="24"/>
              <w:lang w:val="en-US"/>
            </w:rPr>
          </w:pPr>
          <w:hyperlink w:anchor="_Toc237516351" w:history="1">
            <w:r w:rsidR="00B61511" w:rsidRPr="00B61511">
              <w:rPr>
                <w:rStyle w:val="Hyperlink"/>
                <w:rFonts w:ascii="Arial" w:hAnsi="Arial" w:cs="Arial"/>
                <w:noProof/>
              </w:rPr>
              <w:t>12.1 Selection of Cadbury, the United Kingdom and India</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_Toc237516351 \h </w:instrText>
            </w:r>
            <w:r w:rsidR="00B61511" w:rsidRPr="00B61511">
              <w:rPr>
                <w:noProof/>
                <w:webHidden/>
              </w:rPr>
            </w:r>
            <w:r w:rsidR="00B61511" w:rsidRPr="00B61511">
              <w:rPr>
                <w:noProof/>
                <w:webHidden/>
              </w:rPr>
              <w:fldChar w:fldCharType="separate"/>
            </w:r>
            <w:r w:rsidR="00B61511" w:rsidRPr="00B61511">
              <w:rPr>
                <w:noProof/>
                <w:webHidden/>
              </w:rPr>
              <w:t>21</w:t>
            </w:r>
            <w:r w:rsidR="00B61511" w:rsidRPr="00B61511">
              <w:rPr>
                <w:noProof/>
                <w:webHidden/>
              </w:rPr>
              <w:fldChar w:fldCharType="end"/>
            </w:r>
          </w:hyperlink>
        </w:p>
        <w:p w14:paraId="628DA2C4" w14:textId="6D1C70BC" w:rsidR="00B61511" w:rsidRPr="00B61511" w:rsidRDefault="00000000">
          <w:pPr>
            <w:pStyle w:val="TOC2"/>
            <w:tabs>
              <w:tab w:val="right" w:leader="dot" w:pos="9350"/>
            </w:tabs>
            <w:rPr>
              <w:rFonts w:eastAsiaTheme="minorEastAsia"/>
              <w:noProof/>
              <w:sz w:val="24"/>
              <w:szCs w:val="24"/>
              <w:lang w:val="en-US"/>
            </w:rPr>
          </w:pPr>
          <w:hyperlink w:anchor="_Toc237516352" w:history="1">
            <w:r w:rsidR="00B61511" w:rsidRPr="00B61511">
              <w:rPr>
                <w:rStyle w:val="Hyperlink"/>
                <w:rFonts w:ascii="Arial" w:hAnsi="Arial" w:cs="Arial"/>
                <w:noProof/>
              </w:rPr>
              <w:t>12.2 Research Process and Source Selection</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_Toc237516352 \h </w:instrText>
            </w:r>
            <w:r w:rsidR="00B61511" w:rsidRPr="00B61511">
              <w:rPr>
                <w:noProof/>
                <w:webHidden/>
              </w:rPr>
            </w:r>
            <w:r w:rsidR="00B61511" w:rsidRPr="00B61511">
              <w:rPr>
                <w:noProof/>
                <w:webHidden/>
              </w:rPr>
              <w:fldChar w:fldCharType="separate"/>
            </w:r>
            <w:r w:rsidR="00B61511" w:rsidRPr="00B61511">
              <w:rPr>
                <w:noProof/>
                <w:webHidden/>
              </w:rPr>
              <w:t>21</w:t>
            </w:r>
            <w:r w:rsidR="00B61511" w:rsidRPr="00B61511">
              <w:rPr>
                <w:noProof/>
                <w:webHidden/>
              </w:rPr>
              <w:fldChar w:fldCharType="end"/>
            </w:r>
          </w:hyperlink>
        </w:p>
        <w:p w14:paraId="6EAA2CD1" w14:textId="4BD27803" w:rsidR="00B61511" w:rsidRPr="00B61511" w:rsidRDefault="00000000">
          <w:pPr>
            <w:pStyle w:val="TOC1"/>
            <w:rPr>
              <w:rFonts w:asciiTheme="minorHAnsi" w:eastAsiaTheme="minorEastAsia" w:hAnsiTheme="minorHAnsi" w:cstheme="minorBidi"/>
              <w:b w:val="0"/>
              <w:bCs w:val="0"/>
              <w:sz w:val="24"/>
              <w:szCs w:val="24"/>
              <w:lang w:val="en-US"/>
            </w:rPr>
          </w:pPr>
          <w:hyperlink w:anchor="_Toc237516353" w:history="1">
            <w:r w:rsidR="00B61511" w:rsidRPr="00B61511">
              <w:rPr>
                <w:rStyle w:val="Hyperlink"/>
                <w:b w:val="0"/>
                <w:bCs w:val="0"/>
              </w:rPr>
              <w:t>13. Feelings</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_Toc237516353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21</w:t>
            </w:r>
            <w:r w:rsidR="00B61511" w:rsidRPr="00B61511">
              <w:rPr>
                <w:b w:val="0"/>
                <w:bCs w:val="0"/>
                <w:webHidden/>
              </w:rPr>
              <w:fldChar w:fldCharType="end"/>
            </w:r>
          </w:hyperlink>
        </w:p>
        <w:p w14:paraId="1186322F" w14:textId="5D7B353B" w:rsidR="00B61511" w:rsidRPr="00B61511" w:rsidRDefault="00000000">
          <w:pPr>
            <w:pStyle w:val="TOC2"/>
            <w:tabs>
              <w:tab w:val="right" w:leader="dot" w:pos="9350"/>
            </w:tabs>
            <w:rPr>
              <w:rFonts w:eastAsiaTheme="minorEastAsia"/>
              <w:noProof/>
              <w:sz w:val="24"/>
              <w:szCs w:val="24"/>
              <w:lang w:val="en-US"/>
            </w:rPr>
          </w:pPr>
          <w:hyperlink w:anchor="_Toc237516354" w:history="1">
            <w:r w:rsidR="00B61511" w:rsidRPr="00B61511">
              <w:rPr>
                <w:rStyle w:val="Hyperlink"/>
                <w:rFonts w:ascii="Arial" w:hAnsi="Arial" w:cs="Arial"/>
                <w:noProof/>
              </w:rPr>
              <w:t>13.1 Initial Expectations and Confidence</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_Toc237516354 \h </w:instrText>
            </w:r>
            <w:r w:rsidR="00B61511" w:rsidRPr="00B61511">
              <w:rPr>
                <w:noProof/>
                <w:webHidden/>
              </w:rPr>
            </w:r>
            <w:r w:rsidR="00B61511" w:rsidRPr="00B61511">
              <w:rPr>
                <w:noProof/>
                <w:webHidden/>
              </w:rPr>
              <w:fldChar w:fldCharType="separate"/>
            </w:r>
            <w:r w:rsidR="00B61511" w:rsidRPr="00B61511">
              <w:rPr>
                <w:noProof/>
                <w:webHidden/>
              </w:rPr>
              <w:t>21</w:t>
            </w:r>
            <w:r w:rsidR="00B61511" w:rsidRPr="00B61511">
              <w:rPr>
                <w:noProof/>
                <w:webHidden/>
              </w:rPr>
              <w:fldChar w:fldCharType="end"/>
            </w:r>
          </w:hyperlink>
        </w:p>
        <w:p w14:paraId="643FEA0C" w14:textId="14D0CE6D" w:rsidR="00B61511" w:rsidRPr="00B61511" w:rsidRDefault="00000000">
          <w:pPr>
            <w:pStyle w:val="TOC2"/>
            <w:tabs>
              <w:tab w:val="right" w:leader="dot" w:pos="9350"/>
            </w:tabs>
            <w:rPr>
              <w:rFonts w:eastAsiaTheme="minorEastAsia"/>
              <w:noProof/>
              <w:sz w:val="24"/>
              <w:szCs w:val="24"/>
              <w:lang w:val="en-US"/>
            </w:rPr>
          </w:pPr>
          <w:hyperlink w:anchor="_Toc237516355" w:history="1">
            <w:r w:rsidR="00B61511" w:rsidRPr="00B61511">
              <w:rPr>
                <w:rStyle w:val="Hyperlink"/>
                <w:rFonts w:ascii="Arial" w:hAnsi="Arial" w:cs="Arial"/>
                <w:noProof/>
              </w:rPr>
              <w:t>13.2 Challenges Experienced During Research and Writing</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_Toc237516355 \h </w:instrText>
            </w:r>
            <w:r w:rsidR="00B61511" w:rsidRPr="00B61511">
              <w:rPr>
                <w:noProof/>
                <w:webHidden/>
              </w:rPr>
            </w:r>
            <w:r w:rsidR="00B61511" w:rsidRPr="00B61511">
              <w:rPr>
                <w:noProof/>
                <w:webHidden/>
              </w:rPr>
              <w:fldChar w:fldCharType="separate"/>
            </w:r>
            <w:r w:rsidR="00B61511" w:rsidRPr="00B61511">
              <w:rPr>
                <w:noProof/>
                <w:webHidden/>
              </w:rPr>
              <w:t>22</w:t>
            </w:r>
            <w:r w:rsidR="00B61511" w:rsidRPr="00B61511">
              <w:rPr>
                <w:noProof/>
                <w:webHidden/>
              </w:rPr>
              <w:fldChar w:fldCharType="end"/>
            </w:r>
          </w:hyperlink>
        </w:p>
        <w:p w14:paraId="0302B850" w14:textId="791309E1" w:rsidR="00B61511" w:rsidRPr="00B61511" w:rsidRDefault="00000000">
          <w:pPr>
            <w:pStyle w:val="TOC1"/>
            <w:rPr>
              <w:rFonts w:asciiTheme="minorHAnsi" w:eastAsiaTheme="minorEastAsia" w:hAnsiTheme="minorHAnsi" w:cstheme="minorBidi"/>
              <w:b w:val="0"/>
              <w:bCs w:val="0"/>
              <w:sz w:val="24"/>
              <w:szCs w:val="24"/>
              <w:lang w:val="en-US"/>
            </w:rPr>
          </w:pPr>
          <w:hyperlink w:anchor="_Toc237516356" w:history="1">
            <w:r w:rsidR="00B61511" w:rsidRPr="00B61511">
              <w:rPr>
                <w:rStyle w:val="Hyperlink"/>
                <w:b w:val="0"/>
                <w:bCs w:val="0"/>
              </w:rPr>
              <w:t>14. Evaluation</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_Toc237516356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22</w:t>
            </w:r>
            <w:r w:rsidR="00B61511" w:rsidRPr="00B61511">
              <w:rPr>
                <w:b w:val="0"/>
                <w:bCs w:val="0"/>
                <w:webHidden/>
              </w:rPr>
              <w:fldChar w:fldCharType="end"/>
            </w:r>
          </w:hyperlink>
        </w:p>
        <w:p w14:paraId="1A658266" w14:textId="3B1EE703" w:rsidR="00B61511" w:rsidRPr="00B61511" w:rsidRDefault="00000000">
          <w:pPr>
            <w:pStyle w:val="TOC2"/>
            <w:tabs>
              <w:tab w:val="right" w:leader="dot" w:pos="9350"/>
            </w:tabs>
            <w:rPr>
              <w:rFonts w:eastAsiaTheme="minorEastAsia"/>
              <w:noProof/>
              <w:sz w:val="24"/>
              <w:szCs w:val="24"/>
              <w:lang w:val="en-US"/>
            </w:rPr>
          </w:pPr>
          <w:hyperlink w:anchor="_Toc237516357" w:history="1">
            <w:r w:rsidR="00B61511" w:rsidRPr="00B61511">
              <w:rPr>
                <w:rStyle w:val="Hyperlink"/>
                <w:rFonts w:ascii="Arial" w:hAnsi="Arial" w:cs="Arial"/>
                <w:noProof/>
              </w:rPr>
              <w:t>14.1 What Worked Well</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_Toc237516357 \h </w:instrText>
            </w:r>
            <w:r w:rsidR="00B61511" w:rsidRPr="00B61511">
              <w:rPr>
                <w:noProof/>
                <w:webHidden/>
              </w:rPr>
            </w:r>
            <w:r w:rsidR="00B61511" w:rsidRPr="00B61511">
              <w:rPr>
                <w:noProof/>
                <w:webHidden/>
              </w:rPr>
              <w:fldChar w:fldCharType="separate"/>
            </w:r>
            <w:r w:rsidR="00B61511" w:rsidRPr="00B61511">
              <w:rPr>
                <w:noProof/>
                <w:webHidden/>
              </w:rPr>
              <w:t>22</w:t>
            </w:r>
            <w:r w:rsidR="00B61511" w:rsidRPr="00B61511">
              <w:rPr>
                <w:noProof/>
                <w:webHidden/>
              </w:rPr>
              <w:fldChar w:fldCharType="end"/>
            </w:r>
          </w:hyperlink>
        </w:p>
        <w:p w14:paraId="43483269" w14:textId="7A1BF9A9" w:rsidR="00B61511" w:rsidRPr="00B61511" w:rsidRDefault="00000000">
          <w:pPr>
            <w:pStyle w:val="TOC2"/>
            <w:tabs>
              <w:tab w:val="right" w:leader="dot" w:pos="9350"/>
            </w:tabs>
            <w:rPr>
              <w:rFonts w:eastAsiaTheme="minorEastAsia"/>
              <w:noProof/>
              <w:sz w:val="24"/>
              <w:szCs w:val="24"/>
              <w:lang w:val="en-US"/>
            </w:rPr>
          </w:pPr>
          <w:hyperlink w:anchor="_Toc237516358" w:history="1">
            <w:r w:rsidR="00B61511" w:rsidRPr="00B61511">
              <w:rPr>
                <w:rStyle w:val="Hyperlink"/>
                <w:rFonts w:ascii="Arial" w:hAnsi="Arial" w:cs="Arial"/>
                <w:noProof/>
              </w:rPr>
              <w:t>14.2 What Did Not Work Well</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_Toc237516358 \h </w:instrText>
            </w:r>
            <w:r w:rsidR="00B61511" w:rsidRPr="00B61511">
              <w:rPr>
                <w:noProof/>
                <w:webHidden/>
              </w:rPr>
            </w:r>
            <w:r w:rsidR="00B61511" w:rsidRPr="00B61511">
              <w:rPr>
                <w:noProof/>
                <w:webHidden/>
              </w:rPr>
              <w:fldChar w:fldCharType="separate"/>
            </w:r>
            <w:r w:rsidR="00B61511" w:rsidRPr="00B61511">
              <w:rPr>
                <w:noProof/>
                <w:webHidden/>
              </w:rPr>
              <w:t>22</w:t>
            </w:r>
            <w:r w:rsidR="00B61511" w:rsidRPr="00B61511">
              <w:rPr>
                <w:noProof/>
                <w:webHidden/>
              </w:rPr>
              <w:fldChar w:fldCharType="end"/>
            </w:r>
          </w:hyperlink>
        </w:p>
        <w:p w14:paraId="43C2CF32" w14:textId="74479D42" w:rsidR="00B61511" w:rsidRPr="00B61511" w:rsidRDefault="00000000">
          <w:pPr>
            <w:pStyle w:val="TOC2"/>
            <w:tabs>
              <w:tab w:val="right" w:leader="dot" w:pos="9350"/>
            </w:tabs>
            <w:rPr>
              <w:rFonts w:eastAsiaTheme="minorEastAsia"/>
              <w:noProof/>
              <w:sz w:val="24"/>
              <w:szCs w:val="24"/>
              <w:lang w:val="en-US"/>
            </w:rPr>
          </w:pPr>
          <w:hyperlink w:anchor="_Toc237516359" w:history="1">
            <w:r w:rsidR="00B61511" w:rsidRPr="00B61511">
              <w:rPr>
                <w:rStyle w:val="Hyperlink"/>
                <w:rFonts w:ascii="Arial" w:hAnsi="Arial" w:cs="Arial"/>
                <w:noProof/>
              </w:rPr>
              <w:t>14.3 Strengths and Limitations of the Process</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_Toc237516359 \h </w:instrText>
            </w:r>
            <w:r w:rsidR="00B61511" w:rsidRPr="00B61511">
              <w:rPr>
                <w:noProof/>
                <w:webHidden/>
              </w:rPr>
            </w:r>
            <w:r w:rsidR="00B61511" w:rsidRPr="00B61511">
              <w:rPr>
                <w:noProof/>
                <w:webHidden/>
              </w:rPr>
              <w:fldChar w:fldCharType="separate"/>
            </w:r>
            <w:r w:rsidR="00B61511" w:rsidRPr="00B61511">
              <w:rPr>
                <w:noProof/>
                <w:webHidden/>
              </w:rPr>
              <w:t>22</w:t>
            </w:r>
            <w:r w:rsidR="00B61511" w:rsidRPr="00B61511">
              <w:rPr>
                <w:noProof/>
                <w:webHidden/>
              </w:rPr>
              <w:fldChar w:fldCharType="end"/>
            </w:r>
          </w:hyperlink>
        </w:p>
        <w:p w14:paraId="23937DF8" w14:textId="23889041" w:rsidR="00B61511" w:rsidRPr="00B61511" w:rsidRDefault="00000000">
          <w:pPr>
            <w:pStyle w:val="TOC1"/>
            <w:rPr>
              <w:rFonts w:asciiTheme="minorHAnsi" w:eastAsiaTheme="minorEastAsia" w:hAnsiTheme="minorHAnsi" w:cstheme="minorBidi"/>
              <w:b w:val="0"/>
              <w:bCs w:val="0"/>
              <w:sz w:val="24"/>
              <w:szCs w:val="24"/>
              <w:lang w:val="en-US"/>
            </w:rPr>
          </w:pPr>
          <w:hyperlink w:anchor="_Toc237516360" w:history="1">
            <w:r w:rsidR="00B61511" w:rsidRPr="00B61511">
              <w:rPr>
                <w:rStyle w:val="Hyperlink"/>
                <w:b w:val="0"/>
                <w:bCs w:val="0"/>
              </w:rPr>
              <w:t>15. Analysis</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_Toc237516360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22</w:t>
            </w:r>
            <w:r w:rsidR="00B61511" w:rsidRPr="00B61511">
              <w:rPr>
                <w:b w:val="0"/>
                <w:bCs w:val="0"/>
                <w:webHidden/>
              </w:rPr>
              <w:fldChar w:fldCharType="end"/>
            </w:r>
          </w:hyperlink>
        </w:p>
        <w:p w14:paraId="6C544D89" w14:textId="72943DD9" w:rsidR="00B61511" w:rsidRPr="00B61511" w:rsidRDefault="00000000">
          <w:pPr>
            <w:pStyle w:val="TOC2"/>
            <w:tabs>
              <w:tab w:val="right" w:leader="dot" w:pos="9350"/>
            </w:tabs>
            <w:rPr>
              <w:rFonts w:eastAsiaTheme="minorEastAsia"/>
              <w:noProof/>
              <w:sz w:val="24"/>
              <w:szCs w:val="24"/>
              <w:lang w:val="en-US"/>
            </w:rPr>
          </w:pPr>
          <w:hyperlink w:anchor="_Toc237516361" w:history="1">
            <w:r w:rsidR="00B61511" w:rsidRPr="00B61511">
              <w:rPr>
                <w:rStyle w:val="Hyperlink"/>
                <w:rFonts w:ascii="Arial" w:hAnsi="Arial" w:cs="Arial"/>
                <w:noProof/>
              </w:rPr>
              <w:t>15.1 Critical Evaluation of Source Credibility</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_Toc237516361 \h </w:instrText>
            </w:r>
            <w:r w:rsidR="00B61511" w:rsidRPr="00B61511">
              <w:rPr>
                <w:noProof/>
                <w:webHidden/>
              </w:rPr>
            </w:r>
            <w:r w:rsidR="00B61511" w:rsidRPr="00B61511">
              <w:rPr>
                <w:noProof/>
                <w:webHidden/>
              </w:rPr>
              <w:fldChar w:fldCharType="separate"/>
            </w:r>
            <w:r w:rsidR="00B61511" w:rsidRPr="00B61511">
              <w:rPr>
                <w:noProof/>
                <w:webHidden/>
              </w:rPr>
              <w:t>22</w:t>
            </w:r>
            <w:r w:rsidR="00B61511" w:rsidRPr="00B61511">
              <w:rPr>
                <w:noProof/>
                <w:webHidden/>
              </w:rPr>
              <w:fldChar w:fldCharType="end"/>
            </w:r>
          </w:hyperlink>
        </w:p>
        <w:p w14:paraId="792F74AE" w14:textId="256F3047" w:rsidR="00B61511" w:rsidRPr="00B61511" w:rsidRDefault="00000000">
          <w:pPr>
            <w:pStyle w:val="TOC2"/>
            <w:tabs>
              <w:tab w:val="right" w:leader="dot" w:pos="9350"/>
            </w:tabs>
            <w:rPr>
              <w:rFonts w:eastAsiaTheme="minorEastAsia"/>
              <w:noProof/>
              <w:sz w:val="24"/>
              <w:szCs w:val="24"/>
              <w:lang w:val="en-US"/>
            </w:rPr>
          </w:pPr>
          <w:hyperlink w:anchor="_Toc237516362" w:history="1">
            <w:r w:rsidR="00B61511" w:rsidRPr="00B61511">
              <w:rPr>
                <w:rStyle w:val="Hyperlink"/>
                <w:rFonts w:ascii="Arial" w:hAnsi="Arial" w:cs="Arial"/>
                <w:noProof/>
              </w:rPr>
              <w:t>15.2 Comparing International Markets</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_Toc237516362 \h </w:instrText>
            </w:r>
            <w:r w:rsidR="00B61511" w:rsidRPr="00B61511">
              <w:rPr>
                <w:noProof/>
                <w:webHidden/>
              </w:rPr>
            </w:r>
            <w:r w:rsidR="00B61511" w:rsidRPr="00B61511">
              <w:rPr>
                <w:noProof/>
                <w:webHidden/>
              </w:rPr>
              <w:fldChar w:fldCharType="separate"/>
            </w:r>
            <w:r w:rsidR="00B61511" w:rsidRPr="00B61511">
              <w:rPr>
                <w:noProof/>
                <w:webHidden/>
              </w:rPr>
              <w:t>23</w:t>
            </w:r>
            <w:r w:rsidR="00B61511" w:rsidRPr="00B61511">
              <w:rPr>
                <w:noProof/>
                <w:webHidden/>
              </w:rPr>
              <w:fldChar w:fldCharType="end"/>
            </w:r>
          </w:hyperlink>
        </w:p>
        <w:p w14:paraId="2C9C376A" w14:textId="39151BBE" w:rsidR="00B61511" w:rsidRPr="00B61511" w:rsidRDefault="00000000">
          <w:pPr>
            <w:pStyle w:val="TOC2"/>
            <w:tabs>
              <w:tab w:val="right" w:leader="dot" w:pos="9350"/>
            </w:tabs>
            <w:rPr>
              <w:rFonts w:eastAsiaTheme="minorEastAsia"/>
              <w:noProof/>
              <w:sz w:val="24"/>
              <w:szCs w:val="24"/>
              <w:lang w:val="en-US"/>
            </w:rPr>
          </w:pPr>
          <w:hyperlink w:anchor="_Toc237516363" w:history="1">
            <w:r w:rsidR="00B61511" w:rsidRPr="00B61511">
              <w:rPr>
                <w:rStyle w:val="Hyperlink"/>
                <w:rFonts w:ascii="Arial" w:hAnsi="Arial" w:cs="Arial"/>
                <w:noProof/>
              </w:rPr>
              <w:t>15.3 Application and Limitations of Models</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_Toc237516363 \h </w:instrText>
            </w:r>
            <w:r w:rsidR="00B61511" w:rsidRPr="00B61511">
              <w:rPr>
                <w:noProof/>
                <w:webHidden/>
              </w:rPr>
            </w:r>
            <w:r w:rsidR="00B61511" w:rsidRPr="00B61511">
              <w:rPr>
                <w:noProof/>
                <w:webHidden/>
              </w:rPr>
              <w:fldChar w:fldCharType="separate"/>
            </w:r>
            <w:r w:rsidR="00B61511" w:rsidRPr="00B61511">
              <w:rPr>
                <w:noProof/>
                <w:webHidden/>
              </w:rPr>
              <w:t>23</w:t>
            </w:r>
            <w:r w:rsidR="00B61511" w:rsidRPr="00B61511">
              <w:rPr>
                <w:noProof/>
                <w:webHidden/>
              </w:rPr>
              <w:fldChar w:fldCharType="end"/>
            </w:r>
          </w:hyperlink>
        </w:p>
        <w:p w14:paraId="0006AF42" w14:textId="23D8AFBF" w:rsidR="00B61511" w:rsidRPr="00B61511" w:rsidRDefault="00000000">
          <w:pPr>
            <w:pStyle w:val="TOC2"/>
            <w:tabs>
              <w:tab w:val="right" w:leader="dot" w:pos="9350"/>
            </w:tabs>
            <w:rPr>
              <w:rFonts w:eastAsiaTheme="minorEastAsia"/>
              <w:noProof/>
              <w:sz w:val="24"/>
              <w:szCs w:val="24"/>
              <w:lang w:val="en-US"/>
            </w:rPr>
          </w:pPr>
          <w:hyperlink w:anchor="_Toc237516364" w:history="1">
            <w:r w:rsidR="00B61511" w:rsidRPr="00B61511">
              <w:rPr>
                <w:rStyle w:val="Hyperlink"/>
                <w:rFonts w:ascii="Arial" w:hAnsi="Arial" w:cs="Arial"/>
                <w:noProof/>
              </w:rPr>
              <w:t>15.4 Managing Incomplete Information</w:t>
            </w:r>
            <w:r w:rsidR="00B61511" w:rsidRPr="00B61511">
              <w:rPr>
                <w:noProof/>
                <w:webHidden/>
              </w:rPr>
              <w:tab/>
            </w:r>
            <w:r w:rsidR="00B61511" w:rsidRPr="00B61511">
              <w:rPr>
                <w:noProof/>
                <w:webHidden/>
              </w:rPr>
              <w:fldChar w:fldCharType="begin"/>
            </w:r>
            <w:r w:rsidR="00B61511" w:rsidRPr="00B61511">
              <w:rPr>
                <w:noProof/>
                <w:webHidden/>
              </w:rPr>
              <w:instrText xml:space="preserve"> PAGEREF _Toc237516364 \h </w:instrText>
            </w:r>
            <w:r w:rsidR="00B61511" w:rsidRPr="00B61511">
              <w:rPr>
                <w:noProof/>
                <w:webHidden/>
              </w:rPr>
            </w:r>
            <w:r w:rsidR="00B61511" w:rsidRPr="00B61511">
              <w:rPr>
                <w:noProof/>
                <w:webHidden/>
              </w:rPr>
              <w:fldChar w:fldCharType="separate"/>
            </w:r>
            <w:r w:rsidR="00B61511" w:rsidRPr="00B61511">
              <w:rPr>
                <w:noProof/>
                <w:webHidden/>
              </w:rPr>
              <w:t>23</w:t>
            </w:r>
            <w:r w:rsidR="00B61511" w:rsidRPr="00B61511">
              <w:rPr>
                <w:noProof/>
                <w:webHidden/>
              </w:rPr>
              <w:fldChar w:fldCharType="end"/>
            </w:r>
          </w:hyperlink>
        </w:p>
        <w:p w14:paraId="1B7E30F9" w14:textId="4FCA263E" w:rsidR="00B61511" w:rsidRPr="00B61511" w:rsidRDefault="00000000">
          <w:pPr>
            <w:pStyle w:val="TOC1"/>
            <w:rPr>
              <w:rFonts w:asciiTheme="minorHAnsi" w:eastAsiaTheme="minorEastAsia" w:hAnsiTheme="minorHAnsi" w:cstheme="minorBidi"/>
              <w:b w:val="0"/>
              <w:bCs w:val="0"/>
              <w:sz w:val="24"/>
              <w:szCs w:val="24"/>
              <w:lang w:val="en-US"/>
            </w:rPr>
          </w:pPr>
          <w:hyperlink w:anchor="_Toc237516365" w:history="1">
            <w:r w:rsidR="00B61511" w:rsidRPr="00B61511">
              <w:rPr>
                <w:rStyle w:val="Hyperlink"/>
                <w:b w:val="0"/>
                <w:bCs w:val="0"/>
              </w:rPr>
              <w:t>16. Conclusion</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_Toc237516365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23</w:t>
            </w:r>
            <w:r w:rsidR="00B61511" w:rsidRPr="00B61511">
              <w:rPr>
                <w:b w:val="0"/>
                <w:bCs w:val="0"/>
                <w:webHidden/>
              </w:rPr>
              <w:fldChar w:fldCharType="end"/>
            </w:r>
          </w:hyperlink>
        </w:p>
        <w:p w14:paraId="53298A90" w14:textId="7A859CF8" w:rsidR="00B61511" w:rsidRPr="00B61511" w:rsidRDefault="00000000">
          <w:pPr>
            <w:pStyle w:val="TOC1"/>
            <w:rPr>
              <w:rFonts w:asciiTheme="minorHAnsi" w:eastAsiaTheme="minorEastAsia" w:hAnsiTheme="minorHAnsi" w:cstheme="minorBidi"/>
              <w:b w:val="0"/>
              <w:bCs w:val="0"/>
              <w:sz w:val="24"/>
              <w:szCs w:val="24"/>
              <w:lang w:val="en-US"/>
            </w:rPr>
          </w:pPr>
          <w:hyperlink w:anchor="_Toc237516366" w:history="1">
            <w:r w:rsidR="00B61511" w:rsidRPr="00B61511">
              <w:rPr>
                <w:rStyle w:val="Hyperlink"/>
                <w:b w:val="0"/>
                <w:bCs w:val="0"/>
              </w:rPr>
              <w:t>17. Action Plan</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_Toc237516366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23</w:t>
            </w:r>
            <w:r w:rsidR="00B61511" w:rsidRPr="00B61511">
              <w:rPr>
                <w:b w:val="0"/>
                <w:bCs w:val="0"/>
                <w:webHidden/>
              </w:rPr>
              <w:fldChar w:fldCharType="end"/>
            </w:r>
          </w:hyperlink>
        </w:p>
        <w:p w14:paraId="7BB59013" w14:textId="2961B634" w:rsidR="00B61511" w:rsidRPr="00B61511" w:rsidRDefault="00000000">
          <w:pPr>
            <w:pStyle w:val="TOC1"/>
            <w:rPr>
              <w:rFonts w:asciiTheme="minorHAnsi" w:eastAsiaTheme="minorEastAsia" w:hAnsiTheme="minorHAnsi" w:cstheme="minorBidi"/>
              <w:b w:val="0"/>
              <w:bCs w:val="0"/>
              <w:sz w:val="24"/>
              <w:szCs w:val="24"/>
              <w:lang w:val="en-US"/>
            </w:rPr>
          </w:pPr>
          <w:hyperlink w:anchor="_Toc237516367" w:history="1">
            <w:r w:rsidR="00B61511" w:rsidRPr="00B61511">
              <w:rPr>
                <w:rStyle w:val="Hyperlink"/>
                <w:b w:val="0"/>
                <w:bCs w:val="0"/>
                <w:lang w:val="en-US"/>
              </w:rPr>
              <w:t>Reference list</w:t>
            </w:r>
            <w:r w:rsidR="00B61511" w:rsidRPr="00B61511">
              <w:rPr>
                <w:b w:val="0"/>
                <w:bCs w:val="0"/>
                <w:webHidden/>
              </w:rPr>
              <w:tab/>
            </w:r>
            <w:r w:rsidR="00B61511" w:rsidRPr="00B61511">
              <w:rPr>
                <w:b w:val="0"/>
                <w:bCs w:val="0"/>
                <w:webHidden/>
              </w:rPr>
              <w:fldChar w:fldCharType="begin"/>
            </w:r>
            <w:r w:rsidR="00B61511" w:rsidRPr="00B61511">
              <w:rPr>
                <w:b w:val="0"/>
                <w:bCs w:val="0"/>
                <w:webHidden/>
              </w:rPr>
              <w:instrText xml:space="preserve"> PAGEREF _Toc237516367 \h </w:instrText>
            </w:r>
            <w:r w:rsidR="00B61511" w:rsidRPr="00B61511">
              <w:rPr>
                <w:b w:val="0"/>
                <w:bCs w:val="0"/>
                <w:webHidden/>
              </w:rPr>
            </w:r>
            <w:r w:rsidR="00B61511" w:rsidRPr="00B61511">
              <w:rPr>
                <w:b w:val="0"/>
                <w:bCs w:val="0"/>
                <w:webHidden/>
              </w:rPr>
              <w:fldChar w:fldCharType="separate"/>
            </w:r>
            <w:r w:rsidR="00B61511" w:rsidRPr="00B61511">
              <w:rPr>
                <w:b w:val="0"/>
                <w:bCs w:val="0"/>
                <w:webHidden/>
              </w:rPr>
              <w:t>24</w:t>
            </w:r>
            <w:r w:rsidR="00B61511" w:rsidRPr="00B61511">
              <w:rPr>
                <w:b w:val="0"/>
                <w:bCs w:val="0"/>
                <w:webHidden/>
              </w:rPr>
              <w:fldChar w:fldCharType="end"/>
            </w:r>
          </w:hyperlink>
        </w:p>
        <w:p w14:paraId="1C4D7590" w14:textId="7F6519F7" w:rsidR="00DC004C" w:rsidRDefault="00DC004C">
          <w:r w:rsidRPr="00B61511">
            <w:rPr>
              <w:noProof/>
            </w:rPr>
            <w:fldChar w:fldCharType="end"/>
          </w:r>
        </w:p>
      </w:sdtContent>
    </w:sdt>
    <w:p w14:paraId="5372EF38" w14:textId="19E46597" w:rsidR="005818CF" w:rsidRPr="00DC004C" w:rsidRDefault="005818CF" w:rsidP="004079FF">
      <w:pPr>
        <w:jc w:val="both"/>
        <w:rPr>
          <w:rFonts w:ascii="Arial" w:hAnsi="Arial" w:cs="Arial"/>
          <w:sz w:val="24"/>
          <w:szCs w:val="24"/>
        </w:rPr>
      </w:pPr>
      <w:r w:rsidRPr="00DC004C">
        <w:rPr>
          <w:rFonts w:ascii="Arial" w:hAnsi="Arial" w:cs="Arial"/>
          <w:sz w:val="24"/>
          <w:szCs w:val="24"/>
        </w:rPr>
        <w:br w:type="page"/>
      </w:r>
    </w:p>
    <w:p w14:paraId="2291C149" w14:textId="0F6F21A1" w:rsidR="00DC004C" w:rsidRPr="00DC004C" w:rsidRDefault="00DC004C" w:rsidP="00DC004C">
      <w:pPr>
        <w:pStyle w:val="Heading1"/>
        <w:rPr>
          <w:rFonts w:ascii="Arial" w:hAnsi="Arial" w:cs="Arial"/>
          <w:b/>
          <w:bCs/>
          <w:sz w:val="32"/>
          <w:szCs w:val="32"/>
        </w:rPr>
      </w:pPr>
      <w:bookmarkStart w:id="0" w:name="_Toc237516309"/>
      <w:r w:rsidRPr="00DC004C">
        <w:rPr>
          <w:rFonts w:ascii="Arial" w:hAnsi="Arial" w:cs="Arial"/>
          <w:b/>
          <w:bCs/>
          <w:sz w:val="32"/>
          <w:szCs w:val="32"/>
        </w:rPr>
        <w:lastRenderedPageBreak/>
        <w:t>Section 1: International Market Entry Strategy and Marketing Mix Report</w:t>
      </w:r>
      <w:bookmarkEnd w:id="0"/>
    </w:p>
    <w:p w14:paraId="17CE48FF" w14:textId="0EA672E0" w:rsidR="005818CF" w:rsidRPr="00DC004C" w:rsidRDefault="005818CF" w:rsidP="00DC004C">
      <w:pPr>
        <w:pStyle w:val="Heading1"/>
        <w:rPr>
          <w:rFonts w:ascii="Arial" w:hAnsi="Arial" w:cs="Arial"/>
          <w:b/>
          <w:bCs/>
          <w:sz w:val="24"/>
          <w:szCs w:val="24"/>
        </w:rPr>
      </w:pPr>
      <w:bookmarkStart w:id="1" w:name="_Toc237516310"/>
      <w:r w:rsidRPr="00DC004C">
        <w:rPr>
          <w:rFonts w:ascii="Arial" w:hAnsi="Arial" w:cs="Arial"/>
          <w:b/>
          <w:bCs/>
          <w:sz w:val="24"/>
          <w:szCs w:val="24"/>
        </w:rPr>
        <w:t>1. Introduction</w:t>
      </w:r>
      <w:bookmarkEnd w:id="1"/>
    </w:p>
    <w:p w14:paraId="5FD30B11" w14:textId="77777777" w:rsidR="005818CF" w:rsidRPr="00DC004C" w:rsidRDefault="005818CF" w:rsidP="00DC004C">
      <w:pPr>
        <w:pStyle w:val="Heading2"/>
        <w:rPr>
          <w:rFonts w:ascii="Arial" w:hAnsi="Arial" w:cs="Arial"/>
          <w:b/>
          <w:bCs/>
          <w:sz w:val="24"/>
          <w:szCs w:val="24"/>
        </w:rPr>
      </w:pPr>
      <w:bookmarkStart w:id="2" w:name="_Toc237516311"/>
      <w:r w:rsidRPr="00DC004C">
        <w:rPr>
          <w:rFonts w:ascii="Arial" w:hAnsi="Arial" w:cs="Arial"/>
          <w:b/>
          <w:bCs/>
          <w:sz w:val="24"/>
          <w:szCs w:val="24"/>
        </w:rPr>
        <w:t>1.1 Background to Cadbury and Mondelēz International</w:t>
      </w:r>
      <w:bookmarkEnd w:id="2"/>
    </w:p>
    <w:p w14:paraId="5452734A" w14:textId="69F64764" w:rsidR="00912F73" w:rsidRPr="00DC004C" w:rsidRDefault="00912F73" w:rsidP="004079FF">
      <w:pPr>
        <w:jc w:val="both"/>
        <w:rPr>
          <w:rFonts w:ascii="Arial" w:hAnsi="Arial" w:cs="Arial"/>
          <w:sz w:val="24"/>
          <w:szCs w:val="24"/>
        </w:rPr>
      </w:pPr>
      <w:r w:rsidRPr="00DC004C">
        <w:rPr>
          <w:rFonts w:ascii="Arial" w:hAnsi="Arial" w:cs="Arial"/>
          <w:sz w:val="24"/>
          <w:szCs w:val="24"/>
        </w:rPr>
        <w:t xml:space="preserve">Cadbury is a well-established British confectionery brand whose historical identity is strongly associated with that of the Cadbury family, especially the powerful industrial and social-welfare legacy of George Cadbury. It is part of Mondelēz International’s global portfolio and is primarily known for chocolate products including Dairy Milk and other branded confectionery ranges. Cadbury's </w:t>
      </w:r>
      <w:proofErr w:type="gramStart"/>
      <w:r w:rsidRPr="00DC004C">
        <w:rPr>
          <w:rFonts w:ascii="Arial" w:hAnsi="Arial" w:cs="Arial"/>
          <w:sz w:val="24"/>
          <w:szCs w:val="24"/>
        </w:rPr>
        <w:t>long established</w:t>
      </w:r>
      <w:proofErr w:type="gramEnd"/>
      <w:r w:rsidRPr="00DC004C">
        <w:rPr>
          <w:rFonts w:ascii="Arial" w:hAnsi="Arial" w:cs="Arial"/>
          <w:sz w:val="24"/>
          <w:szCs w:val="24"/>
        </w:rPr>
        <w:t xml:space="preserve"> heritage, broad product portfolio and strong consumer awareness provide an appropriate case to examine how an international brand can balance the need for global consistency with local market adaptation</w:t>
      </w:r>
      <w:r w:rsidR="00AC118A" w:rsidRPr="00DC004C">
        <w:rPr>
          <w:rFonts w:ascii="Arial" w:hAnsi="Arial" w:cs="Arial"/>
          <w:sz w:val="24"/>
          <w:szCs w:val="24"/>
        </w:rPr>
        <w:t xml:space="preserve"> (Fincham, 2019)</w:t>
      </w:r>
      <w:r w:rsidRPr="00DC004C">
        <w:rPr>
          <w:rFonts w:ascii="Arial" w:hAnsi="Arial" w:cs="Arial"/>
          <w:sz w:val="24"/>
          <w:szCs w:val="24"/>
        </w:rPr>
        <w:t>.</w:t>
      </w:r>
    </w:p>
    <w:p w14:paraId="7DB54CEB" w14:textId="77777777" w:rsidR="005818CF" w:rsidRPr="00DC004C" w:rsidRDefault="005818CF" w:rsidP="00DC004C">
      <w:pPr>
        <w:pStyle w:val="Heading2"/>
        <w:rPr>
          <w:rFonts w:ascii="Arial" w:hAnsi="Arial" w:cs="Arial"/>
          <w:b/>
          <w:bCs/>
          <w:sz w:val="24"/>
          <w:szCs w:val="24"/>
        </w:rPr>
      </w:pPr>
      <w:bookmarkStart w:id="3" w:name="_Toc237516312"/>
      <w:r w:rsidRPr="00DC004C">
        <w:rPr>
          <w:rFonts w:ascii="Arial" w:hAnsi="Arial" w:cs="Arial"/>
          <w:b/>
          <w:bCs/>
          <w:sz w:val="24"/>
          <w:szCs w:val="24"/>
        </w:rPr>
        <w:t>1.2 Rationale for Selecting the United Kingdom and India</w:t>
      </w:r>
      <w:bookmarkEnd w:id="3"/>
    </w:p>
    <w:p w14:paraId="6B40BA91" w14:textId="7DAD791B" w:rsidR="00912F73" w:rsidRPr="00DC004C" w:rsidRDefault="00912F73" w:rsidP="004079FF">
      <w:pPr>
        <w:jc w:val="both"/>
        <w:rPr>
          <w:rFonts w:ascii="Arial" w:hAnsi="Arial" w:cs="Arial"/>
          <w:sz w:val="24"/>
          <w:szCs w:val="24"/>
        </w:rPr>
      </w:pPr>
      <w:r w:rsidRPr="00DC004C">
        <w:rPr>
          <w:rFonts w:ascii="Arial" w:hAnsi="Arial" w:cs="Arial"/>
          <w:sz w:val="24"/>
          <w:szCs w:val="24"/>
        </w:rPr>
        <w:t xml:space="preserve">The United Kingdom and India are a good comparison as they are very different in terms of international marketing environment. The UK is a historic, culturally embedded market for Cadbury. India is a significant overseas market with unique economic conditions, consumer preferences, retail formats and gifting customs. Research on Indian chocolate consumers has shown that media communications can affect Cadbury Dairy Milk brand </w:t>
      </w:r>
      <w:proofErr w:type="gramStart"/>
      <w:r w:rsidRPr="00DC004C">
        <w:rPr>
          <w:rFonts w:ascii="Arial" w:hAnsi="Arial" w:cs="Arial"/>
          <w:sz w:val="24"/>
          <w:szCs w:val="24"/>
        </w:rPr>
        <w:t>choice .</w:t>
      </w:r>
      <w:proofErr w:type="gramEnd"/>
      <w:r w:rsidRPr="00DC004C">
        <w:rPr>
          <w:rFonts w:ascii="Arial" w:hAnsi="Arial" w:cs="Arial"/>
          <w:sz w:val="24"/>
          <w:szCs w:val="24"/>
        </w:rPr>
        <w:t xml:space="preserve"> This emphasises the need to analyse market specific promotional strategy</w:t>
      </w:r>
      <w:r w:rsidR="00AC118A" w:rsidRPr="00DC004C">
        <w:rPr>
          <w:rFonts w:ascii="Arial" w:hAnsi="Arial" w:cs="Arial"/>
          <w:sz w:val="24"/>
          <w:szCs w:val="24"/>
        </w:rPr>
        <w:t xml:space="preserve"> (Kazemi and Esmaeili, 2010).</w:t>
      </w:r>
    </w:p>
    <w:p w14:paraId="6300AED6" w14:textId="77777777" w:rsidR="005818CF" w:rsidRPr="00DC004C" w:rsidRDefault="005818CF" w:rsidP="00DC004C">
      <w:pPr>
        <w:pStyle w:val="Heading2"/>
        <w:rPr>
          <w:rFonts w:ascii="Arial" w:hAnsi="Arial" w:cs="Arial"/>
          <w:b/>
          <w:bCs/>
          <w:sz w:val="24"/>
          <w:szCs w:val="24"/>
        </w:rPr>
      </w:pPr>
      <w:bookmarkStart w:id="4" w:name="_Toc237516313"/>
      <w:r w:rsidRPr="00DC004C">
        <w:rPr>
          <w:rFonts w:ascii="Arial" w:hAnsi="Arial" w:cs="Arial"/>
          <w:b/>
          <w:bCs/>
          <w:sz w:val="24"/>
          <w:szCs w:val="24"/>
        </w:rPr>
        <w:t>1.3 Aim and Objectives of the Report</w:t>
      </w:r>
      <w:bookmarkEnd w:id="4"/>
    </w:p>
    <w:p w14:paraId="707775F9" w14:textId="77777777" w:rsidR="005818CF" w:rsidRPr="00DC004C" w:rsidRDefault="005818CF" w:rsidP="004079FF">
      <w:pPr>
        <w:jc w:val="both"/>
        <w:rPr>
          <w:rFonts w:ascii="Arial" w:hAnsi="Arial" w:cs="Arial"/>
          <w:sz w:val="24"/>
          <w:szCs w:val="24"/>
        </w:rPr>
      </w:pPr>
      <w:r w:rsidRPr="00DC004C">
        <w:rPr>
          <w:rFonts w:ascii="Arial" w:hAnsi="Arial" w:cs="Arial"/>
          <w:sz w:val="24"/>
          <w:szCs w:val="24"/>
        </w:rPr>
        <w:t>The aim of this report is to critically compare Cadbury’s international marketing strategy in the United Kingdom and India.</w:t>
      </w:r>
    </w:p>
    <w:p w14:paraId="31F5B8C9" w14:textId="77777777" w:rsidR="005818CF" w:rsidRPr="00DC004C" w:rsidRDefault="005818CF" w:rsidP="004079FF">
      <w:pPr>
        <w:jc w:val="both"/>
        <w:rPr>
          <w:rFonts w:ascii="Arial" w:hAnsi="Arial" w:cs="Arial"/>
          <w:sz w:val="24"/>
          <w:szCs w:val="24"/>
        </w:rPr>
      </w:pPr>
      <w:r w:rsidRPr="00DC004C">
        <w:rPr>
          <w:rFonts w:ascii="Arial" w:hAnsi="Arial" w:cs="Arial"/>
          <w:sz w:val="24"/>
          <w:szCs w:val="24"/>
        </w:rPr>
        <w:t>The objectives are:</w:t>
      </w:r>
    </w:p>
    <w:p w14:paraId="1F4FD9C9" w14:textId="77777777" w:rsidR="00912F73" w:rsidRPr="00DC004C" w:rsidRDefault="00912F73" w:rsidP="004079FF">
      <w:pPr>
        <w:pStyle w:val="ListParagraph"/>
        <w:numPr>
          <w:ilvl w:val="0"/>
          <w:numId w:val="2"/>
        </w:numPr>
        <w:spacing w:after="0" w:line="240" w:lineRule="auto"/>
        <w:jc w:val="both"/>
        <w:rPr>
          <w:rFonts w:ascii="Arial" w:eastAsia="Times New Roman" w:hAnsi="Arial" w:cs="Arial"/>
          <w:kern w:val="0"/>
          <w:sz w:val="24"/>
          <w:szCs w:val="24"/>
          <w14:ligatures w14:val="none"/>
        </w:rPr>
      </w:pPr>
      <w:r w:rsidRPr="00DC004C">
        <w:rPr>
          <w:rFonts w:ascii="Arial" w:eastAsia="Times New Roman" w:hAnsi="Arial" w:cs="Arial"/>
          <w:kern w:val="0"/>
          <w:sz w:val="24"/>
          <w:szCs w:val="24"/>
          <w14:ligatures w14:val="none"/>
        </w:rPr>
        <w:t>Analyse the macro-environmental and cultural factors influencing Cadbury’s operations in the UK and India using the PESTLE and Hofstede frameworks.</w:t>
      </w:r>
    </w:p>
    <w:p w14:paraId="410C0B93" w14:textId="77777777" w:rsidR="00912F73" w:rsidRPr="00DC004C" w:rsidRDefault="00912F73" w:rsidP="004079FF">
      <w:pPr>
        <w:pStyle w:val="ListParagraph"/>
        <w:numPr>
          <w:ilvl w:val="0"/>
          <w:numId w:val="2"/>
        </w:numPr>
        <w:spacing w:after="0" w:line="240" w:lineRule="auto"/>
        <w:jc w:val="both"/>
        <w:rPr>
          <w:rFonts w:ascii="Arial" w:eastAsia="Times New Roman" w:hAnsi="Arial" w:cs="Arial"/>
          <w:kern w:val="0"/>
          <w:sz w:val="24"/>
          <w:szCs w:val="24"/>
          <w14:ligatures w14:val="none"/>
        </w:rPr>
      </w:pPr>
      <w:r w:rsidRPr="00DC004C">
        <w:rPr>
          <w:rFonts w:ascii="Arial" w:eastAsia="Times New Roman" w:hAnsi="Arial" w:cs="Arial"/>
          <w:kern w:val="0"/>
          <w:sz w:val="24"/>
          <w:szCs w:val="24"/>
          <w14:ligatures w14:val="none"/>
        </w:rPr>
        <w:t>Critically evaluate Cadbury’s segmentation, targeting, positioning and extended marketing mix (7Ps) strategies in both markets.</w:t>
      </w:r>
    </w:p>
    <w:p w14:paraId="27443045" w14:textId="2183316E" w:rsidR="00912F73" w:rsidRPr="00DC004C" w:rsidRDefault="00912F73" w:rsidP="004079FF">
      <w:pPr>
        <w:pStyle w:val="ListParagraph"/>
        <w:numPr>
          <w:ilvl w:val="0"/>
          <w:numId w:val="2"/>
        </w:numPr>
        <w:spacing w:after="0" w:line="240" w:lineRule="auto"/>
        <w:jc w:val="both"/>
        <w:rPr>
          <w:rFonts w:ascii="Arial" w:eastAsia="Times New Roman" w:hAnsi="Arial" w:cs="Arial"/>
          <w:kern w:val="0"/>
          <w:sz w:val="24"/>
          <w:szCs w:val="24"/>
          <w14:ligatures w14:val="none"/>
        </w:rPr>
      </w:pPr>
      <w:r w:rsidRPr="00DC004C">
        <w:rPr>
          <w:rFonts w:ascii="Arial" w:eastAsia="Times New Roman" w:hAnsi="Arial" w:cs="Arial"/>
          <w:kern w:val="0"/>
          <w:sz w:val="24"/>
          <w:szCs w:val="24"/>
          <w14:ligatures w14:val="none"/>
        </w:rPr>
        <w:t>To appraise Cadbury’s market entry strategy and ethical marketing issues in India before coming up with recommendations for its future international marketing strategy.</w:t>
      </w:r>
    </w:p>
    <w:p w14:paraId="7CD96362" w14:textId="77777777" w:rsidR="00912F73" w:rsidRPr="00DC004C" w:rsidRDefault="00912F73" w:rsidP="004079FF">
      <w:pPr>
        <w:jc w:val="both"/>
        <w:rPr>
          <w:rFonts w:ascii="Arial" w:hAnsi="Arial" w:cs="Arial"/>
          <w:b/>
          <w:bCs/>
          <w:sz w:val="24"/>
          <w:szCs w:val="24"/>
        </w:rPr>
      </w:pPr>
    </w:p>
    <w:p w14:paraId="3626A257" w14:textId="7EBEE80E" w:rsidR="005818CF" w:rsidRPr="00DC004C" w:rsidRDefault="005818CF" w:rsidP="00DC004C">
      <w:pPr>
        <w:pStyle w:val="Heading2"/>
        <w:rPr>
          <w:rFonts w:ascii="Arial" w:hAnsi="Arial" w:cs="Arial"/>
          <w:b/>
          <w:bCs/>
          <w:sz w:val="24"/>
          <w:szCs w:val="24"/>
        </w:rPr>
      </w:pPr>
      <w:bookmarkStart w:id="5" w:name="_Toc237516314"/>
      <w:r w:rsidRPr="00DC004C">
        <w:rPr>
          <w:rFonts w:ascii="Arial" w:hAnsi="Arial" w:cs="Arial"/>
          <w:b/>
          <w:bCs/>
          <w:sz w:val="24"/>
          <w:szCs w:val="24"/>
        </w:rPr>
        <w:t>1.4 Scope, Frameworks and Structure</w:t>
      </w:r>
      <w:bookmarkEnd w:id="5"/>
    </w:p>
    <w:p w14:paraId="1324147E" w14:textId="77777777" w:rsidR="00912F73" w:rsidRPr="00DC004C" w:rsidRDefault="00912F73" w:rsidP="004079FF">
      <w:pPr>
        <w:jc w:val="both"/>
        <w:rPr>
          <w:rFonts w:ascii="Arial" w:hAnsi="Arial" w:cs="Arial"/>
          <w:sz w:val="24"/>
          <w:szCs w:val="24"/>
        </w:rPr>
      </w:pPr>
      <w:r w:rsidRPr="00DC004C">
        <w:rPr>
          <w:rFonts w:ascii="Arial" w:hAnsi="Arial" w:cs="Arial"/>
          <w:sz w:val="24"/>
          <w:szCs w:val="24"/>
        </w:rPr>
        <w:t>The report applies PESTLE, Hofstede’s cultural dimensions, STP, the extended 7Ps, market-entry theory, and ethical marketing concepts. It analyses the effect of cultural, economic, regulatory, technological and social differences on the strategic decisions taken by Cadbury in each market.</w:t>
      </w:r>
    </w:p>
    <w:p w14:paraId="4C3C64FB" w14:textId="3EEACF99" w:rsidR="005818CF" w:rsidRPr="00DC004C" w:rsidRDefault="005818CF" w:rsidP="004079FF">
      <w:pPr>
        <w:jc w:val="both"/>
        <w:rPr>
          <w:rFonts w:ascii="Arial" w:hAnsi="Arial" w:cs="Arial"/>
          <w:sz w:val="24"/>
          <w:szCs w:val="24"/>
        </w:rPr>
      </w:pPr>
    </w:p>
    <w:p w14:paraId="65845C45" w14:textId="77777777" w:rsidR="005818CF" w:rsidRPr="00DC004C" w:rsidRDefault="005818CF" w:rsidP="00DC004C">
      <w:pPr>
        <w:pStyle w:val="Heading1"/>
        <w:rPr>
          <w:rFonts w:ascii="Arial" w:hAnsi="Arial" w:cs="Arial"/>
          <w:b/>
          <w:bCs/>
          <w:sz w:val="24"/>
          <w:szCs w:val="24"/>
        </w:rPr>
      </w:pPr>
      <w:bookmarkStart w:id="6" w:name="_Toc237516315"/>
      <w:r w:rsidRPr="00DC004C">
        <w:rPr>
          <w:rFonts w:ascii="Arial" w:hAnsi="Arial" w:cs="Arial"/>
          <w:b/>
          <w:bCs/>
          <w:sz w:val="24"/>
          <w:szCs w:val="24"/>
        </w:rPr>
        <w:t>2. Cadbury and Market Context</w:t>
      </w:r>
      <w:bookmarkEnd w:id="6"/>
    </w:p>
    <w:p w14:paraId="21D4B87B" w14:textId="77777777" w:rsidR="005818CF" w:rsidRPr="00DC004C" w:rsidRDefault="005818CF" w:rsidP="00DC004C">
      <w:pPr>
        <w:pStyle w:val="Heading2"/>
        <w:rPr>
          <w:rFonts w:ascii="Arial" w:hAnsi="Arial" w:cs="Arial"/>
          <w:b/>
          <w:bCs/>
          <w:sz w:val="24"/>
          <w:szCs w:val="24"/>
        </w:rPr>
      </w:pPr>
      <w:bookmarkStart w:id="7" w:name="_Toc237516316"/>
      <w:r w:rsidRPr="00DC004C">
        <w:rPr>
          <w:rFonts w:ascii="Arial" w:hAnsi="Arial" w:cs="Arial"/>
          <w:b/>
          <w:bCs/>
          <w:sz w:val="24"/>
          <w:szCs w:val="24"/>
        </w:rPr>
        <w:t>2.1 Cadbury’s International Brand and Product Portfolio</w:t>
      </w:r>
      <w:bookmarkEnd w:id="7"/>
    </w:p>
    <w:p w14:paraId="2E326190" w14:textId="77777777" w:rsidR="00912F73" w:rsidRPr="00DC004C" w:rsidRDefault="00912F73" w:rsidP="004079FF">
      <w:pPr>
        <w:jc w:val="both"/>
        <w:rPr>
          <w:rFonts w:ascii="Arial" w:hAnsi="Arial" w:cs="Arial"/>
          <w:sz w:val="24"/>
          <w:szCs w:val="24"/>
        </w:rPr>
      </w:pPr>
      <w:r w:rsidRPr="00DC004C">
        <w:rPr>
          <w:rFonts w:ascii="Arial" w:hAnsi="Arial" w:cs="Arial"/>
          <w:sz w:val="24"/>
          <w:szCs w:val="24"/>
        </w:rPr>
        <w:t>Cadbury is one of the world’s most recognisable confectionery brands and is part of Mondelēz International’s global snacks portfolio. Its portfolio includes standard chocolate bars, sharing products, boxed chocolates, seasonal products and gifting formats. This width allows the brand to cater for different consumption occasions, from cheap personal treats to luxury gifts. Cadbury has developed a global strategy of maintaining brand cues, especially its distinctive purple packaging and Dairy Milk branding, but changing the products and communication to suit local consumer needs.</w:t>
      </w:r>
    </w:p>
    <w:p w14:paraId="7BEB3ECA" w14:textId="77777777" w:rsidR="005818CF" w:rsidRPr="00DC004C" w:rsidRDefault="005818CF" w:rsidP="00DC004C">
      <w:pPr>
        <w:pStyle w:val="Heading2"/>
        <w:rPr>
          <w:rFonts w:ascii="Arial" w:hAnsi="Arial" w:cs="Arial"/>
          <w:b/>
          <w:bCs/>
          <w:sz w:val="24"/>
          <w:szCs w:val="24"/>
        </w:rPr>
      </w:pPr>
      <w:bookmarkStart w:id="8" w:name="_Toc237516317"/>
      <w:r w:rsidRPr="00DC004C">
        <w:rPr>
          <w:rFonts w:ascii="Arial" w:hAnsi="Arial" w:cs="Arial"/>
          <w:b/>
          <w:bCs/>
          <w:sz w:val="24"/>
          <w:szCs w:val="24"/>
        </w:rPr>
        <w:t>2.2 Cadbury’s Position in the United Kingdom</w:t>
      </w:r>
      <w:bookmarkEnd w:id="8"/>
    </w:p>
    <w:p w14:paraId="11632D89" w14:textId="75FAD80E" w:rsidR="00912F73" w:rsidRPr="00DC004C" w:rsidRDefault="00912F73" w:rsidP="004079FF">
      <w:pPr>
        <w:jc w:val="both"/>
        <w:rPr>
          <w:rFonts w:ascii="Arial" w:hAnsi="Arial" w:cs="Arial"/>
          <w:sz w:val="24"/>
          <w:szCs w:val="24"/>
        </w:rPr>
      </w:pPr>
      <w:r w:rsidRPr="00DC004C">
        <w:rPr>
          <w:rFonts w:ascii="Arial" w:hAnsi="Arial" w:cs="Arial"/>
          <w:sz w:val="24"/>
          <w:szCs w:val="24"/>
        </w:rPr>
        <w:t>In the UK, Cadbury benefits from strong heritage, widespread retail availability and high consumer familiarity. The brand is positioned as a trusted and accessible chocolate choice for everyday enjoyment, sharing and seasonal gifting. Its presence in supermarkets, convenience retailers, online grocery platforms and seasonal displays provides broad market coverage. Nevertheless, its UK strategy faces pressure from health-conscious consumers, changing expectations around sustainable packaging and cocoa sourcing, and competition from both premium and value-oriented confectionery brands.</w:t>
      </w:r>
      <w:r w:rsidR="00AC118A" w:rsidRPr="00DC004C">
        <w:rPr>
          <w:rFonts w:ascii="Arial" w:hAnsi="Arial" w:cs="Arial"/>
          <w:sz w:val="24"/>
          <w:szCs w:val="24"/>
        </w:rPr>
        <w:t xml:space="preserve"> (Kazemi and Esmaeili, 2010)</w:t>
      </w:r>
    </w:p>
    <w:p w14:paraId="224237D8" w14:textId="77777777" w:rsidR="005818CF" w:rsidRPr="00DC004C" w:rsidRDefault="005818CF" w:rsidP="00DC004C">
      <w:pPr>
        <w:pStyle w:val="Heading2"/>
        <w:rPr>
          <w:rFonts w:ascii="Arial" w:hAnsi="Arial" w:cs="Arial"/>
          <w:b/>
          <w:bCs/>
          <w:sz w:val="24"/>
          <w:szCs w:val="24"/>
        </w:rPr>
      </w:pPr>
      <w:bookmarkStart w:id="9" w:name="_Toc237516318"/>
      <w:r w:rsidRPr="00DC004C">
        <w:rPr>
          <w:rFonts w:ascii="Arial" w:hAnsi="Arial" w:cs="Arial"/>
          <w:b/>
          <w:bCs/>
          <w:sz w:val="24"/>
          <w:szCs w:val="24"/>
        </w:rPr>
        <w:t>2.3 Cadbury’s Position in India</w:t>
      </w:r>
      <w:bookmarkEnd w:id="9"/>
    </w:p>
    <w:p w14:paraId="5E215EA9" w14:textId="2C6FA0D8" w:rsidR="00912F73" w:rsidRPr="00DC004C" w:rsidRDefault="00912F73" w:rsidP="004079FF">
      <w:pPr>
        <w:jc w:val="both"/>
        <w:rPr>
          <w:rFonts w:ascii="Arial" w:hAnsi="Arial" w:cs="Arial"/>
          <w:sz w:val="24"/>
          <w:szCs w:val="24"/>
        </w:rPr>
      </w:pPr>
      <w:r w:rsidRPr="00DC004C">
        <w:rPr>
          <w:rFonts w:ascii="Arial" w:hAnsi="Arial" w:cs="Arial"/>
          <w:sz w:val="24"/>
          <w:szCs w:val="24"/>
        </w:rPr>
        <w:t>India is a strategically important market because of its large population, expanding urban middle class and strong gifting and celebration culture. Cadbury is strongly associated with chocolate eating, emotional occasions and sharing. Earlier consumer research found that Cadbury Dairy Milk was preferred by 37.7% of surveyed Indian chocolate consumers, while advertising was an important driver of brand preference, illustrating the importance of communication in this market (Nagar, 2010). Income disparities and price sensitivity are also a big deal in India, so Cadbury’s strategy for India has to include accessible packs and a range of price points.</w:t>
      </w:r>
      <w:r w:rsidR="00AC118A" w:rsidRPr="00DC004C">
        <w:rPr>
          <w:rFonts w:ascii="Arial" w:hAnsi="Arial" w:cs="Arial"/>
          <w:sz w:val="24"/>
          <w:szCs w:val="24"/>
        </w:rPr>
        <w:t xml:space="preserve"> (Kazemi and Esmaeili, 2010)</w:t>
      </w:r>
    </w:p>
    <w:p w14:paraId="7D01CDD5" w14:textId="77777777" w:rsidR="005818CF" w:rsidRPr="00DC004C" w:rsidRDefault="005818CF" w:rsidP="00DC004C">
      <w:pPr>
        <w:pStyle w:val="Heading2"/>
        <w:rPr>
          <w:rFonts w:ascii="Arial" w:hAnsi="Arial" w:cs="Arial"/>
          <w:b/>
          <w:bCs/>
          <w:sz w:val="24"/>
          <w:szCs w:val="24"/>
        </w:rPr>
      </w:pPr>
      <w:bookmarkStart w:id="10" w:name="_Toc237516319"/>
      <w:r w:rsidRPr="00DC004C">
        <w:rPr>
          <w:rFonts w:ascii="Arial" w:hAnsi="Arial" w:cs="Arial"/>
          <w:b/>
          <w:bCs/>
          <w:sz w:val="24"/>
          <w:szCs w:val="24"/>
        </w:rPr>
        <w:t>2.4 Key Competitors and Current Challenges</w:t>
      </w:r>
      <w:bookmarkEnd w:id="10"/>
    </w:p>
    <w:p w14:paraId="536585FF" w14:textId="77777777" w:rsidR="00912F73" w:rsidRPr="00DC004C" w:rsidRDefault="00912F73" w:rsidP="004079FF">
      <w:pPr>
        <w:jc w:val="both"/>
        <w:rPr>
          <w:rFonts w:ascii="Arial" w:hAnsi="Arial" w:cs="Arial"/>
          <w:sz w:val="24"/>
          <w:szCs w:val="24"/>
        </w:rPr>
      </w:pPr>
      <w:r w:rsidRPr="00DC004C">
        <w:rPr>
          <w:rFonts w:ascii="Arial" w:hAnsi="Arial" w:cs="Arial"/>
          <w:sz w:val="24"/>
          <w:szCs w:val="24"/>
        </w:rPr>
        <w:t>Cadbury competes with multinational companies like Nestlé, Mars and Ferrero, as well as local and regional confectionery producers. Key challenges across both markets include cocoa-cost volatility, inflation, health concerns around sugar, sustainability expectations, intense promotional competition, and the need to ensure product availability thru increasingly complex retail and digital channels.</w:t>
      </w:r>
    </w:p>
    <w:p w14:paraId="1CA046B9" w14:textId="0BB46EE7" w:rsidR="005818CF" w:rsidRPr="00DC004C" w:rsidRDefault="005818CF" w:rsidP="004079FF">
      <w:pPr>
        <w:jc w:val="both"/>
        <w:rPr>
          <w:rFonts w:ascii="Arial" w:hAnsi="Arial" w:cs="Arial"/>
          <w:sz w:val="24"/>
          <w:szCs w:val="24"/>
        </w:rPr>
      </w:pPr>
      <w:r w:rsidRPr="00DC004C">
        <w:rPr>
          <w:rFonts w:ascii="Arial" w:hAnsi="Arial" w:cs="Arial"/>
          <w:sz w:val="24"/>
          <w:szCs w:val="24"/>
        </w:rPr>
        <w:br w:type="page"/>
      </w:r>
    </w:p>
    <w:p w14:paraId="003E470E" w14:textId="77777777" w:rsidR="005818CF" w:rsidRPr="00DC004C" w:rsidRDefault="005818CF" w:rsidP="00DC004C">
      <w:pPr>
        <w:pStyle w:val="Heading1"/>
        <w:rPr>
          <w:rFonts w:ascii="Arial" w:hAnsi="Arial" w:cs="Arial"/>
          <w:b/>
          <w:bCs/>
          <w:sz w:val="24"/>
          <w:szCs w:val="24"/>
        </w:rPr>
      </w:pPr>
      <w:bookmarkStart w:id="11" w:name="_Toc237516320"/>
      <w:r w:rsidRPr="00DC004C">
        <w:rPr>
          <w:rFonts w:ascii="Arial" w:hAnsi="Arial" w:cs="Arial"/>
          <w:b/>
          <w:bCs/>
          <w:sz w:val="24"/>
          <w:szCs w:val="24"/>
        </w:rPr>
        <w:lastRenderedPageBreak/>
        <w:t>3. Comparative Macro-Environmental Analysis</w:t>
      </w:r>
      <w:bookmarkEnd w:id="11"/>
    </w:p>
    <w:p w14:paraId="7038A618" w14:textId="77777777" w:rsidR="005818CF" w:rsidRPr="00DC004C" w:rsidRDefault="005818CF" w:rsidP="00DC004C">
      <w:pPr>
        <w:pStyle w:val="Heading2"/>
        <w:rPr>
          <w:rFonts w:ascii="Arial" w:hAnsi="Arial" w:cs="Arial"/>
          <w:b/>
          <w:bCs/>
          <w:sz w:val="24"/>
          <w:szCs w:val="24"/>
        </w:rPr>
      </w:pPr>
      <w:bookmarkStart w:id="12" w:name="_Toc237516321"/>
      <w:r w:rsidRPr="00DC004C">
        <w:rPr>
          <w:rFonts w:ascii="Arial" w:hAnsi="Arial" w:cs="Arial"/>
          <w:b/>
          <w:bCs/>
          <w:sz w:val="24"/>
          <w:szCs w:val="24"/>
        </w:rPr>
        <w:t>3.1 Introduction to the PESTLE Framework</w:t>
      </w:r>
      <w:bookmarkEnd w:id="12"/>
    </w:p>
    <w:p w14:paraId="559883C1" w14:textId="77777777" w:rsidR="00912F73" w:rsidRPr="00DC004C" w:rsidRDefault="00912F73" w:rsidP="004079FF">
      <w:pPr>
        <w:jc w:val="both"/>
        <w:rPr>
          <w:rFonts w:ascii="Arial" w:hAnsi="Arial" w:cs="Arial"/>
          <w:sz w:val="24"/>
          <w:szCs w:val="24"/>
        </w:rPr>
      </w:pPr>
      <w:r w:rsidRPr="00DC004C">
        <w:rPr>
          <w:rFonts w:ascii="Arial" w:hAnsi="Arial" w:cs="Arial"/>
          <w:sz w:val="24"/>
          <w:szCs w:val="24"/>
        </w:rPr>
        <w:t>PESTLE is a macro-environmental framework that analyses the political, economic, social, technological, legal and environmental forces impacting an organization. It is useful for Cadbury because chocolate consumption and marketing are influenced not just by consumer tastes but also by regulation, purchasing power, retail infrastructure, digital development and sustainability expectations. The comparison of the UK and India identifies where Cadbury can standardise its global brand and where local adaptation is required.</w:t>
      </w:r>
    </w:p>
    <w:p w14:paraId="42738B26" w14:textId="77777777" w:rsidR="00DE7756" w:rsidRDefault="00DE7756" w:rsidP="00DC004C">
      <w:pPr>
        <w:pStyle w:val="Heading2"/>
        <w:rPr>
          <w:rFonts w:ascii="Arial" w:hAnsi="Arial" w:cs="Arial"/>
          <w:b/>
          <w:bCs/>
          <w:sz w:val="24"/>
          <w:szCs w:val="24"/>
        </w:rPr>
      </w:pPr>
      <w:bookmarkStart w:id="13" w:name="_Toc237516322"/>
    </w:p>
    <w:p w14:paraId="152CFAA9" w14:textId="60980137" w:rsidR="00912F73" w:rsidRPr="00DC004C" w:rsidRDefault="008D483F" w:rsidP="00DC004C">
      <w:pPr>
        <w:pStyle w:val="Heading2"/>
        <w:rPr>
          <w:rFonts w:ascii="Arial" w:hAnsi="Arial" w:cs="Arial"/>
          <w:b/>
          <w:bCs/>
          <w:sz w:val="24"/>
          <w:szCs w:val="24"/>
        </w:rPr>
      </w:pPr>
      <w:r w:rsidRPr="00DC004C">
        <w:rPr>
          <w:rFonts w:ascii="Arial" w:hAnsi="Arial" w:cs="Arial"/>
          <w:b/>
          <w:bCs/>
          <w:sz w:val="24"/>
          <w:szCs w:val="24"/>
        </w:rPr>
        <w:t>3.2 PESTLE ANALYSIS</w:t>
      </w:r>
      <w:bookmarkEnd w:id="13"/>
      <w:r w:rsidRPr="00DC004C">
        <w:rPr>
          <w:rFonts w:ascii="Arial" w:hAnsi="Arial" w:cs="Arial"/>
          <w:b/>
          <w:bCs/>
          <w:sz w:val="24"/>
          <w:szCs w:val="24"/>
        </w:rPr>
        <w:t xml:space="preserve"> </w:t>
      </w:r>
    </w:p>
    <w:tbl>
      <w:tblPr>
        <w:tblStyle w:val="TableGrid"/>
        <w:tblW w:w="11483" w:type="dxa"/>
        <w:tblInd w:w="-998" w:type="dxa"/>
        <w:tblLook w:val="04A0" w:firstRow="1" w:lastRow="0" w:firstColumn="1" w:lastColumn="0" w:noHBand="0" w:noVBand="1"/>
      </w:tblPr>
      <w:tblGrid>
        <w:gridCol w:w="1990"/>
        <w:gridCol w:w="3114"/>
        <w:gridCol w:w="2977"/>
        <w:gridCol w:w="3402"/>
      </w:tblGrid>
      <w:tr w:rsidR="00AC118A" w:rsidRPr="00DC004C" w14:paraId="3FCE955A" w14:textId="77777777" w:rsidTr="00AC118A">
        <w:tc>
          <w:tcPr>
            <w:tcW w:w="1990" w:type="dxa"/>
            <w:hideMark/>
          </w:tcPr>
          <w:p w14:paraId="15D6AD35" w14:textId="77777777" w:rsidR="00AC118A" w:rsidRPr="00DC004C" w:rsidRDefault="00AC118A" w:rsidP="00AC118A">
            <w:pPr>
              <w:spacing w:after="160" w:line="259" w:lineRule="auto"/>
              <w:jc w:val="both"/>
              <w:rPr>
                <w:rFonts w:ascii="Arial" w:hAnsi="Arial" w:cs="Arial"/>
                <w:b/>
                <w:bCs/>
                <w:sz w:val="24"/>
                <w:szCs w:val="24"/>
                <w:lang w:val="en-US"/>
              </w:rPr>
            </w:pPr>
            <w:r w:rsidRPr="00DC004C">
              <w:rPr>
                <w:rFonts w:ascii="Arial" w:hAnsi="Arial" w:cs="Arial"/>
                <w:b/>
                <w:bCs/>
                <w:sz w:val="24"/>
                <w:szCs w:val="24"/>
                <w:lang w:val="en-US"/>
              </w:rPr>
              <w:t>PESTLE Factor</w:t>
            </w:r>
          </w:p>
        </w:tc>
        <w:tc>
          <w:tcPr>
            <w:tcW w:w="3114" w:type="dxa"/>
            <w:hideMark/>
          </w:tcPr>
          <w:p w14:paraId="67BF874F" w14:textId="77777777" w:rsidR="00AC118A" w:rsidRPr="00DC004C" w:rsidRDefault="00AC118A" w:rsidP="00AC118A">
            <w:pPr>
              <w:spacing w:after="160" w:line="259" w:lineRule="auto"/>
              <w:jc w:val="both"/>
              <w:rPr>
                <w:rFonts w:ascii="Arial" w:hAnsi="Arial" w:cs="Arial"/>
                <w:b/>
                <w:bCs/>
                <w:sz w:val="24"/>
                <w:szCs w:val="24"/>
                <w:lang w:val="en-US"/>
              </w:rPr>
            </w:pPr>
            <w:r w:rsidRPr="00DC004C">
              <w:rPr>
                <w:rFonts w:ascii="Arial" w:hAnsi="Arial" w:cs="Arial"/>
                <w:b/>
                <w:bCs/>
                <w:sz w:val="24"/>
                <w:szCs w:val="24"/>
                <w:lang w:val="en-US"/>
              </w:rPr>
              <w:t>United Kingdom</w:t>
            </w:r>
          </w:p>
        </w:tc>
        <w:tc>
          <w:tcPr>
            <w:tcW w:w="2977" w:type="dxa"/>
            <w:hideMark/>
          </w:tcPr>
          <w:p w14:paraId="39B6D414" w14:textId="77777777" w:rsidR="00AC118A" w:rsidRPr="00DC004C" w:rsidRDefault="00AC118A" w:rsidP="00AC118A">
            <w:pPr>
              <w:spacing w:after="160" w:line="259" w:lineRule="auto"/>
              <w:jc w:val="both"/>
              <w:rPr>
                <w:rFonts w:ascii="Arial" w:hAnsi="Arial" w:cs="Arial"/>
                <w:b/>
                <w:bCs/>
                <w:sz w:val="24"/>
                <w:szCs w:val="24"/>
                <w:lang w:val="en-US"/>
              </w:rPr>
            </w:pPr>
            <w:r w:rsidRPr="00DC004C">
              <w:rPr>
                <w:rFonts w:ascii="Arial" w:hAnsi="Arial" w:cs="Arial"/>
                <w:b/>
                <w:bCs/>
                <w:sz w:val="24"/>
                <w:szCs w:val="24"/>
                <w:lang w:val="en-US"/>
              </w:rPr>
              <w:t>India</w:t>
            </w:r>
          </w:p>
        </w:tc>
        <w:tc>
          <w:tcPr>
            <w:tcW w:w="3402" w:type="dxa"/>
            <w:hideMark/>
          </w:tcPr>
          <w:p w14:paraId="35F2D47D" w14:textId="77777777" w:rsidR="00AC118A" w:rsidRPr="00DC004C" w:rsidRDefault="00AC118A" w:rsidP="00AC118A">
            <w:pPr>
              <w:spacing w:after="160" w:line="259" w:lineRule="auto"/>
              <w:jc w:val="both"/>
              <w:rPr>
                <w:rFonts w:ascii="Arial" w:hAnsi="Arial" w:cs="Arial"/>
                <w:b/>
                <w:bCs/>
                <w:sz w:val="24"/>
                <w:szCs w:val="24"/>
                <w:lang w:val="en-US"/>
              </w:rPr>
            </w:pPr>
            <w:r w:rsidRPr="00DC004C">
              <w:rPr>
                <w:rFonts w:ascii="Arial" w:hAnsi="Arial" w:cs="Arial"/>
                <w:b/>
                <w:bCs/>
                <w:sz w:val="24"/>
                <w:szCs w:val="24"/>
                <w:lang w:val="en-US"/>
              </w:rPr>
              <w:t>Implications for Cadbury</w:t>
            </w:r>
          </w:p>
        </w:tc>
      </w:tr>
      <w:tr w:rsidR="00AC118A" w:rsidRPr="00DC004C" w14:paraId="4B2BA803" w14:textId="77777777" w:rsidTr="00AC118A">
        <w:tc>
          <w:tcPr>
            <w:tcW w:w="1990" w:type="dxa"/>
            <w:hideMark/>
          </w:tcPr>
          <w:p w14:paraId="734484A5" w14:textId="77777777"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b/>
                <w:bCs/>
                <w:sz w:val="24"/>
                <w:szCs w:val="24"/>
                <w:lang w:val="en-US"/>
              </w:rPr>
              <w:t>Political: Government stability and policy direction</w:t>
            </w:r>
          </w:p>
        </w:tc>
        <w:tc>
          <w:tcPr>
            <w:tcW w:w="3114" w:type="dxa"/>
            <w:hideMark/>
          </w:tcPr>
          <w:p w14:paraId="26A19DD0" w14:textId="6DC43FC6"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 xml:space="preserve">Established food business </w:t>
            </w:r>
            <w:proofErr w:type="gramStart"/>
            <w:r w:rsidRPr="00DC004C">
              <w:rPr>
                <w:rFonts w:ascii="Arial" w:hAnsi="Arial" w:cs="Arial"/>
                <w:sz w:val="24"/>
                <w:szCs w:val="24"/>
              </w:rPr>
              <w:t>policies .</w:t>
            </w:r>
            <w:proofErr w:type="gramEnd"/>
            <w:r w:rsidRPr="00DC004C">
              <w:rPr>
                <w:rFonts w:ascii="Arial" w:hAnsi="Arial" w:cs="Arial"/>
                <w:sz w:val="24"/>
                <w:szCs w:val="24"/>
              </w:rPr>
              <w:t xml:space="preserve"> Stable political </w:t>
            </w:r>
            <w:proofErr w:type="gramStart"/>
            <w:r w:rsidRPr="00DC004C">
              <w:rPr>
                <w:rFonts w:ascii="Arial" w:hAnsi="Arial" w:cs="Arial"/>
                <w:sz w:val="24"/>
                <w:szCs w:val="24"/>
              </w:rPr>
              <w:t>institutions .</w:t>
            </w:r>
            <w:proofErr w:type="gramEnd"/>
            <w:r w:rsidRPr="00DC004C">
              <w:rPr>
                <w:rFonts w:ascii="Arial" w:hAnsi="Arial" w:cs="Arial"/>
                <w:sz w:val="24"/>
                <w:szCs w:val="24"/>
              </w:rPr>
              <w:t xml:space="preserve"> Growing focus on obesity, sugar intake, food advertising and sustainable packaging.</w:t>
            </w:r>
          </w:p>
        </w:tc>
        <w:tc>
          <w:tcPr>
            <w:tcW w:w="2977" w:type="dxa"/>
            <w:hideMark/>
          </w:tcPr>
          <w:p w14:paraId="212FEF62" w14:textId="11F2653A"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Complex federal system with state differences in taxation, infrastructure, retail development and regulatory enforcement.</w:t>
            </w:r>
          </w:p>
        </w:tc>
        <w:tc>
          <w:tcPr>
            <w:tcW w:w="3402" w:type="dxa"/>
            <w:hideMark/>
          </w:tcPr>
          <w:p w14:paraId="46FF4CA1" w14:textId="3FAE6DDE"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Global governance stays the same, local adaptations are made. In India local management and distributor relationships are critical and in the UK Cadbury should expect public health and sustainability policy changes.</w:t>
            </w:r>
          </w:p>
        </w:tc>
      </w:tr>
      <w:tr w:rsidR="00AC118A" w:rsidRPr="00DC004C" w14:paraId="36797EB1" w14:textId="77777777" w:rsidTr="00AC118A">
        <w:tc>
          <w:tcPr>
            <w:tcW w:w="1990" w:type="dxa"/>
            <w:hideMark/>
          </w:tcPr>
          <w:p w14:paraId="64D947AA" w14:textId="77777777"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b/>
                <w:bCs/>
                <w:sz w:val="24"/>
                <w:szCs w:val="24"/>
                <w:lang w:val="en-US"/>
              </w:rPr>
              <w:t>Political: Taxation, trade and industrial policy</w:t>
            </w:r>
          </w:p>
        </w:tc>
        <w:tc>
          <w:tcPr>
            <w:tcW w:w="3114" w:type="dxa"/>
            <w:hideMark/>
          </w:tcPr>
          <w:p w14:paraId="7E9F3705" w14:textId="60CFC73D"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The cost of ingredients, packaging and distribution can be affected by VAT, energy costs, import arrangements and post-Brexit trade conditions.</w:t>
            </w:r>
          </w:p>
        </w:tc>
        <w:tc>
          <w:tcPr>
            <w:tcW w:w="2977" w:type="dxa"/>
            <w:hideMark/>
          </w:tcPr>
          <w:p w14:paraId="3D0EBB18" w14:textId="06C0E09A"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Costs are impacted by GST, import duties, manufacturing policies and the business environment at the state level. Locally produced products are encouraged in some places.</w:t>
            </w:r>
          </w:p>
        </w:tc>
        <w:tc>
          <w:tcPr>
            <w:tcW w:w="3402" w:type="dxa"/>
            <w:hideMark/>
          </w:tcPr>
          <w:p w14:paraId="792C605B" w14:textId="6BAFF45E"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“Increase local and regional sourcing where possible. Local manufacturing in India can reduce import dependence and improve the supply-chain responsiveness while keeping up the quality standards.</w:t>
            </w:r>
          </w:p>
        </w:tc>
      </w:tr>
      <w:tr w:rsidR="00AC118A" w:rsidRPr="00DC004C" w14:paraId="6C3A3F42" w14:textId="77777777" w:rsidTr="00AC118A">
        <w:tc>
          <w:tcPr>
            <w:tcW w:w="1990" w:type="dxa"/>
            <w:hideMark/>
          </w:tcPr>
          <w:p w14:paraId="6DFE1B0C" w14:textId="77777777"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b/>
                <w:bCs/>
                <w:sz w:val="24"/>
                <w:szCs w:val="24"/>
                <w:lang w:val="en-US"/>
              </w:rPr>
              <w:t>Economic: Income and purchasing power</w:t>
            </w:r>
          </w:p>
        </w:tc>
        <w:tc>
          <w:tcPr>
            <w:tcW w:w="3114" w:type="dxa"/>
            <w:hideMark/>
          </w:tcPr>
          <w:p w14:paraId="486097E4" w14:textId="1A86D740"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A developed supermarkets and online grocery higher income market. Inflation can cause people to cut back on spending on non-essential items, like confectionery.</w:t>
            </w:r>
          </w:p>
        </w:tc>
        <w:tc>
          <w:tcPr>
            <w:tcW w:w="2977" w:type="dxa"/>
            <w:hideMark/>
          </w:tcPr>
          <w:p w14:paraId="3CAFDB79" w14:textId="1AE05B9D"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Large population, growing urban middle class; purchasing power varies considerably among income groups, regions.</w:t>
            </w:r>
          </w:p>
        </w:tc>
        <w:tc>
          <w:tcPr>
            <w:tcW w:w="3402" w:type="dxa"/>
            <w:hideMark/>
          </w:tcPr>
          <w:p w14:paraId="41837C09" w14:textId="74DCB5ED"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Use differential pricing. Premium gift and sharing products can target consumers in the UK, but smaller, affordable packs are still important in India.</w:t>
            </w:r>
          </w:p>
        </w:tc>
      </w:tr>
      <w:tr w:rsidR="00AC118A" w:rsidRPr="00DC004C" w14:paraId="677577BD" w14:textId="77777777" w:rsidTr="00AC118A">
        <w:tc>
          <w:tcPr>
            <w:tcW w:w="1990" w:type="dxa"/>
            <w:hideMark/>
          </w:tcPr>
          <w:p w14:paraId="1199A697" w14:textId="77777777"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b/>
                <w:bCs/>
                <w:sz w:val="24"/>
                <w:szCs w:val="24"/>
                <w:lang w:val="en-US"/>
              </w:rPr>
              <w:t xml:space="preserve">Economic: Inflation and </w:t>
            </w:r>
            <w:r w:rsidRPr="00DC004C">
              <w:rPr>
                <w:rFonts w:ascii="Arial" w:hAnsi="Arial" w:cs="Arial"/>
                <w:b/>
                <w:bCs/>
                <w:sz w:val="24"/>
                <w:szCs w:val="24"/>
                <w:lang w:val="en-US"/>
              </w:rPr>
              <w:lastRenderedPageBreak/>
              <w:t>price sensitivity</w:t>
            </w:r>
          </w:p>
        </w:tc>
        <w:tc>
          <w:tcPr>
            <w:tcW w:w="3114" w:type="dxa"/>
            <w:hideMark/>
          </w:tcPr>
          <w:p w14:paraId="4E9899A4" w14:textId="0A2DC9E0"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lastRenderedPageBreak/>
              <w:t xml:space="preserve">More expensive cocoa, sugar, dairy, packaging, transport and energy can </w:t>
            </w:r>
            <w:r w:rsidRPr="00DC004C">
              <w:rPr>
                <w:rFonts w:ascii="Arial" w:hAnsi="Arial" w:cs="Arial"/>
                <w:sz w:val="24"/>
                <w:szCs w:val="24"/>
              </w:rPr>
              <w:lastRenderedPageBreak/>
              <w:t>push up prices and hit demand.</w:t>
            </w:r>
          </w:p>
        </w:tc>
        <w:tc>
          <w:tcPr>
            <w:tcW w:w="2977" w:type="dxa"/>
            <w:hideMark/>
          </w:tcPr>
          <w:p w14:paraId="4F4AF78D" w14:textId="7CD6DA41"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lastRenderedPageBreak/>
              <w:t xml:space="preserve">Many consumers are sensitive to price and demand can be very </w:t>
            </w:r>
            <w:r w:rsidRPr="00DC004C">
              <w:rPr>
                <w:rFonts w:ascii="Arial" w:hAnsi="Arial" w:cs="Arial"/>
                <w:sz w:val="24"/>
                <w:szCs w:val="24"/>
              </w:rPr>
              <w:lastRenderedPageBreak/>
              <w:t>sensitive to ingredient, transport and tax costs.</w:t>
            </w:r>
          </w:p>
        </w:tc>
        <w:tc>
          <w:tcPr>
            <w:tcW w:w="3402" w:type="dxa"/>
            <w:hideMark/>
          </w:tcPr>
          <w:p w14:paraId="0A07C74C" w14:textId="6B9A9F8B"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lastRenderedPageBreak/>
              <w:t xml:space="preserve">Use value-based pricing, promotions, pack size management and product tiers. “Don’t jack up the price </w:t>
            </w:r>
            <w:r w:rsidRPr="00DC004C">
              <w:rPr>
                <w:rFonts w:ascii="Arial" w:hAnsi="Arial" w:cs="Arial"/>
                <w:sz w:val="24"/>
                <w:szCs w:val="24"/>
              </w:rPr>
              <w:lastRenderedPageBreak/>
              <w:t>too much, especially in India’s mass market.</w:t>
            </w:r>
          </w:p>
        </w:tc>
      </w:tr>
      <w:tr w:rsidR="00AC118A" w:rsidRPr="00DC004C" w14:paraId="55757355" w14:textId="77777777" w:rsidTr="00AC118A">
        <w:tc>
          <w:tcPr>
            <w:tcW w:w="1990" w:type="dxa"/>
            <w:hideMark/>
          </w:tcPr>
          <w:p w14:paraId="207F724B" w14:textId="77777777"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b/>
                <w:bCs/>
                <w:sz w:val="24"/>
                <w:szCs w:val="24"/>
                <w:lang w:val="en-US"/>
              </w:rPr>
              <w:lastRenderedPageBreak/>
              <w:t>Social: Consumer lifestyle and health</w:t>
            </w:r>
          </w:p>
        </w:tc>
        <w:tc>
          <w:tcPr>
            <w:tcW w:w="3114" w:type="dxa"/>
            <w:hideMark/>
          </w:tcPr>
          <w:p w14:paraId="5450588C" w14:textId="1D4C0C46"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Increasing focus on sugar, portion size, nutrition, ethical sourcing and recyclable packaging. Chocolate is still popular for treating, gifting and sharing.</w:t>
            </w:r>
          </w:p>
        </w:tc>
        <w:tc>
          <w:tcPr>
            <w:tcW w:w="2977" w:type="dxa"/>
            <w:hideMark/>
          </w:tcPr>
          <w:p w14:paraId="2961E0A2" w14:textId="1C81B247"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Chocolate is strongly linked to pleasure, family relationships, celebrations and gifting. Preferences vary by region and income level.</w:t>
            </w:r>
          </w:p>
        </w:tc>
        <w:tc>
          <w:tcPr>
            <w:tcW w:w="3402" w:type="dxa"/>
            <w:hideMark/>
          </w:tcPr>
          <w:p w14:paraId="2AF35E4D" w14:textId="404924A2"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Clear labelling and portion options across the UK to encourage responsible indulgence. In India, continue the emotional and celebration-oriented marketing, but avoid messaging on over-consumption.</w:t>
            </w:r>
          </w:p>
        </w:tc>
      </w:tr>
      <w:tr w:rsidR="00AC118A" w:rsidRPr="00DC004C" w14:paraId="6FEAE2A2" w14:textId="77777777" w:rsidTr="00AC118A">
        <w:tc>
          <w:tcPr>
            <w:tcW w:w="1990" w:type="dxa"/>
            <w:hideMark/>
          </w:tcPr>
          <w:p w14:paraId="15D66909" w14:textId="77777777"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b/>
                <w:bCs/>
                <w:sz w:val="24"/>
                <w:szCs w:val="24"/>
                <w:lang w:val="en-US"/>
              </w:rPr>
              <w:t>Social: Gifting and consumer culture</w:t>
            </w:r>
          </w:p>
        </w:tc>
        <w:tc>
          <w:tcPr>
            <w:tcW w:w="3114" w:type="dxa"/>
            <w:hideMark/>
          </w:tcPr>
          <w:p w14:paraId="5D8839FC" w14:textId="7D954EB7"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Premium gifts, product sharing and seasonal editions generate demand at Christmas, Easter and other occasions.</w:t>
            </w:r>
          </w:p>
        </w:tc>
        <w:tc>
          <w:tcPr>
            <w:tcW w:w="2977" w:type="dxa"/>
            <w:hideMark/>
          </w:tcPr>
          <w:p w14:paraId="4E256FD5" w14:textId="5CB44377"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There is a strong demand for chocolate gifting and relationship-based marketing associated with festivals, family events and celebrations.</w:t>
            </w:r>
          </w:p>
        </w:tc>
        <w:tc>
          <w:tcPr>
            <w:tcW w:w="3402" w:type="dxa"/>
            <w:hideMark/>
          </w:tcPr>
          <w:p w14:paraId="0D401ED1" w14:textId="51454660"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Adapt promotional calendars to include local holidays. In UK; focus on heritage &amp; seasonal gifting. In India; focus on celebration, relationships &amp; sharing.</w:t>
            </w:r>
          </w:p>
        </w:tc>
      </w:tr>
      <w:tr w:rsidR="00AC118A" w:rsidRPr="00DC004C" w14:paraId="12494383" w14:textId="77777777" w:rsidTr="00AC118A">
        <w:tc>
          <w:tcPr>
            <w:tcW w:w="1990" w:type="dxa"/>
            <w:hideMark/>
          </w:tcPr>
          <w:p w14:paraId="21054F39" w14:textId="77777777"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b/>
                <w:bCs/>
                <w:sz w:val="24"/>
                <w:szCs w:val="24"/>
                <w:lang w:val="en-US"/>
              </w:rPr>
              <w:t>Technological: Digital retail and communication</w:t>
            </w:r>
          </w:p>
        </w:tc>
        <w:tc>
          <w:tcPr>
            <w:tcW w:w="3114" w:type="dxa"/>
            <w:hideMark/>
          </w:tcPr>
          <w:p w14:paraId="63BD069C" w14:textId="016C115B"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Advanced digital customer service systems, social media advertising, retailer loyalty programs and online grocery.</w:t>
            </w:r>
          </w:p>
        </w:tc>
        <w:tc>
          <w:tcPr>
            <w:tcW w:w="2977" w:type="dxa"/>
            <w:hideMark/>
          </w:tcPr>
          <w:p w14:paraId="65B384C2" w14:textId="622E2FAE"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Smartphones, mobile payments, e-commerce and quick-commerce are growing fast, but traditional retailers still matter.</w:t>
            </w:r>
          </w:p>
        </w:tc>
        <w:tc>
          <w:tcPr>
            <w:tcW w:w="3402" w:type="dxa"/>
            <w:hideMark/>
          </w:tcPr>
          <w:p w14:paraId="32F8EA82" w14:textId="2D4EDCEC"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Merge supermarket data, online grocery and targeted digital marketing in the UK. Strong traditional retail distribution and mobile-led promotion and e-commerce in India.</w:t>
            </w:r>
          </w:p>
        </w:tc>
      </w:tr>
      <w:tr w:rsidR="00AC118A" w:rsidRPr="00DC004C" w14:paraId="557DD529" w14:textId="77777777" w:rsidTr="00AC118A">
        <w:tc>
          <w:tcPr>
            <w:tcW w:w="1990" w:type="dxa"/>
            <w:hideMark/>
          </w:tcPr>
          <w:p w14:paraId="1FAFBA9B" w14:textId="77777777"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b/>
                <w:bCs/>
                <w:sz w:val="24"/>
                <w:szCs w:val="24"/>
                <w:lang w:val="en-US"/>
              </w:rPr>
              <w:t>Technological: Digital payments and consumer access</w:t>
            </w:r>
          </w:p>
        </w:tc>
        <w:tc>
          <w:tcPr>
            <w:tcW w:w="3114" w:type="dxa"/>
            <w:hideMark/>
          </w:tcPr>
          <w:p w14:paraId="339680C2" w14:textId="7025243A"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Digital payments and online retail are already entrenched;</w:t>
            </w:r>
          </w:p>
        </w:tc>
        <w:tc>
          <w:tcPr>
            <w:tcW w:w="2977" w:type="dxa"/>
            <w:hideMark/>
          </w:tcPr>
          <w:p w14:paraId="2FD67203" w14:textId="011A1018"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Digital payments are expanding rapidly but cash remains important for some consumers and small retailers.</w:t>
            </w:r>
          </w:p>
        </w:tc>
        <w:tc>
          <w:tcPr>
            <w:tcW w:w="3402" w:type="dxa"/>
            <w:hideMark/>
          </w:tcPr>
          <w:p w14:paraId="50E0A745" w14:textId="0F255E3F"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Use of digital coupons, online promotions, gift bundles and quick-commerce partnerships while keeping Indian strategies open for traditional and cash-based consumers.</w:t>
            </w:r>
          </w:p>
        </w:tc>
      </w:tr>
      <w:tr w:rsidR="00AC118A" w:rsidRPr="00DC004C" w14:paraId="5C1B6534" w14:textId="77777777" w:rsidTr="00AC118A">
        <w:tc>
          <w:tcPr>
            <w:tcW w:w="1990" w:type="dxa"/>
            <w:hideMark/>
          </w:tcPr>
          <w:p w14:paraId="57677097" w14:textId="77777777"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b/>
                <w:bCs/>
                <w:sz w:val="24"/>
                <w:szCs w:val="24"/>
                <w:lang w:val="en-US"/>
              </w:rPr>
              <w:t>Legal: Food safety and labelling</w:t>
            </w:r>
          </w:p>
        </w:tc>
        <w:tc>
          <w:tcPr>
            <w:tcW w:w="3114" w:type="dxa"/>
            <w:hideMark/>
          </w:tcPr>
          <w:p w14:paraId="365743DF" w14:textId="7D65226F"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Strict food-safety, allergen, nutrition-labelling and consumer protection requirements. Increasing scrutiny of high-sugar products.</w:t>
            </w:r>
          </w:p>
        </w:tc>
        <w:tc>
          <w:tcPr>
            <w:tcW w:w="2977" w:type="dxa"/>
            <w:hideMark/>
          </w:tcPr>
          <w:p w14:paraId="4CD394E2" w14:textId="674393B0"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FSSAI controls food production, labelling, advertising and licensing with stricter compliance requirements.</w:t>
            </w:r>
          </w:p>
        </w:tc>
        <w:tc>
          <w:tcPr>
            <w:tcW w:w="3402" w:type="dxa"/>
            <w:hideMark/>
          </w:tcPr>
          <w:p w14:paraId="6C0377E4" w14:textId="5A2BED15"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Ensure accurate country specific ingredient, allergen, nutrition and storage information. Periodically review packaging for regulatory changes.</w:t>
            </w:r>
          </w:p>
        </w:tc>
      </w:tr>
      <w:tr w:rsidR="00AC118A" w:rsidRPr="00DC004C" w14:paraId="06B54A51" w14:textId="77777777" w:rsidTr="00AC118A">
        <w:tc>
          <w:tcPr>
            <w:tcW w:w="1990" w:type="dxa"/>
            <w:hideMark/>
          </w:tcPr>
          <w:p w14:paraId="22067401" w14:textId="77777777"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b/>
                <w:bCs/>
                <w:sz w:val="24"/>
                <w:szCs w:val="24"/>
                <w:lang w:val="en-US"/>
              </w:rPr>
              <w:t>Legal: Advertising and consumer protection</w:t>
            </w:r>
          </w:p>
        </w:tc>
        <w:tc>
          <w:tcPr>
            <w:tcW w:w="3114" w:type="dxa"/>
            <w:hideMark/>
          </w:tcPr>
          <w:p w14:paraId="6C9D045B" w14:textId="590DA65F"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 xml:space="preserve">There are strict rules about </w:t>
            </w:r>
            <w:proofErr w:type="gramStart"/>
            <w:r w:rsidRPr="00DC004C">
              <w:rPr>
                <w:rFonts w:ascii="Arial" w:hAnsi="Arial" w:cs="Arial"/>
                <w:sz w:val="24"/>
                <w:szCs w:val="24"/>
              </w:rPr>
              <w:t>advertising ,</w:t>
            </w:r>
            <w:proofErr w:type="gramEnd"/>
            <w:r w:rsidRPr="00DC004C">
              <w:rPr>
                <w:rFonts w:ascii="Arial" w:hAnsi="Arial" w:cs="Arial"/>
                <w:sz w:val="24"/>
                <w:szCs w:val="24"/>
              </w:rPr>
              <w:t xml:space="preserve"> particularly regarding high sugar </w:t>
            </w:r>
            <w:r w:rsidRPr="00DC004C">
              <w:rPr>
                <w:rFonts w:ascii="Arial" w:hAnsi="Arial" w:cs="Arial"/>
                <w:sz w:val="24"/>
                <w:szCs w:val="24"/>
              </w:rPr>
              <w:lastRenderedPageBreak/>
              <w:t>products and advertising to children .</w:t>
            </w:r>
          </w:p>
        </w:tc>
        <w:tc>
          <w:tcPr>
            <w:tcW w:w="2977" w:type="dxa"/>
            <w:hideMark/>
          </w:tcPr>
          <w:p w14:paraId="5EBD0786" w14:textId="72726190"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lastRenderedPageBreak/>
              <w:t xml:space="preserve">There are food advertising and consumer protection regulations, but </w:t>
            </w:r>
            <w:r w:rsidRPr="00DC004C">
              <w:rPr>
                <w:rFonts w:ascii="Arial" w:hAnsi="Arial" w:cs="Arial"/>
                <w:sz w:val="24"/>
                <w:szCs w:val="24"/>
              </w:rPr>
              <w:lastRenderedPageBreak/>
              <w:t>enforcement is a challenge in some areas.</w:t>
            </w:r>
          </w:p>
        </w:tc>
        <w:tc>
          <w:tcPr>
            <w:tcW w:w="3402" w:type="dxa"/>
            <w:hideMark/>
          </w:tcPr>
          <w:p w14:paraId="14D6923F" w14:textId="5F918A7E"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lastRenderedPageBreak/>
              <w:t xml:space="preserve">Make sure to follow responsible marketing standards in both markets. Avoid making misleading </w:t>
            </w:r>
            <w:r w:rsidRPr="00DC004C">
              <w:rPr>
                <w:rFonts w:ascii="Arial" w:hAnsi="Arial" w:cs="Arial"/>
                <w:sz w:val="24"/>
                <w:szCs w:val="24"/>
              </w:rPr>
              <w:lastRenderedPageBreak/>
              <w:t>health claims or inappropriate child-directed advertising.</w:t>
            </w:r>
          </w:p>
        </w:tc>
      </w:tr>
      <w:tr w:rsidR="00AC118A" w:rsidRPr="00DC004C" w14:paraId="1AE95CDC" w14:textId="77777777" w:rsidTr="00AC118A">
        <w:tc>
          <w:tcPr>
            <w:tcW w:w="1990" w:type="dxa"/>
            <w:hideMark/>
          </w:tcPr>
          <w:p w14:paraId="73F0A737" w14:textId="77777777"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b/>
                <w:bCs/>
                <w:sz w:val="24"/>
                <w:szCs w:val="24"/>
                <w:lang w:val="en-US"/>
              </w:rPr>
              <w:lastRenderedPageBreak/>
              <w:t>Environmental: Cocoa and carbon sustainability</w:t>
            </w:r>
          </w:p>
        </w:tc>
        <w:tc>
          <w:tcPr>
            <w:tcW w:w="3114" w:type="dxa"/>
            <w:hideMark/>
          </w:tcPr>
          <w:p w14:paraId="724BE61C" w14:textId="526C4303"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Increasing demands to reduce carbon, source cocoa responsibly, protect forests, monitor and report on sustainability.</w:t>
            </w:r>
          </w:p>
        </w:tc>
        <w:tc>
          <w:tcPr>
            <w:tcW w:w="2977" w:type="dxa"/>
            <w:hideMark/>
          </w:tcPr>
          <w:p w14:paraId="64C7A732" w14:textId="41B52D7F"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Environmental pressures include waste management, transport emissions and packaging disposal but there are regional differences in the infrastructure.</w:t>
            </w:r>
          </w:p>
        </w:tc>
        <w:tc>
          <w:tcPr>
            <w:tcW w:w="3402" w:type="dxa"/>
            <w:hideMark/>
          </w:tcPr>
          <w:p w14:paraId="5A662013" w14:textId="21E74FEB"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Improving traceability in cocoa, responsible sourcing and carbon reduction. Sustainability claims must be evidence-based and measurable.</w:t>
            </w:r>
          </w:p>
        </w:tc>
      </w:tr>
      <w:tr w:rsidR="00AC118A" w:rsidRPr="00DC004C" w14:paraId="49325F6C" w14:textId="77777777" w:rsidTr="00AC118A">
        <w:tc>
          <w:tcPr>
            <w:tcW w:w="1990" w:type="dxa"/>
            <w:hideMark/>
          </w:tcPr>
          <w:p w14:paraId="059C233D" w14:textId="77777777"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b/>
                <w:bCs/>
                <w:sz w:val="24"/>
                <w:szCs w:val="24"/>
                <w:lang w:val="en-US"/>
              </w:rPr>
              <w:t>Environmental: Packaging and waste</w:t>
            </w:r>
          </w:p>
        </w:tc>
        <w:tc>
          <w:tcPr>
            <w:tcW w:w="3114" w:type="dxa"/>
            <w:hideMark/>
          </w:tcPr>
          <w:p w14:paraId="5200A14B" w14:textId="0CCCD038"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Consumers and retailers are demanding more and more recyclable packaging, less plastic use and clear disposal information.</w:t>
            </w:r>
          </w:p>
        </w:tc>
        <w:tc>
          <w:tcPr>
            <w:tcW w:w="2977" w:type="dxa"/>
            <w:hideMark/>
          </w:tcPr>
          <w:p w14:paraId="7D3894AE" w14:textId="1FEDE03E"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Cheaper, smaller packs make products easier to get but can create more packaging that ends up in landfills.</w:t>
            </w:r>
          </w:p>
        </w:tc>
        <w:tc>
          <w:tcPr>
            <w:tcW w:w="3402" w:type="dxa"/>
            <w:hideMark/>
          </w:tcPr>
          <w:p w14:paraId="7EACE0A0" w14:textId="70E4B59A" w:rsidR="00AC118A" w:rsidRPr="00DC004C" w:rsidRDefault="00AC118A" w:rsidP="00AC118A">
            <w:pPr>
              <w:spacing w:after="160" w:line="259" w:lineRule="auto"/>
              <w:jc w:val="both"/>
              <w:rPr>
                <w:rFonts w:ascii="Arial" w:hAnsi="Arial" w:cs="Arial"/>
                <w:sz w:val="24"/>
                <w:szCs w:val="24"/>
                <w:lang w:val="en-US"/>
              </w:rPr>
            </w:pPr>
            <w:r w:rsidRPr="00DC004C">
              <w:rPr>
                <w:rFonts w:ascii="Arial" w:hAnsi="Arial" w:cs="Arial"/>
                <w:sz w:val="24"/>
                <w:szCs w:val="24"/>
              </w:rPr>
              <w:t>Reduce unnecessary packaging and increase recyclables. In India, packaging has to be economic and rugged, suitable for a variety of retail and transportation conditions.</w:t>
            </w:r>
          </w:p>
        </w:tc>
      </w:tr>
      <w:tr w:rsidR="00DE7756" w:rsidRPr="00DC004C" w14:paraId="36BA0C64" w14:textId="77777777" w:rsidTr="00AC118A">
        <w:tc>
          <w:tcPr>
            <w:tcW w:w="1990" w:type="dxa"/>
          </w:tcPr>
          <w:p w14:paraId="525726CC" w14:textId="77777777" w:rsidR="00DE7756" w:rsidRPr="00DC004C" w:rsidRDefault="00DE7756" w:rsidP="00AC118A">
            <w:pPr>
              <w:jc w:val="both"/>
              <w:rPr>
                <w:rFonts w:ascii="Arial" w:hAnsi="Arial" w:cs="Arial"/>
                <w:b/>
                <w:bCs/>
                <w:sz w:val="24"/>
                <w:szCs w:val="24"/>
                <w:lang w:val="en-US"/>
              </w:rPr>
            </w:pPr>
          </w:p>
        </w:tc>
        <w:tc>
          <w:tcPr>
            <w:tcW w:w="3114" w:type="dxa"/>
          </w:tcPr>
          <w:p w14:paraId="7478543F" w14:textId="77777777" w:rsidR="00DE7756" w:rsidRPr="00DC004C" w:rsidRDefault="00DE7756" w:rsidP="00AC118A">
            <w:pPr>
              <w:jc w:val="both"/>
              <w:rPr>
                <w:rFonts w:ascii="Arial" w:hAnsi="Arial" w:cs="Arial"/>
                <w:sz w:val="24"/>
                <w:szCs w:val="24"/>
              </w:rPr>
            </w:pPr>
          </w:p>
        </w:tc>
        <w:tc>
          <w:tcPr>
            <w:tcW w:w="2977" w:type="dxa"/>
          </w:tcPr>
          <w:p w14:paraId="4744E38E" w14:textId="77777777" w:rsidR="00DE7756" w:rsidRPr="00DC004C" w:rsidRDefault="00DE7756" w:rsidP="00AC118A">
            <w:pPr>
              <w:jc w:val="both"/>
              <w:rPr>
                <w:rFonts w:ascii="Arial" w:hAnsi="Arial" w:cs="Arial"/>
                <w:sz w:val="24"/>
                <w:szCs w:val="24"/>
              </w:rPr>
            </w:pPr>
          </w:p>
        </w:tc>
        <w:tc>
          <w:tcPr>
            <w:tcW w:w="3402" w:type="dxa"/>
          </w:tcPr>
          <w:p w14:paraId="38DAA35E" w14:textId="77777777" w:rsidR="00DE7756" w:rsidRPr="00DC004C" w:rsidRDefault="00DE7756" w:rsidP="00AC118A">
            <w:pPr>
              <w:jc w:val="both"/>
              <w:rPr>
                <w:rFonts w:ascii="Arial" w:hAnsi="Arial" w:cs="Arial"/>
                <w:sz w:val="24"/>
                <w:szCs w:val="24"/>
              </w:rPr>
            </w:pPr>
          </w:p>
        </w:tc>
      </w:tr>
    </w:tbl>
    <w:p w14:paraId="41B68D35" w14:textId="1C384794" w:rsidR="00DE7756" w:rsidRPr="00DE7756" w:rsidRDefault="005215C7" w:rsidP="00DE7756">
      <w:pPr>
        <w:jc w:val="center"/>
        <w:rPr>
          <w:rFonts w:ascii="Arial" w:hAnsi="Arial" w:cs="Arial"/>
          <w:sz w:val="24"/>
          <w:szCs w:val="24"/>
        </w:rPr>
      </w:pPr>
      <w:r>
        <w:rPr>
          <w:rFonts w:ascii="Arial" w:hAnsi="Arial" w:cs="Arial"/>
          <w:noProof/>
          <w:sz w:val="24"/>
          <w:szCs w:val="24"/>
        </w:rPr>
        <w:lastRenderedPageBreak/>
        <w:drawing>
          <wp:inline distT="0" distB="0" distL="0" distR="0" wp14:anchorId="3E17145D" wp14:editId="3B2AFB2D">
            <wp:extent cx="5943600" cy="4632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4632960"/>
                    </a:xfrm>
                    <a:prstGeom prst="rect">
                      <a:avLst/>
                    </a:prstGeom>
                    <a:noFill/>
                    <a:ln>
                      <a:noFill/>
                    </a:ln>
                  </pic:spPr>
                </pic:pic>
              </a:graphicData>
            </a:graphic>
          </wp:inline>
        </w:drawing>
      </w:r>
      <w:r w:rsidR="00C84B5F">
        <w:rPr>
          <w:rFonts w:ascii="Arial" w:hAnsi="Arial" w:cs="Arial"/>
          <w:b/>
          <w:bCs/>
        </w:rPr>
        <w:t>I</w:t>
      </w:r>
      <w:r w:rsidR="00DE7756" w:rsidRPr="00DE7756">
        <w:rPr>
          <w:rFonts w:ascii="Arial" w:hAnsi="Arial" w:cs="Arial"/>
          <w:b/>
          <w:bCs/>
        </w:rPr>
        <w:t>mage created by Google Gemini</w:t>
      </w:r>
    </w:p>
    <w:p w14:paraId="42F20681" w14:textId="77777777" w:rsidR="005215C7" w:rsidRDefault="005215C7" w:rsidP="00DC004C">
      <w:pPr>
        <w:pStyle w:val="Heading2"/>
        <w:rPr>
          <w:rFonts w:ascii="Arial" w:hAnsi="Arial" w:cs="Arial"/>
          <w:b/>
          <w:bCs/>
          <w:sz w:val="24"/>
          <w:szCs w:val="24"/>
          <w:lang w:val="en-US"/>
        </w:rPr>
      </w:pPr>
      <w:bookmarkStart w:id="14" w:name="_Toc237516323"/>
    </w:p>
    <w:p w14:paraId="7318F9EF" w14:textId="77777777" w:rsidR="005215C7" w:rsidRDefault="005215C7" w:rsidP="00DC004C">
      <w:pPr>
        <w:pStyle w:val="Heading2"/>
        <w:rPr>
          <w:rFonts w:ascii="Arial" w:hAnsi="Arial" w:cs="Arial"/>
          <w:b/>
          <w:bCs/>
          <w:sz w:val="24"/>
          <w:szCs w:val="24"/>
          <w:lang w:val="en-US"/>
        </w:rPr>
      </w:pPr>
    </w:p>
    <w:p w14:paraId="4BC83FC3" w14:textId="77777777" w:rsidR="005215C7" w:rsidRDefault="005215C7" w:rsidP="00DC004C">
      <w:pPr>
        <w:pStyle w:val="Heading2"/>
        <w:rPr>
          <w:rFonts w:ascii="Arial" w:hAnsi="Arial" w:cs="Arial"/>
          <w:b/>
          <w:bCs/>
          <w:sz w:val="24"/>
          <w:szCs w:val="24"/>
          <w:lang w:val="en-US"/>
        </w:rPr>
      </w:pPr>
    </w:p>
    <w:p w14:paraId="6406709A" w14:textId="20392835" w:rsidR="00AC118A" w:rsidRPr="00DC004C" w:rsidRDefault="00AC118A" w:rsidP="00DC004C">
      <w:pPr>
        <w:pStyle w:val="Heading2"/>
        <w:rPr>
          <w:rFonts w:ascii="Arial" w:hAnsi="Arial" w:cs="Arial"/>
          <w:b/>
          <w:bCs/>
          <w:sz w:val="24"/>
          <w:szCs w:val="24"/>
          <w:lang w:val="en-US"/>
        </w:rPr>
      </w:pPr>
      <w:r w:rsidRPr="00DC004C">
        <w:rPr>
          <w:rFonts w:ascii="Arial" w:hAnsi="Arial" w:cs="Arial"/>
          <w:b/>
          <w:bCs/>
          <w:sz w:val="24"/>
          <w:szCs w:val="24"/>
          <w:lang w:val="en-US"/>
        </w:rPr>
        <w:t>3.</w:t>
      </w:r>
      <w:r w:rsidR="008D483F" w:rsidRPr="00DC004C">
        <w:rPr>
          <w:rFonts w:ascii="Arial" w:hAnsi="Arial" w:cs="Arial"/>
          <w:b/>
          <w:bCs/>
          <w:sz w:val="24"/>
          <w:szCs w:val="24"/>
          <w:lang w:val="en-US"/>
        </w:rPr>
        <w:t>3</w:t>
      </w:r>
      <w:r w:rsidRPr="00DC004C">
        <w:rPr>
          <w:rFonts w:ascii="Arial" w:hAnsi="Arial" w:cs="Arial"/>
          <w:b/>
          <w:bCs/>
          <w:sz w:val="24"/>
          <w:szCs w:val="24"/>
          <w:lang w:val="en-US"/>
        </w:rPr>
        <w:t xml:space="preserve"> PESTLE Comparison</w:t>
      </w:r>
      <w:bookmarkEnd w:id="14"/>
    </w:p>
    <w:p w14:paraId="30281AC6" w14:textId="77777777" w:rsidR="008D483F" w:rsidRPr="00DC004C" w:rsidRDefault="008D483F" w:rsidP="008D483F">
      <w:pPr>
        <w:jc w:val="both"/>
        <w:rPr>
          <w:rFonts w:ascii="Arial" w:hAnsi="Arial" w:cs="Arial"/>
          <w:sz w:val="24"/>
          <w:szCs w:val="24"/>
          <w:lang w:val="en-US"/>
        </w:rPr>
      </w:pPr>
      <w:r w:rsidRPr="00DC004C">
        <w:rPr>
          <w:rFonts w:ascii="Arial" w:hAnsi="Arial" w:cs="Arial"/>
          <w:sz w:val="24"/>
          <w:szCs w:val="24"/>
          <w:lang w:val="en-US"/>
        </w:rPr>
        <w:t>Both markets need strong food safety, sustainability and digital strategies. The main difference is that the UK is a mature, health-conscious market with higher premium potential, whereas India has higher volume growth prospects but requires greater affordability, cultural adaptation and distribution flexibility.</w:t>
      </w:r>
    </w:p>
    <w:p w14:paraId="075007F0" w14:textId="77777777" w:rsidR="005818CF" w:rsidRPr="00DC004C" w:rsidRDefault="005818CF" w:rsidP="004079FF">
      <w:pPr>
        <w:jc w:val="both"/>
        <w:rPr>
          <w:rFonts w:ascii="Arial" w:hAnsi="Arial" w:cs="Arial"/>
          <w:vanish/>
          <w:sz w:val="24"/>
          <w:szCs w:val="24"/>
        </w:rPr>
      </w:pPr>
    </w:p>
    <w:p w14:paraId="72E351F9" w14:textId="39732E02" w:rsidR="004079FF" w:rsidRPr="00DC004C" w:rsidRDefault="004079FF" w:rsidP="004079FF">
      <w:pPr>
        <w:jc w:val="both"/>
        <w:rPr>
          <w:rFonts w:ascii="Arial" w:hAnsi="Arial" w:cs="Arial"/>
          <w:sz w:val="24"/>
          <w:szCs w:val="24"/>
        </w:rPr>
      </w:pPr>
    </w:p>
    <w:p w14:paraId="56EFEF7F" w14:textId="77777777" w:rsidR="00AC118A" w:rsidRPr="00DC004C" w:rsidRDefault="00AC118A">
      <w:pPr>
        <w:rPr>
          <w:rFonts w:ascii="Arial" w:hAnsi="Arial" w:cs="Arial"/>
          <w:b/>
          <w:bCs/>
          <w:sz w:val="24"/>
          <w:szCs w:val="24"/>
        </w:rPr>
      </w:pPr>
      <w:r w:rsidRPr="00DC004C">
        <w:rPr>
          <w:rFonts w:ascii="Arial" w:hAnsi="Arial" w:cs="Arial"/>
          <w:b/>
          <w:bCs/>
          <w:sz w:val="24"/>
          <w:szCs w:val="24"/>
        </w:rPr>
        <w:br w:type="page"/>
      </w:r>
    </w:p>
    <w:p w14:paraId="3F367942" w14:textId="12B8CF28" w:rsidR="00EF5F21" w:rsidRPr="00DC004C" w:rsidRDefault="00EF5F21" w:rsidP="00DC004C">
      <w:pPr>
        <w:pStyle w:val="Heading1"/>
        <w:rPr>
          <w:rFonts w:ascii="Arial" w:hAnsi="Arial" w:cs="Arial"/>
          <w:b/>
          <w:bCs/>
          <w:sz w:val="24"/>
          <w:szCs w:val="24"/>
        </w:rPr>
      </w:pPr>
      <w:bookmarkStart w:id="15" w:name="_Toc237516324"/>
      <w:r w:rsidRPr="00DC004C">
        <w:rPr>
          <w:rFonts w:ascii="Arial" w:hAnsi="Arial" w:cs="Arial"/>
          <w:b/>
          <w:bCs/>
          <w:sz w:val="24"/>
          <w:szCs w:val="24"/>
        </w:rPr>
        <w:lastRenderedPageBreak/>
        <w:t>4. Comparative Cultural Analysis</w:t>
      </w:r>
      <w:bookmarkEnd w:id="15"/>
    </w:p>
    <w:p w14:paraId="27D6B7C3" w14:textId="77777777" w:rsidR="00EF5F21" w:rsidRPr="00DC004C" w:rsidRDefault="00EF5F21" w:rsidP="00DC004C">
      <w:pPr>
        <w:pStyle w:val="Heading2"/>
        <w:rPr>
          <w:rFonts w:ascii="Arial" w:hAnsi="Arial" w:cs="Arial"/>
          <w:b/>
          <w:bCs/>
          <w:sz w:val="24"/>
          <w:szCs w:val="24"/>
        </w:rPr>
      </w:pPr>
      <w:bookmarkStart w:id="16" w:name="_Toc237516325"/>
      <w:r w:rsidRPr="00DC004C">
        <w:rPr>
          <w:rFonts w:ascii="Arial" w:hAnsi="Arial" w:cs="Arial"/>
          <w:b/>
          <w:bCs/>
          <w:sz w:val="24"/>
          <w:szCs w:val="24"/>
        </w:rPr>
        <w:t>4.1 Introduction to Hofstede’s Cultural Dimensions Framework</w:t>
      </w:r>
      <w:bookmarkEnd w:id="16"/>
    </w:p>
    <w:p w14:paraId="4B627571" w14:textId="5085D347" w:rsidR="00912F73" w:rsidRDefault="00912F73" w:rsidP="004079FF">
      <w:pPr>
        <w:jc w:val="both"/>
        <w:rPr>
          <w:rFonts w:ascii="Arial" w:hAnsi="Arial" w:cs="Arial"/>
          <w:sz w:val="24"/>
          <w:szCs w:val="24"/>
        </w:rPr>
      </w:pPr>
      <w:r w:rsidRPr="00DC004C">
        <w:rPr>
          <w:rFonts w:ascii="Arial" w:hAnsi="Arial" w:cs="Arial"/>
          <w:sz w:val="24"/>
          <w:szCs w:val="24"/>
        </w:rPr>
        <w:t>Hofstede’s cultural dimensions framework is a comparison of national cultures in six dimensions; power distance, individualism, masculinity, uncertainty avoidance, long-term orientation and indulgence. The framework is useful for international marketing as culture can impact consumer behaviour, brand engagement, communication preference and perception of value. Research supports the view that national culture can influence the way in which consumers participate in the brand and marketing activities.</w:t>
      </w:r>
      <w:r w:rsidR="008D483F" w:rsidRPr="00DC004C">
        <w:rPr>
          <w:rFonts w:ascii="Arial" w:hAnsi="Arial" w:cs="Arial"/>
          <w:sz w:val="24"/>
          <w:szCs w:val="24"/>
        </w:rPr>
        <w:t xml:space="preserve"> (Connell, Marciniak and Carey, 2022)</w:t>
      </w:r>
    </w:p>
    <w:p w14:paraId="40D908E9" w14:textId="77777777" w:rsidR="005215C7" w:rsidRPr="00DC004C" w:rsidRDefault="005215C7" w:rsidP="004079FF">
      <w:pPr>
        <w:jc w:val="both"/>
        <w:rPr>
          <w:rFonts w:ascii="Arial" w:hAnsi="Arial" w:cs="Arial"/>
          <w:sz w:val="24"/>
          <w:szCs w:val="24"/>
        </w:rPr>
      </w:pPr>
    </w:p>
    <w:p w14:paraId="0C818CC2" w14:textId="30B382FB" w:rsidR="00EF5F21" w:rsidRPr="00DC004C" w:rsidRDefault="00EF5F21" w:rsidP="00DC004C">
      <w:pPr>
        <w:pStyle w:val="Heading2"/>
        <w:rPr>
          <w:rFonts w:ascii="Arial" w:hAnsi="Arial" w:cs="Arial"/>
          <w:b/>
          <w:bCs/>
          <w:sz w:val="24"/>
          <w:szCs w:val="24"/>
        </w:rPr>
      </w:pPr>
      <w:bookmarkStart w:id="17" w:name="_Toc237516326"/>
      <w:r w:rsidRPr="00DC004C">
        <w:rPr>
          <w:rFonts w:ascii="Arial" w:hAnsi="Arial" w:cs="Arial"/>
          <w:b/>
          <w:bCs/>
          <w:sz w:val="24"/>
          <w:szCs w:val="24"/>
        </w:rPr>
        <w:t>4.2 Comparison of the United Kingdom and India</w:t>
      </w:r>
      <w:bookmarkEnd w:id="17"/>
    </w:p>
    <w:tbl>
      <w:tblPr>
        <w:tblStyle w:val="TableGrid"/>
        <w:tblW w:w="0" w:type="auto"/>
        <w:tblLook w:val="04A0" w:firstRow="1" w:lastRow="0" w:firstColumn="1" w:lastColumn="0" w:noHBand="0" w:noVBand="1"/>
      </w:tblPr>
      <w:tblGrid>
        <w:gridCol w:w="1800"/>
        <w:gridCol w:w="2268"/>
        <w:gridCol w:w="1975"/>
        <w:gridCol w:w="3307"/>
      </w:tblGrid>
      <w:tr w:rsidR="00EF5F21" w:rsidRPr="00DC004C" w14:paraId="21E6C3D9" w14:textId="77777777" w:rsidTr="00EF5F21">
        <w:tc>
          <w:tcPr>
            <w:tcW w:w="0" w:type="auto"/>
            <w:hideMark/>
          </w:tcPr>
          <w:p w14:paraId="6101AF23" w14:textId="77777777" w:rsidR="00EF5F21" w:rsidRPr="00DC004C" w:rsidRDefault="00EF5F21" w:rsidP="004079FF">
            <w:pPr>
              <w:spacing w:after="160" w:line="259" w:lineRule="auto"/>
              <w:jc w:val="both"/>
              <w:rPr>
                <w:rFonts w:ascii="Arial" w:hAnsi="Arial" w:cs="Arial"/>
                <w:b/>
                <w:bCs/>
                <w:sz w:val="24"/>
                <w:szCs w:val="24"/>
              </w:rPr>
            </w:pPr>
            <w:r w:rsidRPr="00DC004C">
              <w:rPr>
                <w:rFonts w:ascii="Arial" w:hAnsi="Arial" w:cs="Arial"/>
                <w:b/>
                <w:bCs/>
                <w:sz w:val="24"/>
                <w:szCs w:val="24"/>
              </w:rPr>
              <w:t>Hofstede dimension</w:t>
            </w:r>
          </w:p>
        </w:tc>
        <w:tc>
          <w:tcPr>
            <w:tcW w:w="0" w:type="auto"/>
            <w:hideMark/>
          </w:tcPr>
          <w:p w14:paraId="18A8C88E" w14:textId="77777777" w:rsidR="00EF5F21" w:rsidRPr="00DC004C" w:rsidRDefault="00EF5F21" w:rsidP="004079FF">
            <w:pPr>
              <w:spacing w:after="160" w:line="259" w:lineRule="auto"/>
              <w:jc w:val="both"/>
              <w:rPr>
                <w:rFonts w:ascii="Arial" w:hAnsi="Arial" w:cs="Arial"/>
                <w:b/>
                <w:bCs/>
                <w:sz w:val="24"/>
                <w:szCs w:val="24"/>
              </w:rPr>
            </w:pPr>
            <w:r w:rsidRPr="00DC004C">
              <w:rPr>
                <w:rFonts w:ascii="Arial" w:hAnsi="Arial" w:cs="Arial"/>
                <w:b/>
                <w:bCs/>
                <w:sz w:val="24"/>
                <w:szCs w:val="24"/>
              </w:rPr>
              <w:t>United Kingdom</w:t>
            </w:r>
          </w:p>
        </w:tc>
        <w:tc>
          <w:tcPr>
            <w:tcW w:w="0" w:type="auto"/>
            <w:hideMark/>
          </w:tcPr>
          <w:p w14:paraId="1E22A636" w14:textId="77777777" w:rsidR="00EF5F21" w:rsidRPr="00DC004C" w:rsidRDefault="00EF5F21" w:rsidP="004079FF">
            <w:pPr>
              <w:spacing w:after="160" w:line="259" w:lineRule="auto"/>
              <w:jc w:val="both"/>
              <w:rPr>
                <w:rFonts w:ascii="Arial" w:hAnsi="Arial" w:cs="Arial"/>
                <w:b/>
                <w:bCs/>
                <w:sz w:val="24"/>
                <w:szCs w:val="24"/>
              </w:rPr>
            </w:pPr>
            <w:r w:rsidRPr="00DC004C">
              <w:rPr>
                <w:rFonts w:ascii="Arial" w:hAnsi="Arial" w:cs="Arial"/>
                <w:b/>
                <w:bCs/>
                <w:sz w:val="24"/>
                <w:szCs w:val="24"/>
              </w:rPr>
              <w:t>India</w:t>
            </w:r>
          </w:p>
        </w:tc>
        <w:tc>
          <w:tcPr>
            <w:tcW w:w="0" w:type="auto"/>
            <w:hideMark/>
          </w:tcPr>
          <w:p w14:paraId="324F290E" w14:textId="77777777" w:rsidR="00EF5F21" w:rsidRPr="00DC004C" w:rsidRDefault="00EF5F21" w:rsidP="004079FF">
            <w:pPr>
              <w:spacing w:after="160" w:line="259" w:lineRule="auto"/>
              <w:jc w:val="both"/>
              <w:rPr>
                <w:rFonts w:ascii="Arial" w:hAnsi="Arial" w:cs="Arial"/>
                <w:b/>
                <w:bCs/>
                <w:sz w:val="24"/>
                <w:szCs w:val="24"/>
              </w:rPr>
            </w:pPr>
            <w:r w:rsidRPr="00DC004C">
              <w:rPr>
                <w:rFonts w:ascii="Arial" w:hAnsi="Arial" w:cs="Arial"/>
                <w:b/>
                <w:bCs/>
                <w:sz w:val="24"/>
                <w:szCs w:val="24"/>
              </w:rPr>
              <w:t>Marketing relevance for Cadbury</w:t>
            </w:r>
          </w:p>
        </w:tc>
      </w:tr>
      <w:tr w:rsidR="00912F73" w:rsidRPr="00DC004C" w14:paraId="6BABDC90" w14:textId="77777777" w:rsidTr="00EF5F21">
        <w:tc>
          <w:tcPr>
            <w:tcW w:w="0" w:type="auto"/>
            <w:hideMark/>
          </w:tcPr>
          <w:p w14:paraId="2CF4136E" w14:textId="7777777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Power distance</w:t>
            </w:r>
          </w:p>
        </w:tc>
        <w:tc>
          <w:tcPr>
            <w:tcW w:w="0" w:type="auto"/>
            <w:hideMark/>
          </w:tcPr>
          <w:p w14:paraId="2A9A3443" w14:textId="7777777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Relatively low</w:t>
            </w:r>
          </w:p>
        </w:tc>
        <w:tc>
          <w:tcPr>
            <w:tcW w:w="0" w:type="auto"/>
            <w:hideMark/>
          </w:tcPr>
          <w:p w14:paraId="78D3A4E2" w14:textId="7777777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High</w:t>
            </w:r>
          </w:p>
        </w:tc>
        <w:tc>
          <w:tcPr>
            <w:tcW w:w="0" w:type="auto"/>
            <w:hideMark/>
          </w:tcPr>
          <w:p w14:paraId="6A697B4B" w14:textId="2DEA89E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UK communication may be less formal and more individualised, while Indian promotion may use respected figures, aspirational messages and family roles.</w:t>
            </w:r>
          </w:p>
        </w:tc>
      </w:tr>
      <w:tr w:rsidR="00912F73" w:rsidRPr="00DC004C" w14:paraId="483D87B6" w14:textId="77777777" w:rsidTr="00EF5F21">
        <w:tc>
          <w:tcPr>
            <w:tcW w:w="0" w:type="auto"/>
            <w:hideMark/>
          </w:tcPr>
          <w:p w14:paraId="3B3964DE" w14:textId="7777777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Individualism versus collectivism</w:t>
            </w:r>
          </w:p>
        </w:tc>
        <w:tc>
          <w:tcPr>
            <w:tcW w:w="0" w:type="auto"/>
            <w:hideMark/>
          </w:tcPr>
          <w:p w14:paraId="23DF6980" w14:textId="7777777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Highly individualistic</w:t>
            </w:r>
          </w:p>
        </w:tc>
        <w:tc>
          <w:tcPr>
            <w:tcW w:w="0" w:type="auto"/>
            <w:hideMark/>
          </w:tcPr>
          <w:p w14:paraId="4CDF069A" w14:textId="7777777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More collectivist</w:t>
            </w:r>
          </w:p>
        </w:tc>
        <w:tc>
          <w:tcPr>
            <w:tcW w:w="0" w:type="auto"/>
            <w:hideMark/>
          </w:tcPr>
          <w:p w14:paraId="230D1724" w14:textId="48F77B0E"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 xml:space="preserve">UK consumers may respond to self-reward and personal enjoyment while Indian consumers may respond to sharing, family and </w:t>
            </w:r>
            <w:r w:rsidR="004079FF" w:rsidRPr="00DC004C">
              <w:rPr>
                <w:rFonts w:ascii="Arial" w:hAnsi="Arial" w:cs="Arial"/>
                <w:sz w:val="24"/>
                <w:szCs w:val="24"/>
              </w:rPr>
              <w:t>relationship-based</w:t>
            </w:r>
            <w:r w:rsidRPr="00DC004C">
              <w:rPr>
                <w:rFonts w:ascii="Arial" w:hAnsi="Arial" w:cs="Arial"/>
                <w:sz w:val="24"/>
                <w:szCs w:val="24"/>
              </w:rPr>
              <w:t xml:space="preserve"> campaigns.</w:t>
            </w:r>
          </w:p>
        </w:tc>
      </w:tr>
      <w:tr w:rsidR="00912F73" w:rsidRPr="00DC004C" w14:paraId="67A15914" w14:textId="77777777" w:rsidTr="00EF5F21">
        <w:tc>
          <w:tcPr>
            <w:tcW w:w="0" w:type="auto"/>
            <w:hideMark/>
          </w:tcPr>
          <w:p w14:paraId="7B8C1D77" w14:textId="7777777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Masculinity versus femininity</w:t>
            </w:r>
          </w:p>
        </w:tc>
        <w:tc>
          <w:tcPr>
            <w:tcW w:w="0" w:type="auto"/>
            <w:hideMark/>
          </w:tcPr>
          <w:p w14:paraId="495361F4" w14:textId="7777777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Moderately masculine</w:t>
            </w:r>
          </w:p>
        </w:tc>
        <w:tc>
          <w:tcPr>
            <w:tcW w:w="0" w:type="auto"/>
            <w:hideMark/>
          </w:tcPr>
          <w:p w14:paraId="1EE1B412" w14:textId="7777777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Moderately masculine</w:t>
            </w:r>
          </w:p>
        </w:tc>
        <w:tc>
          <w:tcPr>
            <w:tcW w:w="0" w:type="auto"/>
            <w:hideMark/>
          </w:tcPr>
          <w:p w14:paraId="53C5D5A1" w14:textId="309A7C42"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Achievement, success and aspiration can be relevant in both markets but messages must be culturally appropriate.</w:t>
            </w:r>
          </w:p>
        </w:tc>
      </w:tr>
      <w:tr w:rsidR="00912F73" w:rsidRPr="00DC004C" w14:paraId="37EB5A94" w14:textId="77777777" w:rsidTr="00EF5F21">
        <w:tc>
          <w:tcPr>
            <w:tcW w:w="0" w:type="auto"/>
            <w:hideMark/>
          </w:tcPr>
          <w:p w14:paraId="33E33B11" w14:textId="7777777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Uncertainty avoidance</w:t>
            </w:r>
          </w:p>
        </w:tc>
        <w:tc>
          <w:tcPr>
            <w:tcW w:w="0" w:type="auto"/>
            <w:hideMark/>
          </w:tcPr>
          <w:p w14:paraId="2F5DDD1C" w14:textId="7777777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Relatively low</w:t>
            </w:r>
          </w:p>
        </w:tc>
        <w:tc>
          <w:tcPr>
            <w:tcW w:w="0" w:type="auto"/>
            <w:hideMark/>
          </w:tcPr>
          <w:p w14:paraId="3EF83E28" w14:textId="7777777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Moderate</w:t>
            </w:r>
          </w:p>
        </w:tc>
        <w:tc>
          <w:tcPr>
            <w:tcW w:w="0" w:type="auto"/>
            <w:hideMark/>
          </w:tcPr>
          <w:p w14:paraId="54756D35" w14:textId="0CB32FD8"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Both markets are open to product innovation but clear quality, safety and trusted brand signals still are important.</w:t>
            </w:r>
          </w:p>
        </w:tc>
      </w:tr>
      <w:tr w:rsidR="00912F73" w:rsidRPr="00DC004C" w14:paraId="3560EDFA" w14:textId="77777777" w:rsidTr="00EF5F21">
        <w:tc>
          <w:tcPr>
            <w:tcW w:w="0" w:type="auto"/>
            <w:hideMark/>
          </w:tcPr>
          <w:p w14:paraId="5AFEAED0" w14:textId="7777777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lastRenderedPageBreak/>
              <w:t>Long-term orientation</w:t>
            </w:r>
          </w:p>
        </w:tc>
        <w:tc>
          <w:tcPr>
            <w:tcW w:w="0" w:type="auto"/>
            <w:hideMark/>
          </w:tcPr>
          <w:p w14:paraId="7785539A" w14:textId="7777777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More normative/shorter-term</w:t>
            </w:r>
          </w:p>
        </w:tc>
        <w:tc>
          <w:tcPr>
            <w:tcW w:w="0" w:type="auto"/>
            <w:hideMark/>
          </w:tcPr>
          <w:p w14:paraId="50E52651" w14:textId="7777777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More pragmatic/long-term</w:t>
            </w:r>
          </w:p>
        </w:tc>
        <w:tc>
          <w:tcPr>
            <w:tcW w:w="0" w:type="auto"/>
            <w:hideMark/>
          </w:tcPr>
          <w:p w14:paraId="01FBD682" w14:textId="7E7EE953"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Indian consumers may value tradition, trust and lasting relationships. Cadbury can link long term heritage with celebration occasions.</w:t>
            </w:r>
          </w:p>
        </w:tc>
      </w:tr>
      <w:tr w:rsidR="00912F73" w:rsidRPr="00DC004C" w14:paraId="4F91E74E" w14:textId="77777777" w:rsidTr="00EF5F21">
        <w:tc>
          <w:tcPr>
            <w:tcW w:w="0" w:type="auto"/>
            <w:hideMark/>
          </w:tcPr>
          <w:p w14:paraId="629664DD" w14:textId="7777777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Indulgence versus restraint</w:t>
            </w:r>
          </w:p>
        </w:tc>
        <w:tc>
          <w:tcPr>
            <w:tcW w:w="0" w:type="auto"/>
            <w:hideMark/>
          </w:tcPr>
          <w:p w14:paraId="3EA86959" w14:textId="7777777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High indulgence</w:t>
            </w:r>
          </w:p>
        </w:tc>
        <w:tc>
          <w:tcPr>
            <w:tcW w:w="0" w:type="auto"/>
            <w:hideMark/>
          </w:tcPr>
          <w:p w14:paraId="5DDE46DC" w14:textId="77777777"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Greater restraint</w:t>
            </w:r>
          </w:p>
        </w:tc>
        <w:tc>
          <w:tcPr>
            <w:tcW w:w="0" w:type="auto"/>
            <w:hideMark/>
          </w:tcPr>
          <w:p w14:paraId="3351435C" w14:textId="1354A4CF" w:rsidR="00912F73" w:rsidRPr="00DC004C" w:rsidRDefault="00912F73" w:rsidP="004079FF">
            <w:pPr>
              <w:spacing w:after="160" w:line="259" w:lineRule="auto"/>
              <w:jc w:val="both"/>
              <w:rPr>
                <w:rFonts w:ascii="Arial" w:hAnsi="Arial" w:cs="Arial"/>
                <w:sz w:val="24"/>
                <w:szCs w:val="24"/>
              </w:rPr>
            </w:pPr>
            <w:r w:rsidRPr="00DC004C">
              <w:rPr>
                <w:rFonts w:ascii="Arial" w:hAnsi="Arial" w:cs="Arial"/>
                <w:sz w:val="24"/>
                <w:szCs w:val="24"/>
              </w:rPr>
              <w:t>UK marketing can emphasise personal treats and pleasure; Indian campaigns may link indulgence with socially acceptable occasions such as sharing and gifting.</w:t>
            </w:r>
          </w:p>
        </w:tc>
      </w:tr>
    </w:tbl>
    <w:p w14:paraId="60B49CFD" w14:textId="77777777" w:rsidR="00390CF8" w:rsidRPr="00DC004C" w:rsidRDefault="00390CF8" w:rsidP="004079FF">
      <w:pPr>
        <w:jc w:val="both"/>
        <w:rPr>
          <w:rFonts w:ascii="Arial" w:hAnsi="Arial" w:cs="Arial"/>
          <w:b/>
          <w:bCs/>
          <w:sz w:val="24"/>
          <w:szCs w:val="24"/>
        </w:rPr>
      </w:pPr>
    </w:p>
    <w:p w14:paraId="2B636EBC" w14:textId="043AD972" w:rsidR="00EF5F21" w:rsidRPr="00DC004C" w:rsidRDefault="00EF5F21" w:rsidP="00DC004C">
      <w:pPr>
        <w:pStyle w:val="Heading2"/>
        <w:rPr>
          <w:rFonts w:ascii="Arial" w:hAnsi="Arial" w:cs="Arial"/>
          <w:b/>
          <w:bCs/>
          <w:sz w:val="24"/>
          <w:szCs w:val="24"/>
        </w:rPr>
      </w:pPr>
      <w:bookmarkStart w:id="18" w:name="_Toc237516327"/>
      <w:r w:rsidRPr="00DC004C">
        <w:rPr>
          <w:rFonts w:ascii="Arial" w:hAnsi="Arial" w:cs="Arial"/>
          <w:b/>
          <w:bCs/>
          <w:sz w:val="24"/>
          <w:szCs w:val="24"/>
        </w:rPr>
        <w:t>4.3 Cultural Similarities and Differences Affecting Cadbury</w:t>
      </w:r>
      <w:bookmarkEnd w:id="18"/>
    </w:p>
    <w:p w14:paraId="12245718" w14:textId="77777777" w:rsidR="00912F73" w:rsidRPr="00DC004C" w:rsidRDefault="00912F73" w:rsidP="004079FF">
      <w:pPr>
        <w:jc w:val="both"/>
        <w:rPr>
          <w:rFonts w:ascii="Arial" w:hAnsi="Arial" w:cs="Arial"/>
          <w:sz w:val="24"/>
          <w:szCs w:val="24"/>
        </w:rPr>
      </w:pPr>
      <w:r w:rsidRPr="00DC004C">
        <w:rPr>
          <w:rFonts w:ascii="Arial" w:hAnsi="Arial" w:cs="Arial"/>
          <w:sz w:val="24"/>
          <w:szCs w:val="24"/>
        </w:rPr>
        <w:t xml:space="preserve">The main difference is cultural and </w:t>
      </w:r>
      <w:proofErr w:type="gramStart"/>
      <w:r w:rsidRPr="00DC004C">
        <w:rPr>
          <w:rFonts w:ascii="Arial" w:hAnsi="Arial" w:cs="Arial"/>
          <w:sz w:val="24"/>
          <w:szCs w:val="24"/>
        </w:rPr>
        <w:t>it’s</w:t>
      </w:r>
      <w:proofErr w:type="gramEnd"/>
      <w:r w:rsidRPr="00DC004C">
        <w:rPr>
          <w:rFonts w:ascii="Arial" w:hAnsi="Arial" w:cs="Arial"/>
          <w:sz w:val="24"/>
          <w:szCs w:val="24"/>
        </w:rPr>
        <w:t xml:space="preserve"> individualism. Cadbury can adopt communication around individual enjoyment, convenience and self-treating in the UK. India’s more collectivist values mean family, friendship, gifting and celebration are particularly relevant. Cadbury should therefore continue with its global message of enjoyment but change the emotional context in which the enjoyment is presented.</w:t>
      </w:r>
    </w:p>
    <w:p w14:paraId="1659339D" w14:textId="76AD0D33" w:rsidR="00EF5F21" w:rsidRPr="00DC004C" w:rsidRDefault="00912F73" w:rsidP="004079FF">
      <w:pPr>
        <w:jc w:val="both"/>
        <w:rPr>
          <w:rFonts w:ascii="Arial" w:hAnsi="Arial" w:cs="Arial"/>
          <w:sz w:val="24"/>
          <w:szCs w:val="24"/>
        </w:rPr>
      </w:pPr>
      <w:r w:rsidRPr="00DC004C">
        <w:rPr>
          <w:rFonts w:ascii="Arial" w:hAnsi="Arial" w:cs="Arial"/>
          <w:sz w:val="24"/>
          <w:szCs w:val="24"/>
        </w:rPr>
        <w:t>One similarity is that both markets may respond to quality you can trust and emotionally engaging brand stories. This allows Cadbury to maintain consistent global brand assets, such as its signature identity, while changing the themes, language, occasions and channels of campaigns.</w:t>
      </w:r>
      <w:r w:rsidR="008D483F" w:rsidRPr="00DC004C">
        <w:rPr>
          <w:rFonts w:ascii="Arial" w:hAnsi="Arial" w:cs="Arial"/>
          <w:sz w:val="24"/>
          <w:szCs w:val="24"/>
        </w:rPr>
        <w:t xml:space="preserve"> (Banerjee and Kanwar, 2023)</w:t>
      </w:r>
    </w:p>
    <w:p w14:paraId="771DBC0A" w14:textId="77777777" w:rsidR="00EF5F21" w:rsidRPr="00DC004C" w:rsidRDefault="00EF5F21" w:rsidP="00DC004C">
      <w:pPr>
        <w:pStyle w:val="Heading2"/>
        <w:rPr>
          <w:rFonts w:ascii="Arial" w:hAnsi="Arial" w:cs="Arial"/>
          <w:b/>
          <w:bCs/>
          <w:sz w:val="24"/>
          <w:szCs w:val="24"/>
        </w:rPr>
      </w:pPr>
      <w:bookmarkStart w:id="19" w:name="_Toc237516328"/>
      <w:r w:rsidRPr="00DC004C">
        <w:rPr>
          <w:rFonts w:ascii="Arial" w:hAnsi="Arial" w:cs="Arial"/>
          <w:b/>
          <w:bCs/>
          <w:sz w:val="24"/>
          <w:szCs w:val="24"/>
        </w:rPr>
        <w:t>4.4 Strengths and Limitations of Hofstede’s Model</w:t>
      </w:r>
      <w:bookmarkEnd w:id="19"/>
    </w:p>
    <w:p w14:paraId="228B6711" w14:textId="453D8330" w:rsidR="00912F73" w:rsidRPr="00DC004C" w:rsidRDefault="00912F73" w:rsidP="004079FF">
      <w:pPr>
        <w:jc w:val="both"/>
        <w:rPr>
          <w:rFonts w:ascii="Arial" w:hAnsi="Arial" w:cs="Arial"/>
          <w:sz w:val="24"/>
          <w:szCs w:val="24"/>
        </w:rPr>
      </w:pPr>
      <w:r w:rsidRPr="00DC004C">
        <w:rPr>
          <w:rFonts w:ascii="Arial" w:hAnsi="Arial" w:cs="Arial"/>
          <w:sz w:val="24"/>
          <w:szCs w:val="24"/>
        </w:rPr>
        <w:t xml:space="preserve">One of the main advantages of Hofstede’s model is </w:t>
      </w:r>
      <w:proofErr w:type="gramStart"/>
      <w:r w:rsidRPr="00DC004C">
        <w:rPr>
          <w:rFonts w:ascii="Arial" w:hAnsi="Arial" w:cs="Arial"/>
          <w:sz w:val="24"/>
          <w:szCs w:val="24"/>
        </w:rPr>
        <w:t>its</w:t>
      </w:r>
      <w:proofErr w:type="gramEnd"/>
      <w:r w:rsidRPr="00DC004C">
        <w:rPr>
          <w:rFonts w:ascii="Arial" w:hAnsi="Arial" w:cs="Arial"/>
          <w:sz w:val="24"/>
          <w:szCs w:val="24"/>
        </w:rPr>
        <w:t xml:space="preserve"> providing a clear pattern for comparing broad cultural tendencies and risks in standardised marketing. Similarly, cross-cultural marketing research suggests that organisations should understand and respect foreign cultural contexts when developing international campaigns. </w:t>
      </w:r>
      <w:r w:rsidR="008D483F" w:rsidRPr="00DC004C">
        <w:rPr>
          <w:rFonts w:ascii="Arial" w:hAnsi="Arial" w:cs="Arial"/>
          <w:sz w:val="24"/>
          <w:szCs w:val="24"/>
        </w:rPr>
        <w:t>(Dey et al., 2019)</w:t>
      </w:r>
    </w:p>
    <w:p w14:paraId="53C71C06" w14:textId="58FDBCC8" w:rsidR="00EF5F21" w:rsidRPr="00DC004C" w:rsidRDefault="00912F73" w:rsidP="004079FF">
      <w:pPr>
        <w:jc w:val="both"/>
        <w:rPr>
          <w:rFonts w:ascii="Arial" w:hAnsi="Arial" w:cs="Arial"/>
          <w:b/>
          <w:bCs/>
          <w:sz w:val="24"/>
          <w:szCs w:val="24"/>
        </w:rPr>
      </w:pPr>
      <w:r w:rsidRPr="00DC004C">
        <w:rPr>
          <w:rFonts w:ascii="Arial" w:hAnsi="Arial" w:cs="Arial"/>
          <w:sz w:val="24"/>
          <w:szCs w:val="24"/>
        </w:rPr>
        <w:t xml:space="preserve">But the model has its limitations. This is based on national averages, and may oversimplify culturally diverse markets, not least India, where region, religion, language, social class and urbanisation can all influence consumption. It also may underestimate the extent to which globalisation, digital media and younger consumers promote hybrid identities. Research into multicultural consumers has shown that acculturation needs to be considered when making decisions about adaptation and standardisation, rather than assuming that culture is fixed. </w:t>
      </w:r>
      <w:r w:rsidR="00EF5F21" w:rsidRPr="00DC004C">
        <w:rPr>
          <w:rFonts w:ascii="Arial" w:hAnsi="Arial" w:cs="Arial"/>
          <w:b/>
          <w:bCs/>
          <w:sz w:val="24"/>
          <w:szCs w:val="24"/>
        </w:rPr>
        <w:br w:type="page"/>
      </w:r>
    </w:p>
    <w:p w14:paraId="4226AC0A" w14:textId="77777777" w:rsidR="00FA2D11" w:rsidRPr="00DC004C" w:rsidRDefault="00A547F2" w:rsidP="00DC004C">
      <w:pPr>
        <w:pStyle w:val="Heading1"/>
        <w:rPr>
          <w:rFonts w:ascii="Arial" w:hAnsi="Arial" w:cs="Arial"/>
          <w:b/>
          <w:bCs/>
          <w:sz w:val="24"/>
          <w:szCs w:val="24"/>
        </w:rPr>
      </w:pPr>
      <w:bookmarkStart w:id="20" w:name="_Toc237516329"/>
      <w:r w:rsidRPr="00DC004C">
        <w:rPr>
          <w:rFonts w:ascii="Arial" w:hAnsi="Arial" w:cs="Arial"/>
          <w:b/>
          <w:bCs/>
          <w:sz w:val="24"/>
          <w:szCs w:val="24"/>
        </w:rPr>
        <w:lastRenderedPageBreak/>
        <w:t>5. Comparative STP Strategy</w:t>
      </w:r>
      <w:bookmarkEnd w:id="20"/>
    </w:p>
    <w:p w14:paraId="48E3F41D" w14:textId="77777777" w:rsidR="00FA2D11" w:rsidRPr="00DC004C" w:rsidRDefault="00FA2D11" w:rsidP="004079FF">
      <w:pPr>
        <w:jc w:val="both"/>
        <w:rPr>
          <w:rFonts w:ascii="Arial" w:hAnsi="Arial" w:cs="Arial"/>
          <w:b/>
          <w:bCs/>
          <w:sz w:val="24"/>
          <w:szCs w:val="24"/>
        </w:rPr>
      </w:pPr>
    </w:p>
    <w:p w14:paraId="5D13B949" w14:textId="408DE334" w:rsidR="00A547F2" w:rsidRPr="00DC004C" w:rsidRDefault="00A547F2" w:rsidP="00DC004C">
      <w:pPr>
        <w:pStyle w:val="Heading2"/>
        <w:rPr>
          <w:rFonts w:ascii="Arial" w:hAnsi="Arial" w:cs="Arial"/>
          <w:b/>
          <w:bCs/>
          <w:sz w:val="24"/>
          <w:szCs w:val="24"/>
        </w:rPr>
      </w:pPr>
      <w:r w:rsidRPr="00DC004C">
        <w:rPr>
          <w:rFonts w:ascii="Arial" w:hAnsi="Arial" w:cs="Arial"/>
          <w:b/>
          <w:bCs/>
          <w:sz w:val="24"/>
          <w:szCs w:val="24"/>
        </w:rPr>
        <w:t xml:space="preserve"> </w:t>
      </w:r>
      <w:bookmarkStart w:id="21" w:name="_Toc237516330"/>
      <w:r w:rsidR="00DC004C" w:rsidRPr="00DC004C">
        <w:rPr>
          <w:rFonts w:ascii="Arial" w:hAnsi="Arial" w:cs="Arial"/>
          <w:b/>
          <w:bCs/>
          <w:sz w:val="24"/>
          <w:szCs w:val="24"/>
        </w:rPr>
        <w:t xml:space="preserve">5.1 </w:t>
      </w:r>
      <w:r w:rsidRPr="00DC004C">
        <w:rPr>
          <w:rFonts w:ascii="Arial" w:hAnsi="Arial" w:cs="Arial"/>
          <w:b/>
          <w:bCs/>
          <w:sz w:val="24"/>
          <w:szCs w:val="24"/>
        </w:rPr>
        <w:t>Introduction to STP</w:t>
      </w:r>
      <w:bookmarkEnd w:id="21"/>
    </w:p>
    <w:p w14:paraId="6FFDE556" w14:textId="3FEA27C6" w:rsidR="00912F73" w:rsidRPr="00DC004C" w:rsidRDefault="00912F73" w:rsidP="004079FF">
      <w:pPr>
        <w:jc w:val="both"/>
        <w:rPr>
          <w:rFonts w:ascii="Arial" w:hAnsi="Arial" w:cs="Arial"/>
          <w:sz w:val="24"/>
          <w:szCs w:val="24"/>
        </w:rPr>
      </w:pPr>
      <w:r w:rsidRPr="00DC004C">
        <w:rPr>
          <w:rFonts w:ascii="Arial" w:hAnsi="Arial" w:cs="Arial"/>
          <w:sz w:val="24"/>
          <w:szCs w:val="24"/>
        </w:rPr>
        <w:t>Segmentation, targeting and positioning (STP) allow firms to identify groups of consumers with similar needs, choose the groups they can serve most effectively, and develop a distinctive brand meaning. Instead of assuming the homogeneity of a national market, international segmentation should combine consumer identity, demographic features, buying decisions and communication habits. STP is important for Cadbury because the UK and India differ in terms of purchasing power, consumption occasions, retail access and cultural meanings attached to chocolate.</w:t>
      </w:r>
      <w:r w:rsidR="008D483F" w:rsidRPr="00DC004C">
        <w:rPr>
          <w:rFonts w:ascii="Arial" w:hAnsi="Arial" w:cs="Arial"/>
          <w:sz w:val="24"/>
          <w:szCs w:val="24"/>
        </w:rPr>
        <w:t xml:space="preserve"> (Brown et al., 2021)</w:t>
      </w:r>
    </w:p>
    <w:p w14:paraId="6153549F" w14:textId="77777777" w:rsidR="00A547F2" w:rsidRPr="00DC004C" w:rsidRDefault="00A547F2" w:rsidP="004079FF">
      <w:pPr>
        <w:jc w:val="both"/>
        <w:rPr>
          <w:rFonts w:ascii="Arial" w:hAnsi="Arial" w:cs="Arial"/>
          <w:sz w:val="24"/>
          <w:szCs w:val="24"/>
        </w:rPr>
      </w:pPr>
    </w:p>
    <w:tbl>
      <w:tblPr>
        <w:tblStyle w:val="TableGrid"/>
        <w:tblW w:w="11057" w:type="dxa"/>
        <w:tblInd w:w="-856" w:type="dxa"/>
        <w:tblLook w:val="04A0" w:firstRow="1" w:lastRow="0" w:firstColumn="1" w:lastColumn="0" w:noHBand="0" w:noVBand="1"/>
      </w:tblPr>
      <w:tblGrid>
        <w:gridCol w:w="1937"/>
        <w:gridCol w:w="2883"/>
        <w:gridCol w:w="2977"/>
        <w:gridCol w:w="3260"/>
      </w:tblGrid>
      <w:tr w:rsidR="00A547F2" w:rsidRPr="00DC004C" w14:paraId="213BF5C9" w14:textId="77777777" w:rsidTr="00AA69F3">
        <w:tc>
          <w:tcPr>
            <w:tcW w:w="1937" w:type="dxa"/>
            <w:hideMark/>
          </w:tcPr>
          <w:p w14:paraId="4C04C94F" w14:textId="77777777" w:rsidR="00A547F2" w:rsidRPr="00DC004C" w:rsidRDefault="00A547F2" w:rsidP="004079FF">
            <w:pPr>
              <w:spacing w:after="160" w:line="259" w:lineRule="auto"/>
              <w:jc w:val="both"/>
              <w:rPr>
                <w:rFonts w:ascii="Arial" w:hAnsi="Arial" w:cs="Arial"/>
                <w:b/>
                <w:bCs/>
                <w:sz w:val="24"/>
                <w:szCs w:val="24"/>
              </w:rPr>
            </w:pPr>
            <w:r w:rsidRPr="00DC004C">
              <w:rPr>
                <w:rFonts w:ascii="Arial" w:hAnsi="Arial" w:cs="Arial"/>
                <w:b/>
                <w:bCs/>
                <w:sz w:val="24"/>
                <w:szCs w:val="24"/>
              </w:rPr>
              <w:t>Section</w:t>
            </w:r>
          </w:p>
        </w:tc>
        <w:tc>
          <w:tcPr>
            <w:tcW w:w="2883" w:type="dxa"/>
            <w:hideMark/>
          </w:tcPr>
          <w:p w14:paraId="6EABA93F" w14:textId="77777777" w:rsidR="00A547F2" w:rsidRPr="00DC004C" w:rsidRDefault="00A547F2" w:rsidP="004079FF">
            <w:pPr>
              <w:spacing w:after="160" w:line="259" w:lineRule="auto"/>
              <w:jc w:val="both"/>
              <w:rPr>
                <w:rFonts w:ascii="Arial" w:hAnsi="Arial" w:cs="Arial"/>
                <w:b/>
                <w:bCs/>
                <w:sz w:val="24"/>
                <w:szCs w:val="24"/>
              </w:rPr>
            </w:pPr>
            <w:r w:rsidRPr="00DC004C">
              <w:rPr>
                <w:rFonts w:ascii="Arial" w:hAnsi="Arial" w:cs="Arial"/>
                <w:b/>
                <w:bCs/>
                <w:sz w:val="24"/>
                <w:szCs w:val="24"/>
              </w:rPr>
              <w:t>United Kingdom</w:t>
            </w:r>
          </w:p>
        </w:tc>
        <w:tc>
          <w:tcPr>
            <w:tcW w:w="2977" w:type="dxa"/>
            <w:hideMark/>
          </w:tcPr>
          <w:p w14:paraId="4A88D604" w14:textId="77777777" w:rsidR="00A547F2" w:rsidRPr="00DC004C" w:rsidRDefault="00A547F2" w:rsidP="004079FF">
            <w:pPr>
              <w:spacing w:after="160" w:line="259" w:lineRule="auto"/>
              <w:jc w:val="both"/>
              <w:rPr>
                <w:rFonts w:ascii="Arial" w:hAnsi="Arial" w:cs="Arial"/>
                <w:b/>
                <w:bCs/>
                <w:sz w:val="24"/>
                <w:szCs w:val="24"/>
              </w:rPr>
            </w:pPr>
            <w:r w:rsidRPr="00DC004C">
              <w:rPr>
                <w:rFonts w:ascii="Arial" w:hAnsi="Arial" w:cs="Arial"/>
                <w:b/>
                <w:bCs/>
                <w:sz w:val="24"/>
                <w:szCs w:val="24"/>
              </w:rPr>
              <w:t>India</w:t>
            </w:r>
          </w:p>
        </w:tc>
        <w:tc>
          <w:tcPr>
            <w:tcW w:w="3260" w:type="dxa"/>
            <w:hideMark/>
          </w:tcPr>
          <w:p w14:paraId="7E87224E" w14:textId="77777777" w:rsidR="00A547F2" w:rsidRPr="00DC004C" w:rsidRDefault="00A547F2" w:rsidP="004079FF">
            <w:pPr>
              <w:spacing w:after="160" w:line="259" w:lineRule="auto"/>
              <w:jc w:val="both"/>
              <w:rPr>
                <w:rFonts w:ascii="Arial" w:hAnsi="Arial" w:cs="Arial"/>
                <w:b/>
                <w:bCs/>
                <w:sz w:val="24"/>
                <w:szCs w:val="24"/>
              </w:rPr>
            </w:pPr>
            <w:r w:rsidRPr="00DC004C">
              <w:rPr>
                <w:rFonts w:ascii="Arial" w:hAnsi="Arial" w:cs="Arial"/>
                <w:b/>
                <w:bCs/>
                <w:sz w:val="24"/>
                <w:szCs w:val="24"/>
              </w:rPr>
              <w:t>Comparative analysis and strategic implication</w:t>
            </w:r>
          </w:p>
        </w:tc>
      </w:tr>
      <w:tr w:rsidR="00AA69F3" w:rsidRPr="00DC004C" w14:paraId="18FE79A0" w14:textId="77777777" w:rsidTr="00AA69F3">
        <w:tc>
          <w:tcPr>
            <w:tcW w:w="1937" w:type="dxa"/>
            <w:hideMark/>
          </w:tcPr>
          <w:p w14:paraId="769134A3" w14:textId="001DC368" w:rsidR="00AA69F3" w:rsidRPr="00DC004C" w:rsidRDefault="00AA69F3" w:rsidP="004079FF">
            <w:pPr>
              <w:spacing w:after="160" w:line="259" w:lineRule="auto"/>
              <w:jc w:val="both"/>
              <w:rPr>
                <w:rFonts w:ascii="Arial" w:hAnsi="Arial" w:cs="Arial"/>
                <w:sz w:val="24"/>
                <w:szCs w:val="24"/>
              </w:rPr>
            </w:pPr>
            <w:r w:rsidRPr="00DC004C">
              <w:rPr>
                <w:rFonts w:ascii="Arial" w:hAnsi="Arial" w:cs="Arial"/>
                <w:b/>
                <w:bCs/>
                <w:sz w:val="24"/>
                <w:szCs w:val="24"/>
              </w:rPr>
              <w:t>Demographic segmentation</w:t>
            </w:r>
          </w:p>
        </w:tc>
        <w:tc>
          <w:tcPr>
            <w:tcW w:w="2883" w:type="dxa"/>
            <w:hideMark/>
          </w:tcPr>
          <w:p w14:paraId="3B9D558A" w14:textId="7482A3E1"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Cadbury is able to segment consumers according to age, income and household composition. Kids and teens may go for familiar single bars, families may choose multipacks or sharing products and adults may go for premium boxed chocolates and seasonal gifts.</w:t>
            </w:r>
          </w:p>
        </w:tc>
        <w:tc>
          <w:tcPr>
            <w:tcW w:w="2977" w:type="dxa"/>
            <w:hideMark/>
          </w:tcPr>
          <w:p w14:paraId="1DE76095" w14:textId="0FCEEB4F"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Cadbury can differentiate consumers based on age, income, family structure and urban location. Young consumers may opt for the accessible chocolate products, whereas families and gift buyers might go for the sharing products, festival packs and premium gift boxes.</w:t>
            </w:r>
          </w:p>
        </w:tc>
        <w:tc>
          <w:tcPr>
            <w:tcW w:w="3260" w:type="dxa"/>
            <w:hideMark/>
          </w:tcPr>
          <w:p w14:paraId="5070F89D" w14:textId="7078B2A5"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 xml:space="preserve">Demographic segmentation is relevant in both markets. However, in India the </w:t>
            </w:r>
            <w:proofErr w:type="gramStart"/>
            <w:r w:rsidRPr="00DC004C">
              <w:rPr>
                <w:rFonts w:ascii="Arial" w:hAnsi="Arial" w:cs="Arial"/>
                <w:sz w:val="24"/>
                <w:szCs w:val="24"/>
              </w:rPr>
              <w:t>income based</w:t>
            </w:r>
            <w:proofErr w:type="gramEnd"/>
            <w:r w:rsidRPr="00DC004C">
              <w:rPr>
                <w:rFonts w:ascii="Arial" w:hAnsi="Arial" w:cs="Arial"/>
                <w:sz w:val="24"/>
                <w:szCs w:val="24"/>
              </w:rPr>
              <w:t xml:space="preserve"> segmentation is more important as there is a big difference in the purchase power among the consumer groups. Hence, Cadbury should offer a wider range of affordable price points in India.</w:t>
            </w:r>
          </w:p>
        </w:tc>
      </w:tr>
      <w:tr w:rsidR="00AA69F3" w:rsidRPr="00DC004C" w14:paraId="2C3B6356" w14:textId="77777777" w:rsidTr="00AA69F3">
        <w:tc>
          <w:tcPr>
            <w:tcW w:w="1937" w:type="dxa"/>
            <w:hideMark/>
          </w:tcPr>
          <w:p w14:paraId="758CB9C0" w14:textId="380B097B" w:rsidR="00AA69F3" w:rsidRPr="00DC004C" w:rsidRDefault="00AA69F3" w:rsidP="004079FF">
            <w:pPr>
              <w:spacing w:after="160" w:line="259" w:lineRule="auto"/>
              <w:jc w:val="both"/>
              <w:rPr>
                <w:rFonts w:ascii="Arial" w:hAnsi="Arial" w:cs="Arial"/>
                <w:sz w:val="24"/>
                <w:szCs w:val="24"/>
              </w:rPr>
            </w:pPr>
            <w:r w:rsidRPr="00DC004C">
              <w:rPr>
                <w:rFonts w:ascii="Arial" w:hAnsi="Arial" w:cs="Arial"/>
                <w:b/>
                <w:bCs/>
                <w:sz w:val="24"/>
                <w:szCs w:val="24"/>
              </w:rPr>
              <w:t>Psychographic segmentation and VALS</w:t>
            </w:r>
          </w:p>
        </w:tc>
        <w:tc>
          <w:tcPr>
            <w:tcW w:w="2883" w:type="dxa"/>
            <w:hideMark/>
          </w:tcPr>
          <w:p w14:paraId="32BEF7A8" w14:textId="73003385"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The VALS framework can be used to identify consumers who are experience-seeking, quality-conscious and ethically aware. Such consumers may appreciate self-reward, premium quality, convenience and sustainability.</w:t>
            </w:r>
          </w:p>
        </w:tc>
        <w:tc>
          <w:tcPr>
            <w:tcW w:w="2977" w:type="dxa"/>
            <w:hideMark/>
          </w:tcPr>
          <w:p w14:paraId="632FBA13" w14:textId="1B15C203"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VALS can be useful for interpreting aspirers, achievers and family-oriented consumers. Aspirational consumers may see Cadbury as a trusted international brand Family orientated consumers may associate chocolate with sharing, relationships and celebration.</w:t>
            </w:r>
          </w:p>
        </w:tc>
        <w:tc>
          <w:tcPr>
            <w:tcW w:w="3260" w:type="dxa"/>
            <w:hideMark/>
          </w:tcPr>
          <w:p w14:paraId="39026722" w14:textId="46DBF06E"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Note that the VALS is used as a framework for analysis and not as evidence that Cadbury officially employs this model. The UK supports messages based on individual indulgence and ethical consumption. India supports communication based on aspiration, relationships and shared enjoyment.</w:t>
            </w:r>
          </w:p>
        </w:tc>
      </w:tr>
      <w:tr w:rsidR="00AA69F3" w:rsidRPr="00DC004C" w14:paraId="50170F96" w14:textId="77777777" w:rsidTr="00AA69F3">
        <w:tc>
          <w:tcPr>
            <w:tcW w:w="1937" w:type="dxa"/>
            <w:hideMark/>
          </w:tcPr>
          <w:p w14:paraId="7D5EA7DD" w14:textId="41293E63" w:rsidR="00AA69F3" w:rsidRPr="00DC004C" w:rsidRDefault="00AA69F3" w:rsidP="004079FF">
            <w:pPr>
              <w:spacing w:after="160" w:line="259" w:lineRule="auto"/>
              <w:jc w:val="both"/>
              <w:rPr>
                <w:rFonts w:ascii="Arial" w:hAnsi="Arial" w:cs="Arial"/>
                <w:sz w:val="24"/>
                <w:szCs w:val="24"/>
              </w:rPr>
            </w:pPr>
            <w:r w:rsidRPr="00DC004C">
              <w:rPr>
                <w:rFonts w:ascii="Arial" w:hAnsi="Arial" w:cs="Arial"/>
                <w:b/>
                <w:bCs/>
                <w:sz w:val="24"/>
                <w:szCs w:val="24"/>
              </w:rPr>
              <w:lastRenderedPageBreak/>
              <w:t>Comparison of segmentation approaches</w:t>
            </w:r>
          </w:p>
        </w:tc>
        <w:tc>
          <w:tcPr>
            <w:tcW w:w="2883" w:type="dxa"/>
            <w:hideMark/>
          </w:tcPr>
          <w:p w14:paraId="335AD062" w14:textId="572621E4"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Cadbury’s segmentation is likely to be based on age, lifestyle, premium preference and ethical values.</w:t>
            </w:r>
          </w:p>
        </w:tc>
        <w:tc>
          <w:tcPr>
            <w:tcW w:w="2977" w:type="dxa"/>
            <w:hideMark/>
          </w:tcPr>
          <w:p w14:paraId="3DF90642" w14:textId="75FEFF48"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Cadbury’s segmentation will probably be more targeted on affordability, household consumption, aspiration and celebration occasions.</w:t>
            </w:r>
          </w:p>
        </w:tc>
        <w:tc>
          <w:tcPr>
            <w:tcW w:w="3260" w:type="dxa"/>
            <w:hideMark/>
          </w:tcPr>
          <w:p w14:paraId="1571F6D5" w14:textId="63B26B3C"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Cadbury needs to keep global brand consistency but tailor pack sizes, product formats and communication themes to the consumer profile within each country.</w:t>
            </w:r>
          </w:p>
        </w:tc>
      </w:tr>
      <w:tr w:rsidR="00AA69F3" w:rsidRPr="00DC004C" w14:paraId="100C365D" w14:textId="77777777" w:rsidTr="00AA69F3">
        <w:tc>
          <w:tcPr>
            <w:tcW w:w="1937" w:type="dxa"/>
            <w:hideMark/>
          </w:tcPr>
          <w:p w14:paraId="1FBDCEE7" w14:textId="1995BAFE" w:rsidR="00AA69F3" w:rsidRPr="00DC004C" w:rsidRDefault="00AA69F3" w:rsidP="004079FF">
            <w:pPr>
              <w:spacing w:after="160" w:line="259" w:lineRule="auto"/>
              <w:jc w:val="both"/>
              <w:rPr>
                <w:rFonts w:ascii="Arial" w:hAnsi="Arial" w:cs="Arial"/>
                <w:sz w:val="24"/>
                <w:szCs w:val="24"/>
              </w:rPr>
            </w:pPr>
            <w:r w:rsidRPr="00DC004C">
              <w:rPr>
                <w:rFonts w:ascii="Arial" w:hAnsi="Arial" w:cs="Arial"/>
                <w:b/>
                <w:bCs/>
                <w:sz w:val="24"/>
                <w:szCs w:val="24"/>
              </w:rPr>
              <w:t>Targeting strategy</w:t>
            </w:r>
          </w:p>
        </w:tc>
        <w:tc>
          <w:tcPr>
            <w:tcW w:w="2883" w:type="dxa"/>
            <w:hideMark/>
          </w:tcPr>
          <w:p w14:paraId="4FB72C7D" w14:textId="2C613DC8"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Cadbury is likely to adopt differentiated targeting where the products are offered to different consumer segments such as mainstream bars, sharing products, premium ranges and seasonal gift products.</w:t>
            </w:r>
          </w:p>
        </w:tc>
        <w:tc>
          <w:tcPr>
            <w:tcW w:w="2977" w:type="dxa"/>
            <w:hideMark/>
          </w:tcPr>
          <w:p w14:paraId="41329692" w14:textId="24004B10"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Cadbury can combine mass market targeting with a differentiated targeting. Affordable products can cater to the mass consumer groups, while premium and gifting products can cater to urban and higher income consumers.</w:t>
            </w:r>
          </w:p>
        </w:tc>
        <w:tc>
          <w:tcPr>
            <w:tcW w:w="3260" w:type="dxa"/>
            <w:hideMark/>
          </w:tcPr>
          <w:p w14:paraId="4CC72CBD" w14:textId="098B696B"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 xml:space="preserve">Thru differentiated targeting Cadbury is able to derive value across a number of consumption occasions. A study of chocolate consumers in India found that 37.7% of those surveyed chose Cadbury Dairy Milk, demonstrating the importance of keeping a broad market appeal. </w:t>
            </w:r>
          </w:p>
        </w:tc>
      </w:tr>
      <w:tr w:rsidR="00AA69F3" w:rsidRPr="00DC004C" w14:paraId="7F41CD31" w14:textId="77777777" w:rsidTr="00AA69F3">
        <w:tc>
          <w:tcPr>
            <w:tcW w:w="1937" w:type="dxa"/>
            <w:hideMark/>
          </w:tcPr>
          <w:p w14:paraId="3F8E503F" w14:textId="6E8E588B" w:rsidR="00AA69F3" w:rsidRPr="00DC004C" w:rsidRDefault="00AA69F3" w:rsidP="004079FF">
            <w:pPr>
              <w:spacing w:after="160" w:line="259" w:lineRule="auto"/>
              <w:jc w:val="both"/>
              <w:rPr>
                <w:rFonts w:ascii="Arial" w:hAnsi="Arial" w:cs="Arial"/>
                <w:sz w:val="24"/>
                <w:szCs w:val="24"/>
              </w:rPr>
            </w:pPr>
            <w:r w:rsidRPr="00DC004C">
              <w:rPr>
                <w:rFonts w:ascii="Arial" w:hAnsi="Arial" w:cs="Arial"/>
                <w:b/>
                <w:bCs/>
                <w:sz w:val="24"/>
                <w:szCs w:val="24"/>
              </w:rPr>
              <w:t>Targeting evaluation</w:t>
            </w:r>
          </w:p>
        </w:tc>
        <w:tc>
          <w:tcPr>
            <w:tcW w:w="2883" w:type="dxa"/>
            <w:hideMark/>
          </w:tcPr>
          <w:p w14:paraId="51A95F25" w14:textId="761478A8"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Targeting allows for premiumisation and stops Cadbury being only reliant on low-price everyday products.</w:t>
            </w:r>
          </w:p>
        </w:tc>
        <w:tc>
          <w:tcPr>
            <w:tcW w:w="2977" w:type="dxa"/>
            <w:hideMark/>
          </w:tcPr>
          <w:p w14:paraId="69B3FB9C" w14:textId="220E5094"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Targeting enables market penetration thru low-priced packs and premium and festive products with higher margins.</w:t>
            </w:r>
          </w:p>
        </w:tc>
        <w:tc>
          <w:tcPr>
            <w:tcW w:w="3260" w:type="dxa"/>
            <w:hideMark/>
          </w:tcPr>
          <w:p w14:paraId="38C88276" w14:textId="7BC5D57B"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 xml:space="preserve">The company should not use the same target-market strategy in the two countries. Research suggests that culture is important in determining the appropriate level of marketing standardisation or adaptation for firms. </w:t>
            </w:r>
          </w:p>
        </w:tc>
      </w:tr>
      <w:tr w:rsidR="00AA69F3" w:rsidRPr="00DC004C" w14:paraId="62C559F4" w14:textId="77777777" w:rsidTr="00AA69F3">
        <w:tc>
          <w:tcPr>
            <w:tcW w:w="1937" w:type="dxa"/>
            <w:hideMark/>
          </w:tcPr>
          <w:p w14:paraId="1A69D953" w14:textId="4F31850E" w:rsidR="00AA69F3" w:rsidRPr="00DC004C" w:rsidRDefault="00AA69F3" w:rsidP="004079FF">
            <w:pPr>
              <w:spacing w:after="160" w:line="259" w:lineRule="auto"/>
              <w:jc w:val="both"/>
              <w:rPr>
                <w:rFonts w:ascii="Arial" w:hAnsi="Arial" w:cs="Arial"/>
                <w:sz w:val="24"/>
                <w:szCs w:val="24"/>
              </w:rPr>
            </w:pPr>
            <w:r w:rsidRPr="00DC004C">
              <w:rPr>
                <w:rFonts w:ascii="Arial" w:hAnsi="Arial" w:cs="Arial"/>
                <w:b/>
                <w:bCs/>
                <w:sz w:val="24"/>
                <w:szCs w:val="24"/>
              </w:rPr>
              <w:t>Positioning strategy</w:t>
            </w:r>
          </w:p>
        </w:tc>
        <w:tc>
          <w:tcPr>
            <w:tcW w:w="2883" w:type="dxa"/>
            <w:hideMark/>
          </w:tcPr>
          <w:p w14:paraId="69C2F6D4" w14:textId="7BC57221"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Cadbury is a trusted, heritage-based and enjoyable chocolate brand. Its positioning can combine quality, familiarity, personal enjoyment, sharing, and seasonal gifting.</w:t>
            </w:r>
          </w:p>
        </w:tc>
        <w:tc>
          <w:tcPr>
            <w:tcW w:w="2977" w:type="dxa"/>
            <w:hideMark/>
          </w:tcPr>
          <w:p w14:paraId="77840D43" w14:textId="233B0046"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Cadbury is positioned as a chocolate brand that is emotionally meaningful, accessible and celebratory. It can emphasise happiness, relationships, gifting and social occasions in its positioning.</w:t>
            </w:r>
          </w:p>
        </w:tc>
        <w:tc>
          <w:tcPr>
            <w:tcW w:w="3260" w:type="dxa"/>
            <w:hideMark/>
          </w:tcPr>
          <w:p w14:paraId="1FFDB2E9" w14:textId="4812C2BF"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 xml:space="preserve">Both the markets position on emotions and </w:t>
            </w:r>
            <w:proofErr w:type="gramStart"/>
            <w:r w:rsidRPr="00DC004C">
              <w:rPr>
                <w:rFonts w:ascii="Arial" w:hAnsi="Arial" w:cs="Arial"/>
                <w:sz w:val="24"/>
                <w:szCs w:val="24"/>
              </w:rPr>
              <w:t>quality .</w:t>
            </w:r>
            <w:proofErr w:type="gramEnd"/>
            <w:r w:rsidRPr="00DC004C">
              <w:rPr>
                <w:rFonts w:ascii="Arial" w:hAnsi="Arial" w:cs="Arial"/>
                <w:sz w:val="24"/>
                <w:szCs w:val="24"/>
              </w:rPr>
              <w:t xml:space="preserve"> However, the UK positioning is more closely related to heritage and personal indulgence and the Indian positioning is more closely related to celebration and collective consumption.</w:t>
            </w:r>
          </w:p>
        </w:tc>
      </w:tr>
      <w:tr w:rsidR="00AA69F3" w:rsidRPr="00DC004C" w14:paraId="6220712D" w14:textId="77777777" w:rsidTr="00AA69F3">
        <w:tc>
          <w:tcPr>
            <w:tcW w:w="1937" w:type="dxa"/>
            <w:hideMark/>
          </w:tcPr>
          <w:p w14:paraId="4818C027" w14:textId="573C97DD" w:rsidR="00AA69F3" w:rsidRPr="00DC004C" w:rsidRDefault="00AA69F3" w:rsidP="004079FF">
            <w:pPr>
              <w:spacing w:after="160" w:line="259" w:lineRule="auto"/>
              <w:jc w:val="both"/>
              <w:rPr>
                <w:rFonts w:ascii="Arial" w:hAnsi="Arial" w:cs="Arial"/>
                <w:sz w:val="24"/>
                <w:szCs w:val="24"/>
              </w:rPr>
            </w:pPr>
            <w:r w:rsidRPr="00DC004C">
              <w:rPr>
                <w:rFonts w:ascii="Arial" w:hAnsi="Arial" w:cs="Arial"/>
                <w:b/>
                <w:bCs/>
                <w:sz w:val="24"/>
                <w:szCs w:val="24"/>
              </w:rPr>
              <w:t>Comparative positioning evaluation</w:t>
            </w:r>
          </w:p>
        </w:tc>
        <w:tc>
          <w:tcPr>
            <w:tcW w:w="2883" w:type="dxa"/>
            <w:hideMark/>
          </w:tcPr>
          <w:p w14:paraId="78908230" w14:textId="1A70C43D"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 xml:space="preserve">Product quality and associations with enjoyment along with a recognisable reputation </w:t>
            </w:r>
            <w:r w:rsidRPr="00DC004C">
              <w:rPr>
                <w:rFonts w:ascii="Arial" w:hAnsi="Arial" w:cs="Arial"/>
                <w:sz w:val="24"/>
                <w:szCs w:val="24"/>
              </w:rPr>
              <w:lastRenderedPageBreak/>
              <w:t>can help the brand keep its global identity.</w:t>
            </w:r>
          </w:p>
        </w:tc>
        <w:tc>
          <w:tcPr>
            <w:tcW w:w="2977" w:type="dxa"/>
            <w:hideMark/>
          </w:tcPr>
          <w:p w14:paraId="5ADF6C76" w14:textId="1F5EFFCE"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lastRenderedPageBreak/>
              <w:t xml:space="preserve">Local celebrations, family values and affordability needs can be tailored to make campaigns </w:t>
            </w:r>
            <w:r w:rsidRPr="00DC004C">
              <w:rPr>
                <w:rFonts w:ascii="Arial" w:hAnsi="Arial" w:cs="Arial"/>
                <w:sz w:val="24"/>
                <w:szCs w:val="24"/>
              </w:rPr>
              <w:lastRenderedPageBreak/>
              <w:t>culturally relevant for the brand.</w:t>
            </w:r>
          </w:p>
        </w:tc>
        <w:tc>
          <w:tcPr>
            <w:tcW w:w="3260" w:type="dxa"/>
            <w:hideMark/>
          </w:tcPr>
          <w:p w14:paraId="4850E2FA" w14:textId="4DEB96EF"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lastRenderedPageBreak/>
              <w:t xml:space="preserve">Cadbury’s approach is one of selective adaptation. The global brand promise is the same but the message and </w:t>
            </w:r>
            <w:r w:rsidRPr="00DC004C">
              <w:rPr>
                <w:rFonts w:ascii="Arial" w:hAnsi="Arial" w:cs="Arial"/>
                <w:sz w:val="24"/>
                <w:szCs w:val="24"/>
              </w:rPr>
              <w:lastRenderedPageBreak/>
              <w:t>consumption context varies according to the market.</w:t>
            </w:r>
          </w:p>
        </w:tc>
      </w:tr>
    </w:tbl>
    <w:p w14:paraId="58B81862" w14:textId="0BF2166F" w:rsidR="00A547F2" w:rsidRPr="00DC004C" w:rsidRDefault="00A547F2" w:rsidP="004079FF">
      <w:pPr>
        <w:jc w:val="both"/>
        <w:rPr>
          <w:rFonts w:ascii="Arial" w:hAnsi="Arial" w:cs="Arial"/>
          <w:sz w:val="24"/>
          <w:szCs w:val="24"/>
        </w:rPr>
      </w:pPr>
      <w:r w:rsidRPr="00DC004C">
        <w:rPr>
          <w:rFonts w:ascii="Arial" w:hAnsi="Arial" w:cs="Arial"/>
          <w:sz w:val="24"/>
          <w:szCs w:val="24"/>
        </w:rPr>
        <w:lastRenderedPageBreak/>
        <w:t xml:space="preserve"> </w:t>
      </w:r>
    </w:p>
    <w:p w14:paraId="2F06113C" w14:textId="37520EFB" w:rsidR="00A547F2" w:rsidRPr="00DC004C" w:rsidRDefault="00DC004C" w:rsidP="00DC004C">
      <w:pPr>
        <w:pStyle w:val="Heading2"/>
        <w:rPr>
          <w:rFonts w:ascii="Arial" w:hAnsi="Arial" w:cs="Arial"/>
          <w:b/>
          <w:bCs/>
          <w:sz w:val="24"/>
          <w:szCs w:val="24"/>
        </w:rPr>
      </w:pPr>
      <w:bookmarkStart w:id="22" w:name="_Toc237516331"/>
      <w:r w:rsidRPr="00DC004C">
        <w:rPr>
          <w:rFonts w:ascii="Arial" w:hAnsi="Arial" w:cs="Arial"/>
          <w:b/>
          <w:bCs/>
          <w:sz w:val="24"/>
          <w:szCs w:val="24"/>
        </w:rPr>
        <w:t xml:space="preserve">5.2 </w:t>
      </w:r>
      <w:r w:rsidR="00A547F2" w:rsidRPr="00DC004C">
        <w:rPr>
          <w:rFonts w:ascii="Arial" w:hAnsi="Arial" w:cs="Arial"/>
          <w:b/>
          <w:bCs/>
          <w:sz w:val="24"/>
          <w:szCs w:val="24"/>
        </w:rPr>
        <w:t>Perceptual Map Summary</w:t>
      </w:r>
      <w:bookmarkEnd w:id="22"/>
    </w:p>
    <w:p w14:paraId="5E71E2DD" w14:textId="77777777" w:rsidR="003614F1" w:rsidRPr="00DC004C" w:rsidRDefault="003614F1" w:rsidP="004079FF">
      <w:pPr>
        <w:keepNext/>
        <w:jc w:val="both"/>
        <w:rPr>
          <w:rFonts w:ascii="Arial" w:hAnsi="Arial" w:cs="Arial"/>
          <w:sz w:val="24"/>
          <w:szCs w:val="24"/>
        </w:rPr>
      </w:pPr>
      <w:r w:rsidRPr="00DC004C">
        <w:rPr>
          <w:rFonts w:ascii="Arial" w:hAnsi="Arial" w:cs="Arial"/>
          <w:b/>
          <w:bCs/>
          <w:noProof/>
          <w:sz w:val="24"/>
          <w:szCs w:val="24"/>
        </w:rPr>
        <w:drawing>
          <wp:inline distT="0" distB="0" distL="0" distR="0" wp14:anchorId="2DF34296" wp14:editId="135CA90D">
            <wp:extent cx="6149130" cy="3165950"/>
            <wp:effectExtent l="0" t="0" r="4445" b="0"/>
            <wp:docPr id="1275754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0351"/>
                    <a:stretch>
                      <a:fillRect/>
                    </a:stretch>
                  </pic:blipFill>
                  <pic:spPr bwMode="auto">
                    <a:xfrm>
                      <a:off x="0" y="0"/>
                      <a:ext cx="6153512" cy="3168206"/>
                    </a:xfrm>
                    <a:prstGeom prst="rect">
                      <a:avLst/>
                    </a:prstGeom>
                    <a:noFill/>
                    <a:ln>
                      <a:noFill/>
                    </a:ln>
                    <a:extLst>
                      <a:ext uri="{53640926-AAD7-44D8-BBD7-CCE9431645EC}">
                        <a14:shadowObscured xmlns:a14="http://schemas.microsoft.com/office/drawing/2010/main"/>
                      </a:ext>
                    </a:extLst>
                  </pic:spPr>
                </pic:pic>
              </a:graphicData>
            </a:graphic>
          </wp:inline>
        </w:drawing>
      </w:r>
    </w:p>
    <w:p w14:paraId="2837666E" w14:textId="6289FDD8" w:rsidR="003614F1" w:rsidRPr="00DC004C" w:rsidRDefault="003614F1" w:rsidP="004079FF">
      <w:pPr>
        <w:pStyle w:val="Caption"/>
        <w:jc w:val="both"/>
        <w:rPr>
          <w:rFonts w:ascii="Arial" w:hAnsi="Arial" w:cs="Arial"/>
          <w:b/>
          <w:bCs/>
          <w:sz w:val="24"/>
          <w:szCs w:val="24"/>
        </w:rPr>
      </w:pPr>
      <w:r w:rsidRPr="00DC004C">
        <w:rPr>
          <w:rFonts w:ascii="Arial" w:hAnsi="Arial" w:cs="Arial"/>
          <w:sz w:val="24"/>
          <w:szCs w:val="24"/>
        </w:rPr>
        <w:t xml:space="preserve">Figure </w:t>
      </w:r>
      <w:r w:rsidRPr="00DC004C">
        <w:rPr>
          <w:rFonts w:ascii="Arial" w:hAnsi="Arial" w:cs="Arial"/>
          <w:sz w:val="24"/>
          <w:szCs w:val="24"/>
        </w:rPr>
        <w:fldChar w:fldCharType="begin"/>
      </w:r>
      <w:r w:rsidRPr="00DC004C">
        <w:rPr>
          <w:rFonts w:ascii="Arial" w:hAnsi="Arial" w:cs="Arial"/>
          <w:sz w:val="24"/>
          <w:szCs w:val="24"/>
        </w:rPr>
        <w:instrText xml:space="preserve"> SEQ Figure \* ARABIC </w:instrText>
      </w:r>
      <w:r w:rsidRPr="00DC004C">
        <w:rPr>
          <w:rFonts w:ascii="Arial" w:hAnsi="Arial" w:cs="Arial"/>
          <w:sz w:val="24"/>
          <w:szCs w:val="24"/>
        </w:rPr>
        <w:fldChar w:fldCharType="separate"/>
      </w:r>
      <w:r w:rsidR="000A71D1">
        <w:rPr>
          <w:rFonts w:ascii="Arial" w:hAnsi="Arial" w:cs="Arial"/>
          <w:noProof/>
          <w:sz w:val="24"/>
          <w:szCs w:val="24"/>
        </w:rPr>
        <w:t>1</w:t>
      </w:r>
      <w:r w:rsidRPr="00DC004C">
        <w:rPr>
          <w:rFonts w:ascii="Arial" w:hAnsi="Arial" w:cs="Arial"/>
          <w:sz w:val="24"/>
          <w:szCs w:val="24"/>
        </w:rPr>
        <w:fldChar w:fldCharType="end"/>
      </w:r>
      <w:r w:rsidRPr="00DC004C">
        <w:rPr>
          <w:rFonts w:ascii="Arial" w:hAnsi="Arial" w:cs="Arial"/>
          <w:sz w:val="24"/>
          <w:szCs w:val="24"/>
        </w:rPr>
        <w:t xml:space="preserve"> Perceptual Map of Cadbury and Key Chocolate Competitors in the United Kingdom and India</w:t>
      </w:r>
    </w:p>
    <w:p w14:paraId="452394D4" w14:textId="5ACDE783" w:rsidR="00A547F2" w:rsidRPr="00DC004C" w:rsidRDefault="00A547F2" w:rsidP="004079FF">
      <w:pPr>
        <w:jc w:val="both"/>
        <w:rPr>
          <w:rFonts w:ascii="Arial" w:hAnsi="Arial" w:cs="Arial"/>
          <w:sz w:val="24"/>
          <w:szCs w:val="24"/>
        </w:rPr>
      </w:pPr>
      <w:r w:rsidRPr="00DC004C">
        <w:rPr>
          <w:rFonts w:ascii="Arial" w:hAnsi="Arial" w:cs="Arial"/>
          <w:sz w:val="24"/>
          <w:szCs w:val="24"/>
        </w:rPr>
        <w:t xml:space="preserve">The perceptual map should use the axes </w:t>
      </w:r>
      <w:r w:rsidRPr="00DC004C">
        <w:rPr>
          <w:rFonts w:ascii="Arial" w:hAnsi="Arial" w:cs="Arial"/>
          <w:b/>
          <w:bCs/>
          <w:sz w:val="24"/>
          <w:szCs w:val="24"/>
        </w:rPr>
        <w:t>“affordable to premium”</w:t>
      </w:r>
      <w:r w:rsidRPr="00DC004C">
        <w:rPr>
          <w:rFonts w:ascii="Arial" w:hAnsi="Arial" w:cs="Arial"/>
          <w:sz w:val="24"/>
          <w:szCs w:val="24"/>
        </w:rPr>
        <w:t xml:space="preserve"> and </w:t>
      </w:r>
      <w:r w:rsidRPr="00DC004C">
        <w:rPr>
          <w:rFonts w:ascii="Arial" w:hAnsi="Arial" w:cs="Arial"/>
          <w:b/>
          <w:bCs/>
          <w:sz w:val="24"/>
          <w:szCs w:val="24"/>
        </w:rPr>
        <w:t>“local/cultural relevance to global brand image.”</w:t>
      </w:r>
      <w:r w:rsidRPr="00DC004C">
        <w:rPr>
          <w:rFonts w:ascii="Arial" w:hAnsi="Arial" w:cs="Arial"/>
          <w:sz w:val="24"/>
          <w:szCs w:val="24"/>
        </w:rPr>
        <w:t xml:space="preserve"> Cadbury is likely to occupy a broad middle-to-premium position, combining a strong global identity with high familiarity. In India, its relative position should reflect stronger cultural and celebration relevance; in the UK, it should reflect heritage, quality and mainstream accessibility.</w:t>
      </w:r>
    </w:p>
    <w:p w14:paraId="440ED92F" w14:textId="4DC25C4D" w:rsidR="00A547F2" w:rsidRPr="00DC004C" w:rsidRDefault="00A547F2" w:rsidP="004079FF">
      <w:pPr>
        <w:jc w:val="both"/>
        <w:rPr>
          <w:rFonts w:ascii="Arial" w:hAnsi="Arial" w:cs="Arial"/>
          <w:sz w:val="24"/>
          <w:szCs w:val="24"/>
        </w:rPr>
      </w:pPr>
      <w:r w:rsidRPr="00DC004C">
        <w:rPr>
          <w:rFonts w:ascii="Arial" w:hAnsi="Arial" w:cs="Arial"/>
          <w:sz w:val="24"/>
          <w:szCs w:val="24"/>
        </w:rPr>
        <w:br w:type="page"/>
      </w:r>
    </w:p>
    <w:p w14:paraId="5A3A2CC0" w14:textId="77777777" w:rsidR="0051273B" w:rsidRPr="00DC004C" w:rsidRDefault="0051273B" w:rsidP="00DC004C">
      <w:pPr>
        <w:pStyle w:val="Heading1"/>
        <w:rPr>
          <w:rFonts w:ascii="Arial" w:hAnsi="Arial" w:cs="Arial"/>
          <w:b/>
          <w:bCs/>
          <w:sz w:val="24"/>
          <w:szCs w:val="24"/>
        </w:rPr>
      </w:pPr>
      <w:bookmarkStart w:id="23" w:name="_Toc237516332"/>
      <w:r w:rsidRPr="00DC004C">
        <w:rPr>
          <w:rFonts w:ascii="Arial" w:hAnsi="Arial" w:cs="Arial"/>
          <w:b/>
          <w:bCs/>
          <w:sz w:val="24"/>
          <w:szCs w:val="24"/>
        </w:rPr>
        <w:lastRenderedPageBreak/>
        <w:t>6. Comparative International Marketing Mix: 7Ps</w:t>
      </w:r>
      <w:bookmarkEnd w:id="23"/>
    </w:p>
    <w:p w14:paraId="04D39F7D" w14:textId="77777777" w:rsidR="0051273B" w:rsidRPr="00DC004C" w:rsidRDefault="0051273B" w:rsidP="00DC004C">
      <w:pPr>
        <w:pStyle w:val="Heading2"/>
        <w:rPr>
          <w:rFonts w:ascii="Arial" w:hAnsi="Arial" w:cs="Arial"/>
          <w:b/>
          <w:bCs/>
          <w:sz w:val="24"/>
          <w:szCs w:val="24"/>
        </w:rPr>
      </w:pPr>
      <w:bookmarkStart w:id="24" w:name="_Toc237516333"/>
      <w:r w:rsidRPr="00DC004C">
        <w:rPr>
          <w:rFonts w:ascii="Arial" w:hAnsi="Arial" w:cs="Arial"/>
          <w:b/>
          <w:bCs/>
          <w:sz w:val="24"/>
          <w:szCs w:val="24"/>
        </w:rPr>
        <w:t>6.1 Introduction to the Extended Marketing Mix</w:t>
      </w:r>
      <w:bookmarkEnd w:id="24"/>
    </w:p>
    <w:p w14:paraId="345BC52C" w14:textId="5982099A" w:rsidR="0038712C" w:rsidRPr="00DC004C" w:rsidRDefault="0051273B" w:rsidP="004079FF">
      <w:pPr>
        <w:jc w:val="both"/>
        <w:rPr>
          <w:rFonts w:ascii="Arial" w:hAnsi="Arial" w:cs="Arial"/>
          <w:sz w:val="24"/>
          <w:szCs w:val="24"/>
        </w:rPr>
      </w:pPr>
      <w:r w:rsidRPr="00DC004C">
        <w:rPr>
          <w:rFonts w:ascii="Arial" w:hAnsi="Arial" w:cs="Arial"/>
          <w:sz w:val="24"/>
          <w:szCs w:val="24"/>
        </w:rPr>
        <w:t>The extended marketing mix consists of seven controllable variables: product, price, place, promotion, people, process and physical evidence. These elements enable firms to create value for target consumers and deliver a coherent market offering. For Cadbury, the 7Ps framework is useful because the UK and India differ in consumer purchasing power, cultural meanings of chocolate, retail structures, digital adoption and regulatory requirements. Consequently, Cadbury should maintain a consistent global brand identity while adapting selected marketing-mix elements to local conditions.</w:t>
      </w:r>
      <w:r w:rsidR="008D483F" w:rsidRPr="00DC004C">
        <w:rPr>
          <w:rFonts w:ascii="Arial" w:hAnsi="Arial" w:cs="Arial"/>
          <w:sz w:val="24"/>
          <w:szCs w:val="24"/>
        </w:rPr>
        <w:t xml:space="preserve"> (Bhatnagar et al., 2024)</w:t>
      </w:r>
    </w:p>
    <w:p w14:paraId="767AA461" w14:textId="77777777" w:rsidR="00E24968" w:rsidRPr="00E24968" w:rsidRDefault="00E24968" w:rsidP="00E24968">
      <w:pPr>
        <w:jc w:val="both"/>
        <w:rPr>
          <w:rFonts w:ascii="Arial" w:hAnsi="Arial" w:cs="Arial"/>
          <w:sz w:val="24"/>
          <w:szCs w:val="24"/>
        </w:rPr>
      </w:pPr>
      <w:r w:rsidRPr="00E24968">
        <w:rPr>
          <w:rFonts w:ascii="Arial" w:hAnsi="Arial" w:cs="Arial"/>
          <w:sz w:val="24"/>
          <w:szCs w:val="24"/>
        </w:rPr>
        <w:t xml:space="preserve">Cadbury’s marketing strategy can be studied in the 7Ps model of marketing namely Product, Price, Place, Promotion, People, Process and Physical Evidence. The UK/India comparison is a good example of how Cadbury should retain its core global brand image but adapt its marketing mix to differences in consumer income, culture, retail structures and purchasing </w:t>
      </w:r>
      <w:proofErr w:type="spellStart"/>
      <w:r w:rsidRPr="00E24968">
        <w:rPr>
          <w:rFonts w:ascii="Arial" w:hAnsi="Arial" w:cs="Arial"/>
          <w:sz w:val="24"/>
          <w:szCs w:val="24"/>
        </w:rPr>
        <w:t>behavior</w:t>
      </w:r>
      <w:proofErr w:type="spellEnd"/>
      <w:r w:rsidRPr="00E24968">
        <w:rPr>
          <w:rFonts w:ascii="Arial" w:hAnsi="Arial" w:cs="Arial"/>
          <w:sz w:val="24"/>
          <w:szCs w:val="24"/>
        </w:rPr>
        <w:t>.</w:t>
      </w:r>
    </w:p>
    <w:p w14:paraId="3B8E711F" w14:textId="361EAA72" w:rsidR="005215C7" w:rsidRDefault="00E24968" w:rsidP="00E24968">
      <w:pPr>
        <w:jc w:val="both"/>
        <w:rPr>
          <w:rFonts w:ascii="Arial" w:hAnsi="Arial" w:cs="Arial"/>
          <w:sz w:val="24"/>
          <w:szCs w:val="24"/>
        </w:rPr>
      </w:pPr>
      <w:r w:rsidRPr="00E24968">
        <w:rPr>
          <w:rFonts w:ascii="Arial" w:hAnsi="Arial" w:cs="Arial"/>
          <w:sz w:val="24"/>
          <w:szCs w:val="24"/>
        </w:rPr>
        <w:cr/>
      </w:r>
      <w:r w:rsidRPr="00E24968">
        <w:rPr>
          <w:rFonts w:ascii="Arial" w:hAnsi="Arial" w:cs="Arial"/>
          <w:b/>
          <w:bCs/>
          <w:sz w:val="24"/>
          <w:szCs w:val="24"/>
        </w:rPr>
        <w:t>Product:</w:t>
      </w:r>
      <w:r w:rsidRPr="00E24968">
        <w:rPr>
          <w:rFonts w:ascii="Arial" w:hAnsi="Arial" w:cs="Arial"/>
          <w:sz w:val="24"/>
          <w:szCs w:val="24"/>
        </w:rPr>
        <w:t xml:space="preserve"> In the UK Cadbury offers a wide range of products, from single bars of chocolate to sharing packs, boxed chocolates, seasonal products and gift formats. The UK market is mature so Cadbury can increase premiumisation via larger sharing packs, premium chocolates and seasonal gift products. In India, affordability and occasion-based consumption is more important so smaller packs and accessible price points can be a way to reach mass-market consumers while premium gifting products can target higher income urban consumers. Product sizes, formats and gifting options should therefore be adapted to each market but with consistent quality and strong brand recognition.</w:t>
      </w:r>
    </w:p>
    <w:p w14:paraId="455889CE" w14:textId="517D9B4C" w:rsidR="005215C7" w:rsidRPr="00C84B5F" w:rsidRDefault="005215C7" w:rsidP="00C84B5F">
      <w:pPr>
        <w:jc w:val="center"/>
        <w:rPr>
          <w:rFonts w:ascii="Arial" w:hAnsi="Arial" w:cs="Arial"/>
          <w:sz w:val="24"/>
          <w:szCs w:val="24"/>
        </w:rPr>
      </w:pPr>
      <w:r>
        <w:rPr>
          <w:rFonts w:ascii="Arial" w:hAnsi="Arial" w:cs="Arial"/>
          <w:noProof/>
          <w:sz w:val="24"/>
          <w:szCs w:val="24"/>
        </w:rPr>
        <w:drawing>
          <wp:inline distT="0" distB="0" distL="0" distR="0" wp14:anchorId="3FE23AC7" wp14:editId="4585DAE2">
            <wp:extent cx="5943600" cy="30403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13823"/>
                    <a:stretch/>
                  </pic:blipFill>
                  <pic:spPr bwMode="auto">
                    <a:xfrm>
                      <a:off x="0" y="0"/>
                      <a:ext cx="5943600" cy="3040380"/>
                    </a:xfrm>
                    <a:prstGeom prst="rect">
                      <a:avLst/>
                    </a:prstGeom>
                    <a:noFill/>
                    <a:ln>
                      <a:noFill/>
                    </a:ln>
                    <a:extLst>
                      <a:ext uri="{53640926-AAD7-44D8-BBD7-CCE9431645EC}">
                        <a14:shadowObscured xmlns:a14="http://schemas.microsoft.com/office/drawing/2010/main"/>
                      </a:ext>
                    </a:extLst>
                  </pic:spPr>
                </pic:pic>
              </a:graphicData>
            </a:graphic>
          </wp:inline>
        </w:drawing>
      </w:r>
      <w:r w:rsidRPr="00DE7756">
        <w:rPr>
          <w:rFonts w:ascii="Arial" w:hAnsi="Arial" w:cs="Arial"/>
          <w:b/>
          <w:bCs/>
          <w:sz w:val="20"/>
          <w:szCs w:val="20"/>
        </w:rPr>
        <w:t xml:space="preserve">Source From </w:t>
      </w:r>
      <w:r w:rsidRPr="00DE7756">
        <w:rPr>
          <w:rFonts w:ascii="Arial" w:hAnsi="Arial" w:cs="Arial"/>
          <w:b/>
          <w:bCs/>
          <w:sz w:val="20"/>
          <w:szCs w:val="20"/>
        </w:rPr>
        <w:t>Google Gemini</w:t>
      </w:r>
      <w:r w:rsidR="00DE7756" w:rsidRPr="00DE7756">
        <w:rPr>
          <w:rFonts w:ascii="Arial" w:hAnsi="Arial" w:cs="Arial"/>
          <w:b/>
          <w:bCs/>
          <w:sz w:val="20"/>
          <w:szCs w:val="20"/>
        </w:rPr>
        <w:t xml:space="preserve"> </w:t>
      </w:r>
      <w:proofErr w:type="gramStart"/>
      <w:r w:rsidR="00DE7756" w:rsidRPr="00DE7756">
        <w:rPr>
          <w:rFonts w:ascii="Arial" w:hAnsi="Arial" w:cs="Arial"/>
          <w:b/>
          <w:bCs/>
          <w:sz w:val="20"/>
          <w:szCs w:val="20"/>
        </w:rPr>
        <w:t xml:space="preserve">( </w:t>
      </w:r>
      <w:r w:rsidR="00DE7756" w:rsidRPr="00DE7756">
        <w:rPr>
          <w:rFonts w:ascii="Arial" w:hAnsi="Arial" w:cs="Arial"/>
          <w:b/>
          <w:bCs/>
          <w:sz w:val="20"/>
          <w:szCs w:val="20"/>
        </w:rPr>
        <w:t>image</w:t>
      </w:r>
      <w:proofErr w:type="gramEnd"/>
      <w:r w:rsidR="00DE7756" w:rsidRPr="00DE7756">
        <w:rPr>
          <w:rFonts w:ascii="Arial" w:hAnsi="Arial" w:cs="Arial"/>
          <w:b/>
          <w:bCs/>
          <w:sz w:val="20"/>
          <w:szCs w:val="20"/>
        </w:rPr>
        <w:t xml:space="preserve"> created by Google Gemin</w:t>
      </w:r>
      <w:r w:rsidR="00DE7756" w:rsidRPr="00DE7756">
        <w:rPr>
          <w:rFonts w:ascii="Arial" w:hAnsi="Arial" w:cs="Arial"/>
          <w:b/>
          <w:bCs/>
          <w:sz w:val="20"/>
          <w:szCs w:val="20"/>
        </w:rPr>
        <w:t>i )</w:t>
      </w:r>
    </w:p>
    <w:p w14:paraId="0BFD5860" w14:textId="77777777" w:rsidR="005215C7" w:rsidRDefault="005215C7" w:rsidP="00E24968">
      <w:pPr>
        <w:jc w:val="both"/>
        <w:rPr>
          <w:rFonts w:ascii="Arial" w:hAnsi="Arial" w:cs="Arial"/>
          <w:sz w:val="24"/>
          <w:szCs w:val="24"/>
        </w:rPr>
      </w:pPr>
    </w:p>
    <w:p w14:paraId="759D0359" w14:textId="5ADDD9E7" w:rsidR="00E24968" w:rsidRPr="00E24968" w:rsidRDefault="00E24968" w:rsidP="00E24968">
      <w:pPr>
        <w:jc w:val="both"/>
        <w:rPr>
          <w:rFonts w:ascii="Arial" w:hAnsi="Arial" w:cs="Arial"/>
          <w:sz w:val="24"/>
          <w:szCs w:val="24"/>
        </w:rPr>
      </w:pPr>
      <w:r w:rsidRPr="00E24968">
        <w:rPr>
          <w:rFonts w:ascii="Arial" w:hAnsi="Arial" w:cs="Arial"/>
          <w:b/>
          <w:bCs/>
          <w:sz w:val="24"/>
          <w:szCs w:val="24"/>
        </w:rPr>
        <w:t>Price:</w:t>
      </w:r>
      <w:r w:rsidRPr="00E24968">
        <w:rPr>
          <w:rFonts w:ascii="Arial" w:hAnsi="Arial" w:cs="Arial"/>
          <w:sz w:val="24"/>
          <w:szCs w:val="24"/>
        </w:rPr>
        <w:t xml:space="preserve"> Price affects affordability, perceived quality and competitiveness. In the UK, Cadbury can take up value based and differentiated pricing. Here, mainstream products can be priced competitively, while premium and seasonal products can be priced higher. Multipacks and deals can help drive demand in times of financial pressure.” Price point strategies and smaller affordable packs are especially crucial in India to reach a broader consumer base. Therefore, prices should not be uniform across the two countries, as there are large variations in the cost of ingredients, tax, distribution costs, retailer margins, inflation and consumer purchasing power.</w:t>
      </w:r>
    </w:p>
    <w:p w14:paraId="19C11BD9" w14:textId="77777777" w:rsidR="00E24968" w:rsidRDefault="00E24968" w:rsidP="00E24968">
      <w:pPr>
        <w:jc w:val="both"/>
        <w:rPr>
          <w:rFonts w:ascii="Arial" w:hAnsi="Arial" w:cs="Arial"/>
          <w:sz w:val="24"/>
          <w:szCs w:val="24"/>
        </w:rPr>
      </w:pPr>
    </w:p>
    <w:p w14:paraId="23965AE1" w14:textId="5D136E05" w:rsidR="00E24968" w:rsidRPr="00E24968" w:rsidRDefault="00E24968" w:rsidP="00E24968">
      <w:pPr>
        <w:jc w:val="both"/>
        <w:rPr>
          <w:rFonts w:ascii="Arial" w:hAnsi="Arial" w:cs="Arial"/>
          <w:sz w:val="24"/>
          <w:szCs w:val="24"/>
        </w:rPr>
      </w:pPr>
      <w:r w:rsidRPr="00E24968">
        <w:rPr>
          <w:rFonts w:ascii="Arial" w:hAnsi="Arial" w:cs="Arial"/>
          <w:b/>
          <w:bCs/>
          <w:sz w:val="24"/>
          <w:szCs w:val="24"/>
        </w:rPr>
        <w:t>Place:</w:t>
      </w:r>
      <w:r w:rsidRPr="00E24968">
        <w:rPr>
          <w:rFonts w:ascii="Arial" w:hAnsi="Arial" w:cs="Arial"/>
          <w:sz w:val="24"/>
          <w:szCs w:val="24"/>
        </w:rPr>
        <w:t xml:space="preserve"> In the UK Cadbury products are sold thru supermarkets, convenience stores, petrol stations, online grocery platforms and seasonal retail outlets. Partnerships with large supermarkets and e-commerce platforms are therefore crucial. India needs a more decentralized distribution structure with wholesalers, distributors, independent retailers, supermarkets, online marketplaces and quick-commerce platforms. Therefore, Cadbury needs to pursue a hybrid distribution strategy with a focus on modern trade and online channels in the UK but maintaining a wide range of distributors and retailers in India.</w:t>
      </w:r>
    </w:p>
    <w:p w14:paraId="5A2932CB" w14:textId="0A0403D7" w:rsidR="00E24968" w:rsidRPr="00E24968" w:rsidRDefault="00E24968" w:rsidP="00E24968">
      <w:pPr>
        <w:jc w:val="both"/>
        <w:rPr>
          <w:rFonts w:ascii="Arial" w:hAnsi="Arial" w:cs="Arial"/>
          <w:sz w:val="24"/>
          <w:szCs w:val="24"/>
        </w:rPr>
      </w:pPr>
      <w:r w:rsidRPr="00E24968">
        <w:rPr>
          <w:rFonts w:ascii="Arial" w:hAnsi="Arial" w:cs="Arial"/>
          <w:sz w:val="24"/>
          <w:szCs w:val="24"/>
        </w:rPr>
        <w:cr/>
      </w:r>
      <w:r w:rsidRPr="00E24968">
        <w:rPr>
          <w:rFonts w:ascii="Arial" w:hAnsi="Arial" w:cs="Arial"/>
          <w:b/>
          <w:bCs/>
          <w:sz w:val="24"/>
          <w:szCs w:val="24"/>
        </w:rPr>
        <w:t>Promotion:</w:t>
      </w:r>
      <w:r w:rsidRPr="00E24968">
        <w:rPr>
          <w:rFonts w:ascii="Arial" w:hAnsi="Arial" w:cs="Arial"/>
          <w:sz w:val="24"/>
          <w:szCs w:val="24"/>
        </w:rPr>
        <w:t xml:space="preserve"> Promotion should cover advertising, social media, digital marketing, public relations, sales promotions and point of sale communication. Cadbury can exploit heritage, quality, sharing, seasonal gifting and premiumisation in the UK thru television, digital campaigns and retail displays. Emotion-based themes such as family, celebration, relationships, sharing and festivals are particularly relevant in India. The brand therefore has to keep its global association with enjoyment, but at the same time adapt its promotional messages to fit with local cultural expectations.</w:t>
      </w:r>
    </w:p>
    <w:p w14:paraId="798E7367" w14:textId="1760FCB7" w:rsidR="00E24968" w:rsidRPr="00E24968" w:rsidRDefault="00E24968" w:rsidP="00E24968">
      <w:pPr>
        <w:jc w:val="both"/>
        <w:rPr>
          <w:rFonts w:ascii="Arial" w:hAnsi="Arial" w:cs="Arial"/>
          <w:sz w:val="24"/>
          <w:szCs w:val="24"/>
        </w:rPr>
      </w:pPr>
      <w:r w:rsidRPr="00E24968">
        <w:rPr>
          <w:rFonts w:ascii="Arial" w:hAnsi="Arial" w:cs="Arial"/>
          <w:sz w:val="24"/>
          <w:szCs w:val="24"/>
        </w:rPr>
        <w:cr/>
      </w:r>
      <w:r w:rsidRPr="00E24968">
        <w:rPr>
          <w:rFonts w:ascii="Arial" w:hAnsi="Arial" w:cs="Arial"/>
          <w:b/>
          <w:bCs/>
          <w:sz w:val="24"/>
          <w:szCs w:val="24"/>
        </w:rPr>
        <w:t>People:</w:t>
      </w:r>
      <w:r w:rsidRPr="00E24968">
        <w:rPr>
          <w:rFonts w:ascii="Arial" w:hAnsi="Arial" w:cs="Arial"/>
          <w:sz w:val="24"/>
          <w:szCs w:val="24"/>
        </w:rPr>
        <w:t xml:space="preserve"> </w:t>
      </w:r>
      <w:proofErr w:type="spellStart"/>
      <w:r w:rsidRPr="00E24968">
        <w:rPr>
          <w:rFonts w:ascii="Arial" w:hAnsi="Arial" w:cs="Arial"/>
          <w:sz w:val="24"/>
          <w:szCs w:val="24"/>
        </w:rPr>
        <w:t>Employes</w:t>
      </w:r>
      <w:proofErr w:type="spellEnd"/>
      <w:r w:rsidRPr="00E24968">
        <w:rPr>
          <w:rFonts w:ascii="Arial" w:hAnsi="Arial" w:cs="Arial"/>
          <w:sz w:val="24"/>
          <w:szCs w:val="24"/>
        </w:rPr>
        <w:t xml:space="preserve">, sales teams, distributors, retailers and customer service personnel all impact directly on the consumer experience. Both markets need training in quality assurance, food safety, customer service and ethical conduct. But wider and more fragmented distribution network requires more focus on sales-force and distributor training in India. Good </w:t>
      </w:r>
      <w:proofErr w:type="spellStart"/>
      <w:r w:rsidRPr="00E24968">
        <w:rPr>
          <w:rFonts w:ascii="Arial" w:hAnsi="Arial" w:cs="Arial"/>
          <w:sz w:val="24"/>
          <w:szCs w:val="24"/>
        </w:rPr>
        <w:t>employe</w:t>
      </w:r>
      <w:proofErr w:type="spellEnd"/>
      <w:r w:rsidRPr="00E24968">
        <w:rPr>
          <w:rFonts w:ascii="Arial" w:hAnsi="Arial" w:cs="Arial"/>
          <w:sz w:val="24"/>
          <w:szCs w:val="24"/>
        </w:rPr>
        <w:t xml:space="preserve"> development, incentives to recognize and perform can help service quality in both markets.</w:t>
      </w:r>
    </w:p>
    <w:p w14:paraId="68EE3891" w14:textId="43B6CC0F" w:rsidR="00E24968" w:rsidRPr="00E24968" w:rsidRDefault="00E24968" w:rsidP="00E24968">
      <w:pPr>
        <w:jc w:val="both"/>
        <w:rPr>
          <w:rFonts w:ascii="Arial" w:hAnsi="Arial" w:cs="Arial"/>
          <w:sz w:val="24"/>
          <w:szCs w:val="24"/>
        </w:rPr>
      </w:pPr>
      <w:r w:rsidRPr="00E24968">
        <w:rPr>
          <w:rFonts w:ascii="Arial" w:hAnsi="Arial" w:cs="Arial"/>
          <w:sz w:val="24"/>
          <w:szCs w:val="24"/>
        </w:rPr>
        <w:cr/>
      </w:r>
      <w:r w:rsidRPr="00E24968">
        <w:rPr>
          <w:rFonts w:ascii="Arial" w:hAnsi="Arial" w:cs="Arial"/>
          <w:b/>
          <w:bCs/>
          <w:sz w:val="24"/>
          <w:szCs w:val="24"/>
        </w:rPr>
        <w:t>Process:</w:t>
      </w:r>
      <w:r w:rsidRPr="00E24968">
        <w:rPr>
          <w:rFonts w:ascii="Arial" w:hAnsi="Arial" w:cs="Arial"/>
          <w:sz w:val="24"/>
          <w:szCs w:val="24"/>
        </w:rPr>
        <w:t xml:space="preserve"> Good processes involve production quality control, stock replenishment, distribution coordination, complaints management, customer support and product safety monitoring. These processes are important in both countries, but require special attention in terms of compliance with Indian food regulations. Cadbury needs to have the same quality assurance, consumer feedback, product recall and complaint handling systems in both markets.</w:t>
      </w:r>
    </w:p>
    <w:p w14:paraId="4E4EE8DC" w14:textId="287D0B8E" w:rsidR="005215C7" w:rsidRDefault="00E24968" w:rsidP="00E24968">
      <w:pPr>
        <w:jc w:val="both"/>
        <w:rPr>
          <w:rFonts w:ascii="Arial" w:hAnsi="Arial" w:cs="Arial"/>
          <w:sz w:val="24"/>
          <w:szCs w:val="24"/>
        </w:rPr>
      </w:pPr>
      <w:r w:rsidRPr="00E24968">
        <w:rPr>
          <w:rFonts w:ascii="Arial" w:hAnsi="Arial" w:cs="Arial"/>
          <w:sz w:val="24"/>
          <w:szCs w:val="24"/>
        </w:rPr>
        <w:lastRenderedPageBreak/>
        <w:cr/>
      </w:r>
      <w:r w:rsidRPr="00E24968">
        <w:rPr>
          <w:rFonts w:ascii="Arial" w:hAnsi="Arial" w:cs="Arial"/>
          <w:b/>
          <w:bCs/>
          <w:sz w:val="24"/>
          <w:szCs w:val="24"/>
        </w:rPr>
        <w:t>Physical Evidence:</w:t>
      </w:r>
      <w:r w:rsidRPr="00E24968">
        <w:rPr>
          <w:rFonts w:ascii="Arial" w:hAnsi="Arial" w:cs="Arial"/>
          <w:sz w:val="24"/>
          <w:szCs w:val="24"/>
        </w:rPr>
        <w:t xml:space="preserve"> Packaging, </w:t>
      </w:r>
      <w:proofErr w:type="spellStart"/>
      <w:r w:rsidRPr="00E24968">
        <w:rPr>
          <w:rFonts w:ascii="Arial" w:hAnsi="Arial" w:cs="Arial"/>
          <w:sz w:val="24"/>
          <w:szCs w:val="24"/>
        </w:rPr>
        <w:t>labeling</w:t>
      </w:r>
      <w:proofErr w:type="spellEnd"/>
      <w:r w:rsidRPr="00E24968">
        <w:rPr>
          <w:rFonts w:ascii="Arial" w:hAnsi="Arial" w:cs="Arial"/>
          <w:sz w:val="24"/>
          <w:szCs w:val="24"/>
        </w:rPr>
        <w:t xml:space="preserve">, logos, retail displays, gift boxes and online product pages provide consumers with tangible proof of the quality of the brand. UK packaging should convey information about heritage, quality, allergens, nutrition, sustainability and recycling. Indian packaging must consider local </w:t>
      </w:r>
      <w:proofErr w:type="spellStart"/>
      <w:r w:rsidRPr="00E24968">
        <w:rPr>
          <w:rFonts w:ascii="Arial" w:hAnsi="Arial" w:cs="Arial"/>
          <w:sz w:val="24"/>
          <w:szCs w:val="24"/>
        </w:rPr>
        <w:t>labeling</w:t>
      </w:r>
      <w:proofErr w:type="spellEnd"/>
      <w:r w:rsidRPr="00E24968">
        <w:rPr>
          <w:rFonts w:ascii="Arial" w:hAnsi="Arial" w:cs="Arial"/>
          <w:sz w:val="24"/>
          <w:szCs w:val="24"/>
        </w:rPr>
        <w:t xml:space="preserve"> requirements, visible pricing, product protection and culturally appropriate gifting. </w:t>
      </w:r>
      <w:proofErr w:type="gramStart"/>
      <w:r w:rsidRPr="00E24968">
        <w:rPr>
          <w:rFonts w:ascii="Arial" w:hAnsi="Arial" w:cs="Arial"/>
          <w:sz w:val="24"/>
          <w:szCs w:val="24"/>
        </w:rPr>
        <w:t>Generally</w:t>
      </w:r>
      <w:proofErr w:type="gramEnd"/>
      <w:r w:rsidRPr="00E24968">
        <w:rPr>
          <w:rFonts w:ascii="Arial" w:hAnsi="Arial" w:cs="Arial"/>
          <w:sz w:val="24"/>
          <w:szCs w:val="24"/>
        </w:rPr>
        <w:t xml:space="preserve"> Cadbury should retain its recognizable global identity, while adapting packaging sizes, </w:t>
      </w:r>
      <w:proofErr w:type="spellStart"/>
      <w:r w:rsidRPr="00E24968">
        <w:rPr>
          <w:rFonts w:ascii="Arial" w:hAnsi="Arial" w:cs="Arial"/>
          <w:sz w:val="24"/>
          <w:szCs w:val="24"/>
        </w:rPr>
        <w:t>labeling</w:t>
      </w:r>
      <w:proofErr w:type="spellEnd"/>
      <w:r w:rsidRPr="00E24968">
        <w:rPr>
          <w:rFonts w:ascii="Arial" w:hAnsi="Arial" w:cs="Arial"/>
          <w:sz w:val="24"/>
          <w:szCs w:val="24"/>
        </w:rPr>
        <w:t xml:space="preserve"> and presentation to suit local market needs.</w:t>
      </w:r>
    </w:p>
    <w:p w14:paraId="1EDA2AF4" w14:textId="39CA7F29" w:rsidR="005215C7" w:rsidRDefault="005215C7" w:rsidP="00E24968">
      <w:pPr>
        <w:jc w:val="both"/>
        <w:rPr>
          <w:rFonts w:ascii="Arial" w:hAnsi="Arial" w:cs="Arial"/>
          <w:sz w:val="24"/>
          <w:szCs w:val="24"/>
        </w:rPr>
      </w:pPr>
      <w:r>
        <w:rPr>
          <w:rFonts w:ascii="Arial" w:hAnsi="Arial" w:cs="Arial"/>
          <w:noProof/>
          <w:sz w:val="24"/>
          <w:szCs w:val="24"/>
        </w:rPr>
        <w:drawing>
          <wp:inline distT="0" distB="0" distL="0" distR="0" wp14:anchorId="582ED320" wp14:editId="27E98AFD">
            <wp:extent cx="5928360" cy="58978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1276"/>
                    <a:stretch/>
                  </pic:blipFill>
                  <pic:spPr bwMode="auto">
                    <a:xfrm>
                      <a:off x="0" y="0"/>
                      <a:ext cx="5928360" cy="5897880"/>
                    </a:xfrm>
                    <a:prstGeom prst="rect">
                      <a:avLst/>
                    </a:prstGeom>
                    <a:noFill/>
                    <a:ln>
                      <a:noFill/>
                    </a:ln>
                    <a:extLst>
                      <a:ext uri="{53640926-AAD7-44D8-BBD7-CCE9431645EC}">
                        <a14:shadowObscured xmlns:a14="http://schemas.microsoft.com/office/drawing/2010/main"/>
                      </a:ext>
                    </a:extLst>
                  </pic:spPr>
                </pic:pic>
              </a:graphicData>
            </a:graphic>
          </wp:inline>
        </w:drawing>
      </w:r>
    </w:p>
    <w:p w14:paraId="652F00D3" w14:textId="67CBBE21" w:rsidR="005215C7" w:rsidRPr="00DE7756" w:rsidRDefault="005215C7" w:rsidP="005215C7">
      <w:pPr>
        <w:jc w:val="center"/>
        <w:rPr>
          <w:rFonts w:ascii="Arial" w:hAnsi="Arial" w:cs="Arial"/>
          <w:b/>
          <w:bCs/>
          <w:sz w:val="20"/>
          <w:szCs w:val="20"/>
        </w:rPr>
      </w:pPr>
      <w:r w:rsidRPr="00DE7756">
        <w:rPr>
          <w:rFonts w:ascii="Arial" w:hAnsi="Arial" w:cs="Arial"/>
          <w:b/>
          <w:bCs/>
          <w:sz w:val="20"/>
          <w:szCs w:val="20"/>
        </w:rPr>
        <w:t>Source From Google Gemini</w:t>
      </w:r>
      <w:r w:rsidRPr="00DE7756">
        <w:rPr>
          <w:rFonts w:ascii="Arial" w:hAnsi="Arial" w:cs="Arial"/>
          <w:b/>
          <w:bCs/>
          <w:sz w:val="20"/>
          <w:szCs w:val="20"/>
        </w:rPr>
        <w:t xml:space="preserve"> </w:t>
      </w:r>
      <w:proofErr w:type="gramStart"/>
      <w:r w:rsidRPr="00DE7756">
        <w:rPr>
          <w:rFonts w:ascii="Arial" w:hAnsi="Arial" w:cs="Arial"/>
          <w:b/>
          <w:bCs/>
          <w:sz w:val="20"/>
          <w:szCs w:val="20"/>
        </w:rPr>
        <w:t xml:space="preserve">( </w:t>
      </w:r>
      <w:r w:rsidR="00DE7756" w:rsidRPr="00DE7756">
        <w:rPr>
          <w:rFonts w:ascii="Arial" w:hAnsi="Arial" w:cs="Arial"/>
          <w:b/>
          <w:bCs/>
          <w:sz w:val="20"/>
          <w:szCs w:val="20"/>
        </w:rPr>
        <w:t>image</w:t>
      </w:r>
      <w:proofErr w:type="gramEnd"/>
      <w:r w:rsidR="00DE7756" w:rsidRPr="00DE7756">
        <w:rPr>
          <w:rFonts w:ascii="Arial" w:hAnsi="Arial" w:cs="Arial"/>
          <w:b/>
          <w:bCs/>
          <w:sz w:val="20"/>
          <w:szCs w:val="20"/>
        </w:rPr>
        <w:t xml:space="preserve"> created by Google Gemin</w:t>
      </w:r>
      <w:r w:rsidR="00DE7756" w:rsidRPr="00DE7756">
        <w:rPr>
          <w:rFonts w:ascii="Arial" w:hAnsi="Arial" w:cs="Arial"/>
          <w:b/>
          <w:bCs/>
          <w:sz w:val="20"/>
          <w:szCs w:val="20"/>
        </w:rPr>
        <w:t>i )</w:t>
      </w:r>
    </w:p>
    <w:p w14:paraId="6D48CC2C" w14:textId="77777777" w:rsidR="00DE7756" w:rsidRPr="00DC004C" w:rsidRDefault="00DE7756" w:rsidP="004079FF">
      <w:pPr>
        <w:jc w:val="both"/>
        <w:rPr>
          <w:rFonts w:ascii="Arial" w:hAnsi="Arial" w:cs="Arial"/>
          <w:sz w:val="24"/>
          <w:szCs w:val="24"/>
        </w:rPr>
      </w:pPr>
    </w:p>
    <w:p w14:paraId="6975010D" w14:textId="67A8B584" w:rsidR="0051273B" w:rsidRPr="00DC004C" w:rsidRDefault="0051273B" w:rsidP="00DC004C">
      <w:pPr>
        <w:pStyle w:val="Heading2"/>
        <w:rPr>
          <w:rFonts w:ascii="Arial" w:hAnsi="Arial" w:cs="Arial"/>
          <w:b/>
          <w:bCs/>
          <w:sz w:val="24"/>
          <w:szCs w:val="24"/>
        </w:rPr>
      </w:pPr>
      <w:bookmarkStart w:id="25" w:name="_Toc237516334"/>
      <w:r w:rsidRPr="00DC004C">
        <w:rPr>
          <w:rFonts w:ascii="Arial" w:hAnsi="Arial" w:cs="Arial"/>
          <w:b/>
          <w:bCs/>
          <w:sz w:val="24"/>
          <w:szCs w:val="24"/>
        </w:rPr>
        <w:lastRenderedPageBreak/>
        <w:t>6.</w:t>
      </w:r>
      <w:r w:rsidR="00F12693" w:rsidRPr="00DC004C">
        <w:rPr>
          <w:rFonts w:ascii="Arial" w:hAnsi="Arial" w:cs="Arial"/>
          <w:b/>
          <w:bCs/>
          <w:sz w:val="24"/>
          <w:szCs w:val="24"/>
        </w:rPr>
        <w:t>2</w:t>
      </w:r>
      <w:r w:rsidRPr="00DC004C">
        <w:rPr>
          <w:rFonts w:ascii="Arial" w:hAnsi="Arial" w:cs="Arial"/>
          <w:b/>
          <w:bCs/>
          <w:sz w:val="24"/>
          <w:szCs w:val="24"/>
        </w:rPr>
        <w:t xml:space="preserve"> Overall 7Ps Comparison and Strategic Implications</w:t>
      </w:r>
      <w:bookmarkEnd w:id="25"/>
    </w:p>
    <w:p w14:paraId="62842AA9" w14:textId="77777777" w:rsidR="000A71D1" w:rsidRDefault="00AA69F3" w:rsidP="004079FF">
      <w:pPr>
        <w:jc w:val="both"/>
        <w:rPr>
          <w:rFonts w:ascii="Arial" w:hAnsi="Arial" w:cs="Arial"/>
          <w:sz w:val="24"/>
          <w:szCs w:val="24"/>
        </w:rPr>
      </w:pPr>
      <w:r w:rsidRPr="00DC004C">
        <w:rPr>
          <w:rFonts w:ascii="Arial" w:hAnsi="Arial" w:cs="Arial"/>
          <w:sz w:val="24"/>
          <w:szCs w:val="24"/>
        </w:rPr>
        <w:t>Cadbury needs to standardise its core brand personality, quality expectations and emotional association with enjoyment. But it should adapt product sizes, prices, distribution channels, promotional themes and packaging to local market conditions. The UK needs premiumisation, sustainability and health responsiveness; India affordability, celebration relevance and wide distribution reach.</w:t>
      </w:r>
    </w:p>
    <w:p w14:paraId="689C5D9C" w14:textId="77777777" w:rsidR="000A71D1" w:rsidRDefault="000A71D1" w:rsidP="004079FF">
      <w:pPr>
        <w:jc w:val="both"/>
        <w:rPr>
          <w:rFonts w:ascii="Arial" w:hAnsi="Arial" w:cs="Arial"/>
          <w:sz w:val="24"/>
          <w:szCs w:val="24"/>
        </w:rPr>
      </w:pPr>
    </w:p>
    <w:p w14:paraId="21423362" w14:textId="77777777" w:rsidR="000A71D1" w:rsidRDefault="000A71D1" w:rsidP="000A71D1">
      <w:pPr>
        <w:keepNext/>
        <w:jc w:val="both"/>
      </w:pPr>
      <w:r w:rsidRPr="000A71D1">
        <w:rPr>
          <w:rFonts w:ascii="Arial" w:hAnsi="Arial" w:cs="Arial"/>
          <w:noProof/>
          <w:sz w:val="24"/>
          <w:szCs w:val="24"/>
        </w:rPr>
        <w:drawing>
          <wp:inline distT="0" distB="0" distL="0" distR="0" wp14:anchorId="6984BC3E" wp14:editId="685D9403">
            <wp:extent cx="5943600" cy="4819650"/>
            <wp:effectExtent l="0" t="0" r="0" b="0"/>
            <wp:docPr id="319777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777347" name=""/>
                    <pic:cNvPicPr/>
                  </pic:nvPicPr>
                  <pic:blipFill>
                    <a:blip r:embed="rId14"/>
                    <a:stretch>
                      <a:fillRect/>
                    </a:stretch>
                  </pic:blipFill>
                  <pic:spPr>
                    <a:xfrm>
                      <a:off x="0" y="0"/>
                      <a:ext cx="5943600" cy="4819650"/>
                    </a:xfrm>
                    <a:prstGeom prst="rect">
                      <a:avLst/>
                    </a:prstGeom>
                  </pic:spPr>
                </pic:pic>
              </a:graphicData>
            </a:graphic>
          </wp:inline>
        </w:drawing>
      </w:r>
    </w:p>
    <w:p w14:paraId="03BA0009" w14:textId="6AFE217F" w:rsidR="000A71D1" w:rsidRDefault="000A71D1" w:rsidP="000A71D1">
      <w:pPr>
        <w:pStyle w:val="Caption"/>
        <w:jc w:val="both"/>
      </w:pPr>
      <w:r>
        <w:t xml:space="preserve">Figure </w:t>
      </w:r>
      <w:r>
        <w:fldChar w:fldCharType="begin"/>
      </w:r>
      <w:r>
        <w:instrText xml:space="preserve"> SEQ Figure \* ARABIC </w:instrText>
      </w:r>
      <w:r>
        <w:fldChar w:fldCharType="separate"/>
      </w:r>
      <w:r>
        <w:rPr>
          <w:noProof/>
        </w:rPr>
        <w:t>2</w:t>
      </w:r>
      <w:r>
        <w:fldChar w:fldCharType="end"/>
      </w:r>
      <w:r>
        <w:t xml:space="preserve"> </w:t>
      </w:r>
      <w:r w:rsidRPr="00CE2789">
        <w:t>Cadbury’s Marketing Mix Adaptation for the UK and Indian Markets</w:t>
      </w:r>
    </w:p>
    <w:p w14:paraId="0DBCF6F1" w14:textId="27812A58" w:rsidR="003614F1" w:rsidRPr="00DC004C" w:rsidRDefault="003614F1" w:rsidP="004079FF">
      <w:pPr>
        <w:jc w:val="both"/>
        <w:rPr>
          <w:rFonts w:ascii="Arial" w:hAnsi="Arial" w:cs="Arial"/>
          <w:sz w:val="24"/>
          <w:szCs w:val="24"/>
        </w:rPr>
      </w:pPr>
      <w:r w:rsidRPr="00DC004C">
        <w:rPr>
          <w:rFonts w:ascii="Arial" w:hAnsi="Arial" w:cs="Arial"/>
          <w:sz w:val="24"/>
          <w:szCs w:val="24"/>
        </w:rPr>
        <w:br w:type="page"/>
      </w:r>
    </w:p>
    <w:p w14:paraId="5D1C7E07" w14:textId="77777777" w:rsidR="003614F1" w:rsidRPr="00DC004C" w:rsidRDefault="003614F1" w:rsidP="00DC004C">
      <w:pPr>
        <w:pStyle w:val="Heading1"/>
        <w:rPr>
          <w:rFonts w:ascii="Arial" w:hAnsi="Arial" w:cs="Arial"/>
          <w:b/>
          <w:bCs/>
          <w:sz w:val="24"/>
          <w:szCs w:val="24"/>
        </w:rPr>
      </w:pPr>
      <w:bookmarkStart w:id="26" w:name="_Toc237516335"/>
      <w:r w:rsidRPr="00DC004C">
        <w:rPr>
          <w:rFonts w:ascii="Arial" w:hAnsi="Arial" w:cs="Arial"/>
          <w:b/>
          <w:bCs/>
          <w:sz w:val="24"/>
          <w:szCs w:val="24"/>
        </w:rPr>
        <w:lastRenderedPageBreak/>
        <w:t>7. Cadbury’s Market Entry Strategy in India</w:t>
      </w:r>
      <w:bookmarkEnd w:id="26"/>
    </w:p>
    <w:tbl>
      <w:tblPr>
        <w:tblStyle w:val="TableGrid"/>
        <w:tblW w:w="10490" w:type="dxa"/>
        <w:tblInd w:w="-572" w:type="dxa"/>
        <w:tblLook w:val="04A0" w:firstRow="1" w:lastRow="0" w:firstColumn="1" w:lastColumn="0" w:noHBand="0" w:noVBand="1"/>
      </w:tblPr>
      <w:tblGrid>
        <w:gridCol w:w="2127"/>
        <w:gridCol w:w="8363"/>
      </w:tblGrid>
      <w:tr w:rsidR="003614F1" w:rsidRPr="00DC004C" w14:paraId="4E7B5830" w14:textId="77777777" w:rsidTr="004079FF">
        <w:tc>
          <w:tcPr>
            <w:tcW w:w="2127" w:type="dxa"/>
            <w:hideMark/>
          </w:tcPr>
          <w:p w14:paraId="291BC0B0" w14:textId="77777777" w:rsidR="003614F1" w:rsidRPr="00DC004C" w:rsidRDefault="003614F1" w:rsidP="004079FF">
            <w:pPr>
              <w:spacing w:after="160" w:line="259" w:lineRule="auto"/>
              <w:jc w:val="both"/>
              <w:rPr>
                <w:rFonts w:ascii="Arial" w:hAnsi="Arial" w:cs="Arial"/>
                <w:b/>
                <w:bCs/>
                <w:sz w:val="24"/>
                <w:szCs w:val="24"/>
              </w:rPr>
            </w:pPr>
            <w:r w:rsidRPr="00DC004C">
              <w:rPr>
                <w:rFonts w:ascii="Arial" w:hAnsi="Arial" w:cs="Arial"/>
                <w:b/>
                <w:bCs/>
                <w:sz w:val="24"/>
                <w:szCs w:val="24"/>
              </w:rPr>
              <w:t>Section</w:t>
            </w:r>
          </w:p>
        </w:tc>
        <w:tc>
          <w:tcPr>
            <w:tcW w:w="8363" w:type="dxa"/>
            <w:hideMark/>
          </w:tcPr>
          <w:p w14:paraId="28BBFA3A" w14:textId="77777777" w:rsidR="003614F1" w:rsidRPr="00DC004C" w:rsidRDefault="003614F1" w:rsidP="004079FF">
            <w:pPr>
              <w:spacing w:after="160" w:line="259" w:lineRule="auto"/>
              <w:jc w:val="both"/>
              <w:rPr>
                <w:rFonts w:ascii="Arial" w:hAnsi="Arial" w:cs="Arial"/>
                <w:b/>
                <w:bCs/>
                <w:sz w:val="24"/>
                <w:szCs w:val="24"/>
              </w:rPr>
            </w:pPr>
            <w:r w:rsidRPr="00DC004C">
              <w:rPr>
                <w:rFonts w:ascii="Arial" w:hAnsi="Arial" w:cs="Arial"/>
                <w:b/>
                <w:bCs/>
                <w:sz w:val="24"/>
                <w:szCs w:val="24"/>
              </w:rPr>
              <w:t>Key Points</w:t>
            </w:r>
          </w:p>
        </w:tc>
      </w:tr>
      <w:tr w:rsidR="00AA69F3" w:rsidRPr="00DC004C" w14:paraId="6F6F5786" w14:textId="77777777" w:rsidTr="004079FF">
        <w:tc>
          <w:tcPr>
            <w:tcW w:w="2127" w:type="dxa"/>
            <w:hideMark/>
          </w:tcPr>
          <w:p w14:paraId="6CF31076" w14:textId="094856D5" w:rsidR="00AA69F3" w:rsidRPr="00DC004C" w:rsidRDefault="00AA69F3" w:rsidP="004079FF">
            <w:pPr>
              <w:spacing w:after="160" w:line="259" w:lineRule="auto"/>
              <w:jc w:val="both"/>
              <w:rPr>
                <w:rFonts w:ascii="Arial" w:hAnsi="Arial" w:cs="Arial"/>
                <w:sz w:val="24"/>
                <w:szCs w:val="24"/>
              </w:rPr>
            </w:pPr>
            <w:r w:rsidRPr="00DC004C">
              <w:rPr>
                <w:rFonts w:ascii="Arial" w:hAnsi="Arial" w:cs="Arial"/>
                <w:b/>
                <w:bCs/>
                <w:sz w:val="24"/>
                <w:szCs w:val="24"/>
              </w:rPr>
              <w:t>Introduction to International Market-Entry Strategies</w:t>
            </w:r>
          </w:p>
        </w:tc>
        <w:tc>
          <w:tcPr>
            <w:tcW w:w="8363" w:type="dxa"/>
            <w:hideMark/>
          </w:tcPr>
          <w:p w14:paraId="43CB75B4" w14:textId="125ABDFC"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Exporting, licensing, franchising, joint ventures, strategic alliances, acquisitions and wholly owned subsidiaries are the choice of international entry strategies. The choice is based on market potential, investment capacity, regulation, desired managerial control, local knowledge, and business risk.</w:t>
            </w:r>
          </w:p>
        </w:tc>
      </w:tr>
      <w:tr w:rsidR="00AA69F3" w:rsidRPr="00DC004C" w14:paraId="3EEC816A" w14:textId="77777777" w:rsidTr="004079FF">
        <w:tc>
          <w:tcPr>
            <w:tcW w:w="2127" w:type="dxa"/>
            <w:hideMark/>
          </w:tcPr>
          <w:p w14:paraId="1D7DA76B" w14:textId="21083775" w:rsidR="00AA69F3" w:rsidRPr="00DC004C" w:rsidRDefault="00AA69F3" w:rsidP="004079FF">
            <w:pPr>
              <w:spacing w:after="160" w:line="259" w:lineRule="auto"/>
              <w:jc w:val="both"/>
              <w:rPr>
                <w:rFonts w:ascii="Arial" w:hAnsi="Arial" w:cs="Arial"/>
                <w:sz w:val="24"/>
                <w:szCs w:val="24"/>
              </w:rPr>
            </w:pPr>
            <w:r w:rsidRPr="00DC004C">
              <w:rPr>
                <w:rFonts w:ascii="Arial" w:hAnsi="Arial" w:cs="Arial"/>
                <w:b/>
                <w:bCs/>
                <w:sz w:val="24"/>
                <w:szCs w:val="24"/>
              </w:rPr>
              <w:t>Cadbury’s Entry and Development in India</w:t>
            </w:r>
          </w:p>
        </w:tc>
        <w:tc>
          <w:tcPr>
            <w:tcW w:w="8363" w:type="dxa"/>
            <w:hideMark/>
          </w:tcPr>
          <w:p w14:paraId="788C7189" w14:textId="632D9F5A"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Cadbury entered India in 1948 thru Cadbury Fry (India) Private Limited and has since developed local manufacturing, distribution and marketing capabilities. The business was later part of Mondelēz International Cadbury not only exported, but also established a strong local presence which helped them become familiar to consumers and respond to changing demand.</w:t>
            </w:r>
          </w:p>
        </w:tc>
      </w:tr>
      <w:tr w:rsidR="00AA69F3" w:rsidRPr="00DC004C" w14:paraId="5A28BB52" w14:textId="77777777" w:rsidTr="004079FF">
        <w:tc>
          <w:tcPr>
            <w:tcW w:w="2127" w:type="dxa"/>
            <w:hideMark/>
          </w:tcPr>
          <w:p w14:paraId="122DA809" w14:textId="1F5B4A36" w:rsidR="00AA69F3" w:rsidRPr="00DC004C" w:rsidRDefault="00AA69F3" w:rsidP="004079FF">
            <w:pPr>
              <w:spacing w:after="160" w:line="259" w:lineRule="auto"/>
              <w:jc w:val="both"/>
              <w:rPr>
                <w:rFonts w:ascii="Arial" w:hAnsi="Arial" w:cs="Arial"/>
                <w:sz w:val="24"/>
                <w:szCs w:val="24"/>
              </w:rPr>
            </w:pPr>
            <w:r w:rsidRPr="00DC004C">
              <w:rPr>
                <w:rFonts w:ascii="Arial" w:hAnsi="Arial" w:cs="Arial"/>
                <w:b/>
                <w:bCs/>
                <w:sz w:val="24"/>
                <w:szCs w:val="24"/>
              </w:rPr>
              <w:t>Entry Mode Adopted by Cadbury</w:t>
            </w:r>
          </w:p>
        </w:tc>
        <w:tc>
          <w:tcPr>
            <w:tcW w:w="8363" w:type="dxa"/>
            <w:hideMark/>
          </w:tcPr>
          <w:p w14:paraId="7C9423A7" w14:textId="0BED5FF6"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 xml:space="preserve">Cadbury’s approach was a wholly owned subsidiary supported by local manufacture and extensive indirect distribution. This model of foreign direct investment gave great control over operations, product quality, brand management and </w:t>
            </w:r>
            <w:proofErr w:type="gramStart"/>
            <w:r w:rsidRPr="00DC004C">
              <w:rPr>
                <w:rFonts w:ascii="Arial" w:hAnsi="Arial" w:cs="Arial"/>
                <w:sz w:val="24"/>
                <w:szCs w:val="24"/>
              </w:rPr>
              <w:t>long term</w:t>
            </w:r>
            <w:proofErr w:type="gramEnd"/>
            <w:r w:rsidRPr="00DC004C">
              <w:rPr>
                <w:rFonts w:ascii="Arial" w:hAnsi="Arial" w:cs="Arial"/>
                <w:sz w:val="24"/>
                <w:szCs w:val="24"/>
              </w:rPr>
              <w:t xml:space="preserve"> market development.</w:t>
            </w:r>
          </w:p>
        </w:tc>
      </w:tr>
      <w:tr w:rsidR="00AA69F3" w:rsidRPr="00DC004C" w14:paraId="5E3FEBF3" w14:textId="77777777" w:rsidTr="004079FF">
        <w:tc>
          <w:tcPr>
            <w:tcW w:w="2127" w:type="dxa"/>
            <w:hideMark/>
          </w:tcPr>
          <w:p w14:paraId="67A72A27" w14:textId="309D6463" w:rsidR="00AA69F3" w:rsidRPr="00DC004C" w:rsidRDefault="00AA69F3" w:rsidP="004079FF">
            <w:pPr>
              <w:spacing w:after="160" w:line="259" w:lineRule="auto"/>
              <w:jc w:val="both"/>
              <w:rPr>
                <w:rFonts w:ascii="Arial" w:hAnsi="Arial" w:cs="Arial"/>
                <w:sz w:val="24"/>
                <w:szCs w:val="24"/>
              </w:rPr>
            </w:pPr>
            <w:r w:rsidRPr="00DC004C">
              <w:rPr>
                <w:rFonts w:ascii="Arial" w:hAnsi="Arial" w:cs="Arial"/>
                <w:b/>
                <w:bCs/>
                <w:sz w:val="24"/>
                <w:szCs w:val="24"/>
              </w:rPr>
              <w:t>Rationale for the Entry Strategy</w:t>
            </w:r>
          </w:p>
        </w:tc>
        <w:tc>
          <w:tcPr>
            <w:tcW w:w="8363" w:type="dxa"/>
            <w:hideMark/>
          </w:tcPr>
          <w:p w14:paraId="1309138E" w14:textId="54D1D9FC"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India’s population size, long-term growth prospects and diverse consumer base made local operations attractive. The food market has become more attractive due to rising living standards, changing consumption patterns and population growth. Local manufacturing also enables Cadbury to tweak pack sizes, prices, products and promotional campaigns to Indian market conditions.</w:t>
            </w:r>
          </w:p>
        </w:tc>
      </w:tr>
      <w:tr w:rsidR="00AA69F3" w:rsidRPr="00DC004C" w14:paraId="5C9280AD" w14:textId="77777777" w:rsidTr="004079FF">
        <w:tc>
          <w:tcPr>
            <w:tcW w:w="2127" w:type="dxa"/>
            <w:hideMark/>
          </w:tcPr>
          <w:p w14:paraId="554BC06A" w14:textId="12357689" w:rsidR="00AA69F3" w:rsidRPr="00DC004C" w:rsidRDefault="00AA69F3" w:rsidP="004079FF">
            <w:pPr>
              <w:spacing w:after="160" w:line="259" w:lineRule="auto"/>
              <w:jc w:val="both"/>
              <w:rPr>
                <w:rFonts w:ascii="Arial" w:hAnsi="Arial" w:cs="Arial"/>
                <w:sz w:val="24"/>
                <w:szCs w:val="24"/>
              </w:rPr>
            </w:pPr>
            <w:r w:rsidRPr="00DC004C">
              <w:rPr>
                <w:rFonts w:ascii="Arial" w:hAnsi="Arial" w:cs="Arial"/>
                <w:b/>
                <w:bCs/>
                <w:sz w:val="24"/>
                <w:szCs w:val="24"/>
              </w:rPr>
              <w:t>Advantages of the Chosen Strategy</w:t>
            </w:r>
          </w:p>
        </w:tc>
        <w:tc>
          <w:tcPr>
            <w:tcW w:w="8363" w:type="dxa"/>
            <w:hideMark/>
          </w:tcPr>
          <w:p w14:paraId="56217501" w14:textId="6ECA7A5B"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This strategy gives more control over product quality, pricing, marketing and brand positioning. Local manufacturing can reduce reliance on imports and transportation costs and improve responsiveness to demand. It also allows for closer relationships with suppliers, distributors, retailers and consumers while protecting Cadbury’s established reputation.</w:t>
            </w:r>
          </w:p>
        </w:tc>
      </w:tr>
      <w:tr w:rsidR="00AA69F3" w:rsidRPr="00DC004C" w14:paraId="70C03058" w14:textId="77777777" w:rsidTr="004079FF">
        <w:tc>
          <w:tcPr>
            <w:tcW w:w="2127" w:type="dxa"/>
            <w:hideMark/>
          </w:tcPr>
          <w:p w14:paraId="7B5F5A77" w14:textId="1635674F" w:rsidR="00AA69F3" w:rsidRPr="00DC004C" w:rsidRDefault="00AA69F3" w:rsidP="004079FF">
            <w:pPr>
              <w:spacing w:after="160" w:line="259" w:lineRule="auto"/>
              <w:jc w:val="both"/>
              <w:rPr>
                <w:rFonts w:ascii="Arial" w:hAnsi="Arial" w:cs="Arial"/>
                <w:sz w:val="24"/>
                <w:szCs w:val="24"/>
              </w:rPr>
            </w:pPr>
            <w:r w:rsidRPr="00DC004C">
              <w:rPr>
                <w:rFonts w:ascii="Arial" w:hAnsi="Arial" w:cs="Arial"/>
                <w:b/>
                <w:bCs/>
                <w:sz w:val="24"/>
                <w:szCs w:val="24"/>
              </w:rPr>
              <w:t>Disadvantages and Risks</w:t>
            </w:r>
          </w:p>
        </w:tc>
        <w:tc>
          <w:tcPr>
            <w:tcW w:w="8363" w:type="dxa"/>
            <w:hideMark/>
          </w:tcPr>
          <w:p w14:paraId="141E7D78" w14:textId="6502341B"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The strategy requires significant capital investment and exposes the firm to operational, regulatory and reputational risks. Management costs might be higher due to regional diversity, infrastructure disparities, price sensitivity and India’s complex distribution network. Food safety issues or supply chain disruptions could also hurt consumer confidence.</w:t>
            </w:r>
          </w:p>
        </w:tc>
      </w:tr>
      <w:tr w:rsidR="00AA69F3" w:rsidRPr="00DC004C" w14:paraId="782D0563" w14:textId="77777777" w:rsidTr="004079FF">
        <w:tc>
          <w:tcPr>
            <w:tcW w:w="2127" w:type="dxa"/>
            <w:hideMark/>
          </w:tcPr>
          <w:p w14:paraId="180B9250" w14:textId="0B48ED80" w:rsidR="00AA69F3" w:rsidRPr="00DC004C" w:rsidRDefault="00AA69F3" w:rsidP="004079FF">
            <w:pPr>
              <w:spacing w:after="160" w:line="259" w:lineRule="auto"/>
              <w:jc w:val="both"/>
              <w:rPr>
                <w:rFonts w:ascii="Arial" w:hAnsi="Arial" w:cs="Arial"/>
                <w:sz w:val="24"/>
                <w:szCs w:val="24"/>
              </w:rPr>
            </w:pPr>
            <w:r w:rsidRPr="00DC004C">
              <w:rPr>
                <w:rFonts w:ascii="Arial" w:hAnsi="Arial" w:cs="Arial"/>
                <w:b/>
                <w:bCs/>
                <w:sz w:val="24"/>
                <w:szCs w:val="24"/>
              </w:rPr>
              <w:t>Evaluation of Effectiveness</w:t>
            </w:r>
          </w:p>
        </w:tc>
        <w:tc>
          <w:tcPr>
            <w:tcW w:w="8363" w:type="dxa"/>
            <w:hideMark/>
          </w:tcPr>
          <w:p w14:paraId="0EF8C1BC" w14:textId="2F1203B5" w:rsidR="00AA69F3" w:rsidRPr="00DC004C" w:rsidRDefault="00AA69F3" w:rsidP="004079FF">
            <w:pPr>
              <w:spacing w:after="160" w:line="259" w:lineRule="auto"/>
              <w:jc w:val="both"/>
              <w:rPr>
                <w:rFonts w:ascii="Arial" w:hAnsi="Arial" w:cs="Arial"/>
                <w:sz w:val="24"/>
                <w:szCs w:val="24"/>
              </w:rPr>
            </w:pPr>
            <w:r w:rsidRPr="00DC004C">
              <w:rPr>
                <w:rFonts w:ascii="Arial" w:hAnsi="Arial" w:cs="Arial"/>
                <w:sz w:val="24"/>
                <w:szCs w:val="24"/>
              </w:rPr>
              <w:t>Overall, Cadbury’s locally embedded strategy appears to be successful as it allows for extensive distribution, product adaptation and long-term brand development. Continued success depends, however, on the maintenance of affordable prices, strong quality control, ethical sourcing and locally relevant marketing communications.</w:t>
            </w:r>
          </w:p>
        </w:tc>
      </w:tr>
    </w:tbl>
    <w:p w14:paraId="681B41E4" w14:textId="136A7AC2" w:rsidR="00F12693" w:rsidRPr="00DC004C" w:rsidRDefault="00F12693" w:rsidP="004079FF">
      <w:pPr>
        <w:jc w:val="both"/>
        <w:rPr>
          <w:rFonts w:ascii="Arial" w:hAnsi="Arial" w:cs="Arial"/>
          <w:b/>
          <w:bCs/>
          <w:sz w:val="24"/>
          <w:szCs w:val="24"/>
        </w:rPr>
      </w:pPr>
    </w:p>
    <w:p w14:paraId="2248CE4A" w14:textId="1989B287" w:rsidR="003614F1" w:rsidRPr="00DC004C" w:rsidRDefault="003614F1" w:rsidP="00DC004C">
      <w:pPr>
        <w:pStyle w:val="Heading1"/>
        <w:rPr>
          <w:rFonts w:ascii="Arial" w:hAnsi="Arial" w:cs="Arial"/>
          <w:b/>
          <w:bCs/>
          <w:sz w:val="24"/>
          <w:szCs w:val="24"/>
        </w:rPr>
      </w:pPr>
      <w:bookmarkStart w:id="27" w:name="_Toc237516336"/>
      <w:r w:rsidRPr="00DC004C">
        <w:rPr>
          <w:rFonts w:ascii="Arial" w:hAnsi="Arial" w:cs="Arial"/>
          <w:b/>
          <w:bCs/>
          <w:sz w:val="24"/>
          <w:szCs w:val="24"/>
        </w:rPr>
        <w:lastRenderedPageBreak/>
        <w:t>8. Ethical Marketing Analysis: India</w:t>
      </w:r>
      <w:bookmarkEnd w:id="27"/>
    </w:p>
    <w:p w14:paraId="5E1EA54D" w14:textId="77777777" w:rsidR="003614F1" w:rsidRPr="00DC004C" w:rsidRDefault="003614F1" w:rsidP="00DC004C">
      <w:pPr>
        <w:pStyle w:val="Heading2"/>
        <w:rPr>
          <w:rFonts w:ascii="Arial" w:hAnsi="Arial" w:cs="Arial"/>
          <w:b/>
          <w:bCs/>
          <w:sz w:val="24"/>
          <w:szCs w:val="24"/>
        </w:rPr>
      </w:pPr>
      <w:bookmarkStart w:id="28" w:name="_Toc237516337"/>
      <w:r w:rsidRPr="00DC004C">
        <w:rPr>
          <w:rFonts w:ascii="Arial" w:hAnsi="Arial" w:cs="Arial"/>
          <w:b/>
          <w:bCs/>
          <w:sz w:val="24"/>
          <w:szCs w:val="24"/>
        </w:rPr>
        <w:t>8.1 Introduction to Ethical Marketing</w:t>
      </w:r>
      <w:bookmarkEnd w:id="28"/>
    </w:p>
    <w:p w14:paraId="4812CADF" w14:textId="77777777" w:rsidR="00AA69F3" w:rsidRPr="00DC004C" w:rsidRDefault="00AA69F3" w:rsidP="004079FF">
      <w:pPr>
        <w:jc w:val="both"/>
        <w:rPr>
          <w:rFonts w:ascii="Arial" w:hAnsi="Arial" w:cs="Arial"/>
          <w:sz w:val="24"/>
          <w:szCs w:val="24"/>
        </w:rPr>
      </w:pPr>
      <w:r w:rsidRPr="00DC004C">
        <w:rPr>
          <w:rFonts w:ascii="Arial" w:hAnsi="Arial" w:cs="Arial"/>
          <w:sz w:val="24"/>
          <w:szCs w:val="24"/>
        </w:rPr>
        <w:t>Ethical marketing is the marketing practices that are fair, transparent, socially responsible and respectful for the well-being of the stakeholders. For Cadbury in India, this is about ethical marketing that takes into account product safety, nutritional transparency, responsible communication, packaging waste and the wider sustainability of the cocoa supply chain.</w:t>
      </w:r>
    </w:p>
    <w:p w14:paraId="370FADE5" w14:textId="4C392A26" w:rsidR="003614F1" w:rsidRPr="00DC004C" w:rsidRDefault="003614F1" w:rsidP="00DC004C">
      <w:pPr>
        <w:pStyle w:val="Heading2"/>
        <w:rPr>
          <w:rFonts w:ascii="Arial" w:hAnsi="Arial" w:cs="Arial"/>
          <w:b/>
          <w:bCs/>
          <w:sz w:val="24"/>
          <w:szCs w:val="24"/>
        </w:rPr>
      </w:pPr>
      <w:bookmarkStart w:id="29" w:name="_Toc237516338"/>
      <w:r w:rsidRPr="00DC004C">
        <w:rPr>
          <w:rFonts w:ascii="Arial" w:hAnsi="Arial" w:cs="Arial"/>
          <w:b/>
          <w:bCs/>
          <w:sz w:val="24"/>
          <w:szCs w:val="24"/>
        </w:rPr>
        <w:t>8.2 Ethical Marketing Practices by Cadbury in India</w:t>
      </w:r>
      <w:bookmarkEnd w:id="29"/>
    </w:p>
    <w:p w14:paraId="3C8CD83A" w14:textId="77777777" w:rsidR="00AA69F3" w:rsidRPr="00DC004C" w:rsidRDefault="00AA69F3" w:rsidP="004079FF">
      <w:pPr>
        <w:jc w:val="both"/>
        <w:rPr>
          <w:rFonts w:ascii="Arial" w:hAnsi="Arial" w:cs="Arial"/>
          <w:sz w:val="24"/>
          <w:szCs w:val="24"/>
        </w:rPr>
      </w:pPr>
      <w:r w:rsidRPr="00DC004C">
        <w:rPr>
          <w:rFonts w:ascii="Arial" w:hAnsi="Arial" w:cs="Arial"/>
          <w:sz w:val="24"/>
          <w:szCs w:val="24"/>
        </w:rPr>
        <w:t xml:space="preserve">First of all, Cadbury can show ethical practice thru responsible sourcing commitments, supplier standards and sustainability initiatives. Improvements to the environment within food-and-beverage supply chains require collaboration between firms, suppliers, consumers, and public institutions. But any claims about sustainability must be specific, measurable and independently verified. </w:t>
      </w:r>
    </w:p>
    <w:p w14:paraId="58D1C429" w14:textId="1494B252" w:rsidR="003614F1" w:rsidRPr="00DC004C" w:rsidRDefault="00AA69F3" w:rsidP="004079FF">
      <w:pPr>
        <w:jc w:val="both"/>
        <w:rPr>
          <w:rFonts w:ascii="Arial" w:hAnsi="Arial" w:cs="Arial"/>
          <w:sz w:val="24"/>
          <w:szCs w:val="24"/>
        </w:rPr>
      </w:pPr>
      <w:r w:rsidRPr="00DC004C">
        <w:rPr>
          <w:rFonts w:ascii="Arial" w:hAnsi="Arial" w:cs="Arial"/>
          <w:sz w:val="24"/>
          <w:szCs w:val="24"/>
        </w:rPr>
        <w:t>Secondly, Cadbury has an ethical responsibility to provide accurate ingredient, allergen and nutrition information. India’s food regulatory system needs controls over food manufacture, storage, distribution, sale and import to ensure that food is safe and wholesome. This is particularly important for consumers with allergies, dietary restrictions, or health concerns to be able to clearly communicate</w:t>
      </w:r>
      <w:r w:rsidR="008D483F" w:rsidRPr="00DC004C">
        <w:rPr>
          <w:rFonts w:ascii="Arial" w:hAnsi="Arial" w:cs="Arial"/>
          <w:sz w:val="24"/>
          <w:szCs w:val="24"/>
        </w:rPr>
        <w:t xml:space="preserve"> (</w:t>
      </w:r>
      <w:proofErr w:type="spellStart"/>
      <w:r w:rsidR="008D483F" w:rsidRPr="00DC004C">
        <w:rPr>
          <w:rFonts w:ascii="Arial" w:hAnsi="Arial" w:cs="Arial"/>
          <w:sz w:val="24"/>
          <w:szCs w:val="24"/>
        </w:rPr>
        <w:t>Ariningsih</w:t>
      </w:r>
      <w:proofErr w:type="spellEnd"/>
      <w:r w:rsidR="008D483F" w:rsidRPr="00DC004C">
        <w:rPr>
          <w:rFonts w:ascii="Arial" w:hAnsi="Arial" w:cs="Arial"/>
          <w:sz w:val="24"/>
          <w:szCs w:val="24"/>
        </w:rPr>
        <w:t>, 2024)</w:t>
      </w:r>
      <w:r w:rsidRPr="00DC004C">
        <w:rPr>
          <w:rFonts w:ascii="Arial" w:hAnsi="Arial" w:cs="Arial"/>
          <w:sz w:val="24"/>
          <w:szCs w:val="24"/>
        </w:rPr>
        <w:t>.</w:t>
      </w:r>
      <w:r w:rsidR="003614F1" w:rsidRPr="00DC004C">
        <w:rPr>
          <w:rFonts w:ascii="Arial" w:hAnsi="Arial" w:cs="Arial"/>
          <w:sz w:val="24"/>
          <w:szCs w:val="24"/>
        </w:rPr>
        <w:t xml:space="preserve"> </w:t>
      </w:r>
    </w:p>
    <w:p w14:paraId="025F3A15" w14:textId="77777777" w:rsidR="003614F1" w:rsidRPr="00DC004C" w:rsidRDefault="003614F1" w:rsidP="00DC004C">
      <w:pPr>
        <w:pStyle w:val="Heading2"/>
        <w:rPr>
          <w:rFonts w:ascii="Arial" w:hAnsi="Arial" w:cs="Arial"/>
          <w:b/>
          <w:bCs/>
          <w:sz w:val="24"/>
          <w:szCs w:val="24"/>
        </w:rPr>
      </w:pPr>
      <w:bookmarkStart w:id="30" w:name="_Toc237516339"/>
      <w:r w:rsidRPr="00DC004C">
        <w:rPr>
          <w:rFonts w:ascii="Arial" w:hAnsi="Arial" w:cs="Arial"/>
          <w:b/>
          <w:bCs/>
          <w:sz w:val="24"/>
          <w:szCs w:val="24"/>
        </w:rPr>
        <w:t>8.3 Ethical Concerns and Controversial Practices</w:t>
      </w:r>
      <w:bookmarkEnd w:id="30"/>
    </w:p>
    <w:p w14:paraId="64FEA292" w14:textId="77777777" w:rsidR="00AA69F3" w:rsidRPr="00DC004C" w:rsidRDefault="00AA69F3" w:rsidP="004079FF">
      <w:pPr>
        <w:jc w:val="both"/>
        <w:rPr>
          <w:rFonts w:ascii="Arial" w:hAnsi="Arial" w:cs="Arial"/>
          <w:sz w:val="24"/>
          <w:szCs w:val="24"/>
        </w:rPr>
      </w:pPr>
      <w:r w:rsidRPr="00DC004C">
        <w:rPr>
          <w:rFonts w:ascii="Arial" w:hAnsi="Arial" w:cs="Arial"/>
          <w:sz w:val="24"/>
          <w:szCs w:val="24"/>
        </w:rPr>
        <w:t xml:space="preserve">One big concern is the amount of sugar in candy products. Chocolate is a typical indulgence product, but its frequent consumption can contribute to diet-related health risks. Cadbury should thus avoid communications that encourage overconsumption or that directly tap into children’s limited understanding of the health implications. Research shows there are still gaps in Indian restrictions on advertising of foods high in fat, salt and sugar to children. </w:t>
      </w:r>
    </w:p>
    <w:p w14:paraId="3840B7C5" w14:textId="17AF9FD2" w:rsidR="003614F1" w:rsidRPr="00DC004C" w:rsidRDefault="00AA69F3" w:rsidP="004079FF">
      <w:pPr>
        <w:jc w:val="both"/>
        <w:rPr>
          <w:rFonts w:ascii="Arial" w:hAnsi="Arial" w:cs="Arial"/>
          <w:sz w:val="24"/>
          <w:szCs w:val="24"/>
        </w:rPr>
      </w:pPr>
      <w:r w:rsidRPr="00DC004C">
        <w:rPr>
          <w:rFonts w:ascii="Arial" w:hAnsi="Arial" w:cs="Arial"/>
          <w:sz w:val="24"/>
          <w:szCs w:val="24"/>
        </w:rPr>
        <w:t>Another problem is the amount of packaging waste. Single low-price packs may make products cheaper and more accessible but they can also increase the amount of packaging being sent to waste systems. Cadbury is faced with the challenge of balancing commercial objectives with recyclable, reduced material and appropriately communicated packaging solutions.</w:t>
      </w:r>
    </w:p>
    <w:p w14:paraId="55667FB7" w14:textId="50499561" w:rsidR="003614F1" w:rsidRPr="00DC004C" w:rsidRDefault="003614F1" w:rsidP="004079FF">
      <w:pPr>
        <w:jc w:val="both"/>
        <w:rPr>
          <w:rFonts w:ascii="Arial" w:hAnsi="Arial" w:cs="Arial"/>
          <w:b/>
          <w:bCs/>
          <w:sz w:val="24"/>
          <w:szCs w:val="24"/>
        </w:rPr>
      </w:pPr>
      <w:r w:rsidRPr="00DC004C">
        <w:rPr>
          <w:rFonts w:ascii="Arial" w:hAnsi="Arial" w:cs="Arial"/>
          <w:b/>
          <w:bCs/>
          <w:sz w:val="24"/>
          <w:szCs w:val="24"/>
        </w:rPr>
        <w:br w:type="page"/>
      </w:r>
    </w:p>
    <w:p w14:paraId="1549D394" w14:textId="05241C83" w:rsidR="003614F1" w:rsidRPr="00DC004C" w:rsidRDefault="003614F1" w:rsidP="00DC004C">
      <w:pPr>
        <w:pStyle w:val="Heading1"/>
        <w:rPr>
          <w:rFonts w:ascii="Arial" w:hAnsi="Arial" w:cs="Arial"/>
          <w:b/>
          <w:bCs/>
          <w:sz w:val="24"/>
          <w:szCs w:val="24"/>
        </w:rPr>
      </w:pPr>
      <w:bookmarkStart w:id="31" w:name="_Toc237516340"/>
      <w:r w:rsidRPr="00DC004C">
        <w:rPr>
          <w:rFonts w:ascii="Arial" w:hAnsi="Arial" w:cs="Arial"/>
          <w:b/>
          <w:bCs/>
          <w:sz w:val="24"/>
          <w:szCs w:val="24"/>
        </w:rPr>
        <w:lastRenderedPageBreak/>
        <w:t>9. Recommendations</w:t>
      </w:r>
      <w:bookmarkEnd w:id="31"/>
    </w:p>
    <w:p w14:paraId="4C468133" w14:textId="77777777" w:rsidR="003614F1" w:rsidRPr="00DC004C" w:rsidRDefault="003614F1" w:rsidP="00DC004C">
      <w:pPr>
        <w:pStyle w:val="Heading2"/>
        <w:rPr>
          <w:rFonts w:ascii="Arial" w:hAnsi="Arial" w:cs="Arial"/>
          <w:b/>
          <w:bCs/>
          <w:sz w:val="24"/>
          <w:szCs w:val="24"/>
        </w:rPr>
      </w:pPr>
      <w:bookmarkStart w:id="32" w:name="_Toc237516341"/>
      <w:r w:rsidRPr="00DC004C">
        <w:rPr>
          <w:rFonts w:ascii="Arial" w:hAnsi="Arial" w:cs="Arial"/>
          <w:b/>
          <w:bCs/>
          <w:sz w:val="24"/>
          <w:szCs w:val="24"/>
        </w:rPr>
        <w:t>9.1 Recommendation 1: United Kingdom Marketing Strategy</w:t>
      </w:r>
      <w:bookmarkEnd w:id="32"/>
    </w:p>
    <w:p w14:paraId="6CD9F75E" w14:textId="77777777" w:rsidR="00AA69F3" w:rsidRPr="00DC004C" w:rsidRDefault="00AA69F3" w:rsidP="004079FF">
      <w:pPr>
        <w:jc w:val="both"/>
        <w:rPr>
          <w:rFonts w:ascii="Arial" w:hAnsi="Arial" w:cs="Arial"/>
          <w:sz w:val="24"/>
          <w:szCs w:val="24"/>
        </w:rPr>
      </w:pPr>
      <w:r w:rsidRPr="00DC004C">
        <w:rPr>
          <w:rFonts w:ascii="Arial" w:hAnsi="Arial" w:cs="Arial"/>
          <w:sz w:val="24"/>
          <w:szCs w:val="24"/>
        </w:rPr>
        <w:t>Cadbury UK needs to expand its offering of clearly labelled portion-controlled and reduced-sugar products. This would satisfy both consumer health concerns and policy maker pressure, while allowing the company to maintain its established positioning around enjoyment, quality and seasonal gifting. Marketing should be used to communicate moderation, not to promote the idea that sweets are a substitute for more healthy food.</w:t>
      </w:r>
    </w:p>
    <w:p w14:paraId="2A3269D5" w14:textId="2D929E91" w:rsidR="003614F1" w:rsidRPr="00DC004C" w:rsidRDefault="003614F1" w:rsidP="00DC004C">
      <w:pPr>
        <w:pStyle w:val="Heading2"/>
        <w:rPr>
          <w:rFonts w:ascii="Arial" w:hAnsi="Arial" w:cs="Arial"/>
          <w:b/>
          <w:bCs/>
          <w:sz w:val="24"/>
          <w:szCs w:val="24"/>
        </w:rPr>
      </w:pPr>
      <w:bookmarkStart w:id="33" w:name="_Toc237516342"/>
      <w:r w:rsidRPr="00DC004C">
        <w:rPr>
          <w:rFonts w:ascii="Arial" w:hAnsi="Arial" w:cs="Arial"/>
          <w:b/>
          <w:bCs/>
          <w:sz w:val="24"/>
          <w:szCs w:val="24"/>
        </w:rPr>
        <w:t>9.2 Recommendation 2: India Marketing Strategy</w:t>
      </w:r>
      <w:bookmarkEnd w:id="33"/>
    </w:p>
    <w:p w14:paraId="2EE62735" w14:textId="77777777" w:rsidR="00AA69F3" w:rsidRPr="00DC004C" w:rsidRDefault="00AA69F3" w:rsidP="004079FF">
      <w:pPr>
        <w:jc w:val="both"/>
        <w:rPr>
          <w:rFonts w:ascii="Arial" w:hAnsi="Arial" w:cs="Arial"/>
          <w:sz w:val="24"/>
          <w:szCs w:val="24"/>
        </w:rPr>
      </w:pPr>
      <w:r w:rsidRPr="00DC004C">
        <w:rPr>
          <w:rFonts w:ascii="Arial" w:hAnsi="Arial" w:cs="Arial"/>
          <w:sz w:val="24"/>
          <w:szCs w:val="24"/>
        </w:rPr>
        <w:t>In India, Cadbury should continue to offer affordable small-pack formats but improve their environmental profile thru packaging reduction, recyclability initiatives and consumer disposal guidance. It should also continue to have culturally relevant celebration and gifting campaigns, but should not carry high-sugar product promotion mainly targeted at children. This would protect accessibility, in meeting health and environmental concerns.</w:t>
      </w:r>
    </w:p>
    <w:p w14:paraId="4E6B66A1" w14:textId="5AC411A7" w:rsidR="003614F1" w:rsidRPr="00DC004C" w:rsidRDefault="003614F1" w:rsidP="00DC004C">
      <w:pPr>
        <w:pStyle w:val="Heading2"/>
        <w:rPr>
          <w:rFonts w:ascii="Arial" w:hAnsi="Arial" w:cs="Arial"/>
          <w:b/>
          <w:bCs/>
          <w:sz w:val="24"/>
          <w:szCs w:val="24"/>
        </w:rPr>
      </w:pPr>
      <w:bookmarkStart w:id="34" w:name="_Toc237516343"/>
      <w:r w:rsidRPr="00DC004C">
        <w:rPr>
          <w:rFonts w:ascii="Arial" w:hAnsi="Arial" w:cs="Arial"/>
          <w:b/>
          <w:bCs/>
          <w:sz w:val="24"/>
          <w:szCs w:val="24"/>
        </w:rPr>
        <w:t>9.3 Recommendation 3: Cross-Market Strategy</w:t>
      </w:r>
      <w:bookmarkEnd w:id="34"/>
    </w:p>
    <w:p w14:paraId="214A07F5" w14:textId="77777777" w:rsidR="00AA69F3" w:rsidRPr="00DC004C" w:rsidRDefault="00AA69F3" w:rsidP="004079FF">
      <w:pPr>
        <w:jc w:val="both"/>
        <w:rPr>
          <w:rFonts w:ascii="Arial" w:hAnsi="Arial" w:cs="Arial"/>
          <w:sz w:val="24"/>
          <w:szCs w:val="24"/>
        </w:rPr>
      </w:pPr>
      <w:r w:rsidRPr="00DC004C">
        <w:rPr>
          <w:rFonts w:ascii="Arial" w:hAnsi="Arial" w:cs="Arial"/>
          <w:sz w:val="24"/>
          <w:szCs w:val="24"/>
        </w:rPr>
        <w:t>Cadbury should have a consistent sustainability and ethical marketing dashboard across markets. It should report measurable indicators on cocoa traceability, packaging reduction, use of recyclable-material, product reformulation, customer complaints and marketing compliance.</w:t>
      </w:r>
    </w:p>
    <w:p w14:paraId="6C0307A6" w14:textId="581E665E" w:rsidR="003614F1" w:rsidRPr="00DC004C" w:rsidRDefault="003614F1" w:rsidP="00DC004C">
      <w:pPr>
        <w:pStyle w:val="Heading2"/>
        <w:rPr>
          <w:rFonts w:ascii="Arial" w:hAnsi="Arial" w:cs="Arial"/>
          <w:b/>
          <w:bCs/>
          <w:sz w:val="24"/>
          <w:szCs w:val="24"/>
        </w:rPr>
      </w:pPr>
      <w:bookmarkStart w:id="35" w:name="_Toc237516344"/>
      <w:r w:rsidRPr="00DC004C">
        <w:rPr>
          <w:rFonts w:ascii="Arial" w:hAnsi="Arial" w:cs="Arial"/>
          <w:b/>
          <w:bCs/>
          <w:sz w:val="24"/>
          <w:szCs w:val="24"/>
        </w:rPr>
        <w:t>9.4 Implementation Priorities and Expected Outcomes</w:t>
      </w:r>
      <w:bookmarkEnd w:id="35"/>
    </w:p>
    <w:p w14:paraId="2604119B" w14:textId="12A75573" w:rsidR="003614F1" w:rsidRPr="00DC004C" w:rsidRDefault="00AA69F3" w:rsidP="004079FF">
      <w:pPr>
        <w:jc w:val="both"/>
        <w:rPr>
          <w:rFonts w:ascii="Arial" w:hAnsi="Arial" w:cs="Arial"/>
          <w:b/>
          <w:bCs/>
          <w:sz w:val="24"/>
          <w:szCs w:val="24"/>
        </w:rPr>
      </w:pPr>
      <w:r w:rsidRPr="00DC004C">
        <w:rPr>
          <w:rFonts w:ascii="Arial" w:hAnsi="Arial" w:cs="Arial"/>
          <w:sz w:val="24"/>
          <w:szCs w:val="24"/>
        </w:rPr>
        <w:t>The implementation should start with an audit of packaging, nutrition communication and child-directed promotional content. The results are expected to be greater consumer trust, lower regulatory risk, increased credibility on sustainability and a more resilient international brand position.</w:t>
      </w:r>
      <w:r w:rsidR="008D483F" w:rsidRPr="00DC004C">
        <w:rPr>
          <w:rFonts w:ascii="Arial" w:hAnsi="Arial" w:cs="Arial"/>
          <w:sz w:val="24"/>
          <w:szCs w:val="24"/>
        </w:rPr>
        <w:t xml:space="preserve"> (Kamp et al., 2023)</w:t>
      </w:r>
      <w:r w:rsidR="003614F1" w:rsidRPr="00DC004C">
        <w:rPr>
          <w:rFonts w:ascii="Arial" w:hAnsi="Arial" w:cs="Arial"/>
          <w:b/>
          <w:bCs/>
          <w:sz w:val="24"/>
          <w:szCs w:val="24"/>
        </w:rPr>
        <w:br w:type="page"/>
      </w:r>
    </w:p>
    <w:p w14:paraId="5A18B2B2" w14:textId="46BEEFD8" w:rsidR="003614F1" w:rsidRPr="00DC004C" w:rsidRDefault="003614F1" w:rsidP="00DC004C">
      <w:pPr>
        <w:pStyle w:val="Heading1"/>
        <w:rPr>
          <w:rFonts w:ascii="Arial" w:hAnsi="Arial" w:cs="Arial"/>
          <w:b/>
          <w:bCs/>
          <w:sz w:val="24"/>
          <w:szCs w:val="24"/>
        </w:rPr>
      </w:pPr>
      <w:bookmarkStart w:id="36" w:name="_Toc237516345"/>
      <w:r w:rsidRPr="00DC004C">
        <w:rPr>
          <w:rFonts w:ascii="Arial" w:hAnsi="Arial" w:cs="Arial"/>
          <w:b/>
          <w:bCs/>
          <w:sz w:val="24"/>
          <w:szCs w:val="24"/>
        </w:rPr>
        <w:lastRenderedPageBreak/>
        <w:t>10. Conclusion</w:t>
      </w:r>
      <w:bookmarkEnd w:id="36"/>
    </w:p>
    <w:p w14:paraId="566374CF" w14:textId="411CA361" w:rsidR="003614F1" w:rsidRPr="00DC004C" w:rsidRDefault="00AA69F3" w:rsidP="004079FF">
      <w:pPr>
        <w:jc w:val="both"/>
        <w:rPr>
          <w:rFonts w:ascii="Arial" w:hAnsi="Arial" w:cs="Arial"/>
          <w:sz w:val="24"/>
          <w:szCs w:val="24"/>
        </w:rPr>
      </w:pPr>
      <w:r w:rsidRPr="00DC004C">
        <w:rPr>
          <w:rFonts w:ascii="Arial" w:hAnsi="Arial" w:cs="Arial"/>
          <w:sz w:val="24"/>
          <w:szCs w:val="24"/>
        </w:rPr>
        <w:t>Cadbury’s marketing strategy is a good example of the need to balance global brand consistency with local adaptation. “In the UK, we need to focus more on premiumisation, health concerns and sustainability expectations, whereas in India it is important to focus on affordable pricing, broad distribution and communication focused on celebrations. Cadbury's strategy of entering the Indian market locally has been helpful in product adaptation and has reached a wide consumer base. But for long-term success, responsible marketing, transparent labelling, sustainable packaging and credible ethical commitments are required. A selective adaptation strategy will enable Cadbury to preserve its global identity while addressing the cultural, economic and regulatory differences between the UK and India.</w:t>
      </w:r>
      <w:r w:rsidR="003614F1" w:rsidRPr="00DC004C">
        <w:rPr>
          <w:rFonts w:ascii="Arial" w:hAnsi="Arial" w:cs="Arial"/>
          <w:sz w:val="24"/>
          <w:szCs w:val="24"/>
        </w:rPr>
        <w:br w:type="page"/>
      </w:r>
    </w:p>
    <w:p w14:paraId="14114B90" w14:textId="77777777" w:rsidR="00AA69F3" w:rsidRDefault="00AA69F3" w:rsidP="00DC004C">
      <w:pPr>
        <w:pStyle w:val="Heading1"/>
        <w:rPr>
          <w:rFonts w:ascii="Arial" w:hAnsi="Arial" w:cs="Arial"/>
          <w:b/>
          <w:bCs/>
          <w:sz w:val="32"/>
          <w:szCs w:val="32"/>
        </w:rPr>
      </w:pPr>
      <w:bookmarkStart w:id="37" w:name="_Toc237516346"/>
      <w:r w:rsidRPr="00DC004C">
        <w:rPr>
          <w:rFonts w:ascii="Arial" w:hAnsi="Arial" w:cs="Arial"/>
          <w:b/>
          <w:bCs/>
          <w:sz w:val="32"/>
          <w:szCs w:val="32"/>
        </w:rPr>
        <w:lastRenderedPageBreak/>
        <w:t>Section 2: Reflective Account Using Gibbs’ Reflective Cycle</w:t>
      </w:r>
      <w:bookmarkEnd w:id="37"/>
    </w:p>
    <w:p w14:paraId="548A1BF2" w14:textId="77777777" w:rsidR="00DE7756" w:rsidRPr="00DE7756" w:rsidRDefault="00DE7756" w:rsidP="00DE7756"/>
    <w:p w14:paraId="1972739A" w14:textId="045D0FE7" w:rsidR="00DE7756" w:rsidRDefault="00DE7756" w:rsidP="00DE7756">
      <w:r>
        <w:rPr>
          <w:noProof/>
        </w:rPr>
        <w:drawing>
          <wp:inline distT="0" distB="0" distL="0" distR="0" wp14:anchorId="47FF54EE" wp14:editId="6E09ADCA">
            <wp:extent cx="5943600" cy="5943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14:paraId="1DDFB744" w14:textId="547CAAAD" w:rsidR="00DE7756" w:rsidRPr="00DE7756" w:rsidRDefault="00DE7756" w:rsidP="00DE7756">
      <w:pPr>
        <w:jc w:val="center"/>
        <w:rPr>
          <w:sz w:val="20"/>
          <w:szCs w:val="20"/>
        </w:rPr>
      </w:pPr>
      <w:r w:rsidRPr="00DE7756">
        <w:rPr>
          <w:rFonts w:ascii="Arial" w:hAnsi="Arial" w:cs="Arial"/>
          <w:b/>
          <w:bCs/>
          <w:sz w:val="20"/>
          <w:szCs w:val="20"/>
        </w:rPr>
        <w:t>I</w:t>
      </w:r>
      <w:r w:rsidRPr="00DE7756">
        <w:rPr>
          <w:rFonts w:ascii="Arial" w:hAnsi="Arial" w:cs="Arial"/>
          <w:b/>
          <w:bCs/>
          <w:sz w:val="20"/>
          <w:szCs w:val="20"/>
        </w:rPr>
        <w:t>mage created by Google Gemini</w:t>
      </w:r>
    </w:p>
    <w:p w14:paraId="6659898B" w14:textId="77777777" w:rsidR="00DE7756" w:rsidRDefault="00DE7756" w:rsidP="00DE7756"/>
    <w:p w14:paraId="631DE040" w14:textId="77777777" w:rsidR="006E4F35" w:rsidRPr="00DE7756" w:rsidRDefault="006E4F35" w:rsidP="00DE7756"/>
    <w:p w14:paraId="768C86DC" w14:textId="77777777" w:rsidR="00AA69F3" w:rsidRPr="00DC004C" w:rsidRDefault="00AA69F3" w:rsidP="00DC004C">
      <w:pPr>
        <w:pStyle w:val="Heading1"/>
        <w:rPr>
          <w:rFonts w:ascii="Arial" w:hAnsi="Arial" w:cs="Arial"/>
          <w:b/>
          <w:bCs/>
          <w:sz w:val="24"/>
          <w:szCs w:val="24"/>
        </w:rPr>
      </w:pPr>
      <w:bookmarkStart w:id="38" w:name="_Toc237516347"/>
      <w:r w:rsidRPr="00DC004C">
        <w:rPr>
          <w:rFonts w:ascii="Arial" w:hAnsi="Arial" w:cs="Arial"/>
          <w:b/>
          <w:bCs/>
          <w:sz w:val="24"/>
          <w:szCs w:val="24"/>
        </w:rPr>
        <w:lastRenderedPageBreak/>
        <w:t>11. Introduction to Reflection</w:t>
      </w:r>
      <w:bookmarkEnd w:id="38"/>
    </w:p>
    <w:p w14:paraId="081EA4EE" w14:textId="77777777" w:rsidR="00AA69F3" w:rsidRPr="00DC004C" w:rsidRDefault="00AA69F3" w:rsidP="00DC004C">
      <w:pPr>
        <w:pStyle w:val="Heading2"/>
        <w:rPr>
          <w:rFonts w:ascii="Arial" w:hAnsi="Arial" w:cs="Arial"/>
          <w:b/>
          <w:bCs/>
          <w:sz w:val="24"/>
          <w:szCs w:val="24"/>
        </w:rPr>
      </w:pPr>
      <w:bookmarkStart w:id="39" w:name="_Toc237516348"/>
      <w:r w:rsidRPr="00DC004C">
        <w:rPr>
          <w:rFonts w:ascii="Arial" w:hAnsi="Arial" w:cs="Arial"/>
          <w:b/>
          <w:bCs/>
          <w:sz w:val="24"/>
          <w:szCs w:val="24"/>
        </w:rPr>
        <w:t>11.1 Purpose of the Reflective Account</w:t>
      </w:r>
      <w:bookmarkEnd w:id="39"/>
    </w:p>
    <w:p w14:paraId="118E925B" w14:textId="77777777" w:rsidR="00AA69F3" w:rsidRPr="00DC004C" w:rsidRDefault="00AA69F3" w:rsidP="004079FF">
      <w:pPr>
        <w:jc w:val="both"/>
        <w:rPr>
          <w:rFonts w:ascii="Arial" w:hAnsi="Arial" w:cs="Arial"/>
          <w:sz w:val="24"/>
          <w:szCs w:val="24"/>
        </w:rPr>
      </w:pPr>
      <w:r w:rsidRPr="00DC004C">
        <w:rPr>
          <w:rFonts w:ascii="Arial" w:hAnsi="Arial" w:cs="Arial"/>
          <w:sz w:val="24"/>
          <w:szCs w:val="24"/>
        </w:rPr>
        <w:t xml:space="preserve">This reflective account reviews the process I used to research, analyse and prepare the international marketing report on Cadbury in the United Kingdom and India. Reflection is important as it helps students to identify effective practices, to recognise limitations and to develop more systematic approaches to future educational and professional work. Academic writing is more than simply presenting information; it is about critical evaluation, synthesis of evidence, clear argumentation and correct source integration. </w:t>
      </w:r>
    </w:p>
    <w:p w14:paraId="0406DD9F" w14:textId="0B8F3FC8" w:rsidR="00AA69F3" w:rsidRPr="00DC004C" w:rsidRDefault="00AA69F3" w:rsidP="00DC004C">
      <w:pPr>
        <w:pStyle w:val="Heading2"/>
        <w:rPr>
          <w:rFonts w:ascii="Arial" w:hAnsi="Arial" w:cs="Arial"/>
          <w:b/>
          <w:bCs/>
          <w:sz w:val="24"/>
          <w:szCs w:val="24"/>
        </w:rPr>
      </w:pPr>
      <w:bookmarkStart w:id="40" w:name="_Toc237516349"/>
      <w:r w:rsidRPr="00DC004C">
        <w:rPr>
          <w:rFonts w:ascii="Arial" w:hAnsi="Arial" w:cs="Arial"/>
          <w:b/>
          <w:bCs/>
          <w:sz w:val="24"/>
          <w:szCs w:val="24"/>
        </w:rPr>
        <w:t>11.2 Introduction to Gibbs’ Reflective Cycle</w:t>
      </w:r>
      <w:bookmarkEnd w:id="40"/>
    </w:p>
    <w:p w14:paraId="1BFC0D68" w14:textId="77777777" w:rsidR="00AA69F3" w:rsidRPr="00DC004C" w:rsidRDefault="00AA69F3" w:rsidP="004079FF">
      <w:pPr>
        <w:jc w:val="both"/>
        <w:rPr>
          <w:rFonts w:ascii="Arial" w:hAnsi="Arial" w:cs="Arial"/>
          <w:sz w:val="24"/>
          <w:szCs w:val="24"/>
        </w:rPr>
      </w:pPr>
      <w:r w:rsidRPr="00DC004C">
        <w:rPr>
          <w:rFonts w:ascii="Arial" w:hAnsi="Arial" w:cs="Arial"/>
          <w:sz w:val="24"/>
          <w:szCs w:val="24"/>
        </w:rPr>
        <w:t>In this reflection I will structure it by using Gibbs’ Reflective Cycle. The model comprises of six stages namely description, feelings, evaluation, analysis, conclusion and action plan. This structure allows me to move beyond description of my work, to consider why particular outcomes occurred and how my research practice can be improved.</w:t>
      </w:r>
    </w:p>
    <w:p w14:paraId="036FA920" w14:textId="60363E2C" w:rsidR="00AA69F3" w:rsidRPr="00DC004C" w:rsidRDefault="00AA69F3" w:rsidP="00DC004C">
      <w:pPr>
        <w:pStyle w:val="Heading1"/>
        <w:rPr>
          <w:rFonts w:ascii="Arial" w:hAnsi="Arial" w:cs="Arial"/>
          <w:b/>
          <w:bCs/>
          <w:sz w:val="24"/>
          <w:szCs w:val="24"/>
        </w:rPr>
      </w:pPr>
      <w:bookmarkStart w:id="41" w:name="_Toc237516350"/>
      <w:r w:rsidRPr="00DC004C">
        <w:rPr>
          <w:rFonts w:ascii="Arial" w:hAnsi="Arial" w:cs="Arial"/>
          <w:b/>
          <w:bCs/>
          <w:sz w:val="24"/>
          <w:szCs w:val="24"/>
        </w:rPr>
        <w:t>12. Description</w:t>
      </w:r>
      <w:bookmarkEnd w:id="41"/>
    </w:p>
    <w:p w14:paraId="6DB7E97E" w14:textId="77777777" w:rsidR="00AA69F3" w:rsidRPr="00DC004C" w:rsidRDefault="00AA69F3" w:rsidP="00DC004C">
      <w:pPr>
        <w:pStyle w:val="Heading2"/>
        <w:rPr>
          <w:rFonts w:ascii="Arial" w:hAnsi="Arial" w:cs="Arial"/>
          <w:b/>
          <w:bCs/>
          <w:sz w:val="24"/>
          <w:szCs w:val="24"/>
        </w:rPr>
      </w:pPr>
      <w:bookmarkStart w:id="42" w:name="_Toc237516351"/>
      <w:r w:rsidRPr="00DC004C">
        <w:rPr>
          <w:rFonts w:ascii="Arial" w:hAnsi="Arial" w:cs="Arial"/>
          <w:b/>
          <w:bCs/>
          <w:sz w:val="24"/>
          <w:szCs w:val="24"/>
        </w:rPr>
        <w:t>12.1 Selection of Cadbury, the United Kingdom and India</w:t>
      </w:r>
      <w:bookmarkEnd w:id="42"/>
    </w:p>
    <w:p w14:paraId="3CDF02DC" w14:textId="77777777" w:rsidR="004079FF" w:rsidRPr="00DC004C" w:rsidRDefault="004079FF" w:rsidP="004079FF">
      <w:pPr>
        <w:jc w:val="both"/>
        <w:rPr>
          <w:rFonts w:ascii="Arial" w:hAnsi="Arial" w:cs="Arial"/>
          <w:sz w:val="24"/>
          <w:szCs w:val="24"/>
        </w:rPr>
      </w:pPr>
      <w:r w:rsidRPr="00DC004C">
        <w:rPr>
          <w:rFonts w:ascii="Arial" w:hAnsi="Arial" w:cs="Arial"/>
          <w:sz w:val="24"/>
          <w:szCs w:val="24"/>
        </w:rPr>
        <w:t>I chose Cadbury because it is a popular chocolate brand across the world and has a strong presence in the UK and India. The UK was a good fit because of Cadbury’s heritage and market position. India was chosen because it offers a contrasting environment in terms of culture, consumer income, retail structures, digital development and celebration-based consumption. This comparison provided me the opportunity to assess the extent to which Cadbury standardises its global brand and adapts marketing decisions locally.</w:t>
      </w:r>
    </w:p>
    <w:p w14:paraId="73D19F90" w14:textId="129A19DE" w:rsidR="00AA69F3" w:rsidRPr="00DC004C" w:rsidRDefault="00AA69F3" w:rsidP="00DC004C">
      <w:pPr>
        <w:pStyle w:val="Heading2"/>
        <w:rPr>
          <w:rFonts w:ascii="Arial" w:hAnsi="Arial" w:cs="Arial"/>
          <w:b/>
          <w:bCs/>
          <w:sz w:val="24"/>
          <w:szCs w:val="24"/>
        </w:rPr>
      </w:pPr>
      <w:bookmarkStart w:id="43" w:name="_Toc237516352"/>
      <w:r w:rsidRPr="00DC004C">
        <w:rPr>
          <w:rFonts w:ascii="Arial" w:hAnsi="Arial" w:cs="Arial"/>
          <w:b/>
          <w:bCs/>
          <w:sz w:val="24"/>
          <w:szCs w:val="24"/>
        </w:rPr>
        <w:t>12.2 Research Process and Source Selection</w:t>
      </w:r>
      <w:bookmarkEnd w:id="43"/>
    </w:p>
    <w:p w14:paraId="4B6D647E" w14:textId="77777777" w:rsidR="004079FF" w:rsidRPr="00DC004C" w:rsidRDefault="004079FF" w:rsidP="004079FF">
      <w:pPr>
        <w:jc w:val="both"/>
        <w:rPr>
          <w:rFonts w:ascii="Arial" w:hAnsi="Arial" w:cs="Arial"/>
          <w:sz w:val="24"/>
          <w:szCs w:val="24"/>
        </w:rPr>
      </w:pPr>
      <w:r w:rsidRPr="00DC004C">
        <w:rPr>
          <w:rFonts w:ascii="Arial" w:hAnsi="Arial" w:cs="Arial"/>
          <w:sz w:val="24"/>
          <w:szCs w:val="24"/>
        </w:rPr>
        <w:t>I started with the assessment requirements and developed a structured contents page. I then looked for information from academic papers, government and regulatory sources, company reports, industry publications and reputable news sources. I used keywords relating to Cadbury, India, UK, PESTLE, Hofstede, STP, 7Ps, ethical marketing and market-entry strategy. I took notes on the evidence relevant to each report section before drafting.</w:t>
      </w:r>
    </w:p>
    <w:p w14:paraId="0D43FC6E" w14:textId="51AA8425" w:rsidR="00AA69F3" w:rsidRPr="00DC004C" w:rsidRDefault="00AA69F3" w:rsidP="00DC004C">
      <w:pPr>
        <w:pStyle w:val="Heading1"/>
        <w:rPr>
          <w:rFonts w:ascii="Arial" w:hAnsi="Arial" w:cs="Arial"/>
          <w:b/>
          <w:bCs/>
          <w:sz w:val="24"/>
          <w:szCs w:val="24"/>
        </w:rPr>
      </w:pPr>
      <w:bookmarkStart w:id="44" w:name="_Toc237516353"/>
      <w:r w:rsidRPr="00DC004C">
        <w:rPr>
          <w:rFonts w:ascii="Arial" w:hAnsi="Arial" w:cs="Arial"/>
          <w:b/>
          <w:bCs/>
          <w:sz w:val="24"/>
          <w:szCs w:val="24"/>
        </w:rPr>
        <w:t>13. Feelings</w:t>
      </w:r>
      <w:bookmarkEnd w:id="44"/>
    </w:p>
    <w:p w14:paraId="0437B23A" w14:textId="77777777" w:rsidR="00AA69F3" w:rsidRPr="00DC004C" w:rsidRDefault="00AA69F3" w:rsidP="00DC004C">
      <w:pPr>
        <w:pStyle w:val="Heading2"/>
        <w:rPr>
          <w:rFonts w:ascii="Arial" w:hAnsi="Arial" w:cs="Arial"/>
          <w:b/>
          <w:bCs/>
          <w:sz w:val="24"/>
          <w:szCs w:val="24"/>
        </w:rPr>
      </w:pPr>
      <w:bookmarkStart w:id="45" w:name="_Toc237516354"/>
      <w:r w:rsidRPr="00DC004C">
        <w:rPr>
          <w:rFonts w:ascii="Arial" w:hAnsi="Arial" w:cs="Arial"/>
          <w:b/>
          <w:bCs/>
          <w:sz w:val="24"/>
          <w:szCs w:val="24"/>
        </w:rPr>
        <w:t>13.1 Initial Expectations and Confidence</w:t>
      </w:r>
      <w:bookmarkEnd w:id="45"/>
    </w:p>
    <w:p w14:paraId="13E1ED0B" w14:textId="77777777" w:rsidR="004079FF" w:rsidRPr="00DC004C" w:rsidRDefault="004079FF" w:rsidP="004079FF">
      <w:pPr>
        <w:jc w:val="both"/>
        <w:rPr>
          <w:rFonts w:ascii="Arial" w:hAnsi="Arial" w:cs="Arial"/>
          <w:sz w:val="24"/>
          <w:szCs w:val="24"/>
        </w:rPr>
      </w:pPr>
      <w:r w:rsidRPr="00DC004C">
        <w:rPr>
          <w:rFonts w:ascii="Arial" w:hAnsi="Arial" w:cs="Arial"/>
          <w:sz w:val="24"/>
          <w:szCs w:val="24"/>
        </w:rPr>
        <w:t>Initially, I was confident, Cadbury was a household name and the UK-India comparison appeared to be a simple one. I expected to have a lot of information, as both countries are big markets. However, I soon realised that familiarity with a brand does not guarantee critical academic analysis.</w:t>
      </w:r>
    </w:p>
    <w:p w14:paraId="5B25A392" w14:textId="3518CFA0" w:rsidR="00AA69F3" w:rsidRPr="00DC004C" w:rsidRDefault="00AA69F3" w:rsidP="00DC004C">
      <w:pPr>
        <w:pStyle w:val="Heading2"/>
        <w:rPr>
          <w:rFonts w:ascii="Arial" w:hAnsi="Arial" w:cs="Arial"/>
          <w:b/>
          <w:bCs/>
          <w:sz w:val="24"/>
          <w:szCs w:val="24"/>
        </w:rPr>
      </w:pPr>
      <w:bookmarkStart w:id="46" w:name="_Toc237516355"/>
      <w:r w:rsidRPr="00DC004C">
        <w:rPr>
          <w:rFonts w:ascii="Arial" w:hAnsi="Arial" w:cs="Arial"/>
          <w:b/>
          <w:bCs/>
          <w:sz w:val="24"/>
          <w:szCs w:val="24"/>
        </w:rPr>
        <w:lastRenderedPageBreak/>
        <w:t>13.2 Challenges Experienced During Research and Writing</w:t>
      </w:r>
      <w:bookmarkEnd w:id="46"/>
    </w:p>
    <w:p w14:paraId="05C9A97F" w14:textId="77777777" w:rsidR="004079FF" w:rsidRPr="00DC004C" w:rsidRDefault="004079FF" w:rsidP="004079FF">
      <w:pPr>
        <w:jc w:val="both"/>
        <w:rPr>
          <w:rFonts w:ascii="Arial" w:hAnsi="Arial" w:cs="Arial"/>
          <w:sz w:val="24"/>
          <w:szCs w:val="24"/>
        </w:rPr>
      </w:pPr>
      <w:r w:rsidRPr="00DC004C">
        <w:rPr>
          <w:rFonts w:ascii="Arial" w:hAnsi="Arial" w:cs="Arial"/>
          <w:sz w:val="24"/>
          <w:szCs w:val="24"/>
        </w:rPr>
        <w:t>I found it difficult to find recent reliable and directly comparable data, particularly Cadbury sales, staffing levels and detailed product-pricing information by country. I also found that company websites tended to be more positive in terms of sustainability and social responsibility, so caution is needed when using these sources. Another challenge was to manage the word count as we had to include all the required models.</w:t>
      </w:r>
    </w:p>
    <w:p w14:paraId="1911EAF6" w14:textId="77777777" w:rsidR="00AA69F3" w:rsidRPr="00DC004C" w:rsidRDefault="00AA69F3" w:rsidP="00DC004C">
      <w:pPr>
        <w:pStyle w:val="Heading1"/>
        <w:rPr>
          <w:rFonts w:ascii="Arial" w:hAnsi="Arial" w:cs="Arial"/>
          <w:b/>
          <w:bCs/>
          <w:sz w:val="24"/>
          <w:szCs w:val="24"/>
        </w:rPr>
      </w:pPr>
      <w:bookmarkStart w:id="47" w:name="_Toc237516356"/>
      <w:r w:rsidRPr="00DC004C">
        <w:rPr>
          <w:rFonts w:ascii="Arial" w:hAnsi="Arial" w:cs="Arial"/>
          <w:b/>
          <w:bCs/>
          <w:sz w:val="24"/>
          <w:szCs w:val="24"/>
        </w:rPr>
        <w:t>14. Evaluation</w:t>
      </w:r>
      <w:bookmarkEnd w:id="47"/>
    </w:p>
    <w:p w14:paraId="5F6F8ECC" w14:textId="77777777" w:rsidR="00AA69F3" w:rsidRPr="00DC004C" w:rsidRDefault="00AA69F3" w:rsidP="00DC004C">
      <w:pPr>
        <w:pStyle w:val="Heading2"/>
        <w:rPr>
          <w:rFonts w:ascii="Arial" w:hAnsi="Arial" w:cs="Arial"/>
          <w:b/>
          <w:bCs/>
          <w:sz w:val="24"/>
          <w:szCs w:val="24"/>
        </w:rPr>
      </w:pPr>
      <w:bookmarkStart w:id="48" w:name="_Toc237516357"/>
      <w:r w:rsidRPr="00DC004C">
        <w:rPr>
          <w:rFonts w:ascii="Arial" w:hAnsi="Arial" w:cs="Arial"/>
          <w:b/>
          <w:bCs/>
          <w:sz w:val="24"/>
          <w:szCs w:val="24"/>
        </w:rPr>
        <w:t>14.1 What Worked Well</w:t>
      </w:r>
      <w:bookmarkEnd w:id="48"/>
    </w:p>
    <w:p w14:paraId="69A8773A" w14:textId="77777777" w:rsidR="004079FF" w:rsidRPr="00DC004C" w:rsidRDefault="004079FF" w:rsidP="004079FF">
      <w:pPr>
        <w:jc w:val="both"/>
        <w:rPr>
          <w:rFonts w:ascii="Arial" w:hAnsi="Arial" w:cs="Arial"/>
          <w:sz w:val="24"/>
          <w:szCs w:val="24"/>
        </w:rPr>
      </w:pPr>
      <w:r w:rsidRPr="00DC004C">
        <w:rPr>
          <w:rFonts w:ascii="Arial" w:hAnsi="Arial" w:cs="Arial"/>
          <w:sz w:val="24"/>
          <w:szCs w:val="24"/>
        </w:rPr>
        <w:t>The structure of the first report was effective because it broke down a complex task into manageable sections. The comparison tables saved me the trouble of writing two separate country descriptions. This also enabled me to link macro-environmental conditions with actual marketing decisions such as pricing, product pack size, promotion and distribution using multiple frameworks.</w:t>
      </w:r>
    </w:p>
    <w:p w14:paraId="2825FA60" w14:textId="77777777" w:rsidR="00AA69F3" w:rsidRPr="00DC004C" w:rsidRDefault="00AA69F3" w:rsidP="00DC004C">
      <w:pPr>
        <w:pStyle w:val="Heading2"/>
        <w:rPr>
          <w:rFonts w:ascii="Arial" w:hAnsi="Arial" w:cs="Arial"/>
          <w:b/>
          <w:bCs/>
          <w:sz w:val="24"/>
          <w:szCs w:val="24"/>
        </w:rPr>
      </w:pPr>
      <w:bookmarkStart w:id="49" w:name="_Toc237516358"/>
      <w:r w:rsidRPr="00DC004C">
        <w:rPr>
          <w:rFonts w:ascii="Arial" w:hAnsi="Arial" w:cs="Arial"/>
          <w:b/>
          <w:bCs/>
          <w:sz w:val="24"/>
          <w:szCs w:val="24"/>
        </w:rPr>
        <w:t>14.2 What Did Not Work Well</w:t>
      </w:r>
      <w:bookmarkEnd w:id="49"/>
    </w:p>
    <w:p w14:paraId="1C2F328B" w14:textId="77777777" w:rsidR="004079FF" w:rsidRPr="00DC004C" w:rsidRDefault="004079FF" w:rsidP="004079FF">
      <w:pPr>
        <w:jc w:val="both"/>
        <w:rPr>
          <w:rFonts w:ascii="Arial" w:hAnsi="Arial" w:cs="Arial"/>
          <w:sz w:val="24"/>
          <w:szCs w:val="24"/>
        </w:rPr>
      </w:pPr>
      <w:r w:rsidRPr="00DC004C">
        <w:rPr>
          <w:rFonts w:ascii="Arial" w:hAnsi="Arial" w:cs="Arial"/>
          <w:sz w:val="24"/>
          <w:szCs w:val="24"/>
        </w:rPr>
        <w:t>Some early research was too broad and general information about Cadbury and not specific evidence about Cadbury. I also initially risked taking Hofstede’s national scores as definitive explanations of consumer behaviour. This could have led to over-simplification particularly when considering India’s huge regional, linguistic, religious and income diversity.</w:t>
      </w:r>
    </w:p>
    <w:p w14:paraId="0F92AB1E" w14:textId="77777777" w:rsidR="00AA69F3" w:rsidRPr="00DC004C" w:rsidRDefault="00AA69F3" w:rsidP="00DC004C">
      <w:pPr>
        <w:pStyle w:val="Heading2"/>
        <w:rPr>
          <w:rFonts w:ascii="Arial" w:hAnsi="Arial" w:cs="Arial"/>
          <w:b/>
          <w:bCs/>
          <w:sz w:val="24"/>
          <w:szCs w:val="24"/>
        </w:rPr>
      </w:pPr>
      <w:bookmarkStart w:id="50" w:name="_Toc237516359"/>
      <w:r w:rsidRPr="00DC004C">
        <w:rPr>
          <w:rFonts w:ascii="Arial" w:hAnsi="Arial" w:cs="Arial"/>
          <w:b/>
          <w:bCs/>
          <w:sz w:val="24"/>
          <w:szCs w:val="24"/>
        </w:rPr>
        <w:t>14.3 Strengths and Limitations of the Process</w:t>
      </w:r>
      <w:bookmarkEnd w:id="50"/>
    </w:p>
    <w:p w14:paraId="47B0E6D9" w14:textId="77777777" w:rsidR="004079FF" w:rsidRPr="00DC004C" w:rsidRDefault="004079FF" w:rsidP="004079FF">
      <w:pPr>
        <w:jc w:val="both"/>
        <w:rPr>
          <w:rFonts w:ascii="Arial" w:hAnsi="Arial" w:cs="Arial"/>
          <w:sz w:val="24"/>
          <w:szCs w:val="24"/>
        </w:rPr>
      </w:pPr>
      <w:r w:rsidRPr="00DC004C">
        <w:rPr>
          <w:rFonts w:ascii="Arial" w:hAnsi="Arial" w:cs="Arial"/>
          <w:sz w:val="24"/>
          <w:szCs w:val="24"/>
        </w:rPr>
        <w:t>One of the strengths of my process was the combination of academic theory and evidence from the company. A limitation was that public evidence did not always contain complete or up-to-date country data. This meant that I had to make clear distinctions between fact, reasonable interpretation and documented recommendations.</w:t>
      </w:r>
    </w:p>
    <w:p w14:paraId="18DF5700" w14:textId="77777777" w:rsidR="00AA69F3" w:rsidRPr="00DC004C" w:rsidRDefault="00AA69F3" w:rsidP="00DC004C">
      <w:pPr>
        <w:pStyle w:val="Heading1"/>
        <w:rPr>
          <w:rFonts w:ascii="Arial" w:hAnsi="Arial" w:cs="Arial"/>
          <w:b/>
          <w:bCs/>
          <w:sz w:val="24"/>
          <w:szCs w:val="24"/>
        </w:rPr>
      </w:pPr>
      <w:bookmarkStart w:id="51" w:name="_Toc237516360"/>
      <w:r w:rsidRPr="00DC004C">
        <w:rPr>
          <w:rFonts w:ascii="Arial" w:hAnsi="Arial" w:cs="Arial"/>
          <w:b/>
          <w:bCs/>
          <w:sz w:val="24"/>
          <w:szCs w:val="24"/>
        </w:rPr>
        <w:t>15. Analysis</w:t>
      </w:r>
      <w:bookmarkEnd w:id="51"/>
    </w:p>
    <w:p w14:paraId="4B196747" w14:textId="77777777" w:rsidR="00AA69F3" w:rsidRPr="00DC004C" w:rsidRDefault="00AA69F3" w:rsidP="00DC004C">
      <w:pPr>
        <w:pStyle w:val="Heading2"/>
        <w:rPr>
          <w:rFonts w:ascii="Arial" w:hAnsi="Arial" w:cs="Arial"/>
          <w:b/>
          <w:bCs/>
          <w:sz w:val="24"/>
          <w:szCs w:val="24"/>
        </w:rPr>
      </w:pPr>
      <w:bookmarkStart w:id="52" w:name="_Toc237516361"/>
      <w:r w:rsidRPr="00DC004C">
        <w:rPr>
          <w:rFonts w:ascii="Arial" w:hAnsi="Arial" w:cs="Arial"/>
          <w:b/>
          <w:bCs/>
          <w:sz w:val="24"/>
          <w:szCs w:val="24"/>
        </w:rPr>
        <w:t>15.1 Critical Evaluation of Source Credibility</w:t>
      </w:r>
      <w:bookmarkEnd w:id="52"/>
    </w:p>
    <w:p w14:paraId="500AF53C" w14:textId="77777777" w:rsidR="004079FF" w:rsidRPr="00DC004C" w:rsidRDefault="004079FF" w:rsidP="004079FF">
      <w:pPr>
        <w:jc w:val="both"/>
        <w:rPr>
          <w:rFonts w:ascii="Arial" w:hAnsi="Arial" w:cs="Arial"/>
          <w:sz w:val="24"/>
          <w:szCs w:val="24"/>
        </w:rPr>
      </w:pPr>
      <w:r w:rsidRPr="00DC004C">
        <w:rPr>
          <w:rFonts w:ascii="Arial" w:hAnsi="Arial" w:cs="Arial"/>
          <w:sz w:val="24"/>
          <w:szCs w:val="24"/>
        </w:rPr>
        <w:t xml:space="preserve">The research process taught me that the quality of your sources is what makes it Level 7 work. Peer-reviewed journal articles and government/regulatory publications were generally more reliable in explaining theory, consumer-health concerns and legal requirements. Company reports were useful in understanding corporate strategy, but they may contain selective or promotional language. </w:t>
      </w:r>
      <w:proofErr w:type="gramStart"/>
      <w:r w:rsidRPr="00DC004C">
        <w:rPr>
          <w:rFonts w:ascii="Arial" w:hAnsi="Arial" w:cs="Arial"/>
          <w:sz w:val="24"/>
          <w:szCs w:val="24"/>
        </w:rPr>
        <w:t>So</w:t>
      </w:r>
      <w:proofErr w:type="gramEnd"/>
      <w:r w:rsidRPr="00DC004C">
        <w:rPr>
          <w:rFonts w:ascii="Arial" w:hAnsi="Arial" w:cs="Arial"/>
          <w:sz w:val="24"/>
          <w:szCs w:val="24"/>
        </w:rPr>
        <w:t xml:space="preserve"> I had to triangulate claims against company information with independent academic and regulatory evidence.</w:t>
      </w:r>
    </w:p>
    <w:p w14:paraId="7FB42678" w14:textId="77777777" w:rsidR="00AA69F3" w:rsidRPr="00DC004C" w:rsidRDefault="00AA69F3" w:rsidP="00DC004C">
      <w:pPr>
        <w:pStyle w:val="Heading2"/>
        <w:rPr>
          <w:rFonts w:ascii="Arial" w:hAnsi="Arial" w:cs="Arial"/>
          <w:b/>
          <w:bCs/>
          <w:sz w:val="24"/>
          <w:szCs w:val="24"/>
        </w:rPr>
      </w:pPr>
      <w:bookmarkStart w:id="53" w:name="_Toc237516362"/>
      <w:r w:rsidRPr="00DC004C">
        <w:rPr>
          <w:rFonts w:ascii="Arial" w:hAnsi="Arial" w:cs="Arial"/>
          <w:b/>
          <w:bCs/>
          <w:sz w:val="24"/>
          <w:szCs w:val="24"/>
        </w:rPr>
        <w:t>15.2 Comparing International Markets</w:t>
      </w:r>
      <w:bookmarkEnd w:id="53"/>
    </w:p>
    <w:p w14:paraId="1DEF537C" w14:textId="77777777" w:rsidR="004079FF" w:rsidRPr="00DC004C" w:rsidRDefault="004079FF" w:rsidP="004079FF">
      <w:pPr>
        <w:jc w:val="both"/>
        <w:rPr>
          <w:rFonts w:ascii="Arial" w:hAnsi="Arial" w:cs="Arial"/>
          <w:sz w:val="24"/>
          <w:szCs w:val="24"/>
        </w:rPr>
      </w:pPr>
      <w:r w:rsidRPr="00DC004C">
        <w:rPr>
          <w:rFonts w:ascii="Arial" w:hAnsi="Arial" w:cs="Arial"/>
          <w:sz w:val="24"/>
          <w:szCs w:val="24"/>
        </w:rPr>
        <w:t xml:space="preserve">The comparison of the UK and India was difficult as the markets were different in terms of size, income distribution, culture and retail development. A simple comparison of national averages would have been weak. Instead, I zeroed in on the strategic </w:t>
      </w:r>
      <w:r w:rsidRPr="00DC004C">
        <w:rPr>
          <w:rFonts w:ascii="Arial" w:hAnsi="Arial" w:cs="Arial"/>
          <w:sz w:val="24"/>
          <w:szCs w:val="24"/>
        </w:rPr>
        <w:lastRenderedPageBreak/>
        <w:t>implications: the UK’s mature market and health expectations versus India’s affordability requirements, diverse consumer base and celebration-led demand.</w:t>
      </w:r>
    </w:p>
    <w:p w14:paraId="2CC6ED83" w14:textId="77777777" w:rsidR="00AA69F3" w:rsidRPr="00DC004C" w:rsidRDefault="00AA69F3" w:rsidP="00DC004C">
      <w:pPr>
        <w:pStyle w:val="Heading2"/>
        <w:rPr>
          <w:rFonts w:ascii="Arial" w:hAnsi="Arial" w:cs="Arial"/>
          <w:b/>
          <w:bCs/>
          <w:sz w:val="24"/>
          <w:szCs w:val="24"/>
        </w:rPr>
      </w:pPr>
      <w:bookmarkStart w:id="54" w:name="_Toc237516363"/>
      <w:r w:rsidRPr="00DC004C">
        <w:rPr>
          <w:rFonts w:ascii="Arial" w:hAnsi="Arial" w:cs="Arial"/>
          <w:b/>
          <w:bCs/>
          <w:sz w:val="24"/>
          <w:szCs w:val="24"/>
        </w:rPr>
        <w:t>15.3 Application and Limitations of Models</w:t>
      </w:r>
      <w:bookmarkEnd w:id="54"/>
    </w:p>
    <w:p w14:paraId="52399D1A" w14:textId="77777777" w:rsidR="004079FF" w:rsidRPr="00DC004C" w:rsidRDefault="004079FF" w:rsidP="004079FF">
      <w:pPr>
        <w:jc w:val="both"/>
        <w:rPr>
          <w:rFonts w:ascii="Arial" w:hAnsi="Arial" w:cs="Arial"/>
          <w:sz w:val="24"/>
          <w:szCs w:val="24"/>
        </w:rPr>
      </w:pPr>
      <w:r w:rsidRPr="00DC004C">
        <w:rPr>
          <w:rFonts w:ascii="Arial" w:hAnsi="Arial" w:cs="Arial"/>
          <w:sz w:val="24"/>
          <w:szCs w:val="24"/>
        </w:rPr>
        <w:t>PESTLE provided a framework for identifying external opportunities and risks. Hofstede helped to explain broad cultural tendencies, but he could not capture the full diversity within either country. STP explained how Cadbury could identify and target different consumers. The 7Ps turned the analysis into real marketing decisions. The models were more useful when used together rather than separately.</w:t>
      </w:r>
    </w:p>
    <w:p w14:paraId="208BAF2E" w14:textId="77777777" w:rsidR="00AA69F3" w:rsidRPr="00DC004C" w:rsidRDefault="00AA69F3" w:rsidP="00DC004C">
      <w:pPr>
        <w:pStyle w:val="Heading2"/>
        <w:rPr>
          <w:rFonts w:ascii="Arial" w:hAnsi="Arial" w:cs="Arial"/>
          <w:b/>
          <w:bCs/>
          <w:sz w:val="24"/>
          <w:szCs w:val="24"/>
        </w:rPr>
      </w:pPr>
      <w:bookmarkStart w:id="55" w:name="_Toc237516364"/>
      <w:r w:rsidRPr="00DC004C">
        <w:rPr>
          <w:rFonts w:ascii="Arial" w:hAnsi="Arial" w:cs="Arial"/>
          <w:b/>
          <w:bCs/>
          <w:sz w:val="24"/>
          <w:szCs w:val="24"/>
        </w:rPr>
        <w:t>15.4 Managing Incomplete Information</w:t>
      </w:r>
      <w:bookmarkEnd w:id="55"/>
    </w:p>
    <w:p w14:paraId="2CE76B4B" w14:textId="77777777" w:rsidR="004079FF" w:rsidRPr="00DC004C" w:rsidRDefault="004079FF" w:rsidP="004079FF">
      <w:pPr>
        <w:jc w:val="both"/>
        <w:rPr>
          <w:rFonts w:ascii="Arial" w:hAnsi="Arial" w:cs="Arial"/>
          <w:sz w:val="24"/>
          <w:szCs w:val="24"/>
        </w:rPr>
      </w:pPr>
      <w:r w:rsidRPr="00DC004C">
        <w:rPr>
          <w:rFonts w:ascii="Arial" w:hAnsi="Arial" w:cs="Arial"/>
          <w:sz w:val="24"/>
          <w:szCs w:val="24"/>
        </w:rPr>
        <w:t xml:space="preserve">I have not made unsupported claims where the data were incomplete or contradictory. For example, I have not included staff numbers unless there were reliable country specific </w:t>
      </w:r>
      <w:proofErr w:type="gramStart"/>
      <w:r w:rsidRPr="00DC004C">
        <w:rPr>
          <w:rFonts w:ascii="Arial" w:hAnsi="Arial" w:cs="Arial"/>
          <w:sz w:val="24"/>
          <w:szCs w:val="24"/>
        </w:rPr>
        <w:t>data .</w:t>
      </w:r>
      <w:proofErr w:type="gramEnd"/>
      <w:r w:rsidRPr="00DC004C">
        <w:rPr>
          <w:rFonts w:ascii="Arial" w:hAnsi="Arial" w:cs="Arial"/>
          <w:sz w:val="24"/>
          <w:szCs w:val="24"/>
        </w:rPr>
        <w:t xml:space="preserve"> I learned that claiming the limits of evidence increases academic credibility rather than assuming it as a fact.</w:t>
      </w:r>
    </w:p>
    <w:p w14:paraId="286B1E11" w14:textId="77777777" w:rsidR="00AA69F3" w:rsidRPr="00DC004C" w:rsidRDefault="00AA69F3" w:rsidP="00DC004C">
      <w:pPr>
        <w:pStyle w:val="Heading1"/>
        <w:rPr>
          <w:rFonts w:ascii="Arial" w:hAnsi="Arial" w:cs="Arial"/>
          <w:b/>
          <w:bCs/>
          <w:sz w:val="24"/>
          <w:szCs w:val="24"/>
        </w:rPr>
      </w:pPr>
      <w:bookmarkStart w:id="56" w:name="_Toc237516365"/>
      <w:r w:rsidRPr="00DC004C">
        <w:rPr>
          <w:rFonts w:ascii="Arial" w:hAnsi="Arial" w:cs="Arial"/>
          <w:b/>
          <w:bCs/>
          <w:sz w:val="24"/>
          <w:szCs w:val="24"/>
        </w:rPr>
        <w:t>16. Conclusion</w:t>
      </w:r>
      <w:bookmarkEnd w:id="56"/>
    </w:p>
    <w:p w14:paraId="6315D8FB" w14:textId="379F366A" w:rsidR="004079FF" w:rsidRPr="00DC004C" w:rsidRDefault="004079FF" w:rsidP="004079FF">
      <w:pPr>
        <w:jc w:val="both"/>
        <w:rPr>
          <w:rFonts w:ascii="Arial" w:hAnsi="Arial" w:cs="Arial"/>
          <w:sz w:val="24"/>
          <w:szCs w:val="24"/>
        </w:rPr>
      </w:pPr>
      <w:r w:rsidRPr="00DC004C">
        <w:rPr>
          <w:rFonts w:ascii="Arial" w:hAnsi="Arial" w:cs="Arial"/>
          <w:sz w:val="24"/>
          <w:szCs w:val="24"/>
        </w:rPr>
        <w:t>Through this assessment, I learned that international marketing analysis demands systematic comparison, credible evidence and critical judgement. My main learning outcome was that it was important to link theory to practical company decisions, instead of describing models in isolation. I also learned that cultural and market data are to be taken with a grain of salt. My main development need is to find more current, independent and country specific evidence of industry earlier in the research process.</w:t>
      </w:r>
    </w:p>
    <w:p w14:paraId="66EE21F7" w14:textId="77777777" w:rsidR="00AA69F3" w:rsidRPr="00DC004C" w:rsidRDefault="00AA69F3" w:rsidP="00DC004C">
      <w:pPr>
        <w:pStyle w:val="Heading1"/>
        <w:rPr>
          <w:rFonts w:ascii="Arial" w:hAnsi="Arial" w:cs="Arial"/>
          <w:b/>
          <w:bCs/>
          <w:sz w:val="24"/>
          <w:szCs w:val="24"/>
        </w:rPr>
      </w:pPr>
      <w:bookmarkStart w:id="57" w:name="_Toc237516366"/>
      <w:r w:rsidRPr="00DC004C">
        <w:rPr>
          <w:rFonts w:ascii="Arial" w:hAnsi="Arial" w:cs="Arial"/>
          <w:b/>
          <w:bCs/>
          <w:sz w:val="24"/>
          <w:szCs w:val="24"/>
        </w:rPr>
        <w:t>17. Action Plan</w:t>
      </w:r>
      <w:bookmarkEnd w:id="57"/>
    </w:p>
    <w:p w14:paraId="080AD360" w14:textId="77777777" w:rsidR="004079FF" w:rsidRPr="00DC004C" w:rsidRDefault="004079FF" w:rsidP="004079FF">
      <w:pPr>
        <w:jc w:val="both"/>
        <w:rPr>
          <w:rFonts w:ascii="Arial" w:hAnsi="Arial" w:cs="Arial"/>
          <w:sz w:val="24"/>
          <w:szCs w:val="24"/>
        </w:rPr>
      </w:pPr>
      <w:r w:rsidRPr="00DC004C">
        <w:rPr>
          <w:rFonts w:ascii="Arial" w:hAnsi="Arial" w:cs="Arial"/>
          <w:sz w:val="24"/>
          <w:szCs w:val="24"/>
        </w:rPr>
        <w:t xml:space="preserve">In future I will build research matrix before I start writing assignments. The matrix will include the author, date, credibility, key evidence, limitations and relevant section of the report for each source. I will focus on peer-reviewed articles, government sources and company annual reports, with news and sites only to provide current context. </w:t>
      </w:r>
      <w:r w:rsidRPr="00DC004C">
        <w:rPr>
          <w:rFonts w:ascii="Arial" w:hAnsi="Arial" w:cs="Arial"/>
          <w:sz w:val="24"/>
          <w:szCs w:val="24"/>
        </w:rPr>
        <w:br/>
        <w:t xml:space="preserve">I will also improve critical analysis by using the sequence of evidence, comparison, explanation, implication and judgement in every major paragraph. This will avoid descriptive writing and support the link between evidence and recommendations. </w:t>
      </w:r>
      <w:r w:rsidRPr="00DC004C">
        <w:rPr>
          <w:rFonts w:ascii="Arial" w:hAnsi="Arial" w:cs="Arial"/>
          <w:sz w:val="24"/>
          <w:szCs w:val="24"/>
        </w:rPr>
        <w:br/>
        <w:t>Finally, I will complete source collection before writing and place Harvard references immediately. I will use comparison tables at the planning stage and allow at least one separate session for proofreading, word-count reduction and checking that every factual claim is supported, to use my time more efficiently.</w:t>
      </w:r>
    </w:p>
    <w:p w14:paraId="25A8C031" w14:textId="2789A206" w:rsidR="008D483F" w:rsidRPr="00DC004C" w:rsidRDefault="008D483F">
      <w:pPr>
        <w:rPr>
          <w:rFonts w:ascii="Arial" w:hAnsi="Arial" w:cs="Arial"/>
          <w:sz w:val="24"/>
          <w:szCs w:val="24"/>
        </w:rPr>
      </w:pPr>
      <w:r w:rsidRPr="00DC004C">
        <w:rPr>
          <w:rFonts w:ascii="Arial" w:hAnsi="Arial" w:cs="Arial"/>
          <w:sz w:val="24"/>
          <w:szCs w:val="24"/>
        </w:rPr>
        <w:br w:type="page"/>
      </w:r>
    </w:p>
    <w:p w14:paraId="51678145" w14:textId="77777777" w:rsidR="008945CB" w:rsidRPr="00DC004C" w:rsidRDefault="008945CB" w:rsidP="00DC004C">
      <w:pPr>
        <w:pStyle w:val="Heading1"/>
        <w:rPr>
          <w:rFonts w:ascii="Arial" w:hAnsi="Arial" w:cs="Arial"/>
          <w:b/>
          <w:bCs/>
          <w:sz w:val="24"/>
          <w:szCs w:val="24"/>
          <w:lang w:val="en-US"/>
        </w:rPr>
      </w:pPr>
      <w:bookmarkStart w:id="58" w:name="_Toc237516367"/>
      <w:r w:rsidRPr="00DC004C">
        <w:rPr>
          <w:rFonts w:ascii="Arial" w:hAnsi="Arial" w:cs="Arial"/>
          <w:b/>
          <w:bCs/>
          <w:sz w:val="24"/>
          <w:szCs w:val="24"/>
          <w:lang w:val="en-US"/>
        </w:rPr>
        <w:lastRenderedPageBreak/>
        <w:t>Reference list</w:t>
      </w:r>
      <w:bookmarkEnd w:id="58"/>
    </w:p>
    <w:p w14:paraId="0AD727AF" w14:textId="77777777" w:rsidR="008945CB" w:rsidRPr="00DC004C" w:rsidRDefault="008945CB" w:rsidP="008945CB">
      <w:pPr>
        <w:jc w:val="both"/>
        <w:rPr>
          <w:rFonts w:ascii="Arial" w:hAnsi="Arial" w:cs="Arial"/>
          <w:sz w:val="24"/>
          <w:szCs w:val="24"/>
          <w:lang w:val="en-US"/>
        </w:rPr>
      </w:pPr>
      <w:r w:rsidRPr="00DC004C">
        <w:rPr>
          <w:rFonts w:ascii="Arial" w:hAnsi="Arial" w:cs="Arial"/>
          <w:sz w:val="24"/>
          <w:szCs w:val="24"/>
          <w:lang w:val="en-US"/>
        </w:rPr>
        <w:t xml:space="preserve">Adithya Pradyumna, Mishra, A., Utzinger, J. and Winkler, M.S. (2021). Health in food systems policies in India: A document review. </w:t>
      </w:r>
      <w:r w:rsidRPr="00DC004C">
        <w:rPr>
          <w:rFonts w:ascii="Arial" w:hAnsi="Arial" w:cs="Arial"/>
          <w:i/>
          <w:iCs/>
          <w:sz w:val="24"/>
          <w:szCs w:val="24"/>
          <w:lang w:val="en-US"/>
        </w:rPr>
        <w:t>International Journal of Health Policy and Management</w:t>
      </w:r>
      <w:r w:rsidRPr="00DC004C">
        <w:rPr>
          <w:rFonts w:ascii="Arial" w:hAnsi="Arial" w:cs="Arial"/>
          <w:sz w:val="24"/>
          <w:szCs w:val="24"/>
          <w:lang w:val="en-US"/>
        </w:rPr>
        <w:t>, [online] 11(7), p.1158. doi:10.34172/ijhpm.2021.18.</w:t>
      </w:r>
    </w:p>
    <w:p w14:paraId="7B1A2276" w14:textId="77777777" w:rsidR="008945CB" w:rsidRPr="00DC004C" w:rsidRDefault="008945CB" w:rsidP="008945CB">
      <w:pPr>
        <w:jc w:val="both"/>
        <w:rPr>
          <w:rFonts w:ascii="Arial" w:hAnsi="Arial" w:cs="Arial"/>
          <w:sz w:val="24"/>
          <w:szCs w:val="24"/>
          <w:lang w:val="en-US"/>
        </w:rPr>
      </w:pPr>
      <w:proofErr w:type="spellStart"/>
      <w:r w:rsidRPr="00DC004C">
        <w:rPr>
          <w:rFonts w:ascii="Arial" w:hAnsi="Arial" w:cs="Arial"/>
          <w:sz w:val="24"/>
          <w:szCs w:val="24"/>
          <w:lang w:val="en-US"/>
        </w:rPr>
        <w:t>Ariningsih</w:t>
      </w:r>
      <w:proofErr w:type="spellEnd"/>
      <w:r w:rsidRPr="00DC004C">
        <w:rPr>
          <w:rFonts w:ascii="Arial" w:hAnsi="Arial" w:cs="Arial"/>
          <w:sz w:val="24"/>
          <w:szCs w:val="24"/>
          <w:lang w:val="en-US"/>
        </w:rPr>
        <w:t xml:space="preserve">, P.K. (2024). Actors’ </w:t>
      </w:r>
      <w:proofErr w:type="spellStart"/>
      <w:r w:rsidRPr="00DC004C">
        <w:rPr>
          <w:rFonts w:ascii="Arial" w:hAnsi="Arial" w:cs="Arial"/>
          <w:sz w:val="24"/>
          <w:szCs w:val="24"/>
          <w:lang w:val="en-US"/>
        </w:rPr>
        <w:t>behaviours</w:t>
      </w:r>
      <w:proofErr w:type="spellEnd"/>
      <w:r w:rsidRPr="00DC004C">
        <w:rPr>
          <w:rFonts w:ascii="Arial" w:hAnsi="Arial" w:cs="Arial"/>
          <w:sz w:val="24"/>
          <w:szCs w:val="24"/>
          <w:lang w:val="en-US"/>
        </w:rPr>
        <w:t xml:space="preserve"> in responding to green incentives in the food and beverage industry: A scoping review. </w:t>
      </w:r>
      <w:proofErr w:type="spellStart"/>
      <w:r w:rsidRPr="00DC004C">
        <w:rPr>
          <w:rFonts w:ascii="Arial" w:hAnsi="Arial" w:cs="Arial"/>
          <w:i/>
          <w:iCs/>
          <w:sz w:val="24"/>
          <w:szCs w:val="24"/>
          <w:lang w:val="en-US"/>
        </w:rPr>
        <w:t>Jurnal</w:t>
      </w:r>
      <w:proofErr w:type="spellEnd"/>
      <w:r w:rsidRPr="00DC004C">
        <w:rPr>
          <w:rFonts w:ascii="Arial" w:hAnsi="Arial" w:cs="Arial"/>
          <w:i/>
          <w:iCs/>
          <w:sz w:val="24"/>
          <w:szCs w:val="24"/>
          <w:lang w:val="en-US"/>
        </w:rPr>
        <w:t xml:space="preserve"> </w:t>
      </w:r>
      <w:proofErr w:type="spellStart"/>
      <w:r w:rsidRPr="00DC004C">
        <w:rPr>
          <w:rFonts w:ascii="Arial" w:hAnsi="Arial" w:cs="Arial"/>
          <w:i/>
          <w:iCs/>
          <w:sz w:val="24"/>
          <w:szCs w:val="24"/>
          <w:lang w:val="en-US"/>
        </w:rPr>
        <w:t>Rekayasa</w:t>
      </w:r>
      <w:proofErr w:type="spellEnd"/>
      <w:r w:rsidRPr="00DC004C">
        <w:rPr>
          <w:rFonts w:ascii="Arial" w:hAnsi="Arial" w:cs="Arial"/>
          <w:i/>
          <w:iCs/>
          <w:sz w:val="24"/>
          <w:szCs w:val="24"/>
          <w:lang w:val="en-US"/>
        </w:rPr>
        <w:t xml:space="preserve"> </w:t>
      </w:r>
      <w:proofErr w:type="spellStart"/>
      <w:r w:rsidRPr="00DC004C">
        <w:rPr>
          <w:rFonts w:ascii="Arial" w:hAnsi="Arial" w:cs="Arial"/>
          <w:i/>
          <w:iCs/>
          <w:sz w:val="24"/>
          <w:szCs w:val="24"/>
          <w:lang w:val="en-US"/>
        </w:rPr>
        <w:t>Sistem</w:t>
      </w:r>
      <w:proofErr w:type="spellEnd"/>
      <w:r w:rsidRPr="00DC004C">
        <w:rPr>
          <w:rFonts w:ascii="Arial" w:hAnsi="Arial" w:cs="Arial"/>
          <w:i/>
          <w:iCs/>
          <w:sz w:val="24"/>
          <w:szCs w:val="24"/>
          <w:lang w:val="en-US"/>
        </w:rPr>
        <w:t xml:space="preserve"> </w:t>
      </w:r>
      <w:proofErr w:type="spellStart"/>
      <w:r w:rsidRPr="00DC004C">
        <w:rPr>
          <w:rFonts w:ascii="Arial" w:hAnsi="Arial" w:cs="Arial"/>
          <w:i/>
          <w:iCs/>
          <w:sz w:val="24"/>
          <w:szCs w:val="24"/>
          <w:lang w:val="en-US"/>
        </w:rPr>
        <w:t>Industri</w:t>
      </w:r>
      <w:proofErr w:type="spellEnd"/>
      <w:r w:rsidRPr="00DC004C">
        <w:rPr>
          <w:rFonts w:ascii="Arial" w:hAnsi="Arial" w:cs="Arial"/>
          <w:sz w:val="24"/>
          <w:szCs w:val="24"/>
          <w:lang w:val="en-US"/>
        </w:rPr>
        <w:t>, [online] 13(1), pp.21–36. doi:10.26593/jrsi.v13i1.7230.21-36.</w:t>
      </w:r>
    </w:p>
    <w:p w14:paraId="34A90A6B" w14:textId="77777777" w:rsidR="008945CB" w:rsidRPr="00DC004C" w:rsidRDefault="008945CB" w:rsidP="008945CB">
      <w:pPr>
        <w:jc w:val="both"/>
        <w:rPr>
          <w:rFonts w:ascii="Arial" w:hAnsi="Arial" w:cs="Arial"/>
          <w:sz w:val="24"/>
          <w:szCs w:val="24"/>
          <w:lang w:val="en-US"/>
        </w:rPr>
      </w:pPr>
      <w:r w:rsidRPr="00DC004C">
        <w:rPr>
          <w:rFonts w:ascii="Arial" w:hAnsi="Arial" w:cs="Arial"/>
          <w:sz w:val="24"/>
          <w:szCs w:val="24"/>
          <w:lang w:val="en-US"/>
        </w:rPr>
        <w:t xml:space="preserve">Banerjee, T. and Kanwar, M. (2023). </w:t>
      </w:r>
      <w:r w:rsidRPr="00DC004C">
        <w:rPr>
          <w:rFonts w:ascii="Arial" w:hAnsi="Arial" w:cs="Arial"/>
          <w:i/>
          <w:iCs/>
          <w:sz w:val="24"/>
          <w:szCs w:val="24"/>
          <w:lang w:val="en-US"/>
        </w:rPr>
        <w:t>Assessing the regulatory landscape: Strengthening Food Safety Enforcement in India for Public Health and Economic Progress</w:t>
      </w:r>
      <w:r w:rsidRPr="00DC004C">
        <w:rPr>
          <w:rFonts w:ascii="Arial" w:hAnsi="Arial" w:cs="Arial"/>
          <w:sz w:val="24"/>
          <w:szCs w:val="24"/>
          <w:lang w:val="en-US"/>
        </w:rPr>
        <w:t>. [online] Available at: https://www.ijfmr.com/papers/2023/6/9622.pdf [Accessed 12 Aug. 2026].</w:t>
      </w:r>
    </w:p>
    <w:p w14:paraId="540186F5" w14:textId="77777777" w:rsidR="008945CB" w:rsidRPr="00DC004C" w:rsidRDefault="008945CB" w:rsidP="008945CB">
      <w:pPr>
        <w:jc w:val="both"/>
        <w:rPr>
          <w:rFonts w:ascii="Arial" w:hAnsi="Arial" w:cs="Arial"/>
          <w:sz w:val="24"/>
          <w:szCs w:val="24"/>
          <w:lang w:val="en-US"/>
        </w:rPr>
      </w:pPr>
      <w:r w:rsidRPr="00DC004C">
        <w:rPr>
          <w:rFonts w:ascii="Arial" w:hAnsi="Arial" w:cs="Arial"/>
          <w:sz w:val="24"/>
          <w:szCs w:val="24"/>
          <w:lang w:val="en-US"/>
        </w:rPr>
        <w:t xml:space="preserve">Bassi, S., Bahl, D., Gopal, S., Sethi, V., Backholer, K., Gavaravarapu, S.M., Babu, G.R., Ghosh-Jerath, S., Bhatia, N., Aneja, K., Kataria, I., Mishra, P., De Wagt, A. and Arora, M. (2024). Are advertising policies affirmative in restricting the marketing of foods high in fat, salt and sugar (HFSS) in </w:t>
      </w:r>
      <w:proofErr w:type="gramStart"/>
      <w:r w:rsidRPr="00DC004C">
        <w:rPr>
          <w:rFonts w:ascii="Arial" w:hAnsi="Arial" w:cs="Arial"/>
          <w:sz w:val="24"/>
          <w:szCs w:val="24"/>
          <w:lang w:val="en-US"/>
        </w:rPr>
        <w:t>India?:</w:t>
      </w:r>
      <w:proofErr w:type="gramEnd"/>
      <w:r w:rsidRPr="00DC004C">
        <w:rPr>
          <w:rFonts w:ascii="Arial" w:hAnsi="Arial" w:cs="Arial"/>
          <w:sz w:val="24"/>
          <w:szCs w:val="24"/>
          <w:lang w:val="en-US"/>
        </w:rPr>
        <w:t xml:space="preserve"> Evidence from SWOT analysis. </w:t>
      </w:r>
      <w:r w:rsidRPr="00DC004C">
        <w:rPr>
          <w:rFonts w:ascii="Arial" w:hAnsi="Arial" w:cs="Arial"/>
          <w:i/>
          <w:iCs/>
          <w:sz w:val="24"/>
          <w:szCs w:val="24"/>
          <w:lang w:val="en-US"/>
        </w:rPr>
        <w:t>The Lancet Regional Health - Southeast Asia</w:t>
      </w:r>
      <w:r w:rsidRPr="00DC004C">
        <w:rPr>
          <w:rFonts w:ascii="Arial" w:hAnsi="Arial" w:cs="Arial"/>
          <w:sz w:val="24"/>
          <w:szCs w:val="24"/>
          <w:lang w:val="en-US"/>
        </w:rPr>
        <w:t>, [online] 21, p.100315. doi:10.1016/j.lansea.2023.100315.</w:t>
      </w:r>
    </w:p>
    <w:p w14:paraId="59A347E8" w14:textId="77777777" w:rsidR="008945CB" w:rsidRPr="00DC004C" w:rsidRDefault="008945CB" w:rsidP="008945CB">
      <w:pPr>
        <w:jc w:val="both"/>
        <w:rPr>
          <w:rFonts w:ascii="Arial" w:hAnsi="Arial" w:cs="Arial"/>
          <w:sz w:val="24"/>
          <w:szCs w:val="24"/>
          <w:lang w:val="en-US"/>
        </w:rPr>
      </w:pPr>
      <w:r w:rsidRPr="00DC004C">
        <w:rPr>
          <w:rFonts w:ascii="Arial" w:hAnsi="Arial" w:cs="Arial"/>
          <w:sz w:val="24"/>
          <w:szCs w:val="24"/>
          <w:lang w:val="en-US"/>
        </w:rPr>
        <w:t xml:space="preserve">Bera, O., Singh, R. and Bhattacharya, S. (2023). Food literacy &amp; food labeling laws—A legal analysis of India’s food policy. </w:t>
      </w:r>
      <w:r w:rsidRPr="00DC004C">
        <w:rPr>
          <w:rFonts w:ascii="Arial" w:hAnsi="Arial" w:cs="Arial"/>
          <w:i/>
          <w:iCs/>
          <w:sz w:val="24"/>
          <w:szCs w:val="24"/>
          <w:lang w:val="en-US"/>
        </w:rPr>
        <w:t>Journal of Family Medicine and Primary Care</w:t>
      </w:r>
      <w:r w:rsidRPr="00DC004C">
        <w:rPr>
          <w:rFonts w:ascii="Arial" w:hAnsi="Arial" w:cs="Arial"/>
          <w:sz w:val="24"/>
          <w:szCs w:val="24"/>
          <w:lang w:val="en-US"/>
        </w:rPr>
        <w:t>, 12(4), p.606. doi:10.4103/jfmpc.jfmpc_880_22.</w:t>
      </w:r>
    </w:p>
    <w:p w14:paraId="680A867D" w14:textId="77777777" w:rsidR="008945CB" w:rsidRPr="00DC004C" w:rsidRDefault="008945CB" w:rsidP="008945CB">
      <w:pPr>
        <w:jc w:val="both"/>
        <w:rPr>
          <w:rFonts w:ascii="Arial" w:hAnsi="Arial" w:cs="Arial"/>
          <w:sz w:val="24"/>
          <w:szCs w:val="24"/>
          <w:lang w:val="en-US"/>
        </w:rPr>
      </w:pPr>
      <w:r w:rsidRPr="00DC004C">
        <w:rPr>
          <w:rFonts w:ascii="Arial" w:hAnsi="Arial" w:cs="Arial"/>
          <w:sz w:val="24"/>
          <w:szCs w:val="24"/>
          <w:lang w:val="en-US"/>
        </w:rPr>
        <w:t xml:space="preserve">Bhatnagar, A., Choudhary, M., Kumar, V., Singh, V. and Kaur, P. (2024). Nutrient profiling assessment of packaged snack foods with nutrition-related claims available on the Indian market. </w:t>
      </w:r>
      <w:r w:rsidRPr="00DC004C">
        <w:rPr>
          <w:rFonts w:ascii="Arial" w:hAnsi="Arial" w:cs="Arial"/>
          <w:i/>
          <w:iCs/>
          <w:sz w:val="24"/>
          <w:szCs w:val="24"/>
          <w:lang w:val="en-US"/>
        </w:rPr>
        <w:t>Frontiers in Nutrition</w:t>
      </w:r>
      <w:r w:rsidRPr="00DC004C">
        <w:rPr>
          <w:rFonts w:ascii="Arial" w:hAnsi="Arial" w:cs="Arial"/>
          <w:sz w:val="24"/>
          <w:szCs w:val="24"/>
          <w:lang w:val="en-US"/>
        </w:rPr>
        <w:t>, 11. doi:10.3389/fnut.2024.1425354.</w:t>
      </w:r>
    </w:p>
    <w:p w14:paraId="76D6693C" w14:textId="77777777" w:rsidR="008945CB" w:rsidRPr="00DC004C" w:rsidRDefault="008945CB" w:rsidP="008945CB">
      <w:pPr>
        <w:jc w:val="both"/>
        <w:rPr>
          <w:rFonts w:ascii="Arial" w:hAnsi="Arial" w:cs="Arial"/>
          <w:sz w:val="24"/>
          <w:szCs w:val="24"/>
          <w:lang w:val="en-US"/>
        </w:rPr>
      </w:pPr>
      <w:r w:rsidRPr="00DC004C">
        <w:rPr>
          <w:rFonts w:ascii="Arial" w:hAnsi="Arial" w:cs="Arial"/>
          <w:sz w:val="24"/>
          <w:szCs w:val="24"/>
          <w:lang w:val="en-US"/>
        </w:rPr>
        <w:t xml:space="preserve">Brown, K.A., </w:t>
      </w:r>
      <w:proofErr w:type="spellStart"/>
      <w:r w:rsidRPr="00DC004C">
        <w:rPr>
          <w:rFonts w:ascii="Arial" w:hAnsi="Arial" w:cs="Arial"/>
          <w:sz w:val="24"/>
          <w:szCs w:val="24"/>
          <w:lang w:val="en-US"/>
        </w:rPr>
        <w:t>Srinivasapura</w:t>
      </w:r>
      <w:proofErr w:type="spellEnd"/>
      <w:r w:rsidRPr="00DC004C">
        <w:rPr>
          <w:rFonts w:ascii="Arial" w:hAnsi="Arial" w:cs="Arial"/>
          <w:sz w:val="24"/>
          <w:szCs w:val="24"/>
          <w:lang w:val="en-US"/>
        </w:rPr>
        <w:t xml:space="preserve"> </w:t>
      </w:r>
      <w:proofErr w:type="spellStart"/>
      <w:r w:rsidRPr="00DC004C">
        <w:rPr>
          <w:rFonts w:ascii="Arial" w:hAnsi="Arial" w:cs="Arial"/>
          <w:sz w:val="24"/>
          <w:szCs w:val="24"/>
          <w:lang w:val="en-US"/>
        </w:rPr>
        <w:t>Venkateshmurthy</w:t>
      </w:r>
      <w:proofErr w:type="spellEnd"/>
      <w:r w:rsidRPr="00DC004C">
        <w:rPr>
          <w:rFonts w:ascii="Arial" w:hAnsi="Arial" w:cs="Arial"/>
          <w:sz w:val="24"/>
          <w:szCs w:val="24"/>
          <w:lang w:val="en-US"/>
        </w:rPr>
        <w:t xml:space="preserve">, N., Law, C., Harris, F., Kadiyala, S., Shankar, B., Mohan, S., Prabhakaran, D. and Knai, C. (2021). Moving towards sustainable food systems: A review of Indian food policy budgets. </w:t>
      </w:r>
      <w:r w:rsidRPr="00DC004C">
        <w:rPr>
          <w:rFonts w:ascii="Arial" w:hAnsi="Arial" w:cs="Arial"/>
          <w:i/>
          <w:iCs/>
          <w:sz w:val="24"/>
          <w:szCs w:val="24"/>
          <w:lang w:val="en-US"/>
        </w:rPr>
        <w:t>Global Food Security</w:t>
      </w:r>
      <w:r w:rsidRPr="00DC004C">
        <w:rPr>
          <w:rFonts w:ascii="Arial" w:hAnsi="Arial" w:cs="Arial"/>
          <w:sz w:val="24"/>
          <w:szCs w:val="24"/>
          <w:lang w:val="en-US"/>
        </w:rPr>
        <w:t>, [online] 28, p.100462. doi:10.1016/j.gfs.2020.100462.</w:t>
      </w:r>
    </w:p>
    <w:p w14:paraId="1A901E5B" w14:textId="77777777" w:rsidR="008945CB" w:rsidRPr="00DC004C" w:rsidRDefault="008945CB" w:rsidP="008945CB">
      <w:pPr>
        <w:jc w:val="both"/>
        <w:rPr>
          <w:rFonts w:ascii="Arial" w:hAnsi="Arial" w:cs="Arial"/>
          <w:sz w:val="24"/>
          <w:szCs w:val="24"/>
          <w:lang w:val="en-US"/>
        </w:rPr>
      </w:pPr>
      <w:r w:rsidRPr="00DC004C">
        <w:rPr>
          <w:rFonts w:ascii="Arial" w:hAnsi="Arial" w:cs="Arial"/>
          <w:sz w:val="24"/>
          <w:szCs w:val="24"/>
          <w:lang w:val="en-US"/>
        </w:rPr>
        <w:t xml:space="preserve">Connell, C., Marciniak, R. and Carey, L.D. (2022). The effect of cross-cultural dimensions on the manifestation of customer engagement </w:t>
      </w:r>
      <w:proofErr w:type="spellStart"/>
      <w:r w:rsidRPr="00DC004C">
        <w:rPr>
          <w:rFonts w:ascii="Arial" w:hAnsi="Arial" w:cs="Arial"/>
          <w:sz w:val="24"/>
          <w:szCs w:val="24"/>
          <w:lang w:val="en-US"/>
        </w:rPr>
        <w:t>behaviours</w:t>
      </w:r>
      <w:proofErr w:type="spellEnd"/>
      <w:r w:rsidRPr="00DC004C">
        <w:rPr>
          <w:rFonts w:ascii="Arial" w:hAnsi="Arial" w:cs="Arial"/>
          <w:sz w:val="24"/>
          <w:szCs w:val="24"/>
          <w:lang w:val="en-US"/>
        </w:rPr>
        <w:t xml:space="preserve">. </w:t>
      </w:r>
      <w:r w:rsidRPr="00DC004C">
        <w:rPr>
          <w:rFonts w:ascii="Arial" w:hAnsi="Arial" w:cs="Arial"/>
          <w:i/>
          <w:iCs/>
          <w:sz w:val="24"/>
          <w:szCs w:val="24"/>
          <w:lang w:val="en-US"/>
        </w:rPr>
        <w:t>Journal of International Marketing</w:t>
      </w:r>
      <w:r w:rsidRPr="00DC004C">
        <w:rPr>
          <w:rFonts w:ascii="Arial" w:hAnsi="Arial" w:cs="Arial"/>
          <w:sz w:val="24"/>
          <w:szCs w:val="24"/>
          <w:lang w:val="en-US"/>
        </w:rPr>
        <w:t>, 31(1), p.1069031X2211306.</w:t>
      </w:r>
    </w:p>
    <w:p w14:paraId="25E950C4" w14:textId="77777777" w:rsidR="008945CB" w:rsidRPr="00DC004C" w:rsidRDefault="008945CB" w:rsidP="008945CB">
      <w:pPr>
        <w:jc w:val="both"/>
        <w:rPr>
          <w:rFonts w:ascii="Arial" w:hAnsi="Arial" w:cs="Arial"/>
          <w:sz w:val="24"/>
          <w:szCs w:val="24"/>
          <w:lang w:val="en-US"/>
        </w:rPr>
      </w:pPr>
      <w:r w:rsidRPr="00DC004C">
        <w:rPr>
          <w:rFonts w:ascii="Arial" w:hAnsi="Arial" w:cs="Arial"/>
          <w:sz w:val="24"/>
          <w:szCs w:val="24"/>
          <w:lang w:val="en-US"/>
        </w:rPr>
        <w:t xml:space="preserve">Dey, B.L., Alwi, S., Yamoah, F., </w:t>
      </w:r>
      <w:proofErr w:type="spellStart"/>
      <w:r w:rsidRPr="00DC004C">
        <w:rPr>
          <w:rFonts w:ascii="Arial" w:hAnsi="Arial" w:cs="Arial"/>
          <w:sz w:val="24"/>
          <w:szCs w:val="24"/>
          <w:lang w:val="en-US"/>
        </w:rPr>
        <w:t>Agyepong</w:t>
      </w:r>
      <w:proofErr w:type="spellEnd"/>
      <w:r w:rsidRPr="00DC004C">
        <w:rPr>
          <w:rFonts w:ascii="Arial" w:hAnsi="Arial" w:cs="Arial"/>
          <w:sz w:val="24"/>
          <w:szCs w:val="24"/>
          <w:lang w:val="en-US"/>
        </w:rPr>
        <w:t xml:space="preserve">, S.A., </w:t>
      </w:r>
      <w:proofErr w:type="spellStart"/>
      <w:r w:rsidRPr="00DC004C">
        <w:rPr>
          <w:rFonts w:ascii="Arial" w:hAnsi="Arial" w:cs="Arial"/>
          <w:sz w:val="24"/>
          <w:szCs w:val="24"/>
          <w:lang w:val="en-US"/>
        </w:rPr>
        <w:t>Kizgin</w:t>
      </w:r>
      <w:proofErr w:type="spellEnd"/>
      <w:r w:rsidRPr="00DC004C">
        <w:rPr>
          <w:rFonts w:ascii="Arial" w:hAnsi="Arial" w:cs="Arial"/>
          <w:sz w:val="24"/>
          <w:szCs w:val="24"/>
          <w:lang w:val="en-US"/>
        </w:rPr>
        <w:t xml:space="preserve">, H. and Sarma, M. (2019). Towards a framework for understanding ethnic consumers’ acculturation strategies in a multicultural environment. </w:t>
      </w:r>
      <w:r w:rsidRPr="00DC004C">
        <w:rPr>
          <w:rFonts w:ascii="Arial" w:hAnsi="Arial" w:cs="Arial"/>
          <w:i/>
          <w:iCs/>
          <w:sz w:val="24"/>
          <w:szCs w:val="24"/>
          <w:lang w:val="en-US"/>
        </w:rPr>
        <w:t>International Marketing Review</w:t>
      </w:r>
      <w:r w:rsidRPr="00DC004C">
        <w:rPr>
          <w:rFonts w:ascii="Arial" w:hAnsi="Arial" w:cs="Arial"/>
          <w:sz w:val="24"/>
          <w:szCs w:val="24"/>
          <w:lang w:val="en-US"/>
        </w:rPr>
        <w:t>, [online] 36(5), pp.771–804. doi:10.1108/imr-03-2018-0103.</w:t>
      </w:r>
    </w:p>
    <w:p w14:paraId="02CC4287" w14:textId="77777777" w:rsidR="008945CB" w:rsidRPr="00DC004C" w:rsidRDefault="008945CB" w:rsidP="008945CB">
      <w:pPr>
        <w:jc w:val="both"/>
        <w:rPr>
          <w:rFonts w:ascii="Arial" w:hAnsi="Arial" w:cs="Arial"/>
          <w:sz w:val="24"/>
          <w:szCs w:val="24"/>
          <w:lang w:val="en-US"/>
        </w:rPr>
      </w:pPr>
      <w:r w:rsidRPr="00DC004C">
        <w:rPr>
          <w:rFonts w:ascii="Arial" w:hAnsi="Arial" w:cs="Arial"/>
          <w:sz w:val="24"/>
          <w:szCs w:val="24"/>
          <w:lang w:val="en-US"/>
        </w:rPr>
        <w:t xml:space="preserve">Fincham, A.J. (2019). Made for Sharing: George Cadbury, ‘Industrial Betterment’ and Salvation. </w:t>
      </w:r>
      <w:r w:rsidRPr="00DC004C">
        <w:rPr>
          <w:rFonts w:ascii="Arial" w:hAnsi="Arial" w:cs="Arial"/>
          <w:i/>
          <w:iCs/>
          <w:sz w:val="24"/>
          <w:szCs w:val="24"/>
          <w:lang w:val="en-US"/>
        </w:rPr>
        <w:t>Quaker Studies</w:t>
      </w:r>
      <w:r w:rsidRPr="00DC004C">
        <w:rPr>
          <w:rFonts w:ascii="Arial" w:hAnsi="Arial" w:cs="Arial"/>
          <w:sz w:val="24"/>
          <w:szCs w:val="24"/>
          <w:lang w:val="en-US"/>
        </w:rPr>
        <w:t>, 24(2), pp.211–228. doi:10.3828/quaker.2019.24.2.3.</w:t>
      </w:r>
    </w:p>
    <w:p w14:paraId="7120E7EB" w14:textId="77777777" w:rsidR="008945CB" w:rsidRPr="00DC004C" w:rsidRDefault="008945CB" w:rsidP="008945CB">
      <w:pPr>
        <w:jc w:val="both"/>
        <w:rPr>
          <w:rFonts w:ascii="Arial" w:hAnsi="Arial" w:cs="Arial"/>
          <w:sz w:val="24"/>
          <w:szCs w:val="24"/>
          <w:lang w:val="en-US"/>
        </w:rPr>
      </w:pPr>
      <w:r w:rsidRPr="00DC004C">
        <w:rPr>
          <w:rFonts w:ascii="Arial" w:hAnsi="Arial" w:cs="Arial"/>
          <w:sz w:val="24"/>
          <w:szCs w:val="24"/>
          <w:lang w:val="en-US"/>
        </w:rPr>
        <w:t xml:space="preserve">Georges </w:t>
      </w:r>
      <w:proofErr w:type="spellStart"/>
      <w:r w:rsidRPr="00DC004C">
        <w:rPr>
          <w:rFonts w:ascii="Arial" w:hAnsi="Arial" w:cs="Arial"/>
          <w:sz w:val="24"/>
          <w:szCs w:val="24"/>
          <w:lang w:val="en-US"/>
        </w:rPr>
        <w:t>Polti</w:t>
      </w:r>
      <w:proofErr w:type="spellEnd"/>
      <w:r w:rsidRPr="00DC004C">
        <w:rPr>
          <w:rFonts w:ascii="Arial" w:hAnsi="Arial" w:cs="Arial"/>
          <w:sz w:val="24"/>
          <w:szCs w:val="24"/>
          <w:lang w:val="en-US"/>
        </w:rPr>
        <w:t xml:space="preserve"> (2006). </w:t>
      </w:r>
      <w:r w:rsidRPr="00DC004C">
        <w:rPr>
          <w:rFonts w:ascii="Arial" w:hAnsi="Arial" w:cs="Arial"/>
          <w:i/>
          <w:iCs/>
          <w:sz w:val="24"/>
          <w:szCs w:val="24"/>
          <w:lang w:val="en-US"/>
        </w:rPr>
        <w:t>The thirty six dramatic situations - 1917</w:t>
      </w:r>
      <w:r w:rsidRPr="00DC004C">
        <w:rPr>
          <w:rFonts w:ascii="Arial" w:hAnsi="Arial" w:cs="Arial"/>
          <w:sz w:val="24"/>
          <w:szCs w:val="24"/>
          <w:lang w:val="en-US"/>
        </w:rPr>
        <w:t>. Book Jungle.</w:t>
      </w:r>
    </w:p>
    <w:p w14:paraId="166E0907" w14:textId="77777777" w:rsidR="008945CB" w:rsidRPr="00DC004C" w:rsidRDefault="008945CB" w:rsidP="008945CB">
      <w:pPr>
        <w:jc w:val="both"/>
        <w:rPr>
          <w:rFonts w:ascii="Arial" w:hAnsi="Arial" w:cs="Arial"/>
          <w:sz w:val="24"/>
          <w:szCs w:val="24"/>
          <w:lang w:val="en-US"/>
        </w:rPr>
      </w:pPr>
      <w:r w:rsidRPr="00DC004C">
        <w:rPr>
          <w:rFonts w:ascii="Arial" w:hAnsi="Arial" w:cs="Arial"/>
          <w:sz w:val="24"/>
          <w:szCs w:val="24"/>
          <w:lang w:val="en-US"/>
        </w:rPr>
        <w:t xml:space="preserve">Kamp, B., </w:t>
      </w:r>
      <w:proofErr w:type="spellStart"/>
      <w:r w:rsidRPr="00DC004C">
        <w:rPr>
          <w:rFonts w:ascii="Arial" w:hAnsi="Arial" w:cs="Arial"/>
          <w:sz w:val="24"/>
          <w:szCs w:val="24"/>
          <w:lang w:val="en-US"/>
        </w:rPr>
        <w:t>Gibaja</w:t>
      </w:r>
      <w:proofErr w:type="spellEnd"/>
      <w:r w:rsidRPr="00DC004C">
        <w:rPr>
          <w:rFonts w:ascii="Arial" w:hAnsi="Arial" w:cs="Arial"/>
          <w:sz w:val="24"/>
          <w:szCs w:val="24"/>
          <w:lang w:val="en-US"/>
        </w:rPr>
        <w:t xml:space="preserve">, J.J., San Martin, J. and </w:t>
      </w:r>
      <w:proofErr w:type="spellStart"/>
      <w:r w:rsidRPr="00DC004C">
        <w:rPr>
          <w:rFonts w:ascii="Arial" w:hAnsi="Arial" w:cs="Arial"/>
          <w:sz w:val="24"/>
          <w:szCs w:val="24"/>
          <w:lang w:val="en-US"/>
        </w:rPr>
        <w:t>Turiel</w:t>
      </w:r>
      <w:proofErr w:type="spellEnd"/>
      <w:r w:rsidRPr="00DC004C">
        <w:rPr>
          <w:rFonts w:ascii="Arial" w:hAnsi="Arial" w:cs="Arial"/>
          <w:sz w:val="24"/>
          <w:szCs w:val="24"/>
          <w:lang w:val="en-US"/>
        </w:rPr>
        <w:t xml:space="preserve">, I. (2023). Adoption of measures to mitigate the impact of COVID-19: In search of a </w:t>
      </w:r>
      <w:proofErr w:type="spellStart"/>
      <w:r w:rsidRPr="00DC004C">
        <w:rPr>
          <w:rFonts w:ascii="Arial" w:hAnsi="Arial" w:cs="Arial"/>
          <w:sz w:val="24"/>
          <w:szCs w:val="24"/>
          <w:lang w:val="en-US"/>
        </w:rPr>
        <w:t>hofstedian</w:t>
      </w:r>
      <w:proofErr w:type="spellEnd"/>
      <w:r w:rsidRPr="00DC004C">
        <w:rPr>
          <w:rFonts w:ascii="Arial" w:hAnsi="Arial" w:cs="Arial"/>
          <w:sz w:val="24"/>
          <w:szCs w:val="24"/>
          <w:lang w:val="en-US"/>
        </w:rPr>
        <w:t xml:space="preserve"> explanation for patterns </w:t>
      </w:r>
      <w:r w:rsidRPr="00DC004C">
        <w:rPr>
          <w:rFonts w:ascii="Arial" w:hAnsi="Arial" w:cs="Arial"/>
          <w:sz w:val="24"/>
          <w:szCs w:val="24"/>
          <w:lang w:val="en-US"/>
        </w:rPr>
        <w:lastRenderedPageBreak/>
        <w:t xml:space="preserve">among individual countries and country clusters. </w:t>
      </w:r>
      <w:r w:rsidRPr="00DC004C">
        <w:rPr>
          <w:rFonts w:ascii="Arial" w:hAnsi="Arial" w:cs="Arial"/>
          <w:i/>
          <w:iCs/>
          <w:sz w:val="24"/>
          <w:szCs w:val="24"/>
          <w:lang w:val="en-US"/>
        </w:rPr>
        <w:t>Safety Science</w:t>
      </w:r>
      <w:r w:rsidRPr="00DC004C">
        <w:rPr>
          <w:rFonts w:ascii="Arial" w:hAnsi="Arial" w:cs="Arial"/>
          <w:sz w:val="24"/>
          <w:szCs w:val="24"/>
          <w:lang w:val="en-US"/>
        </w:rPr>
        <w:t>, [online] 157, p.105902. doi:10.1016/j.ssci.2022.105902.</w:t>
      </w:r>
    </w:p>
    <w:p w14:paraId="165D1641" w14:textId="77777777" w:rsidR="008945CB" w:rsidRPr="00DC004C" w:rsidRDefault="008945CB" w:rsidP="008945CB">
      <w:pPr>
        <w:jc w:val="both"/>
        <w:rPr>
          <w:rFonts w:ascii="Arial" w:hAnsi="Arial" w:cs="Arial"/>
          <w:sz w:val="24"/>
          <w:szCs w:val="24"/>
          <w:lang w:val="en-US"/>
        </w:rPr>
      </w:pPr>
      <w:r w:rsidRPr="00DC004C">
        <w:rPr>
          <w:rFonts w:ascii="Arial" w:hAnsi="Arial" w:cs="Arial"/>
          <w:sz w:val="24"/>
          <w:szCs w:val="24"/>
          <w:lang w:val="en-US"/>
        </w:rPr>
        <w:t xml:space="preserve">Kazemi, F. and Esmaeili, M. (2010). The role of media on consumer brand choice A case study of chocolate industry. </w:t>
      </w:r>
      <w:r w:rsidRPr="00DC004C">
        <w:rPr>
          <w:rFonts w:ascii="Arial" w:hAnsi="Arial" w:cs="Arial"/>
          <w:i/>
          <w:iCs/>
          <w:sz w:val="24"/>
          <w:szCs w:val="24"/>
          <w:lang w:val="en-US"/>
        </w:rPr>
        <w:t>International Journal of Business and Management</w:t>
      </w:r>
      <w:r w:rsidRPr="00DC004C">
        <w:rPr>
          <w:rFonts w:ascii="Arial" w:hAnsi="Arial" w:cs="Arial"/>
          <w:sz w:val="24"/>
          <w:szCs w:val="24"/>
          <w:lang w:val="en-US"/>
        </w:rPr>
        <w:t>, [online] 5(9). doi:10.5539/ijbm.v5n9p147.</w:t>
      </w:r>
    </w:p>
    <w:p w14:paraId="0C2B84BF" w14:textId="77777777" w:rsidR="008945CB" w:rsidRPr="00DC004C" w:rsidRDefault="008945CB" w:rsidP="008945CB">
      <w:pPr>
        <w:jc w:val="both"/>
        <w:rPr>
          <w:rFonts w:ascii="Arial" w:hAnsi="Arial" w:cs="Arial"/>
          <w:sz w:val="24"/>
          <w:szCs w:val="24"/>
          <w:lang w:val="en-US"/>
        </w:rPr>
      </w:pPr>
      <w:r w:rsidRPr="00DC004C">
        <w:rPr>
          <w:rFonts w:ascii="Arial" w:hAnsi="Arial" w:cs="Arial"/>
          <w:sz w:val="24"/>
          <w:szCs w:val="24"/>
          <w:lang w:val="en-US"/>
        </w:rPr>
        <w:t xml:space="preserve">Liu, W., Wu, Y., Sun, Y. and Florkowski, W.J. (2024). Consumer perception of the performance of online catering food safety regulations: The case of Shanghai, China. </w:t>
      </w:r>
      <w:r w:rsidRPr="00DC004C">
        <w:rPr>
          <w:rFonts w:ascii="Arial" w:hAnsi="Arial" w:cs="Arial"/>
          <w:i/>
          <w:iCs/>
          <w:sz w:val="24"/>
          <w:szCs w:val="24"/>
          <w:lang w:val="en-US"/>
        </w:rPr>
        <w:t>Foods</w:t>
      </w:r>
      <w:r w:rsidRPr="00DC004C">
        <w:rPr>
          <w:rFonts w:ascii="Arial" w:hAnsi="Arial" w:cs="Arial"/>
          <w:sz w:val="24"/>
          <w:szCs w:val="24"/>
          <w:lang w:val="en-US"/>
        </w:rPr>
        <w:t>, 13(16), pp.2568–2568. doi:10.3390/foods13162568.</w:t>
      </w:r>
    </w:p>
    <w:p w14:paraId="7C9051A6" w14:textId="77777777" w:rsidR="008945CB" w:rsidRPr="00DC004C" w:rsidRDefault="008945CB" w:rsidP="008945CB">
      <w:pPr>
        <w:jc w:val="both"/>
        <w:rPr>
          <w:rFonts w:ascii="Arial" w:hAnsi="Arial" w:cs="Arial"/>
          <w:sz w:val="24"/>
          <w:szCs w:val="24"/>
          <w:lang w:val="en-US"/>
        </w:rPr>
      </w:pPr>
      <w:r w:rsidRPr="00DC004C">
        <w:rPr>
          <w:rFonts w:ascii="Arial" w:hAnsi="Arial" w:cs="Arial"/>
          <w:sz w:val="24"/>
          <w:szCs w:val="24"/>
          <w:lang w:val="en-US"/>
        </w:rPr>
        <w:t xml:space="preserve">Meyers, B.C. (2022). Behind the scenes at the plant cell: The process from prereview consultation to an editorial decision. </w:t>
      </w:r>
      <w:r w:rsidRPr="00DC004C">
        <w:rPr>
          <w:rFonts w:ascii="Arial" w:hAnsi="Arial" w:cs="Arial"/>
          <w:i/>
          <w:iCs/>
          <w:sz w:val="24"/>
          <w:szCs w:val="24"/>
          <w:lang w:val="en-US"/>
        </w:rPr>
        <w:t>The Plant Cell</w:t>
      </w:r>
      <w:r w:rsidRPr="00DC004C">
        <w:rPr>
          <w:rFonts w:ascii="Arial" w:hAnsi="Arial" w:cs="Arial"/>
          <w:sz w:val="24"/>
          <w:szCs w:val="24"/>
          <w:lang w:val="en-US"/>
        </w:rPr>
        <w:t>, [online] 34(11), p.4117. Available at: https://pmc.ncbi.nlm.nih.gov/articles/PMC9614511/ [Accessed 12 Aug. 2026].</w:t>
      </w:r>
    </w:p>
    <w:p w14:paraId="47994B55" w14:textId="77777777" w:rsidR="008945CB" w:rsidRPr="00DC004C" w:rsidRDefault="008945CB" w:rsidP="008945CB">
      <w:pPr>
        <w:jc w:val="both"/>
        <w:rPr>
          <w:rFonts w:ascii="Arial" w:hAnsi="Arial" w:cs="Arial"/>
          <w:sz w:val="24"/>
          <w:szCs w:val="24"/>
          <w:lang w:val="en-US"/>
        </w:rPr>
      </w:pPr>
      <w:r w:rsidRPr="00DC004C">
        <w:rPr>
          <w:rFonts w:ascii="Arial" w:hAnsi="Arial" w:cs="Arial"/>
          <w:sz w:val="24"/>
          <w:szCs w:val="24"/>
          <w:lang w:val="en-US"/>
        </w:rPr>
        <w:t xml:space="preserve">Smith, R. D, Cornelsen, L., </w:t>
      </w:r>
      <w:proofErr w:type="spellStart"/>
      <w:r w:rsidRPr="00DC004C">
        <w:rPr>
          <w:rFonts w:ascii="Arial" w:hAnsi="Arial" w:cs="Arial"/>
          <w:sz w:val="24"/>
          <w:szCs w:val="24"/>
          <w:lang w:val="en-US"/>
        </w:rPr>
        <w:t>Quirmbach</w:t>
      </w:r>
      <w:proofErr w:type="spellEnd"/>
      <w:r w:rsidRPr="00DC004C">
        <w:rPr>
          <w:rFonts w:ascii="Arial" w:hAnsi="Arial" w:cs="Arial"/>
          <w:sz w:val="24"/>
          <w:szCs w:val="24"/>
          <w:lang w:val="en-US"/>
        </w:rPr>
        <w:t xml:space="preserve">, D., Jebb, S.A. and Marteau, T.M. (2018). Are sweet snacks more sensitive to price increases than sugar-sweetened beverages: Analysis of British Food Purchase Data. </w:t>
      </w:r>
      <w:r w:rsidRPr="00DC004C">
        <w:rPr>
          <w:rFonts w:ascii="Arial" w:hAnsi="Arial" w:cs="Arial"/>
          <w:i/>
          <w:iCs/>
          <w:sz w:val="24"/>
          <w:szCs w:val="24"/>
          <w:lang w:val="en-US"/>
        </w:rPr>
        <w:t>BMJ Open</w:t>
      </w:r>
      <w:r w:rsidRPr="00DC004C">
        <w:rPr>
          <w:rFonts w:ascii="Arial" w:hAnsi="Arial" w:cs="Arial"/>
          <w:sz w:val="24"/>
          <w:szCs w:val="24"/>
          <w:lang w:val="en-US"/>
        </w:rPr>
        <w:t>, [online] 8(4), p.e019788. doi:10.1136/bmjopen-2017-019788.</w:t>
      </w:r>
    </w:p>
    <w:p w14:paraId="6619766D" w14:textId="11C4FD97" w:rsidR="00DC004C" w:rsidRPr="00DC004C" w:rsidRDefault="00DC004C">
      <w:pPr>
        <w:rPr>
          <w:rFonts w:ascii="Arial" w:hAnsi="Arial" w:cs="Arial"/>
          <w:sz w:val="24"/>
          <w:szCs w:val="24"/>
        </w:rPr>
      </w:pPr>
      <w:r w:rsidRPr="00DC004C">
        <w:rPr>
          <w:rFonts w:ascii="Arial" w:hAnsi="Arial" w:cs="Arial"/>
          <w:sz w:val="24"/>
          <w:szCs w:val="24"/>
        </w:rPr>
        <w:br w:type="page"/>
      </w:r>
    </w:p>
    <w:p w14:paraId="4D414F64" w14:textId="77777777" w:rsidR="0051273B" w:rsidRPr="00DC004C" w:rsidRDefault="0051273B" w:rsidP="004079FF">
      <w:pPr>
        <w:jc w:val="both"/>
        <w:rPr>
          <w:rFonts w:ascii="Arial" w:hAnsi="Arial" w:cs="Arial"/>
          <w:sz w:val="24"/>
          <w:szCs w:val="24"/>
        </w:rPr>
      </w:pPr>
    </w:p>
    <w:sectPr w:rsidR="0051273B" w:rsidRPr="00DC004C" w:rsidSect="003548A3">
      <w:footerReference w:type="default" r:id="rId16"/>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B5CA5" w14:textId="77777777" w:rsidR="0093438C" w:rsidRDefault="0093438C" w:rsidP="00595CE6">
      <w:pPr>
        <w:spacing w:after="0" w:line="240" w:lineRule="auto"/>
      </w:pPr>
      <w:r>
        <w:separator/>
      </w:r>
    </w:p>
  </w:endnote>
  <w:endnote w:type="continuationSeparator" w:id="0">
    <w:p w14:paraId="19037AAC" w14:textId="77777777" w:rsidR="0093438C" w:rsidRDefault="0093438C" w:rsidP="00595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1734666"/>
      <w:docPartObj>
        <w:docPartGallery w:val="Page Numbers (Bottom of Page)"/>
        <w:docPartUnique/>
      </w:docPartObj>
    </w:sdtPr>
    <w:sdtEndPr>
      <w:rPr>
        <w:color w:val="7F7F7F" w:themeColor="background1" w:themeShade="7F"/>
        <w:spacing w:val="60"/>
      </w:rPr>
    </w:sdtEndPr>
    <w:sdtContent>
      <w:p w14:paraId="79E9BE96" w14:textId="741A4904" w:rsidR="00595CE6" w:rsidRDefault="00595CE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92FF984" w14:textId="77777777" w:rsidR="00595CE6" w:rsidRDefault="00595C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A9291" w14:textId="77777777" w:rsidR="0093438C" w:rsidRDefault="0093438C" w:rsidP="00595CE6">
      <w:pPr>
        <w:spacing w:after="0" w:line="240" w:lineRule="auto"/>
      </w:pPr>
      <w:r>
        <w:separator/>
      </w:r>
    </w:p>
  </w:footnote>
  <w:footnote w:type="continuationSeparator" w:id="0">
    <w:p w14:paraId="00EE78D9" w14:textId="77777777" w:rsidR="0093438C" w:rsidRDefault="0093438C" w:rsidP="00595C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F01E08"/>
    <w:multiLevelType w:val="multilevel"/>
    <w:tmpl w:val="C2165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A8524F"/>
    <w:multiLevelType w:val="hybridMultilevel"/>
    <w:tmpl w:val="309C35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6587844">
    <w:abstractNumId w:val="0"/>
  </w:num>
  <w:num w:numId="2" w16cid:durableId="15694879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930"/>
    <w:rsid w:val="000362C1"/>
    <w:rsid w:val="000A71D1"/>
    <w:rsid w:val="0015680C"/>
    <w:rsid w:val="00167C2E"/>
    <w:rsid w:val="001908EE"/>
    <w:rsid w:val="002B204A"/>
    <w:rsid w:val="002C2A30"/>
    <w:rsid w:val="00311F6F"/>
    <w:rsid w:val="003548A3"/>
    <w:rsid w:val="003614F1"/>
    <w:rsid w:val="0038712C"/>
    <w:rsid w:val="0039084E"/>
    <w:rsid w:val="00390CF8"/>
    <w:rsid w:val="004079FF"/>
    <w:rsid w:val="00412ECC"/>
    <w:rsid w:val="004238E0"/>
    <w:rsid w:val="00437F50"/>
    <w:rsid w:val="004531C5"/>
    <w:rsid w:val="004D6AB4"/>
    <w:rsid w:val="004F4930"/>
    <w:rsid w:val="0051273B"/>
    <w:rsid w:val="005215C7"/>
    <w:rsid w:val="005818CF"/>
    <w:rsid w:val="0058332C"/>
    <w:rsid w:val="00595CE6"/>
    <w:rsid w:val="005B3E57"/>
    <w:rsid w:val="00641ACD"/>
    <w:rsid w:val="0069078E"/>
    <w:rsid w:val="006E4F35"/>
    <w:rsid w:val="00754375"/>
    <w:rsid w:val="00805DD2"/>
    <w:rsid w:val="0083746C"/>
    <w:rsid w:val="008945CB"/>
    <w:rsid w:val="008D483F"/>
    <w:rsid w:val="008F6AA6"/>
    <w:rsid w:val="00912F73"/>
    <w:rsid w:val="0093438C"/>
    <w:rsid w:val="00A10D71"/>
    <w:rsid w:val="00A21E4B"/>
    <w:rsid w:val="00A547F2"/>
    <w:rsid w:val="00AA69F3"/>
    <w:rsid w:val="00AC118A"/>
    <w:rsid w:val="00AD186B"/>
    <w:rsid w:val="00AF48BC"/>
    <w:rsid w:val="00B05305"/>
    <w:rsid w:val="00B61511"/>
    <w:rsid w:val="00C77A31"/>
    <w:rsid w:val="00C84B5F"/>
    <w:rsid w:val="00CA7B65"/>
    <w:rsid w:val="00CD0C8B"/>
    <w:rsid w:val="00CD280B"/>
    <w:rsid w:val="00CF2B0F"/>
    <w:rsid w:val="00D02810"/>
    <w:rsid w:val="00D356E7"/>
    <w:rsid w:val="00D77502"/>
    <w:rsid w:val="00DA6D67"/>
    <w:rsid w:val="00DB7B20"/>
    <w:rsid w:val="00DC004C"/>
    <w:rsid w:val="00DE7756"/>
    <w:rsid w:val="00E24968"/>
    <w:rsid w:val="00EF5F21"/>
    <w:rsid w:val="00F0046F"/>
    <w:rsid w:val="00F12693"/>
    <w:rsid w:val="00FA2D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39C84"/>
  <w15:chartTrackingRefBased/>
  <w15:docId w15:val="{04BA65C7-2713-48FA-8006-2FCCE2052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15C7"/>
    <w:rPr>
      <w:lang w:val="en-GB"/>
    </w:rPr>
  </w:style>
  <w:style w:type="paragraph" w:styleId="Heading1">
    <w:name w:val="heading 1"/>
    <w:basedOn w:val="Normal"/>
    <w:next w:val="Normal"/>
    <w:link w:val="Heading1Char"/>
    <w:uiPriority w:val="9"/>
    <w:qFormat/>
    <w:rsid w:val="004F49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49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49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9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9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9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9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9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9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930"/>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4F4930"/>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4F4930"/>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F4930"/>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F4930"/>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F493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F493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F493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F493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F49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93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F49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93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F4930"/>
    <w:pPr>
      <w:spacing w:before="160"/>
      <w:jc w:val="center"/>
    </w:pPr>
    <w:rPr>
      <w:i/>
      <w:iCs/>
      <w:color w:val="404040" w:themeColor="text1" w:themeTint="BF"/>
    </w:rPr>
  </w:style>
  <w:style w:type="character" w:customStyle="1" w:styleId="QuoteChar">
    <w:name w:val="Quote Char"/>
    <w:basedOn w:val="DefaultParagraphFont"/>
    <w:link w:val="Quote"/>
    <w:uiPriority w:val="29"/>
    <w:rsid w:val="004F4930"/>
    <w:rPr>
      <w:i/>
      <w:iCs/>
      <w:color w:val="404040" w:themeColor="text1" w:themeTint="BF"/>
      <w:lang w:val="en-GB"/>
    </w:rPr>
  </w:style>
  <w:style w:type="paragraph" w:styleId="ListParagraph">
    <w:name w:val="List Paragraph"/>
    <w:basedOn w:val="Normal"/>
    <w:uiPriority w:val="34"/>
    <w:qFormat/>
    <w:rsid w:val="004F4930"/>
    <w:pPr>
      <w:ind w:left="720"/>
      <w:contextualSpacing/>
    </w:pPr>
  </w:style>
  <w:style w:type="character" w:styleId="IntenseEmphasis">
    <w:name w:val="Intense Emphasis"/>
    <w:basedOn w:val="DefaultParagraphFont"/>
    <w:uiPriority w:val="21"/>
    <w:qFormat/>
    <w:rsid w:val="004F4930"/>
    <w:rPr>
      <w:i/>
      <w:iCs/>
      <w:color w:val="0F4761" w:themeColor="accent1" w:themeShade="BF"/>
    </w:rPr>
  </w:style>
  <w:style w:type="paragraph" w:styleId="IntenseQuote">
    <w:name w:val="Intense Quote"/>
    <w:basedOn w:val="Normal"/>
    <w:next w:val="Normal"/>
    <w:link w:val="IntenseQuoteChar"/>
    <w:uiPriority w:val="30"/>
    <w:qFormat/>
    <w:rsid w:val="004F49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930"/>
    <w:rPr>
      <w:i/>
      <w:iCs/>
      <w:color w:val="0F4761" w:themeColor="accent1" w:themeShade="BF"/>
      <w:lang w:val="en-GB"/>
    </w:rPr>
  </w:style>
  <w:style w:type="character" w:styleId="IntenseReference">
    <w:name w:val="Intense Reference"/>
    <w:basedOn w:val="DefaultParagraphFont"/>
    <w:uiPriority w:val="32"/>
    <w:qFormat/>
    <w:rsid w:val="004F4930"/>
    <w:rPr>
      <w:b/>
      <w:bCs/>
      <w:smallCaps/>
      <w:color w:val="0F4761" w:themeColor="accent1" w:themeShade="BF"/>
      <w:spacing w:val="5"/>
    </w:rPr>
  </w:style>
  <w:style w:type="character" w:styleId="Hyperlink">
    <w:name w:val="Hyperlink"/>
    <w:basedOn w:val="DefaultParagraphFont"/>
    <w:uiPriority w:val="99"/>
    <w:unhideWhenUsed/>
    <w:rsid w:val="005818CF"/>
    <w:rPr>
      <w:color w:val="467886" w:themeColor="hyperlink"/>
      <w:u w:val="single"/>
    </w:rPr>
  </w:style>
  <w:style w:type="character" w:styleId="UnresolvedMention">
    <w:name w:val="Unresolved Mention"/>
    <w:basedOn w:val="DefaultParagraphFont"/>
    <w:uiPriority w:val="99"/>
    <w:semiHidden/>
    <w:unhideWhenUsed/>
    <w:rsid w:val="005818CF"/>
    <w:rPr>
      <w:color w:val="605E5C"/>
      <w:shd w:val="clear" w:color="auto" w:fill="E1DFDD"/>
    </w:rPr>
  </w:style>
  <w:style w:type="table" w:styleId="TableGrid">
    <w:name w:val="Table Grid"/>
    <w:basedOn w:val="TableNormal"/>
    <w:uiPriority w:val="39"/>
    <w:rsid w:val="005818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614F1"/>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DC004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C004C"/>
    <w:pPr>
      <w:tabs>
        <w:tab w:val="right" w:leader="dot" w:pos="9350"/>
      </w:tabs>
      <w:spacing w:after="100"/>
    </w:pPr>
    <w:rPr>
      <w:rFonts w:ascii="Arial" w:hAnsi="Arial" w:cs="Arial"/>
      <w:b/>
      <w:bCs/>
      <w:noProof/>
    </w:rPr>
  </w:style>
  <w:style w:type="paragraph" w:styleId="TOC2">
    <w:name w:val="toc 2"/>
    <w:basedOn w:val="Normal"/>
    <w:next w:val="Normal"/>
    <w:autoRedefine/>
    <w:uiPriority w:val="39"/>
    <w:unhideWhenUsed/>
    <w:rsid w:val="00DC004C"/>
    <w:pPr>
      <w:spacing w:after="100"/>
      <w:ind w:left="220"/>
    </w:pPr>
  </w:style>
  <w:style w:type="paragraph" w:styleId="Header">
    <w:name w:val="header"/>
    <w:basedOn w:val="Normal"/>
    <w:link w:val="HeaderChar"/>
    <w:uiPriority w:val="99"/>
    <w:unhideWhenUsed/>
    <w:rsid w:val="00595C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5CE6"/>
    <w:rPr>
      <w:lang w:val="en-GB"/>
    </w:rPr>
  </w:style>
  <w:style w:type="paragraph" w:styleId="Footer">
    <w:name w:val="footer"/>
    <w:basedOn w:val="Normal"/>
    <w:link w:val="FooterChar"/>
    <w:uiPriority w:val="99"/>
    <w:unhideWhenUsed/>
    <w:rsid w:val="00595C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5CE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22BB6C65-28CE-4B3F-9359-4BC350C109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30</Pages>
  <Words>7674</Words>
  <Characters>43742</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 Hirpara</dc:creator>
  <cp:keywords/>
  <dc:description/>
  <cp:lastModifiedBy>raj hirpara</cp:lastModifiedBy>
  <cp:revision>3</cp:revision>
  <dcterms:created xsi:type="dcterms:W3CDTF">2026-08-13T11:53:00Z</dcterms:created>
  <dcterms:modified xsi:type="dcterms:W3CDTF">2026-08-13T11:54:00Z</dcterms:modified>
</cp:coreProperties>
</file>