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90B94" w14:textId="0A66C33E" w:rsidR="00D90226" w:rsidRPr="00D90226" w:rsidRDefault="00D90226" w:rsidP="00D90226">
      <w:pPr>
        <w:jc w:val="center"/>
        <w:rPr>
          <w:b/>
          <w:sz w:val="44"/>
          <w:szCs w:val="44"/>
        </w:rPr>
      </w:pPr>
      <w:r w:rsidRPr="00D90226">
        <w:rPr>
          <w:b/>
          <w:sz w:val="44"/>
          <w:szCs w:val="44"/>
        </w:rPr>
        <w:t>Sustainable Hospitality and Tourism</w:t>
      </w:r>
    </w:p>
    <w:p w14:paraId="41A7538C" w14:textId="1022B5F5" w:rsidR="00D90226" w:rsidRPr="00D90226" w:rsidRDefault="00D90226" w:rsidP="00D90226">
      <w:pPr>
        <w:jc w:val="center"/>
        <w:rPr>
          <w:b/>
          <w:sz w:val="44"/>
          <w:szCs w:val="44"/>
        </w:rPr>
      </w:pPr>
      <w:r w:rsidRPr="00D90226">
        <w:rPr>
          <w:b/>
          <w:sz w:val="44"/>
          <w:szCs w:val="44"/>
        </w:rPr>
        <w:t>BMIH 5006</w:t>
      </w:r>
    </w:p>
    <w:p w14:paraId="78492B08" w14:textId="232F7AFF" w:rsidR="00D90226" w:rsidRPr="00D90226" w:rsidRDefault="00D90226" w:rsidP="00D90226">
      <w:pPr>
        <w:jc w:val="center"/>
        <w:rPr>
          <w:b/>
          <w:sz w:val="44"/>
          <w:szCs w:val="44"/>
        </w:rPr>
      </w:pPr>
      <w:r w:rsidRPr="00D90226">
        <w:rPr>
          <w:b/>
          <w:sz w:val="44"/>
          <w:szCs w:val="44"/>
        </w:rPr>
        <w:t>Ionel Babache</w:t>
      </w:r>
    </w:p>
    <w:p w14:paraId="4DB7D7C9" w14:textId="39A9E924" w:rsidR="00D90226" w:rsidRPr="00D90226" w:rsidRDefault="00D90226" w:rsidP="00D90226">
      <w:pPr>
        <w:jc w:val="center"/>
        <w:rPr>
          <w:b/>
          <w:sz w:val="44"/>
          <w:szCs w:val="44"/>
        </w:rPr>
      </w:pPr>
      <w:r w:rsidRPr="00D90226">
        <w:rPr>
          <w:b/>
          <w:sz w:val="44"/>
          <w:szCs w:val="44"/>
        </w:rPr>
        <w:t>2241659</w:t>
      </w:r>
    </w:p>
    <w:p w14:paraId="629EAE0E" w14:textId="32F8F0FC" w:rsidR="00D90226" w:rsidRPr="00D90226" w:rsidRDefault="00D90226" w:rsidP="00D90226">
      <w:pPr>
        <w:jc w:val="center"/>
        <w:rPr>
          <w:b/>
          <w:sz w:val="44"/>
          <w:szCs w:val="44"/>
        </w:rPr>
      </w:pPr>
      <w:r w:rsidRPr="00D90226">
        <w:rPr>
          <w:b/>
          <w:sz w:val="44"/>
          <w:szCs w:val="44"/>
        </w:rPr>
        <w:t>Christopher Wilkin</w:t>
      </w:r>
    </w:p>
    <w:p w14:paraId="3916ED2F" w14:textId="77777777" w:rsidR="00D90226" w:rsidRPr="00D90226" w:rsidRDefault="00D90226" w:rsidP="00D90226">
      <w:pPr>
        <w:jc w:val="center"/>
        <w:rPr>
          <w:b/>
          <w:sz w:val="40"/>
          <w:szCs w:val="40"/>
        </w:rPr>
      </w:pPr>
    </w:p>
    <w:p w14:paraId="648E0C72" w14:textId="77777777" w:rsidR="00D90226" w:rsidRPr="00D90226" w:rsidRDefault="00D90226" w:rsidP="00D90226"/>
    <w:p w14:paraId="38806FE5" w14:textId="77777777" w:rsidR="00D90226" w:rsidRPr="00D90226" w:rsidRDefault="00D90226" w:rsidP="00D90226"/>
    <w:p w14:paraId="32516F0C" w14:textId="77777777" w:rsidR="00D90226" w:rsidRPr="00D90226" w:rsidRDefault="00D90226" w:rsidP="00D90226"/>
    <w:p w14:paraId="791DE471" w14:textId="77777777" w:rsidR="00D90226" w:rsidRPr="00D90226" w:rsidRDefault="00D90226" w:rsidP="00D90226"/>
    <w:p w14:paraId="0AD1AF07" w14:textId="77777777" w:rsidR="00D90226" w:rsidRPr="00D90226" w:rsidRDefault="00D90226" w:rsidP="00D90226"/>
    <w:p w14:paraId="29344948" w14:textId="77777777" w:rsidR="00D90226" w:rsidRPr="00D90226" w:rsidRDefault="00D90226" w:rsidP="00D90226"/>
    <w:p w14:paraId="55EC094D" w14:textId="77777777" w:rsidR="00D90226" w:rsidRPr="00D90226" w:rsidRDefault="00D90226" w:rsidP="00D90226"/>
    <w:p w14:paraId="5B2DA703" w14:textId="77777777" w:rsidR="00D90226" w:rsidRPr="00D90226" w:rsidRDefault="00D90226" w:rsidP="00D90226"/>
    <w:p w14:paraId="016D0858" w14:textId="77777777" w:rsidR="00D90226" w:rsidRPr="00D90226" w:rsidRDefault="00D90226" w:rsidP="00D90226"/>
    <w:p w14:paraId="4EE5BACF" w14:textId="77777777" w:rsidR="00D90226" w:rsidRPr="00D90226" w:rsidRDefault="00D90226" w:rsidP="00D90226"/>
    <w:p w14:paraId="5E3C82CC" w14:textId="77777777" w:rsidR="00D90226" w:rsidRPr="00D90226" w:rsidRDefault="00D90226" w:rsidP="00D90226"/>
    <w:p w14:paraId="5272AB1E" w14:textId="77777777" w:rsidR="00D90226" w:rsidRPr="00D90226" w:rsidRDefault="00D90226" w:rsidP="00D90226"/>
    <w:p w14:paraId="141B8407" w14:textId="77777777" w:rsidR="00D90226" w:rsidRPr="00D90226" w:rsidRDefault="00D90226" w:rsidP="00D90226"/>
    <w:p w14:paraId="7EA4CA1E" w14:textId="77777777" w:rsidR="00D90226" w:rsidRPr="00D90226" w:rsidRDefault="00D90226" w:rsidP="00D90226"/>
    <w:p w14:paraId="290BAFB5" w14:textId="77777777" w:rsidR="00D90226" w:rsidRPr="00D90226" w:rsidRDefault="00D90226" w:rsidP="00D90226"/>
    <w:p w14:paraId="52F01589" w14:textId="77777777" w:rsidR="00D90226" w:rsidRPr="00D90226" w:rsidRDefault="00D90226" w:rsidP="00D90226"/>
    <w:p w14:paraId="76B1298D" w14:textId="77777777" w:rsidR="00D90226" w:rsidRPr="00D90226" w:rsidRDefault="00D90226" w:rsidP="00D90226"/>
    <w:p w14:paraId="12EAEF57" w14:textId="77777777" w:rsidR="00D90226" w:rsidRPr="00D90226" w:rsidRDefault="00D90226" w:rsidP="00D90226"/>
    <w:p w14:paraId="59EC9B9E" w14:textId="77777777" w:rsidR="00D90226" w:rsidRPr="00D90226" w:rsidRDefault="00D90226" w:rsidP="00D90226"/>
    <w:p w14:paraId="651AF362" w14:textId="77777777" w:rsidR="00D90226" w:rsidRPr="00D90226" w:rsidRDefault="00D90226" w:rsidP="00D90226"/>
    <w:p w14:paraId="55F7E186" w14:textId="77777777" w:rsidR="00D90226" w:rsidRPr="00D90226" w:rsidRDefault="00D90226" w:rsidP="00D90226"/>
    <w:p w14:paraId="2193B33D" w14:textId="77777777" w:rsidR="00D90226" w:rsidRPr="00D90226" w:rsidRDefault="00D90226" w:rsidP="00D90226"/>
    <w:p w14:paraId="3A4FF1AB" w14:textId="77777777" w:rsidR="00D90226" w:rsidRPr="00D90226" w:rsidRDefault="00D90226" w:rsidP="00D90226"/>
    <w:p w14:paraId="27F7040A" w14:textId="77777777" w:rsidR="00D90226" w:rsidRPr="00D90226" w:rsidRDefault="00D90226" w:rsidP="00D90226"/>
    <w:p w14:paraId="4A62C215" w14:textId="77777777" w:rsidR="00D90226" w:rsidRPr="00D90226" w:rsidRDefault="00D90226" w:rsidP="00D90226"/>
    <w:p w14:paraId="49BC8049" w14:textId="77777777" w:rsidR="00D90226" w:rsidRPr="00D90226" w:rsidRDefault="00D90226" w:rsidP="00D90226"/>
    <w:p w14:paraId="5F92567F" w14:textId="77777777" w:rsidR="00D90226" w:rsidRPr="00D90226" w:rsidRDefault="00D90226" w:rsidP="00D90226"/>
    <w:p w14:paraId="0C0D2825" w14:textId="77777777" w:rsidR="00D90226" w:rsidRPr="00D90226" w:rsidRDefault="00D90226" w:rsidP="00D90226">
      <w:pPr>
        <w:jc w:val="center"/>
        <w:rPr>
          <w:b/>
          <w:sz w:val="28"/>
          <w:szCs w:val="28"/>
        </w:rPr>
      </w:pPr>
      <w:r w:rsidRPr="00D90226">
        <w:rPr>
          <w:b/>
          <w:sz w:val="28"/>
          <w:szCs w:val="28"/>
        </w:rPr>
        <w:t>AI Acknowledgement:</w:t>
      </w:r>
    </w:p>
    <w:p w14:paraId="6FC9DD65" w14:textId="77777777" w:rsidR="00D90226" w:rsidRPr="00D90226" w:rsidRDefault="00D90226" w:rsidP="00D90226">
      <w:pPr>
        <w:jc w:val="center"/>
        <w:rPr>
          <w:b/>
          <w:sz w:val="28"/>
          <w:szCs w:val="28"/>
        </w:rPr>
      </w:pPr>
    </w:p>
    <w:p w14:paraId="2E3F503F" w14:textId="77777777" w:rsidR="00D90226" w:rsidRPr="00D90226" w:rsidRDefault="00D90226" w:rsidP="00D90226">
      <w:pPr>
        <w:jc w:val="center"/>
      </w:pPr>
      <w:r w:rsidRPr="00D90226">
        <w:rPr>
          <w:sz w:val="28"/>
          <w:szCs w:val="28"/>
        </w:rPr>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r w:rsidRPr="00D90226">
        <w:br w:type="page"/>
      </w:r>
    </w:p>
    <w:p w14:paraId="4DF651BC" w14:textId="77777777" w:rsidR="00D90226" w:rsidRPr="00D90226" w:rsidRDefault="00D90226" w:rsidP="00D90226">
      <w:pPr>
        <w:rPr>
          <w:b/>
        </w:rPr>
      </w:pPr>
      <w:bookmarkStart w:id="0" w:name="_Toc191887481"/>
      <w:r w:rsidRPr="00D90226">
        <w:rPr>
          <w:b/>
        </w:rPr>
        <w:lastRenderedPageBreak/>
        <w:t>Executive Summary</w:t>
      </w:r>
      <w:bookmarkEnd w:id="0"/>
    </w:p>
    <w:p w14:paraId="7DAA72C2" w14:textId="77777777" w:rsidR="00D90226" w:rsidRPr="00D90226" w:rsidRDefault="00D90226" w:rsidP="00D90226">
      <w:r w:rsidRPr="00D90226">
        <w:t>The hospitality industry relies to a considerable degree on transport, particularly fuel-powered vehicles for ferrying guests, organising city tours, and for supply logistics. However, increasing sustainability concerns, regulatory pressures, and economic factors are prompting a shift towards greener alternatives. This report hence looks at the role of fuel engine cars in hospitality transport, benefits and challenges offered, along with their sustainable alternatives.</w:t>
      </w:r>
    </w:p>
    <w:p w14:paraId="0F017809" w14:textId="77777777" w:rsidR="00D90226" w:rsidRPr="00D90226" w:rsidRDefault="00D90226" w:rsidP="00D90226">
      <w:r w:rsidRPr="00D90226">
        <w:t>Marriott International epitomises sustainability in hospitality transport. Through its Serve 360 framework, Marriott has integrated hybrid and electric vehicles into hotel operations, installed EV charging stations, and collaborated with vendors to provide low-emission airport shuttles</w:t>
      </w:r>
      <w:sdt>
        <w:sdtPr>
          <w:id w:val="1454527359"/>
          <w:citation/>
        </w:sdtPr>
        <w:sdtContent>
          <w:r w:rsidRPr="00D90226">
            <w:fldChar w:fldCharType="begin"/>
          </w:r>
          <w:r w:rsidRPr="00D90226">
            <w:instrText xml:space="preserve"> CITATION Mar24 \l 1033 </w:instrText>
          </w:r>
          <w:r w:rsidRPr="00D90226">
            <w:fldChar w:fldCharType="separate"/>
          </w:r>
          <w:r w:rsidRPr="00D90226">
            <w:t xml:space="preserve"> (Marriot, 2024)</w:t>
          </w:r>
          <w:r w:rsidRPr="00D90226">
            <w:fldChar w:fldCharType="end"/>
          </w:r>
        </w:sdtContent>
      </w:sdt>
      <w:r w:rsidRPr="00D90226">
        <w:t>. Other examples include hydrogen-powered seaplanes and electric guest transport in the Red Sea project, showcasing that Marriott is set to achieve net-zero emissions.</w:t>
      </w:r>
    </w:p>
    <w:p w14:paraId="4666B8FA" w14:textId="77777777" w:rsidR="00D90226" w:rsidRPr="00D90226" w:rsidRDefault="00D90226" w:rsidP="00D90226">
      <w:r w:rsidRPr="00D90226">
        <w:t>While sustainable fuel practices offer economic benefits, such as reduced operational expenses and government incentives, there are barriers to overcome: infrastructure shortages, high up-front investments, and reluctance from consumers. The automotive industry's engagement in greenwashing misleads consumers about the environmental correctness of fuel-powered vehicles</w:t>
      </w:r>
      <w:sdt>
        <w:sdtPr>
          <w:id w:val="130376103"/>
          <w:citation/>
        </w:sdtPr>
        <w:sdtContent>
          <w:r w:rsidRPr="00D90226">
            <w:fldChar w:fldCharType="begin"/>
          </w:r>
          <w:r w:rsidRPr="00D90226">
            <w:instrText xml:space="preserve"> CITATION Boh05 \l 1033 </w:instrText>
          </w:r>
          <w:r w:rsidRPr="00D90226">
            <w:fldChar w:fldCharType="separate"/>
          </w:r>
          <w:r w:rsidRPr="00D90226">
            <w:t xml:space="preserve"> (Bohdanowicz, 2005)</w:t>
          </w:r>
          <w:r w:rsidRPr="00D90226">
            <w:fldChar w:fldCharType="end"/>
          </w:r>
        </w:sdtContent>
      </w:sdt>
      <w:r w:rsidRPr="00D90226">
        <w:t>.</w:t>
      </w:r>
    </w:p>
    <w:p w14:paraId="6DD32223" w14:textId="27FC475B" w:rsidR="00D90226" w:rsidRPr="00D90226" w:rsidRDefault="00D90226" w:rsidP="00D90226">
      <w:r w:rsidRPr="00D90226">
        <w:t xml:space="preserve">To catalyse change, the hospitality sector must further support transparency, invest in fuel-efficient technologies, and collaborate with policymakers. Sustainable transport solutions will afford environmental responsibility, lower costs, and attract eco-conscious </w:t>
      </w:r>
      <w:proofErr w:type="spellStart"/>
      <w:r w:rsidR="0067451F">
        <w:t>travellers</w:t>
      </w:r>
      <w:r w:rsidRPr="00D90226">
        <w:t>s</w:t>
      </w:r>
      <w:proofErr w:type="spellEnd"/>
      <w:r w:rsidRPr="00D90226">
        <w:t xml:space="preserve">; consequently, it becomes a long-term survival strategy for the hotel industry. </w:t>
      </w:r>
    </w:p>
    <w:p w14:paraId="57D19851" w14:textId="77777777" w:rsidR="00D90226" w:rsidRPr="00D90226" w:rsidRDefault="00D90226" w:rsidP="00D90226"/>
    <w:p w14:paraId="1ECD4228" w14:textId="77777777" w:rsidR="00D90226" w:rsidRPr="00D90226" w:rsidRDefault="00D90226" w:rsidP="00D90226"/>
    <w:p w14:paraId="436FAD22" w14:textId="77777777" w:rsidR="00D90226" w:rsidRPr="00D90226" w:rsidRDefault="00D90226" w:rsidP="00D90226"/>
    <w:p w14:paraId="2E51B876" w14:textId="77777777" w:rsidR="00D90226" w:rsidRPr="00D90226" w:rsidRDefault="00D90226" w:rsidP="00D90226"/>
    <w:p w14:paraId="101E48CF" w14:textId="77777777" w:rsidR="00D90226" w:rsidRPr="00D90226" w:rsidRDefault="00D90226" w:rsidP="00D90226"/>
    <w:p w14:paraId="74DBDAAE" w14:textId="77777777" w:rsidR="00D90226" w:rsidRPr="00D90226" w:rsidRDefault="00D90226" w:rsidP="00D90226"/>
    <w:p w14:paraId="5ECA3CA0" w14:textId="77777777" w:rsidR="00D90226" w:rsidRPr="00D90226" w:rsidRDefault="00D90226" w:rsidP="00D90226"/>
    <w:p w14:paraId="04188B72" w14:textId="77777777" w:rsidR="00D90226" w:rsidRPr="00D90226" w:rsidRDefault="00D90226" w:rsidP="00D90226"/>
    <w:p w14:paraId="6DFBEBD2" w14:textId="77777777" w:rsidR="00D90226" w:rsidRPr="00D90226" w:rsidRDefault="00D90226" w:rsidP="00D90226"/>
    <w:p w14:paraId="4061CE85" w14:textId="77777777" w:rsidR="00D90226" w:rsidRPr="00D90226" w:rsidRDefault="00D90226" w:rsidP="00D90226"/>
    <w:p w14:paraId="48892AD2" w14:textId="77777777" w:rsidR="00D90226" w:rsidRPr="00D90226" w:rsidRDefault="00D90226" w:rsidP="00D90226"/>
    <w:p w14:paraId="1F1F3B3B" w14:textId="77777777" w:rsidR="00D90226" w:rsidRPr="00D90226" w:rsidRDefault="00D90226" w:rsidP="00D90226"/>
    <w:p w14:paraId="2967BC3D" w14:textId="77777777" w:rsidR="00D90226" w:rsidRPr="00D90226" w:rsidRDefault="00D90226" w:rsidP="00D90226"/>
    <w:p w14:paraId="0EFD3635" w14:textId="77777777" w:rsidR="00D90226" w:rsidRPr="00D90226" w:rsidRDefault="00D90226" w:rsidP="00D90226"/>
    <w:p w14:paraId="7FC80775" w14:textId="77777777" w:rsidR="00D90226" w:rsidRPr="00D90226" w:rsidRDefault="00D90226" w:rsidP="00D90226"/>
    <w:p w14:paraId="316128DE" w14:textId="77777777" w:rsidR="00D90226" w:rsidRPr="00D90226" w:rsidRDefault="00D90226" w:rsidP="00D90226"/>
    <w:sdt>
      <w:sdtPr>
        <w:rPr>
          <w:sz w:val="28"/>
          <w:szCs w:val="28"/>
        </w:rPr>
        <w:id w:val="-1906440077"/>
        <w:docPartObj>
          <w:docPartGallery w:val="Table of Contents"/>
          <w:docPartUnique/>
        </w:docPartObj>
      </w:sdtPr>
      <w:sdtContent>
        <w:p w14:paraId="77699699" w14:textId="77777777" w:rsidR="00D90226" w:rsidRPr="00D90226" w:rsidRDefault="00D90226" w:rsidP="00D90226">
          <w:pPr>
            <w:rPr>
              <w:sz w:val="28"/>
              <w:szCs w:val="28"/>
            </w:rPr>
          </w:pPr>
          <w:r w:rsidRPr="00D90226">
            <w:rPr>
              <w:sz w:val="28"/>
              <w:szCs w:val="28"/>
            </w:rPr>
            <w:t>Table of Contents</w:t>
          </w:r>
        </w:p>
        <w:p w14:paraId="28C37680" w14:textId="77777777" w:rsidR="00D90226" w:rsidRPr="00D90226" w:rsidRDefault="00D90226" w:rsidP="00D90226">
          <w:pPr>
            <w:rPr>
              <w:sz w:val="28"/>
              <w:szCs w:val="28"/>
            </w:rPr>
          </w:pPr>
          <w:r w:rsidRPr="00D90226">
            <w:rPr>
              <w:sz w:val="28"/>
              <w:szCs w:val="28"/>
            </w:rPr>
            <w:fldChar w:fldCharType="begin"/>
          </w:r>
          <w:r w:rsidRPr="00D90226">
            <w:rPr>
              <w:sz w:val="28"/>
              <w:szCs w:val="28"/>
            </w:rPr>
            <w:instrText xml:space="preserve"> TOC \o "1-3" \h \z \u </w:instrText>
          </w:r>
          <w:r w:rsidRPr="00D90226">
            <w:rPr>
              <w:sz w:val="28"/>
              <w:szCs w:val="28"/>
            </w:rPr>
            <w:fldChar w:fldCharType="separate"/>
          </w:r>
          <w:hyperlink r:id="rId5" w:anchor="_Toc191887481" w:history="1">
            <w:r w:rsidRPr="00D90226">
              <w:rPr>
                <w:rStyle w:val="Hyperlink"/>
                <w:b/>
                <w:sz w:val="28"/>
                <w:szCs w:val="28"/>
              </w:rPr>
              <w:t>Executive Summary</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_Toc191887481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3</w:t>
            </w:r>
            <w:r w:rsidRPr="00D90226">
              <w:rPr>
                <w:rStyle w:val="Hyperlink"/>
                <w:webHidden/>
                <w:sz w:val="28"/>
                <w:szCs w:val="28"/>
              </w:rPr>
              <w:fldChar w:fldCharType="end"/>
            </w:r>
          </w:hyperlink>
        </w:p>
        <w:p w14:paraId="6DA5DD58" w14:textId="77777777" w:rsidR="00D90226" w:rsidRPr="00D90226" w:rsidRDefault="00D90226" w:rsidP="00D90226">
          <w:pPr>
            <w:rPr>
              <w:sz w:val="28"/>
              <w:szCs w:val="28"/>
            </w:rPr>
          </w:pPr>
          <w:hyperlink r:id="rId6" w:anchor="_Toc191887482" w:history="1">
            <w:r w:rsidRPr="00D90226">
              <w:rPr>
                <w:rStyle w:val="Hyperlink"/>
                <w:b/>
                <w:sz w:val="28"/>
                <w:szCs w:val="28"/>
              </w:rPr>
              <w:t>Introduction</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_Toc191887482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5</w:t>
            </w:r>
            <w:r w:rsidRPr="00D90226">
              <w:rPr>
                <w:rStyle w:val="Hyperlink"/>
                <w:webHidden/>
                <w:sz w:val="28"/>
                <w:szCs w:val="28"/>
              </w:rPr>
              <w:fldChar w:fldCharType="end"/>
            </w:r>
          </w:hyperlink>
        </w:p>
        <w:p w14:paraId="0F2978CD" w14:textId="77777777" w:rsidR="00D90226" w:rsidRPr="00D90226" w:rsidRDefault="00D90226" w:rsidP="00D90226">
          <w:pPr>
            <w:rPr>
              <w:sz w:val="28"/>
              <w:szCs w:val="28"/>
            </w:rPr>
          </w:pPr>
          <w:hyperlink r:id="rId7" w:anchor="_Toc191887483" w:history="1">
            <w:r w:rsidRPr="00D90226">
              <w:rPr>
                <w:rStyle w:val="Hyperlink"/>
                <w:b/>
                <w:sz w:val="28"/>
                <w:szCs w:val="28"/>
              </w:rPr>
              <w:t>Fuel Engine Vehicles and Sustainability</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_Toc191887483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5</w:t>
            </w:r>
            <w:r w:rsidRPr="00D90226">
              <w:rPr>
                <w:rStyle w:val="Hyperlink"/>
                <w:webHidden/>
                <w:sz w:val="28"/>
                <w:szCs w:val="28"/>
              </w:rPr>
              <w:fldChar w:fldCharType="end"/>
            </w:r>
          </w:hyperlink>
        </w:p>
        <w:p w14:paraId="450BFF74" w14:textId="77777777" w:rsidR="00D90226" w:rsidRPr="00D90226" w:rsidRDefault="00D90226" w:rsidP="00D90226">
          <w:pPr>
            <w:rPr>
              <w:sz w:val="28"/>
              <w:szCs w:val="28"/>
            </w:rPr>
          </w:pPr>
          <w:hyperlink r:id="rId8" w:anchor="_Toc191887484" w:history="1">
            <w:r w:rsidRPr="00D90226">
              <w:rPr>
                <w:rStyle w:val="Hyperlink"/>
                <w:b/>
                <w:sz w:val="28"/>
                <w:szCs w:val="28"/>
              </w:rPr>
              <w:t>Application of Theory</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_Toc191887484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5</w:t>
            </w:r>
            <w:r w:rsidRPr="00D90226">
              <w:rPr>
                <w:rStyle w:val="Hyperlink"/>
                <w:webHidden/>
                <w:sz w:val="28"/>
                <w:szCs w:val="28"/>
              </w:rPr>
              <w:fldChar w:fldCharType="end"/>
            </w:r>
          </w:hyperlink>
        </w:p>
        <w:p w14:paraId="7853DAB5" w14:textId="77777777" w:rsidR="00D90226" w:rsidRPr="00D90226" w:rsidRDefault="00D90226" w:rsidP="00D90226">
          <w:pPr>
            <w:rPr>
              <w:sz w:val="28"/>
              <w:szCs w:val="28"/>
            </w:rPr>
          </w:pPr>
          <w:hyperlink r:id="rId9" w:anchor="_Toc191887485" w:history="1">
            <w:r w:rsidRPr="00D90226">
              <w:rPr>
                <w:rStyle w:val="Hyperlink"/>
                <w:b/>
                <w:sz w:val="28"/>
                <w:szCs w:val="28"/>
              </w:rPr>
              <w:t>Social Impact</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_Toc191887485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6</w:t>
            </w:r>
            <w:r w:rsidRPr="00D90226">
              <w:rPr>
                <w:rStyle w:val="Hyperlink"/>
                <w:webHidden/>
                <w:sz w:val="28"/>
                <w:szCs w:val="28"/>
              </w:rPr>
              <w:fldChar w:fldCharType="end"/>
            </w:r>
          </w:hyperlink>
        </w:p>
        <w:p w14:paraId="43FA3C3A" w14:textId="77777777" w:rsidR="00D90226" w:rsidRPr="00D90226" w:rsidRDefault="00D90226" w:rsidP="00D90226">
          <w:pPr>
            <w:rPr>
              <w:sz w:val="28"/>
              <w:szCs w:val="28"/>
            </w:rPr>
          </w:pPr>
          <w:hyperlink r:id="rId10" w:anchor="_Toc191887486" w:history="1">
            <w:r w:rsidRPr="00D90226">
              <w:rPr>
                <w:rStyle w:val="Hyperlink"/>
                <w:b/>
                <w:sz w:val="28"/>
                <w:szCs w:val="28"/>
              </w:rPr>
              <w:t>Environmental Impact</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_Toc191887486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6</w:t>
            </w:r>
            <w:r w:rsidRPr="00D90226">
              <w:rPr>
                <w:rStyle w:val="Hyperlink"/>
                <w:webHidden/>
                <w:sz w:val="28"/>
                <w:szCs w:val="28"/>
              </w:rPr>
              <w:fldChar w:fldCharType="end"/>
            </w:r>
          </w:hyperlink>
        </w:p>
        <w:p w14:paraId="71E55B41" w14:textId="77777777" w:rsidR="00D90226" w:rsidRPr="00D90226" w:rsidRDefault="00D90226" w:rsidP="00D90226">
          <w:pPr>
            <w:rPr>
              <w:sz w:val="28"/>
              <w:szCs w:val="28"/>
            </w:rPr>
          </w:pPr>
          <w:hyperlink r:id="rId11" w:anchor="_Toc191887487" w:history="1">
            <w:r w:rsidRPr="00D90226">
              <w:rPr>
                <w:rStyle w:val="Hyperlink"/>
                <w:b/>
                <w:sz w:val="28"/>
                <w:szCs w:val="28"/>
              </w:rPr>
              <w:t>Economic Impact</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_Toc191887487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6</w:t>
            </w:r>
            <w:r w:rsidRPr="00D90226">
              <w:rPr>
                <w:rStyle w:val="Hyperlink"/>
                <w:webHidden/>
                <w:sz w:val="28"/>
                <w:szCs w:val="28"/>
              </w:rPr>
              <w:fldChar w:fldCharType="end"/>
            </w:r>
          </w:hyperlink>
        </w:p>
        <w:p w14:paraId="06EAB2D2" w14:textId="77777777" w:rsidR="00D90226" w:rsidRPr="00D90226" w:rsidRDefault="00D90226" w:rsidP="00D90226">
          <w:pPr>
            <w:rPr>
              <w:sz w:val="28"/>
              <w:szCs w:val="28"/>
            </w:rPr>
          </w:pPr>
          <w:hyperlink r:id="rId12" w:anchor="_Toc191887488" w:history="1">
            <w:r w:rsidRPr="00D90226">
              <w:rPr>
                <w:rStyle w:val="Hyperlink"/>
                <w:b/>
                <w:sz w:val="28"/>
                <w:szCs w:val="28"/>
              </w:rPr>
              <w:t>Transport and the Hotel Industry</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_Toc191887488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7</w:t>
            </w:r>
            <w:r w:rsidRPr="00D90226">
              <w:rPr>
                <w:rStyle w:val="Hyperlink"/>
                <w:webHidden/>
                <w:sz w:val="28"/>
                <w:szCs w:val="28"/>
              </w:rPr>
              <w:fldChar w:fldCharType="end"/>
            </w:r>
          </w:hyperlink>
        </w:p>
        <w:p w14:paraId="74DACC79" w14:textId="77777777" w:rsidR="00D90226" w:rsidRPr="00D90226" w:rsidRDefault="00D90226" w:rsidP="00D90226">
          <w:pPr>
            <w:rPr>
              <w:sz w:val="28"/>
              <w:szCs w:val="28"/>
            </w:rPr>
          </w:pPr>
          <w:hyperlink r:id="rId13" w:anchor="_Toc191887489" w:history="1">
            <w:r w:rsidRPr="00D90226">
              <w:rPr>
                <w:rStyle w:val="Hyperlink"/>
                <w:b/>
                <w:sz w:val="28"/>
                <w:szCs w:val="28"/>
              </w:rPr>
              <w:t>The Sustainable Transportation Initiatives within the Hospitality Sector</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_Toc191887489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7</w:t>
            </w:r>
            <w:r w:rsidRPr="00D90226">
              <w:rPr>
                <w:rStyle w:val="Hyperlink"/>
                <w:webHidden/>
                <w:sz w:val="28"/>
                <w:szCs w:val="28"/>
              </w:rPr>
              <w:fldChar w:fldCharType="end"/>
            </w:r>
          </w:hyperlink>
        </w:p>
        <w:p w14:paraId="08E321EA" w14:textId="77777777" w:rsidR="00D90226" w:rsidRPr="00D90226" w:rsidRDefault="00D90226" w:rsidP="00D90226">
          <w:pPr>
            <w:rPr>
              <w:sz w:val="28"/>
              <w:szCs w:val="28"/>
            </w:rPr>
          </w:pPr>
          <w:hyperlink r:id="rId14" w:anchor="_Toc191887490" w:history="1">
            <w:r w:rsidRPr="00D90226">
              <w:rPr>
                <w:rStyle w:val="Hyperlink"/>
                <w:b/>
                <w:sz w:val="28"/>
                <w:szCs w:val="28"/>
              </w:rPr>
              <w:t>Positive Impacts of Fuel Cars</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_Toc191887490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8</w:t>
            </w:r>
            <w:r w:rsidRPr="00D90226">
              <w:rPr>
                <w:rStyle w:val="Hyperlink"/>
                <w:webHidden/>
                <w:sz w:val="28"/>
                <w:szCs w:val="28"/>
              </w:rPr>
              <w:fldChar w:fldCharType="end"/>
            </w:r>
          </w:hyperlink>
        </w:p>
        <w:p w14:paraId="0C98CD7A" w14:textId="77777777" w:rsidR="00D90226" w:rsidRPr="00D90226" w:rsidRDefault="00D90226" w:rsidP="00D90226">
          <w:pPr>
            <w:rPr>
              <w:sz w:val="28"/>
              <w:szCs w:val="28"/>
            </w:rPr>
          </w:pPr>
          <w:hyperlink r:id="rId15" w:anchor="_Toc191887491" w:history="1">
            <w:r w:rsidRPr="00D90226">
              <w:rPr>
                <w:rStyle w:val="Hyperlink"/>
                <w:b/>
                <w:sz w:val="28"/>
                <w:szCs w:val="28"/>
              </w:rPr>
              <w:t>Negative impacts of Fuel Engine cars on Transportation:</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_Toc191887491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8</w:t>
            </w:r>
            <w:r w:rsidRPr="00D90226">
              <w:rPr>
                <w:rStyle w:val="Hyperlink"/>
                <w:webHidden/>
                <w:sz w:val="28"/>
                <w:szCs w:val="28"/>
              </w:rPr>
              <w:fldChar w:fldCharType="end"/>
            </w:r>
          </w:hyperlink>
        </w:p>
        <w:p w14:paraId="5D0F6F06" w14:textId="77777777" w:rsidR="00D90226" w:rsidRPr="00D90226" w:rsidRDefault="00D90226" w:rsidP="00D90226">
          <w:pPr>
            <w:rPr>
              <w:sz w:val="28"/>
              <w:szCs w:val="28"/>
            </w:rPr>
          </w:pPr>
          <w:hyperlink r:id="rId16" w:anchor="_Toc191887492" w:history="1">
            <w:r w:rsidRPr="00D90226">
              <w:rPr>
                <w:rStyle w:val="Hyperlink"/>
                <w:b/>
                <w:sz w:val="28"/>
                <w:szCs w:val="28"/>
              </w:rPr>
              <w:t>The Greenwashing Problem in Sustainable Fuel Cars</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_Toc191887492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9</w:t>
            </w:r>
            <w:r w:rsidRPr="00D90226">
              <w:rPr>
                <w:rStyle w:val="Hyperlink"/>
                <w:webHidden/>
                <w:sz w:val="28"/>
                <w:szCs w:val="28"/>
              </w:rPr>
              <w:fldChar w:fldCharType="end"/>
            </w:r>
          </w:hyperlink>
        </w:p>
        <w:p w14:paraId="342331BE" w14:textId="77777777" w:rsidR="00D90226" w:rsidRPr="00D90226" w:rsidRDefault="00D90226" w:rsidP="00D90226">
          <w:pPr>
            <w:rPr>
              <w:sz w:val="28"/>
              <w:szCs w:val="28"/>
            </w:rPr>
          </w:pPr>
          <w:hyperlink r:id="rId17" w:anchor="_Toc191887493" w:history="1">
            <w:r w:rsidRPr="00D90226">
              <w:rPr>
                <w:rStyle w:val="Hyperlink"/>
                <w:b/>
                <w:sz w:val="28"/>
                <w:szCs w:val="28"/>
              </w:rPr>
              <w:t>Sustainable Fuel Car Practices Adopted by Global Companies</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_Toc191887493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9</w:t>
            </w:r>
            <w:r w:rsidRPr="00D90226">
              <w:rPr>
                <w:rStyle w:val="Hyperlink"/>
                <w:webHidden/>
                <w:sz w:val="28"/>
                <w:szCs w:val="28"/>
              </w:rPr>
              <w:fldChar w:fldCharType="end"/>
            </w:r>
          </w:hyperlink>
        </w:p>
        <w:p w14:paraId="45380377" w14:textId="77777777" w:rsidR="00D90226" w:rsidRPr="00D90226" w:rsidRDefault="00D90226" w:rsidP="00D90226">
          <w:pPr>
            <w:rPr>
              <w:sz w:val="28"/>
              <w:szCs w:val="28"/>
            </w:rPr>
          </w:pPr>
          <w:hyperlink r:id="rId18" w:anchor="_Toc191887494" w:history="1">
            <w:r w:rsidRPr="00D90226">
              <w:rPr>
                <w:rStyle w:val="Hyperlink"/>
                <w:b/>
                <w:sz w:val="28"/>
                <w:szCs w:val="28"/>
              </w:rPr>
              <w:t>Economic Gains of Fuel-Efficient Vehicles in the Hospitality Sector</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_Toc191887494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10</w:t>
            </w:r>
            <w:r w:rsidRPr="00D90226">
              <w:rPr>
                <w:rStyle w:val="Hyperlink"/>
                <w:webHidden/>
                <w:sz w:val="28"/>
                <w:szCs w:val="28"/>
              </w:rPr>
              <w:fldChar w:fldCharType="end"/>
            </w:r>
          </w:hyperlink>
        </w:p>
        <w:p w14:paraId="10E9C3FA" w14:textId="77777777" w:rsidR="00D90226" w:rsidRPr="00D90226" w:rsidRDefault="00D90226" w:rsidP="00D90226">
          <w:pPr>
            <w:rPr>
              <w:sz w:val="28"/>
              <w:szCs w:val="28"/>
            </w:rPr>
          </w:pPr>
          <w:hyperlink r:id="rId19" w:anchor="_Toc191887495" w:history="1">
            <w:r w:rsidRPr="00D90226">
              <w:rPr>
                <w:rStyle w:val="Hyperlink"/>
                <w:b/>
                <w:sz w:val="28"/>
                <w:szCs w:val="28"/>
              </w:rPr>
              <w:t>Conclusions:</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_Toc191887495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11</w:t>
            </w:r>
            <w:r w:rsidRPr="00D90226">
              <w:rPr>
                <w:rStyle w:val="Hyperlink"/>
                <w:webHidden/>
                <w:sz w:val="28"/>
                <w:szCs w:val="28"/>
              </w:rPr>
              <w:fldChar w:fldCharType="end"/>
            </w:r>
          </w:hyperlink>
        </w:p>
        <w:p w14:paraId="730FF5D4" w14:textId="77777777" w:rsidR="00D90226" w:rsidRPr="00D90226" w:rsidRDefault="00D90226" w:rsidP="00D90226">
          <w:pPr>
            <w:rPr>
              <w:sz w:val="28"/>
              <w:szCs w:val="28"/>
            </w:rPr>
          </w:pPr>
          <w:hyperlink r:id="rId20" w:anchor="_Toc191887496" w:history="1">
            <w:r w:rsidRPr="00D90226">
              <w:rPr>
                <w:rStyle w:val="Hyperlink"/>
                <w:b/>
                <w:sz w:val="28"/>
                <w:szCs w:val="28"/>
              </w:rPr>
              <w:t>Recommendations:</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_Toc191887496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11</w:t>
            </w:r>
            <w:r w:rsidRPr="00D90226">
              <w:rPr>
                <w:rStyle w:val="Hyperlink"/>
                <w:webHidden/>
                <w:sz w:val="28"/>
                <w:szCs w:val="28"/>
              </w:rPr>
              <w:fldChar w:fldCharType="end"/>
            </w:r>
          </w:hyperlink>
        </w:p>
        <w:p w14:paraId="4656C611" w14:textId="77777777" w:rsidR="00D90226" w:rsidRPr="00D90226" w:rsidRDefault="00D90226" w:rsidP="00D90226">
          <w:pPr>
            <w:rPr>
              <w:sz w:val="28"/>
              <w:szCs w:val="28"/>
            </w:rPr>
          </w:pPr>
          <w:hyperlink r:id="rId21" w:anchor="_Toc191887497" w:history="1">
            <w:r w:rsidRPr="00D90226">
              <w:rPr>
                <w:rStyle w:val="Hyperlink"/>
                <w:b/>
                <w:sz w:val="28"/>
                <w:szCs w:val="28"/>
              </w:rPr>
              <w:t>Reference List:</w:t>
            </w:r>
            <w:r w:rsidRPr="00D90226">
              <w:rPr>
                <w:rStyle w:val="Hyperlink"/>
                <w:webHidden/>
                <w:sz w:val="28"/>
                <w:szCs w:val="28"/>
              </w:rPr>
              <w:tab/>
            </w:r>
            <w:r w:rsidRPr="00D90226">
              <w:rPr>
                <w:rStyle w:val="Hyperlink"/>
                <w:webHidden/>
                <w:sz w:val="28"/>
                <w:szCs w:val="28"/>
              </w:rPr>
              <w:fldChar w:fldCharType="begin"/>
            </w:r>
            <w:r w:rsidRPr="00D90226">
              <w:rPr>
                <w:rStyle w:val="Hyperlink"/>
                <w:webHidden/>
                <w:sz w:val="28"/>
                <w:szCs w:val="28"/>
              </w:rPr>
              <w:instrText xml:space="preserve"> PAGEREF _Toc191887497 \h </w:instrText>
            </w:r>
            <w:r w:rsidRPr="00D90226">
              <w:rPr>
                <w:rStyle w:val="Hyperlink"/>
                <w:webHidden/>
                <w:sz w:val="28"/>
                <w:szCs w:val="28"/>
              </w:rPr>
            </w:r>
            <w:r w:rsidRPr="00D90226">
              <w:rPr>
                <w:rStyle w:val="Hyperlink"/>
                <w:webHidden/>
                <w:sz w:val="28"/>
                <w:szCs w:val="28"/>
              </w:rPr>
              <w:fldChar w:fldCharType="separate"/>
            </w:r>
            <w:r w:rsidRPr="00D90226">
              <w:rPr>
                <w:rStyle w:val="Hyperlink"/>
                <w:webHidden/>
                <w:sz w:val="28"/>
                <w:szCs w:val="28"/>
              </w:rPr>
              <w:t>12</w:t>
            </w:r>
            <w:r w:rsidRPr="00D90226">
              <w:rPr>
                <w:rStyle w:val="Hyperlink"/>
                <w:webHidden/>
                <w:sz w:val="28"/>
                <w:szCs w:val="28"/>
              </w:rPr>
              <w:fldChar w:fldCharType="end"/>
            </w:r>
          </w:hyperlink>
        </w:p>
        <w:p w14:paraId="09F9645A" w14:textId="77777777" w:rsidR="00D90226" w:rsidRPr="00D90226" w:rsidRDefault="00D90226" w:rsidP="00D90226">
          <w:pPr>
            <w:rPr>
              <w:sz w:val="28"/>
              <w:szCs w:val="28"/>
            </w:rPr>
          </w:pPr>
          <w:r w:rsidRPr="00D90226">
            <w:rPr>
              <w:sz w:val="28"/>
              <w:szCs w:val="28"/>
            </w:rPr>
            <w:fldChar w:fldCharType="end"/>
          </w:r>
        </w:p>
      </w:sdtContent>
    </w:sdt>
    <w:p w14:paraId="3F8B92EF" w14:textId="77777777" w:rsidR="00D90226" w:rsidRPr="00D90226" w:rsidRDefault="00D90226" w:rsidP="00D90226">
      <w:pPr>
        <w:spacing w:line="360" w:lineRule="auto"/>
        <w:jc w:val="both"/>
        <w:rPr>
          <w:rFonts w:ascii="Arial" w:hAnsi="Arial" w:cs="Arial"/>
          <w:b/>
          <w:sz w:val="24"/>
          <w:szCs w:val="24"/>
        </w:rPr>
      </w:pPr>
      <w:r w:rsidRPr="00D90226">
        <w:rPr>
          <w:b/>
          <w:sz w:val="28"/>
          <w:szCs w:val="28"/>
        </w:rPr>
        <w:br w:type="page"/>
      </w:r>
    </w:p>
    <w:p w14:paraId="6890A42D" w14:textId="77777777" w:rsidR="00D90226" w:rsidRPr="00D90226" w:rsidRDefault="00D90226" w:rsidP="00D90226">
      <w:pPr>
        <w:spacing w:line="360" w:lineRule="auto"/>
        <w:jc w:val="both"/>
        <w:rPr>
          <w:rFonts w:ascii="Arial" w:hAnsi="Arial" w:cs="Arial"/>
          <w:b/>
          <w:sz w:val="24"/>
          <w:szCs w:val="24"/>
        </w:rPr>
      </w:pPr>
      <w:bookmarkStart w:id="1" w:name="_Toc191887482"/>
      <w:r w:rsidRPr="00D90226">
        <w:rPr>
          <w:rFonts w:ascii="Arial" w:hAnsi="Arial" w:cs="Arial"/>
          <w:b/>
          <w:sz w:val="24"/>
          <w:szCs w:val="24"/>
        </w:rPr>
        <w:lastRenderedPageBreak/>
        <w:t>Introduction</w:t>
      </w:r>
      <w:bookmarkEnd w:id="1"/>
    </w:p>
    <w:p w14:paraId="0FF74BE2" w14:textId="7ED229F3"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Transport is the backbone of the hospitality sector, enabling exclusive travel experiences for tourists and business </w:t>
      </w:r>
      <w:proofErr w:type="spellStart"/>
      <w:r w:rsidR="0067451F">
        <w:rPr>
          <w:rFonts w:ascii="Arial" w:hAnsi="Arial" w:cs="Arial"/>
          <w:sz w:val="24"/>
          <w:szCs w:val="24"/>
        </w:rPr>
        <w:t>travellers</w:t>
      </w:r>
      <w:r w:rsidRPr="00D90226">
        <w:rPr>
          <w:rFonts w:ascii="Arial" w:hAnsi="Arial" w:cs="Arial"/>
          <w:sz w:val="24"/>
          <w:szCs w:val="24"/>
        </w:rPr>
        <w:t>s</w:t>
      </w:r>
      <w:proofErr w:type="spellEnd"/>
      <w:r w:rsidRPr="00D90226">
        <w:rPr>
          <w:rFonts w:ascii="Arial" w:hAnsi="Arial" w:cs="Arial"/>
          <w:sz w:val="24"/>
          <w:szCs w:val="24"/>
        </w:rPr>
        <w:t>. The fuel-powered cars are regarded as accessibility, convenience, and existing infrastructure. The hotels, resorts, and tourism agencies rely highly on fuel cars for guest transfers, city tours, and supply logistics that help support functional logistics. Still, with all such concerns for sustainability growing alongside fuel costs and regulatory reforms, the age-old debate about the long-term viability and impact of these cars has emerged.</w:t>
      </w:r>
    </w:p>
    <w:p w14:paraId="1D26E868"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With more and more global actions involving efforts to attain carbon neutrality, the pressure on the sector is ever intensifying- the sector should switch to greener alternatives</w:t>
      </w:r>
      <w:sdt>
        <w:sdtPr>
          <w:rPr>
            <w:rFonts w:ascii="Arial" w:hAnsi="Arial" w:cs="Arial"/>
            <w:sz w:val="24"/>
            <w:szCs w:val="24"/>
          </w:rPr>
          <w:id w:val="992611889"/>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LiX22 \l 1033 </w:instrText>
          </w:r>
          <w:r w:rsidRPr="00D90226">
            <w:rPr>
              <w:rFonts w:ascii="Arial" w:hAnsi="Arial" w:cs="Arial"/>
              <w:sz w:val="24"/>
              <w:szCs w:val="24"/>
            </w:rPr>
            <w:fldChar w:fldCharType="separate"/>
          </w:r>
          <w:r w:rsidRPr="00D90226">
            <w:rPr>
              <w:rFonts w:ascii="Arial" w:hAnsi="Arial" w:cs="Arial"/>
              <w:sz w:val="24"/>
              <w:szCs w:val="24"/>
            </w:rPr>
            <w:t xml:space="preserve"> (Li et al., 2022)</w:t>
          </w:r>
          <w:r w:rsidRPr="00D90226">
            <w:rPr>
              <w:rFonts w:ascii="Arial" w:hAnsi="Arial" w:cs="Arial"/>
              <w:sz w:val="24"/>
              <w:szCs w:val="24"/>
            </w:rPr>
            <w:fldChar w:fldCharType="end"/>
          </w:r>
        </w:sdtContent>
      </w:sdt>
      <w:r w:rsidRPr="00D90226">
        <w:rPr>
          <w:rFonts w:ascii="Arial" w:hAnsi="Arial" w:cs="Arial"/>
          <w:sz w:val="24"/>
          <w:szCs w:val="24"/>
        </w:rPr>
        <w:t>. Governments and businesses provide incentives for electric and hybrid vehicles, allowing improvement in public transport systems and reducing dependence on fuel-based transportation. Though these changes are coming, fuel cars still have an important role to play in areas defined by remoteness and lack of developed sustainable infrastructure.</w:t>
      </w:r>
    </w:p>
    <w:p w14:paraId="78AEA64F"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This report assesses the significance of fuel cars in hospitality transport, their advantages, environmental assets, and viable alternatives. It will explore and evaluate this mode of transport in the hospitality industry, setting the scene for future practice within the sector. Understanding this scenario is critical to allow businesses to inform their approach in adapting to changes in travel preferences within a framework of achieving efficiency and building sustainability</w:t>
      </w:r>
      <w:sdt>
        <w:sdtPr>
          <w:rPr>
            <w:rFonts w:ascii="Arial" w:hAnsi="Arial" w:cs="Arial"/>
            <w:sz w:val="24"/>
            <w:szCs w:val="24"/>
          </w:rPr>
          <w:id w:val="-767688536"/>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Mar22 \l 1033 </w:instrText>
          </w:r>
          <w:r w:rsidRPr="00D90226">
            <w:rPr>
              <w:rFonts w:ascii="Arial" w:hAnsi="Arial" w:cs="Arial"/>
              <w:sz w:val="24"/>
              <w:szCs w:val="24"/>
            </w:rPr>
            <w:fldChar w:fldCharType="separate"/>
          </w:r>
          <w:r w:rsidRPr="00D90226">
            <w:rPr>
              <w:rFonts w:ascii="Arial" w:hAnsi="Arial" w:cs="Arial"/>
              <w:sz w:val="24"/>
              <w:szCs w:val="24"/>
            </w:rPr>
            <w:t xml:space="preserve"> (Mariia and Julian, 2022)</w:t>
          </w:r>
          <w:r w:rsidRPr="00D90226">
            <w:rPr>
              <w:rFonts w:ascii="Arial" w:hAnsi="Arial" w:cs="Arial"/>
              <w:sz w:val="24"/>
              <w:szCs w:val="24"/>
            </w:rPr>
            <w:fldChar w:fldCharType="end"/>
          </w:r>
        </w:sdtContent>
      </w:sdt>
      <w:r w:rsidRPr="00D90226">
        <w:rPr>
          <w:rFonts w:ascii="Arial" w:hAnsi="Arial" w:cs="Arial"/>
          <w:sz w:val="24"/>
          <w:szCs w:val="24"/>
        </w:rPr>
        <w:t>.</w:t>
      </w:r>
    </w:p>
    <w:p w14:paraId="5F2F1E4E" w14:textId="77777777" w:rsidR="00D90226" w:rsidRPr="00D90226" w:rsidRDefault="00D90226" w:rsidP="00D90226">
      <w:pPr>
        <w:spacing w:line="360" w:lineRule="auto"/>
        <w:jc w:val="both"/>
        <w:rPr>
          <w:rFonts w:ascii="Arial" w:hAnsi="Arial" w:cs="Arial"/>
          <w:b/>
          <w:sz w:val="24"/>
          <w:szCs w:val="24"/>
        </w:rPr>
      </w:pPr>
      <w:bookmarkStart w:id="2" w:name="_Toc191887483"/>
      <w:r w:rsidRPr="00D90226">
        <w:rPr>
          <w:rFonts w:ascii="Arial" w:hAnsi="Arial" w:cs="Arial"/>
          <w:b/>
          <w:sz w:val="24"/>
          <w:szCs w:val="24"/>
        </w:rPr>
        <w:t>Fuel Engine Vehicles and Sustainability</w:t>
      </w:r>
      <w:bookmarkEnd w:id="2"/>
    </w:p>
    <w:p w14:paraId="2DAA8F0C" w14:textId="2449B11B"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The transportation sector plays a vital role in the hospitality industry, linking tourists and business </w:t>
      </w:r>
      <w:proofErr w:type="spellStart"/>
      <w:r w:rsidR="0067451F">
        <w:rPr>
          <w:rFonts w:ascii="Arial" w:hAnsi="Arial" w:cs="Arial"/>
          <w:sz w:val="24"/>
          <w:szCs w:val="24"/>
        </w:rPr>
        <w:t>travellers</w:t>
      </w:r>
      <w:r w:rsidRPr="00D90226">
        <w:rPr>
          <w:rFonts w:ascii="Arial" w:hAnsi="Arial" w:cs="Arial"/>
          <w:sz w:val="24"/>
          <w:szCs w:val="24"/>
        </w:rPr>
        <w:t>s</w:t>
      </w:r>
      <w:proofErr w:type="spellEnd"/>
      <w:r w:rsidRPr="00D90226">
        <w:rPr>
          <w:rFonts w:ascii="Arial" w:hAnsi="Arial" w:cs="Arial"/>
          <w:sz w:val="24"/>
          <w:szCs w:val="24"/>
        </w:rPr>
        <w:t xml:space="preserve"> to their respective destinations. For a long time, the backbone of this system has been fuel engine cars, which have found much </w:t>
      </w:r>
      <w:r w:rsidRPr="00D90226">
        <w:rPr>
          <w:rFonts w:ascii="Arial" w:hAnsi="Arial" w:cs="Arial"/>
          <w:sz w:val="24"/>
          <w:szCs w:val="24"/>
        </w:rPr>
        <w:t>favour</w:t>
      </w:r>
      <w:r w:rsidRPr="00D90226">
        <w:rPr>
          <w:rFonts w:ascii="Arial" w:hAnsi="Arial" w:cs="Arial"/>
          <w:sz w:val="24"/>
          <w:szCs w:val="24"/>
        </w:rPr>
        <w:t xml:space="preserve"> due to their convenience and easy accessibility. In light of sustainability concerns, these fuel engines must be evaluated in terms of their environmental and socio-economic impacts concerning theoretical applications in tourism and transport.</w:t>
      </w:r>
    </w:p>
    <w:p w14:paraId="033E8ABE" w14:textId="77777777" w:rsidR="00D90226" w:rsidRPr="00D90226" w:rsidRDefault="00D90226" w:rsidP="00D90226">
      <w:pPr>
        <w:spacing w:line="360" w:lineRule="auto"/>
        <w:jc w:val="both"/>
        <w:rPr>
          <w:rFonts w:ascii="Arial" w:hAnsi="Arial" w:cs="Arial"/>
          <w:b/>
          <w:sz w:val="24"/>
          <w:szCs w:val="24"/>
        </w:rPr>
      </w:pPr>
      <w:bookmarkStart w:id="3" w:name="_Toc191887484"/>
      <w:r w:rsidRPr="00D90226">
        <w:rPr>
          <w:rFonts w:ascii="Arial" w:hAnsi="Arial" w:cs="Arial"/>
          <w:b/>
          <w:sz w:val="24"/>
          <w:szCs w:val="24"/>
        </w:rPr>
        <w:t>Application of Theory</w:t>
      </w:r>
      <w:bookmarkEnd w:id="3"/>
    </w:p>
    <w:p w14:paraId="115D442A"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Adopting sustainable transport in hospitality flows into various theoretical frames of reference. The TBL Theory asserts the necessity of businesses taking into </w:t>
      </w:r>
      <w:r w:rsidRPr="00D90226">
        <w:rPr>
          <w:rFonts w:ascii="Arial" w:hAnsi="Arial" w:cs="Arial"/>
          <w:sz w:val="24"/>
          <w:szCs w:val="24"/>
        </w:rPr>
        <w:lastRenderedPageBreak/>
        <w:t>consideration the balance of environmental, social, and economic</w:t>
      </w:r>
      <w:sdt>
        <w:sdtPr>
          <w:rPr>
            <w:rFonts w:ascii="Arial" w:hAnsi="Arial" w:cs="Arial"/>
            <w:sz w:val="24"/>
            <w:szCs w:val="24"/>
          </w:rPr>
          <w:id w:val="726038776"/>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Mal24 \l 1033 </w:instrText>
          </w:r>
          <w:r w:rsidRPr="00D90226">
            <w:rPr>
              <w:rFonts w:ascii="Arial" w:hAnsi="Arial" w:cs="Arial"/>
              <w:sz w:val="24"/>
              <w:szCs w:val="24"/>
            </w:rPr>
            <w:fldChar w:fldCharType="separate"/>
          </w:r>
          <w:r w:rsidRPr="00D90226">
            <w:rPr>
              <w:rFonts w:ascii="Arial" w:hAnsi="Arial" w:cs="Arial"/>
              <w:sz w:val="24"/>
              <w:szCs w:val="24"/>
            </w:rPr>
            <w:t xml:space="preserve"> (Malagón et al., 2024)</w:t>
          </w:r>
          <w:r w:rsidRPr="00D90226">
            <w:rPr>
              <w:rFonts w:ascii="Arial" w:hAnsi="Arial" w:cs="Arial"/>
              <w:sz w:val="24"/>
              <w:szCs w:val="24"/>
            </w:rPr>
            <w:fldChar w:fldCharType="end"/>
          </w:r>
        </w:sdtContent>
      </w:sdt>
      <w:r w:rsidRPr="00D90226">
        <w:rPr>
          <w:rFonts w:ascii="Arial" w:hAnsi="Arial" w:cs="Arial"/>
          <w:sz w:val="24"/>
          <w:szCs w:val="24"/>
        </w:rPr>
        <w:t>. Moreover, the Diffusion of Innovation Theory explains how the industry gradually accepts new technologies like electric and hybrid vehicles. Also, the tourism system has assured the sustainable tourism ministry of the necessity to minimise the tourism ecological footprint, thus guaranteeing its economic viability and the social good.</w:t>
      </w:r>
    </w:p>
    <w:p w14:paraId="420CA805" w14:textId="77777777" w:rsidR="00D90226" w:rsidRPr="00D90226" w:rsidRDefault="00D90226" w:rsidP="00D90226">
      <w:pPr>
        <w:spacing w:line="360" w:lineRule="auto"/>
        <w:jc w:val="both"/>
        <w:rPr>
          <w:rFonts w:ascii="Arial" w:hAnsi="Arial" w:cs="Arial"/>
          <w:b/>
          <w:sz w:val="24"/>
          <w:szCs w:val="24"/>
        </w:rPr>
      </w:pPr>
      <w:bookmarkStart w:id="4" w:name="_Toc191887485"/>
      <w:r w:rsidRPr="00D90226">
        <w:rPr>
          <w:rFonts w:ascii="Arial" w:hAnsi="Arial" w:cs="Arial"/>
          <w:b/>
          <w:sz w:val="24"/>
          <w:szCs w:val="24"/>
        </w:rPr>
        <w:t>Social Impact</w:t>
      </w:r>
      <w:bookmarkEnd w:id="4"/>
    </w:p>
    <w:p w14:paraId="7A96B176"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Reliance on fuel engine cars impacts society in many ways. Among them, some serious health implications arise, considering that air pollution would lead to respiratory diseases and cardiovascular problems for urban populations. It arguably creates a socioeconomic divide with its biggest hit into the pockets of low-income earners. In tourism, the sheer number of fuel-powered transport vehicles leads to excessive traffic congestion, diminishing the traveling experience. Sustainable mobility solutions, such as shared transportation services and the deployment of green vehicle fleets in hospitality entities, can enhance social well-being and lessen the negative footprint of tourism activities</w:t>
      </w:r>
      <w:sdt>
        <w:sdtPr>
          <w:rPr>
            <w:rFonts w:ascii="Arial" w:hAnsi="Arial" w:cs="Arial"/>
            <w:sz w:val="24"/>
            <w:szCs w:val="24"/>
          </w:rPr>
          <w:id w:val="653572830"/>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Ink18 \l 1033 </w:instrText>
          </w:r>
          <w:r w:rsidRPr="00D90226">
            <w:rPr>
              <w:rFonts w:ascii="Arial" w:hAnsi="Arial" w:cs="Arial"/>
              <w:sz w:val="24"/>
              <w:szCs w:val="24"/>
            </w:rPr>
            <w:fldChar w:fldCharType="separate"/>
          </w:r>
          <w:r w:rsidRPr="00D90226">
            <w:rPr>
              <w:rFonts w:ascii="Arial" w:hAnsi="Arial" w:cs="Arial"/>
              <w:sz w:val="24"/>
              <w:szCs w:val="24"/>
            </w:rPr>
            <w:t xml:space="preserve"> (Inkson and Minnaert, 2018)</w:t>
          </w:r>
          <w:r w:rsidRPr="00D90226">
            <w:rPr>
              <w:rFonts w:ascii="Arial" w:hAnsi="Arial" w:cs="Arial"/>
              <w:sz w:val="24"/>
              <w:szCs w:val="24"/>
            </w:rPr>
            <w:fldChar w:fldCharType="end"/>
          </w:r>
        </w:sdtContent>
      </w:sdt>
      <w:r w:rsidRPr="00D90226">
        <w:rPr>
          <w:rFonts w:ascii="Arial" w:hAnsi="Arial" w:cs="Arial"/>
          <w:sz w:val="24"/>
          <w:szCs w:val="24"/>
        </w:rPr>
        <w:t>.</w:t>
      </w:r>
    </w:p>
    <w:p w14:paraId="0223006B" w14:textId="77777777" w:rsidR="00D90226" w:rsidRPr="00D90226" w:rsidRDefault="00D90226" w:rsidP="00D90226">
      <w:pPr>
        <w:spacing w:line="360" w:lineRule="auto"/>
        <w:jc w:val="both"/>
        <w:rPr>
          <w:rFonts w:ascii="Arial" w:hAnsi="Arial" w:cs="Arial"/>
          <w:b/>
          <w:sz w:val="24"/>
          <w:szCs w:val="24"/>
        </w:rPr>
      </w:pPr>
      <w:bookmarkStart w:id="5" w:name="_Toc191887486"/>
      <w:r w:rsidRPr="00D90226">
        <w:rPr>
          <w:rFonts w:ascii="Arial" w:hAnsi="Arial" w:cs="Arial"/>
          <w:b/>
          <w:sz w:val="24"/>
          <w:szCs w:val="24"/>
        </w:rPr>
        <w:t>Environmental Impact</w:t>
      </w:r>
      <w:bookmarkEnd w:id="5"/>
    </w:p>
    <w:p w14:paraId="13D3C8CA"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Fuel-powered cars contribute significantly to air pollution, greenhouse gas emissions, and global climate change. The internal combustion engines (ICEs), which emit carbon dioxide (CO2), nitrogen oxides (NOx), and particulate matter, accelerate global warming and degrade air quality. The Environmental Protection Agency states that the transportation sector is responsible for about 28% of the world's CO2 emissions</w:t>
      </w:r>
      <w:sdt>
        <w:sdtPr>
          <w:rPr>
            <w:rFonts w:ascii="Arial" w:hAnsi="Arial" w:cs="Arial"/>
            <w:sz w:val="24"/>
            <w:szCs w:val="24"/>
          </w:rPr>
          <w:id w:val="172998499"/>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EPA22 \l 1033 </w:instrText>
          </w:r>
          <w:r w:rsidRPr="00D90226">
            <w:rPr>
              <w:rFonts w:ascii="Arial" w:hAnsi="Arial" w:cs="Arial"/>
              <w:sz w:val="24"/>
              <w:szCs w:val="24"/>
            </w:rPr>
            <w:fldChar w:fldCharType="separate"/>
          </w:r>
          <w:r w:rsidRPr="00D90226">
            <w:rPr>
              <w:rFonts w:ascii="Arial" w:hAnsi="Arial" w:cs="Arial"/>
              <w:sz w:val="24"/>
              <w:szCs w:val="24"/>
            </w:rPr>
            <w:t xml:space="preserve"> (EPA, 2022)</w:t>
          </w:r>
          <w:r w:rsidRPr="00D90226">
            <w:rPr>
              <w:rFonts w:ascii="Arial" w:hAnsi="Arial" w:cs="Arial"/>
              <w:sz w:val="24"/>
              <w:szCs w:val="24"/>
            </w:rPr>
            <w:fldChar w:fldCharType="end"/>
          </w:r>
        </w:sdtContent>
      </w:sdt>
      <w:r w:rsidRPr="00D90226">
        <w:rPr>
          <w:rFonts w:ascii="Arial" w:hAnsi="Arial" w:cs="Arial"/>
          <w:sz w:val="24"/>
          <w:szCs w:val="24"/>
        </w:rPr>
        <w:t>. The huge dependence on fuel-based vehicles for hospitality-related transport, such as airport transfer, sightseeing tours, and corporate travel, leads to further environmental harm. This can be narrowed down by promoting the use of electric vehicles, hybrids, and biofuels that serve as economically viable options.</w:t>
      </w:r>
    </w:p>
    <w:p w14:paraId="3ECA9E8A" w14:textId="77777777" w:rsidR="00D90226" w:rsidRPr="00D90226" w:rsidRDefault="00D90226" w:rsidP="00D90226">
      <w:pPr>
        <w:spacing w:line="360" w:lineRule="auto"/>
        <w:jc w:val="both"/>
        <w:rPr>
          <w:rFonts w:ascii="Arial" w:hAnsi="Arial" w:cs="Arial"/>
          <w:b/>
          <w:sz w:val="24"/>
          <w:szCs w:val="24"/>
        </w:rPr>
      </w:pPr>
      <w:bookmarkStart w:id="6" w:name="_Toc191887487"/>
      <w:r w:rsidRPr="00D90226">
        <w:rPr>
          <w:rFonts w:ascii="Arial" w:hAnsi="Arial" w:cs="Arial"/>
          <w:b/>
          <w:sz w:val="24"/>
          <w:szCs w:val="24"/>
        </w:rPr>
        <w:t>Economic Impact</w:t>
      </w:r>
      <w:bookmarkEnd w:id="6"/>
    </w:p>
    <w:p w14:paraId="7E30E49A"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Fuel engine cars have a great impact on the economy, sustaining employment in automobile manufacturers, oil and gas industries, and transport services. But the increased rise in fuel prices, government controls, and carbon taxation has put an increase in the operational costs for businesses that rely on them</w:t>
      </w:r>
      <w:sdt>
        <w:sdtPr>
          <w:rPr>
            <w:rFonts w:ascii="Arial" w:hAnsi="Arial" w:cs="Arial"/>
            <w:sz w:val="24"/>
            <w:szCs w:val="24"/>
          </w:rPr>
          <w:id w:val="-134187070"/>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Qin22 \l 1033 </w:instrText>
          </w:r>
          <w:r w:rsidRPr="00D90226">
            <w:rPr>
              <w:rFonts w:ascii="Arial" w:hAnsi="Arial" w:cs="Arial"/>
              <w:sz w:val="24"/>
              <w:szCs w:val="24"/>
            </w:rPr>
            <w:fldChar w:fldCharType="separate"/>
          </w:r>
          <w:r w:rsidRPr="00D90226">
            <w:rPr>
              <w:rFonts w:ascii="Arial" w:hAnsi="Arial" w:cs="Arial"/>
              <w:sz w:val="24"/>
              <w:szCs w:val="24"/>
            </w:rPr>
            <w:t xml:space="preserve"> (Qin-Lei et al., 2022)</w:t>
          </w:r>
          <w:r w:rsidRPr="00D90226">
            <w:rPr>
              <w:rFonts w:ascii="Arial" w:hAnsi="Arial" w:cs="Arial"/>
              <w:sz w:val="24"/>
              <w:szCs w:val="24"/>
            </w:rPr>
            <w:fldChar w:fldCharType="end"/>
          </w:r>
        </w:sdtContent>
      </w:sdt>
      <w:r w:rsidRPr="00D90226">
        <w:rPr>
          <w:rFonts w:ascii="Arial" w:hAnsi="Arial" w:cs="Arial"/>
          <w:sz w:val="24"/>
          <w:szCs w:val="24"/>
        </w:rPr>
        <w:t xml:space="preserve">. </w:t>
      </w:r>
      <w:r w:rsidRPr="00D90226">
        <w:rPr>
          <w:rFonts w:ascii="Arial" w:hAnsi="Arial" w:cs="Arial"/>
          <w:sz w:val="24"/>
          <w:szCs w:val="24"/>
        </w:rPr>
        <w:lastRenderedPageBreak/>
        <w:t>Changing economic dynamics dictate that the hotel industry will, with the aid of travel agencies, realign towards more energy-efficient and cost-effective transport. Investing in fuel-efficient vehicles or infrastructure for electric vehicles could earn reduced costs of operation for the long term and could further comply with sustainability practices.</w:t>
      </w:r>
    </w:p>
    <w:p w14:paraId="34BEEB4C" w14:textId="77777777" w:rsidR="00D90226" w:rsidRPr="00D90226" w:rsidRDefault="00D90226" w:rsidP="00D90226">
      <w:pPr>
        <w:spacing w:line="360" w:lineRule="auto"/>
        <w:jc w:val="both"/>
        <w:rPr>
          <w:rFonts w:ascii="Arial" w:hAnsi="Arial" w:cs="Arial"/>
          <w:b/>
          <w:sz w:val="24"/>
          <w:szCs w:val="24"/>
        </w:rPr>
      </w:pPr>
      <w:bookmarkStart w:id="7" w:name="_Toc191887488"/>
      <w:r w:rsidRPr="00D90226">
        <w:rPr>
          <w:rFonts w:ascii="Arial" w:hAnsi="Arial" w:cs="Arial"/>
          <w:b/>
          <w:sz w:val="24"/>
          <w:szCs w:val="24"/>
        </w:rPr>
        <w:t>Transport and the Hotel Industry</w:t>
      </w:r>
      <w:bookmarkEnd w:id="7"/>
    </w:p>
    <w:p w14:paraId="1B55861F"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Transportation itself is tourism-dependent, while now and then, fuel-powered vehicles dominate travel, intra-city and intercity tours. A transition away from these predominant modes should explore ways of combining shuttle transport and taxi services, using electric vehicles or sustainable ride-sharing services. London and Amsterdam have adopted sustainable transport policies and will implement low-emission zones and public transport incentives as models in tourism planning</w:t>
      </w:r>
      <w:sdt>
        <w:sdtPr>
          <w:rPr>
            <w:rFonts w:ascii="Arial" w:hAnsi="Arial" w:cs="Arial"/>
            <w:sz w:val="24"/>
            <w:szCs w:val="24"/>
          </w:rPr>
          <w:id w:val="1822995751"/>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DrS02 \l 1033 </w:instrText>
          </w:r>
          <w:r w:rsidRPr="00D90226">
            <w:rPr>
              <w:rFonts w:ascii="Arial" w:hAnsi="Arial" w:cs="Arial"/>
              <w:sz w:val="24"/>
              <w:szCs w:val="24"/>
            </w:rPr>
            <w:fldChar w:fldCharType="separate"/>
          </w:r>
          <w:r w:rsidRPr="00D90226">
            <w:rPr>
              <w:rFonts w:ascii="Arial" w:hAnsi="Arial" w:cs="Arial"/>
              <w:sz w:val="24"/>
              <w:szCs w:val="24"/>
            </w:rPr>
            <w:t xml:space="preserve"> (Dr. Stephen, 2002)</w:t>
          </w:r>
          <w:r w:rsidRPr="00D90226">
            <w:rPr>
              <w:rFonts w:ascii="Arial" w:hAnsi="Arial" w:cs="Arial"/>
              <w:sz w:val="24"/>
              <w:szCs w:val="24"/>
            </w:rPr>
            <w:fldChar w:fldCharType="end"/>
          </w:r>
        </w:sdtContent>
      </w:sdt>
      <w:r w:rsidRPr="00D90226">
        <w:rPr>
          <w:rFonts w:ascii="Arial" w:hAnsi="Arial" w:cs="Arial"/>
          <w:sz w:val="24"/>
          <w:szCs w:val="24"/>
        </w:rPr>
        <w:t>.</w:t>
      </w:r>
    </w:p>
    <w:p w14:paraId="3B071FFD"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Among such mainstream fuel engine cars, for instance, the sustainability challenges for the hospitality industry include the transport infrastructure. As the world observes a shift toward greener alternatives, the hospitality sector should mobilise toward adopting eco-friendly and fuel-efficient transportation solutions to match the balance of global sustainability objectives.</w:t>
      </w:r>
    </w:p>
    <w:p w14:paraId="1B6306C0" w14:textId="77777777" w:rsidR="00D90226" w:rsidRPr="00D90226" w:rsidRDefault="00D90226" w:rsidP="00D90226">
      <w:pPr>
        <w:spacing w:line="360" w:lineRule="auto"/>
        <w:jc w:val="both"/>
        <w:rPr>
          <w:rFonts w:ascii="Arial" w:hAnsi="Arial" w:cs="Arial"/>
          <w:b/>
          <w:sz w:val="24"/>
          <w:szCs w:val="24"/>
        </w:rPr>
      </w:pPr>
      <w:bookmarkStart w:id="8" w:name="_Toc191887489"/>
      <w:r w:rsidRPr="00D90226">
        <w:rPr>
          <w:rFonts w:ascii="Arial" w:hAnsi="Arial" w:cs="Arial"/>
          <w:b/>
          <w:sz w:val="24"/>
          <w:szCs w:val="24"/>
        </w:rPr>
        <w:t>The Sustainable Transportation Initiatives within the Hospitality Sector</w:t>
      </w:r>
      <w:bookmarkEnd w:id="8"/>
    </w:p>
    <w:p w14:paraId="4106C56C"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The lodging industry is undertaking considerable effort toward the integration of eco-friendly transport alternatives. Hotels, resorts, and tour operators now emphasise practices that lower carbon emissions and contribute to their sustainability credentials.</w:t>
      </w:r>
    </w:p>
    <w:p w14:paraId="3BD099A0" w14:textId="77777777" w:rsidR="00D90226" w:rsidRPr="00D90226" w:rsidRDefault="00D90226" w:rsidP="00D90226">
      <w:pPr>
        <w:numPr>
          <w:ilvl w:val="0"/>
          <w:numId w:val="1"/>
        </w:numPr>
        <w:spacing w:line="360" w:lineRule="auto"/>
        <w:jc w:val="both"/>
        <w:rPr>
          <w:rFonts w:ascii="Arial" w:hAnsi="Arial" w:cs="Arial"/>
          <w:sz w:val="24"/>
          <w:szCs w:val="24"/>
        </w:rPr>
      </w:pPr>
      <w:r w:rsidRPr="00D90226">
        <w:rPr>
          <w:rFonts w:ascii="Arial" w:hAnsi="Arial" w:cs="Arial"/>
          <w:sz w:val="24"/>
          <w:szCs w:val="24"/>
        </w:rPr>
        <w:t>An increasing number of hotels are utilising electric shuttles for guest transportation, among them Marriott and Hilton hotels, with the expected reduction in emissions and subsequent promotion of more eco-friendly branding for that business</w:t>
      </w:r>
      <w:sdt>
        <w:sdtPr>
          <w:rPr>
            <w:rFonts w:ascii="Arial" w:hAnsi="Arial" w:cs="Arial"/>
            <w:sz w:val="24"/>
            <w:szCs w:val="24"/>
          </w:rPr>
          <w:id w:val="1299189156"/>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CDP23 \l 1033 </w:instrText>
          </w:r>
          <w:r w:rsidRPr="00D90226">
            <w:rPr>
              <w:rFonts w:ascii="Arial" w:hAnsi="Arial" w:cs="Arial"/>
              <w:sz w:val="24"/>
              <w:szCs w:val="24"/>
            </w:rPr>
            <w:fldChar w:fldCharType="separate"/>
          </w:r>
          <w:r w:rsidRPr="00D90226">
            <w:rPr>
              <w:rFonts w:ascii="Arial" w:hAnsi="Arial" w:cs="Arial"/>
              <w:sz w:val="24"/>
              <w:szCs w:val="24"/>
            </w:rPr>
            <w:t xml:space="preserve"> (CDP, 2023)</w:t>
          </w:r>
          <w:r w:rsidRPr="00D90226">
            <w:rPr>
              <w:rFonts w:ascii="Arial" w:hAnsi="Arial" w:cs="Arial"/>
              <w:sz w:val="24"/>
              <w:szCs w:val="24"/>
            </w:rPr>
            <w:fldChar w:fldCharType="end"/>
          </w:r>
        </w:sdtContent>
      </w:sdt>
      <w:r w:rsidRPr="00D90226">
        <w:rPr>
          <w:rFonts w:ascii="Arial" w:hAnsi="Arial" w:cs="Arial"/>
          <w:sz w:val="24"/>
          <w:szCs w:val="24"/>
        </w:rPr>
        <w:t>.</w:t>
      </w:r>
    </w:p>
    <w:p w14:paraId="4CA25D5A" w14:textId="77777777" w:rsidR="00D90226" w:rsidRPr="00D90226" w:rsidRDefault="00D90226" w:rsidP="00D90226">
      <w:pPr>
        <w:numPr>
          <w:ilvl w:val="0"/>
          <w:numId w:val="1"/>
        </w:numPr>
        <w:spacing w:line="360" w:lineRule="auto"/>
        <w:jc w:val="both"/>
        <w:rPr>
          <w:rFonts w:ascii="Arial" w:hAnsi="Arial" w:cs="Arial"/>
          <w:sz w:val="24"/>
          <w:szCs w:val="24"/>
        </w:rPr>
      </w:pPr>
      <w:r w:rsidRPr="00D90226">
        <w:rPr>
          <w:rFonts w:ascii="Arial" w:hAnsi="Arial" w:cs="Arial"/>
          <w:sz w:val="24"/>
          <w:szCs w:val="24"/>
        </w:rPr>
        <w:t>Green Car Rentals: The hospitality sector ties with car rental companies that provide hybrid or electric vehicles to promote sustainable tourism.</w:t>
      </w:r>
    </w:p>
    <w:p w14:paraId="0BE41174" w14:textId="77777777" w:rsidR="00D90226" w:rsidRPr="00D90226" w:rsidRDefault="00D90226" w:rsidP="00D90226">
      <w:pPr>
        <w:numPr>
          <w:ilvl w:val="0"/>
          <w:numId w:val="1"/>
        </w:numPr>
        <w:spacing w:line="360" w:lineRule="auto"/>
        <w:jc w:val="both"/>
        <w:rPr>
          <w:rFonts w:ascii="Arial" w:hAnsi="Arial" w:cs="Arial"/>
          <w:sz w:val="24"/>
          <w:szCs w:val="24"/>
        </w:rPr>
      </w:pPr>
      <w:r w:rsidRPr="00D90226">
        <w:rPr>
          <w:rFonts w:ascii="Arial" w:hAnsi="Arial" w:cs="Arial"/>
          <w:sz w:val="24"/>
          <w:szCs w:val="24"/>
        </w:rPr>
        <w:t>Carbon Offset Programs: Selected hospitality brands have initiated the process of integrating carbon offset programs with guest transport, investing in renewable energy projects to balance out their carbon footprints.</w:t>
      </w:r>
    </w:p>
    <w:p w14:paraId="477E34C1" w14:textId="77777777" w:rsidR="00D90226" w:rsidRPr="00D90226" w:rsidRDefault="00D90226" w:rsidP="00D90226">
      <w:pPr>
        <w:spacing w:line="360" w:lineRule="auto"/>
        <w:jc w:val="both"/>
        <w:rPr>
          <w:rFonts w:ascii="Arial" w:hAnsi="Arial" w:cs="Arial"/>
          <w:b/>
          <w:sz w:val="24"/>
          <w:szCs w:val="24"/>
        </w:rPr>
      </w:pPr>
      <w:bookmarkStart w:id="9" w:name="_Toc191887490"/>
      <w:r w:rsidRPr="00D90226">
        <w:rPr>
          <w:rFonts w:ascii="Arial" w:hAnsi="Arial" w:cs="Arial"/>
          <w:b/>
          <w:sz w:val="24"/>
          <w:szCs w:val="24"/>
        </w:rPr>
        <w:t>Positive Impacts of Fuel Cars</w:t>
      </w:r>
      <w:bookmarkEnd w:id="9"/>
      <w:r w:rsidRPr="00D90226">
        <w:rPr>
          <w:rFonts w:ascii="Arial" w:hAnsi="Arial" w:cs="Arial"/>
          <w:b/>
          <w:sz w:val="24"/>
          <w:szCs w:val="24"/>
        </w:rPr>
        <w:t xml:space="preserve"> </w:t>
      </w:r>
    </w:p>
    <w:p w14:paraId="4FBAB0FF"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lastRenderedPageBreak/>
        <w:t>The hospitality industry is not left behind in the drive for integrating circular economy principles for sustainable fuel-based transportation. Some of the approaches include:</w:t>
      </w:r>
    </w:p>
    <w:p w14:paraId="4824FB28" w14:textId="77777777" w:rsidR="00D90226" w:rsidRPr="00D90226" w:rsidRDefault="00D90226" w:rsidP="00D90226">
      <w:pPr>
        <w:numPr>
          <w:ilvl w:val="0"/>
          <w:numId w:val="2"/>
        </w:numPr>
        <w:spacing w:line="360" w:lineRule="auto"/>
        <w:jc w:val="both"/>
        <w:rPr>
          <w:rFonts w:ascii="Arial" w:hAnsi="Arial" w:cs="Arial"/>
          <w:sz w:val="24"/>
          <w:szCs w:val="24"/>
        </w:rPr>
      </w:pPr>
      <w:r w:rsidRPr="00D90226">
        <w:rPr>
          <w:rFonts w:ascii="Arial" w:hAnsi="Arial" w:cs="Arial"/>
          <w:sz w:val="24"/>
          <w:szCs w:val="24"/>
        </w:rPr>
        <w:t>Improving Fuel Efficiency: Car manufacturers are improving their engines by coming up with fuel-efficient technologies, hybrid systems, and lightweight materials to consume less fuel.</w:t>
      </w:r>
    </w:p>
    <w:p w14:paraId="4DC4032C" w14:textId="77777777" w:rsidR="00D90226" w:rsidRPr="00D90226" w:rsidRDefault="00D90226" w:rsidP="00D90226">
      <w:pPr>
        <w:numPr>
          <w:ilvl w:val="0"/>
          <w:numId w:val="2"/>
        </w:numPr>
        <w:spacing w:line="360" w:lineRule="auto"/>
        <w:jc w:val="both"/>
        <w:rPr>
          <w:rFonts w:ascii="Arial" w:hAnsi="Arial" w:cs="Arial"/>
          <w:sz w:val="24"/>
          <w:szCs w:val="24"/>
        </w:rPr>
      </w:pPr>
      <w:r w:rsidRPr="00D90226">
        <w:rPr>
          <w:rFonts w:ascii="Arial" w:hAnsi="Arial" w:cs="Arial"/>
          <w:sz w:val="24"/>
          <w:szCs w:val="24"/>
        </w:rPr>
        <w:t>Use of Biofuels: Sustainable fuels, like biodiesel and ethanol, produced from renewable sources, may directly compete with fossil fuels and help reduce this reliance</w:t>
      </w:r>
      <w:sdt>
        <w:sdtPr>
          <w:rPr>
            <w:rFonts w:ascii="Arial" w:hAnsi="Arial" w:cs="Arial"/>
            <w:sz w:val="24"/>
            <w:szCs w:val="24"/>
          </w:rPr>
          <w:id w:val="1401643530"/>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Cas23 \l 1033 </w:instrText>
          </w:r>
          <w:r w:rsidRPr="00D90226">
            <w:rPr>
              <w:rFonts w:ascii="Arial" w:hAnsi="Arial" w:cs="Arial"/>
              <w:sz w:val="24"/>
              <w:szCs w:val="24"/>
            </w:rPr>
            <w:fldChar w:fldCharType="separate"/>
          </w:r>
          <w:r w:rsidRPr="00D90226">
            <w:rPr>
              <w:rFonts w:ascii="Arial" w:hAnsi="Arial" w:cs="Arial"/>
              <w:sz w:val="24"/>
              <w:szCs w:val="24"/>
            </w:rPr>
            <w:t xml:space="preserve"> (Casey, 2023)</w:t>
          </w:r>
          <w:r w:rsidRPr="00D90226">
            <w:rPr>
              <w:rFonts w:ascii="Arial" w:hAnsi="Arial" w:cs="Arial"/>
              <w:sz w:val="24"/>
              <w:szCs w:val="24"/>
            </w:rPr>
            <w:fldChar w:fldCharType="end"/>
          </w:r>
        </w:sdtContent>
      </w:sdt>
      <w:r w:rsidRPr="00D90226">
        <w:rPr>
          <w:rFonts w:ascii="Arial" w:hAnsi="Arial" w:cs="Arial"/>
          <w:sz w:val="24"/>
          <w:szCs w:val="24"/>
        </w:rPr>
        <w:t>.</w:t>
      </w:r>
    </w:p>
    <w:p w14:paraId="73BAA06C" w14:textId="77777777" w:rsidR="00D90226" w:rsidRPr="00D90226" w:rsidRDefault="00D90226" w:rsidP="00D90226">
      <w:pPr>
        <w:numPr>
          <w:ilvl w:val="0"/>
          <w:numId w:val="2"/>
        </w:numPr>
        <w:spacing w:line="360" w:lineRule="auto"/>
        <w:jc w:val="both"/>
        <w:rPr>
          <w:rFonts w:ascii="Arial" w:hAnsi="Arial" w:cs="Arial"/>
          <w:sz w:val="24"/>
          <w:szCs w:val="24"/>
        </w:rPr>
      </w:pPr>
      <w:r w:rsidRPr="00D90226">
        <w:rPr>
          <w:rFonts w:ascii="Arial" w:hAnsi="Arial" w:cs="Arial"/>
          <w:sz w:val="24"/>
          <w:szCs w:val="24"/>
        </w:rPr>
        <w:t>Vehicle Sharing Models: Car-sharing and pooling service within the hospitality sector will reduce the number of vehicles on the road and the consequent fuel consumption.</w:t>
      </w:r>
    </w:p>
    <w:p w14:paraId="59A94F96" w14:textId="77777777" w:rsidR="00D90226" w:rsidRPr="00D90226" w:rsidRDefault="00D90226" w:rsidP="00D90226">
      <w:pPr>
        <w:numPr>
          <w:ilvl w:val="0"/>
          <w:numId w:val="2"/>
        </w:numPr>
        <w:spacing w:line="360" w:lineRule="auto"/>
        <w:jc w:val="both"/>
        <w:rPr>
          <w:rFonts w:ascii="Arial" w:hAnsi="Arial" w:cs="Arial"/>
          <w:sz w:val="24"/>
          <w:szCs w:val="24"/>
        </w:rPr>
      </w:pPr>
      <w:r w:rsidRPr="00D90226">
        <w:rPr>
          <w:rFonts w:ascii="Arial" w:hAnsi="Arial" w:cs="Arial"/>
          <w:sz w:val="24"/>
          <w:szCs w:val="24"/>
        </w:rPr>
        <w:t>Eco-Friendly Maintenance Practice: The green maintenance options available to hotels and transport services may include using biodegradable lubricants and eco-friendly cleaning products.</w:t>
      </w:r>
    </w:p>
    <w:p w14:paraId="4F5F0D2D" w14:textId="77777777" w:rsidR="00D90226" w:rsidRPr="00D90226" w:rsidRDefault="00D90226" w:rsidP="00D90226">
      <w:pPr>
        <w:spacing w:line="360" w:lineRule="auto"/>
        <w:jc w:val="both"/>
        <w:rPr>
          <w:rFonts w:ascii="Arial" w:hAnsi="Arial" w:cs="Arial"/>
          <w:b/>
          <w:sz w:val="24"/>
          <w:szCs w:val="24"/>
        </w:rPr>
      </w:pPr>
      <w:bookmarkStart w:id="10" w:name="_Toc191887491"/>
      <w:r w:rsidRPr="00D90226">
        <w:rPr>
          <w:rFonts w:ascii="Arial" w:hAnsi="Arial" w:cs="Arial"/>
          <w:b/>
          <w:sz w:val="24"/>
          <w:szCs w:val="24"/>
        </w:rPr>
        <w:t>Negative impacts of Fuel Engine cars on Transportation:</w:t>
      </w:r>
      <w:bookmarkEnd w:id="10"/>
    </w:p>
    <w:p w14:paraId="0C894F77"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Though alternative sustainable transportation approaches are rapidly emerging, a bunch of stumbling blocks is impeding their general adoption in hospitality:</w:t>
      </w:r>
    </w:p>
    <w:p w14:paraId="0ABA5316" w14:textId="77777777" w:rsidR="00D90226" w:rsidRPr="00D90226" w:rsidRDefault="00D90226" w:rsidP="00D90226">
      <w:pPr>
        <w:numPr>
          <w:ilvl w:val="0"/>
          <w:numId w:val="3"/>
        </w:numPr>
        <w:spacing w:line="360" w:lineRule="auto"/>
        <w:jc w:val="both"/>
        <w:rPr>
          <w:rFonts w:ascii="Arial" w:hAnsi="Arial" w:cs="Arial"/>
          <w:sz w:val="24"/>
          <w:szCs w:val="24"/>
        </w:rPr>
      </w:pPr>
      <w:r w:rsidRPr="00D90226">
        <w:rPr>
          <w:rFonts w:ascii="Arial" w:hAnsi="Arial" w:cs="Arial"/>
          <w:sz w:val="24"/>
          <w:szCs w:val="24"/>
        </w:rPr>
        <w:t>High Initial Costs: Transitioning to fuel-efficient and electric vehicles would require hefty investments into setting up a new fleet and creating new infrastructures.</w:t>
      </w:r>
    </w:p>
    <w:p w14:paraId="29123814" w14:textId="155B173A" w:rsidR="00D90226" w:rsidRPr="00D90226" w:rsidRDefault="00D90226" w:rsidP="00D90226">
      <w:pPr>
        <w:numPr>
          <w:ilvl w:val="0"/>
          <w:numId w:val="3"/>
        </w:numPr>
        <w:spacing w:line="360" w:lineRule="auto"/>
        <w:jc w:val="both"/>
        <w:rPr>
          <w:rFonts w:ascii="Arial" w:hAnsi="Arial" w:cs="Arial"/>
          <w:sz w:val="24"/>
          <w:szCs w:val="24"/>
        </w:rPr>
      </w:pPr>
      <w:r w:rsidRPr="00D90226">
        <w:rPr>
          <w:rFonts w:ascii="Arial" w:hAnsi="Arial" w:cs="Arial"/>
          <w:sz w:val="24"/>
          <w:szCs w:val="24"/>
        </w:rPr>
        <w:t xml:space="preserve">Consumer </w:t>
      </w:r>
      <w:r w:rsidRPr="00D90226">
        <w:rPr>
          <w:rFonts w:ascii="Arial" w:hAnsi="Arial" w:cs="Arial"/>
          <w:sz w:val="24"/>
          <w:szCs w:val="24"/>
        </w:rPr>
        <w:t>Behaviour</w:t>
      </w:r>
      <w:r w:rsidRPr="00D90226">
        <w:rPr>
          <w:rFonts w:ascii="Arial" w:hAnsi="Arial" w:cs="Arial"/>
          <w:sz w:val="24"/>
          <w:szCs w:val="24"/>
        </w:rPr>
        <w:t xml:space="preserve">: Due to range  ignorance about sustainable transportation options, tourists may still be adversely drawn to the service of </w:t>
      </w:r>
      <w:r w:rsidRPr="00D90226">
        <w:rPr>
          <w:rFonts w:ascii="Arial" w:hAnsi="Arial" w:cs="Arial"/>
          <w:sz w:val="24"/>
          <w:szCs w:val="24"/>
        </w:rPr>
        <w:t>fuelling</w:t>
      </w:r>
      <w:r w:rsidRPr="00D90226">
        <w:rPr>
          <w:rFonts w:ascii="Arial" w:hAnsi="Arial" w:cs="Arial"/>
          <w:sz w:val="24"/>
          <w:szCs w:val="24"/>
        </w:rPr>
        <w:t xml:space="preserve"> cars over environment-friendly options</w:t>
      </w:r>
      <w:sdt>
        <w:sdtPr>
          <w:rPr>
            <w:rFonts w:ascii="Arial" w:hAnsi="Arial" w:cs="Arial"/>
            <w:sz w:val="24"/>
            <w:szCs w:val="24"/>
          </w:rPr>
          <w:id w:val="1698966984"/>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Coo21 \l 1033 </w:instrText>
          </w:r>
          <w:r w:rsidRPr="00D90226">
            <w:rPr>
              <w:rFonts w:ascii="Arial" w:hAnsi="Arial" w:cs="Arial"/>
              <w:sz w:val="24"/>
              <w:szCs w:val="24"/>
            </w:rPr>
            <w:fldChar w:fldCharType="separate"/>
          </w:r>
          <w:r w:rsidRPr="00D90226">
            <w:rPr>
              <w:rFonts w:ascii="Arial" w:hAnsi="Arial" w:cs="Arial"/>
              <w:sz w:val="24"/>
              <w:szCs w:val="24"/>
            </w:rPr>
            <w:t xml:space="preserve"> (Cooper, 2021)</w:t>
          </w:r>
          <w:r w:rsidRPr="00D90226">
            <w:rPr>
              <w:rFonts w:ascii="Arial" w:hAnsi="Arial" w:cs="Arial"/>
              <w:sz w:val="24"/>
              <w:szCs w:val="24"/>
            </w:rPr>
            <w:fldChar w:fldCharType="end"/>
          </w:r>
        </w:sdtContent>
      </w:sdt>
      <w:r w:rsidRPr="00D90226">
        <w:rPr>
          <w:rFonts w:ascii="Arial" w:hAnsi="Arial" w:cs="Arial"/>
          <w:sz w:val="24"/>
          <w:szCs w:val="24"/>
        </w:rPr>
        <w:t>.</w:t>
      </w:r>
    </w:p>
    <w:p w14:paraId="3AFE1CE0" w14:textId="77777777" w:rsidR="00D90226" w:rsidRPr="00D90226" w:rsidRDefault="00D90226" w:rsidP="00D90226">
      <w:pPr>
        <w:numPr>
          <w:ilvl w:val="0"/>
          <w:numId w:val="3"/>
        </w:numPr>
        <w:spacing w:line="360" w:lineRule="auto"/>
        <w:jc w:val="both"/>
        <w:rPr>
          <w:rFonts w:ascii="Arial" w:hAnsi="Arial" w:cs="Arial"/>
          <w:sz w:val="24"/>
          <w:szCs w:val="24"/>
        </w:rPr>
      </w:pPr>
      <w:r w:rsidRPr="00D90226">
        <w:rPr>
          <w:rFonts w:ascii="Arial" w:hAnsi="Arial" w:cs="Arial"/>
          <w:sz w:val="24"/>
          <w:szCs w:val="24"/>
        </w:rPr>
        <w:t>Regulatory and Policy Gaps: While some governments support sustainability via tax incentives and green policies, many regions lag considerably due to weak regulations backing sustainable transportation.</w:t>
      </w:r>
    </w:p>
    <w:p w14:paraId="41A68D66" w14:textId="77777777" w:rsidR="00D90226" w:rsidRPr="00D90226" w:rsidRDefault="00D90226" w:rsidP="00D90226">
      <w:pPr>
        <w:numPr>
          <w:ilvl w:val="0"/>
          <w:numId w:val="3"/>
        </w:numPr>
        <w:spacing w:line="360" w:lineRule="auto"/>
        <w:jc w:val="both"/>
        <w:rPr>
          <w:rFonts w:ascii="Arial" w:hAnsi="Arial" w:cs="Arial"/>
          <w:sz w:val="24"/>
          <w:szCs w:val="24"/>
        </w:rPr>
      </w:pPr>
      <w:r w:rsidRPr="00D90226">
        <w:rPr>
          <w:rFonts w:ascii="Arial" w:hAnsi="Arial" w:cs="Arial"/>
          <w:sz w:val="24"/>
          <w:szCs w:val="24"/>
        </w:rPr>
        <w:t>Supply Chain Constraints: The creation of these sustainable fuel cars or electric vessels is reliant on the availability of rare materials, like lithium and cobalt, which raise ethical and environmental concerns.</w:t>
      </w:r>
    </w:p>
    <w:p w14:paraId="2D8B5B98" w14:textId="77777777" w:rsidR="00D90226" w:rsidRPr="00D90226" w:rsidRDefault="00D90226" w:rsidP="00D90226">
      <w:pPr>
        <w:spacing w:line="360" w:lineRule="auto"/>
        <w:jc w:val="both"/>
        <w:rPr>
          <w:rFonts w:ascii="Arial" w:hAnsi="Arial" w:cs="Arial"/>
          <w:sz w:val="24"/>
          <w:szCs w:val="24"/>
        </w:rPr>
      </w:pPr>
    </w:p>
    <w:p w14:paraId="5645B261" w14:textId="77777777" w:rsidR="00D90226" w:rsidRPr="00D90226" w:rsidRDefault="00D90226" w:rsidP="00D90226">
      <w:pPr>
        <w:spacing w:line="360" w:lineRule="auto"/>
        <w:jc w:val="both"/>
        <w:rPr>
          <w:rFonts w:ascii="Arial" w:hAnsi="Arial" w:cs="Arial"/>
          <w:b/>
          <w:sz w:val="24"/>
          <w:szCs w:val="24"/>
        </w:rPr>
      </w:pPr>
      <w:bookmarkStart w:id="11" w:name="_Toc191887492"/>
      <w:r w:rsidRPr="00D90226">
        <w:rPr>
          <w:rFonts w:ascii="Arial" w:hAnsi="Arial" w:cs="Arial"/>
          <w:b/>
          <w:sz w:val="24"/>
          <w:szCs w:val="24"/>
        </w:rPr>
        <w:t>The Greenwashing Problem in Sustainable Fuel Cars</w:t>
      </w:r>
      <w:bookmarkEnd w:id="11"/>
    </w:p>
    <w:p w14:paraId="4AD91D1D"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Greenwashing has become a huge problem in the automotive industry, especially in marketing gas-powered vehicles as being environmentally friendly. Many companies use misleading advertising to market their fuel-engine cars as "eco-friendly," claiming minimal gains in fuel economy or reduced emissions without an actual serious long-term commitment toward sustainability. This can mislead consumers into believing that conventional fuel cars are sustainable options even though they are still creating huge carbon footprints</w:t>
      </w:r>
      <w:sdt>
        <w:sdtPr>
          <w:rPr>
            <w:rFonts w:ascii="Arial" w:hAnsi="Arial" w:cs="Arial"/>
            <w:sz w:val="24"/>
            <w:szCs w:val="24"/>
          </w:rPr>
          <w:id w:val="-1177191116"/>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Jon16 \l 1033 </w:instrText>
          </w:r>
          <w:r w:rsidRPr="00D90226">
            <w:rPr>
              <w:rFonts w:ascii="Arial" w:hAnsi="Arial" w:cs="Arial"/>
              <w:sz w:val="24"/>
              <w:szCs w:val="24"/>
            </w:rPr>
            <w:fldChar w:fldCharType="separate"/>
          </w:r>
          <w:r w:rsidRPr="00D90226">
            <w:rPr>
              <w:rFonts w:ascii="Arial" w:hAnsi="Arial" w:cs="Arial"/>
              <w:sz w:val="24"/>
              <w:szCs w:val="24"/>
            </w:rPr>
            <w:t xml:space="preserve"> (Jones et al., 2016)</w:t>
          </w:r>
          <w:r w:rsidRPr="00D90226">
            <w:rPr>
              <w:rFonts w:ascii="Arial" w:hAnsi="Arial" w:cs="Arial"/>
              <w:sz w:val="24"/>
              <w:szCs w:val="24"/>
            </w:rPr>
            <w:fldChar w:fldCharType="end"/>
          </w:r>
        </w:sdtContent>
      </w:sdt>
      <w:r w:rsidRPr="00D90226">
        <w:rPr>
          <w:rFonts w:ascii="Arial" w:hAnsi="Arial" w:cs="Arial"/>
          <w:sz w:val="24"/>
          <w:szCs w:val="24"/>
        </w:rPr>
        <w:t>.</w:t>
      </w:r>
    </w:p>
    <w:p w14:paraId="063EAE44" w14:textId="4F138EF1"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For instance, some automobile makers advertise their internal-combustion-engine (ICE) vehicles as "clean diesel" or "low-emission" without engaging in the complexity of outlining their full carbon footprint. In many cases, these cars still emit NOx, particulate matter, and so forth, which creates pollution and health </w:t>
      </w:r>
      <w:r w:rsidRPr="00D90226">
        <w:rPr>
          <w:rFonts w:ascii="Arial" w:hAnsi="Arial" w:cs="Arial"/>
          <w:sz w:val="24"/>
          <w:szCs w:val="24"/>
        </w:rPr>
        <w:t>hazards</w:t>
      </w:r>
      <w:r w:rsidRPr="00D90226">
        <w:rPr>
          <w:rFonts w:ascii="Arial" w:hAnsi="Arial" w:cs="Arial"/>
          <w:sz w:val="24"/>
          <w:szCs w:val="24"/>
        </w:rPr>
        <w:t>. Companies especially engage in offset programs while simultaneously lobbying against stricter legislation on emissions.</w:t>
      </w:r>
    </w:p>
    <w:p w14:paraId="2DB01A2E" w14:textId="77777777" w:rsidR="00D90226" w:rsidRPr="00D90226" w:rsidRDefault="00D90226" w:rsidP="00D90226">
      <w:pPr>
        <w:spacing w:line="360" w:lineRule="auto"/>
        <w:jc w:val="both"/>
        <w:rPr>
          <w:rFonts w:ascii="Arial" w:hAnsi="Arial" w:cs="Arial"/>
          <w:sz w:val="24"/>
          <w:szCs w:val="24"/>
        </w:rPr>
      </w:pPr>
    </w:p>
    <w:p w14:paraId="57E92862" w14:textId="77777777" w:rsidR="00D90226" w:rsidRPr="00D90226" w:rsidRDefault="00D90226" w:rsidP="00D90226">
      <w:pPr>
        <w:spacing w:line="360" w:lineRule="auto"/>
        <w:jc w:val="both"/>
        <w:rPr>
          <w:rFonts w:ascii="Arial" w:hAnsi="Arial" w:cs="Arial"/>
          <w:b/>
          <w:sz w:val="24"/>
          <w:szCs w:val="24"/>
        </w:rPr>
      </w:pPr>
      <w:bookmarkStart w:id="12" w:name="_Toc191887493"/>
      <w:r w:rsidRPr="00D90226">
        <w:rPr>
          <w:rFonts w:ascii="Arial" w:hAnsi="Arial" w:cs="Arial"/>
          <w:b/>
          <w:sz w:val="24"/>
          <w:szCs w:val="24"/>
        </w:rPr>
        <w:t>Sustainable Fuel Car Practices Adopted by Global Companies</w:t>
      </w:r>
      <w:bookmarkEnd w:id="12"/>
    </w:p>
    <w:p w14:paraId="26BF10FE"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Marriott International has been on the path of sustainability across every aspect of its operations, right up to the transportation bit. To back up its promise of reducing carbon emissions, Marriott has begun promoting sustainable fuel vehicles, thus expanding its positive impact on the environment, as well as aligning it with global sustainability goals.</w:t>
      </w:r>
    </w:p>
    <w:p w14:paraId="0AFBAE81"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Marriott's introduction of hybrid electric vehicles for hotel operations and guest transportation is among its foremost reviews</w:t>
      </w:r>
      <w:sdt>
        <w:sdtPr>
          <w:rPr>
            <w:rFonts w:ascii="Arial" w:hAnsi="Arial" w:cs="Arial"/>
            <w:sz w:val="24"/>
            <w:szCs w:val="24"/>
          </w:rPr>
          <w:id w:val="-1724362086"/>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Epi22 \l 1033 </w:instrText>
          </w:r>
          <w:r w:rsidRPr="00D90226">
            <w:rPr>
              <w:rFonts w:ascii="Arial" w:hAnsi="Arial" w:cs="Arial"/>
              <w:sz w:val="24"/>
              <w:szCs w:val="24"/>
            </w:rPr>
            <w:fldChar w:fldCharType="separate"/>
          </w:r>
          <w:r w:rsidRPr="00D90226">
            <w:rPr>
              <w:rFonts w:ascii="Arial" w:hAnsi="Arial" w:cs="Arial"/>
              <w:sz w:val="24"/>
              <w:szCs w:val="24"/>
            </w:rPr>
            <w:t xml:space="preserve"> (Epicoco and Falagario, 2022)</w:t>
          </w:r>
          <w:r w:rsidRPr="00D90226">
            <w:rPr>
              <w:rFonts w:ascii="Arial" w:hAnsi="Arial" w:cs="Arial"/>
              <w:sz w:val="24"/>
              <w:szCs w:val="24"/>
            </w:rPr>
            <w:fldChar w:fldCharType="end"/>
          </w:r>
        </w:sdtContent>
      </w:sdt>
      <w:r w:rsidRPr="00D90226">
        <w:rPr>
          <w:rFonts w:ascii="Arial" w:hAnsi="Arial" w:cs="Arial"/>
          <w:sz w:val="24"/>
          <w:szCs w:val="24"/>
        </w:rPr>
        <w:t>. Several Marriott properties worldwide already have installed EV charging stations to assist in the growing acceptance of electric cars amongst guests. In places such as the Middle East, Marriott has partnered with innovative transport vendors, allowing for low-emission and alternative-type fuels in airport transfers or shuttles.</w:t>
      </w:r>
    </w:p>
    <w:p w14:paraId="74623040"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With fuel-efficient and renewable energy transport solutions in place, Marriott is set to achieve net-zero emissions</w:t>
      </w:r>
      <w:sdt>
        <w:sdtPr>
          <w:rPr>
            <w:rFonts w:ascii="Arial" w:hAnsi="Arial" w:cs="Arial"/>
            <w:sz w:val="24"/>
            <w:szCs w:val="24"/>
          </w:rPr>
          <w:id w:val="-2071258331"/>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Ire24 \l 1033 </w:instrText>
          </w:r>
          <w:r w:rsidRPr="00D90226">
            <w:rPr>
              <w:rFonts w:ascii="Arial" w:hAnsi="Arial" w:cs="Arial"/>
              <w:sz w:val="24"/>
              <w:szCs w:val="24"/>
            </w:rPr>
            <w:fldChar w:fldCharType="separate"/>
          </w:r>
          <w:r w:rsidRPr="00D90226">
            <w:rPr>
              <w:rFonts w:ascii="Arial" w:hAnsi="Arial" w:cs="Arial"/>
              <w:sz w:val="24"/>
              <w:szCs w:val="24"/>
            </w:rPr>
            <w:t xml:space="preserve"> (Irene, 2024)</w:t>
          </w:r>
          <w:r w:rsidRPr="00D90226">
            <w:rPr>
              <w:rFonts w:ascii="Arial" w:hAnsi="Arial" w:cs="Arial"/>
              <w:sz w:val="24"/>
              <w:szCs w:val="24"/>
            </w:rPr>
            <w:fldChar w:fldCharType="end"/>
          </w:r>
        </w:sdtContent>
      </w:sdt>
      <w:r w:rsidRPr="00D90226">
        <w:rPr>
          <w:rFonts w:ascii="Arial" w:hAnsi="Arial" w:cs="Arial"/>
          <w:sz w:val="24"/>
          <w:szCs w:val="24"/>
        </w:rPr>
        <w:t xml:space="preserve">. These activities boost greenhouse gas </w:t>
      </w:r>
      <w:r w:rsidRPr="00D90226">
        <w:rPr>
          <w:rFonts w:ascii="Arial" w:hAnsi="Arial" w:cs="Arial"/>
          <w:sz w:val="24"/>
          <w:szCs w:val="24"/>
        </w:rPr>
        <w:lastRenderedPageBreak/>
        <w:t xml:space="preserve">reduction efforts in line with clean energy initiatives and show how the travel and hospitality sector is shifting toward sustainable mobility. </w:t>
      </w:r>
    </w:p>
    <w:p w14:paraId="75E1F996" w14:textId="224C04FC"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To tackle greenwashing, regulatory authorities must create stringent guidelines on the wording used in sustainability claims. Transparency about emissions measurement and reporting, analysis of a vehicle's life cycle, and adherence to internationally accepted sustainability standards will go a long way toward ensuring that consumers receive true information. Encouragement for genuine improvements like hybridisation and renewable sources of </w:t>
      </w:r>
      <w:r w:rsidRPr="00D90226">
        <w:rPr>
          <w:rFonts w:ascii="Arial" w:hAnsi="Arial" w:cs="Arial"/>
          <w:sz w:val="24"/>
          <w:szCs w:val="24"/>
        </w:rPr>
        <w:t>fuelling</w:t>
      </w:r>
      <w:r w:rsidRPr="00D90226">
        <w:rPr>
          <w:rFonts w:ascii="Arial" w:hAnsi="Arial" w:cs="Arial"/>
          <w:sz w:val="24"/>
          <w:szCs w:val="24"/>
        </w:rPr>
        <w:t xml:space="preserve"> for car companies is creating a very effective transition in the sector</w:t>
      </w:r>
      <w:sdt>
        <w:sdtPr>
          <w:rPr>
            <w:rFonts w:ascii="Arial" w:hAnsi="Arial" w:cs="Arial"/>
            <w:sz w:val="24"/>
            <w:szCs w:val="24"/>
          </w:rPr>
          <w:id w:val="1653559761"/>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Kar25 \l 1033 </w:instrText>
          </w:r>
          <w:r w:rsidRPr="00D90226">
            <w:rPr>
              <w:rFonts w:ascii="Arial" w:hAnsi="Arial" w:cs="Arial"/>
              <w:sz w:val="24"/>
              <w:szCs w:val="24"/>
            </w:rPr>
            <w:fldChar w:fldCharType="separate"/>
          </w:r>
          <w:r w:rsidRPr="00D90226">
            <w:rPr>
              <w:rFonts w:ascii="Arial" w:hAnsi="Arial" w:cs="Arial"/>
              <w:sz w:val="24"/>
              <w:szCs w:val="24"/>
            </w:rPr>
            <w:t xml:space="preserve"> (Kara, 2025)</w:t>
          </w:r>
          <w:r w:rsidRPr="00D90226">
            <w:rPr>
              <w:rFonts w:ascii="Arial" w:hAnsi="Arial" w:cs="Arial"/>
              <w:sz w:val="24"/>
              <w:szCs w:val="24"/>
            </w:rPr>
            <w:fldChar w:fldCharType="end"/>
          </w:r>
        </w:sdtContent>
      </w:sdt>
      <w:r w:rsidRPr="00D90226">
        <w:rPr>
          <w:rFonts w:ascii="Arial" w:hAnsi="Arial" w:cs="Arial"/>
          <w:sz w:val="24"/>
          <w:szCs w:val="24"/>
        </w:rPr>
        <w:t>.</w:t>
      </w:r>
    </w:p>
    <w:p w14:paraId="7930F6E2" w14:textId="77777777" w:rsidR="00D90226" w:rsidRPr="00D90226" w:rsidRDefault="00D90226" w:rsidP="00D90226">
      <w:pPr>
        <w:spacing w:line="360" w:lineRule="auto"/>
        <w:jc w:val="both"/>
        <w:rPr>
          <w:rFonts w:ascii="Arial" w:hAnsi="Arial" w:cs="Arial"/>
          <w:b/>
          <w:sz w:val="24"/>
          <w:szCs w:val="24"/>
        </w:rPr>
      </w:pPr>
      <w:bookmarkStart w:id="13" w:name="_Toc191887494"/>
      <w:r w:rsidRPr="00D90226">
        <w:rPr>
          <w:rFonts w:ascii="Arial" w:hAnsi="Arial" w:cs="Arial"/>
          <w:b/>
          <w:sz w:val="24"/>
          <w:szCs w:val="24"/>
        </w:rPr>
        <w:t>Economic Gains of Fuel-Efficient Vehicles in the Hospitality Sector</w:t>
      </w:r>
      <w:bookmarkEnd w:id="13"/>
    </w:p>
    <w:p w14:paraId="667C44FE"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The creation of fuel-efficient cars has economic advantages to offer for the hospitality sector, especially for business types that offer transportation services, such as in the hospitality industry-hotels, resorts, and travel agencies. By investing in fuel-efficient cars, businesses cut down on costs, support the environment, and allure the discerning eco-conscious consumers.</w:t>
      </w:r>
    </w:p>
    <w:p w14:paraId="486FBF15"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One of the foremost benefits of the fuel-efficient fuel-engine vehicle is cost savings through lesser fuel consumption amounts, which help logistics and transportation costs. For example, across many hotel businesses, shuttle service or corporate fleets operating hybrid or fuel-efficient internal-combustion cars can tremendously cut their fuel costs</w:t>
      </w:r>
      <w:sdt>
        <w:sdtPr>
          <w:rPr>
            <w:rFonts w:ascii="Arial" w:hAnsi="Arial" w:cs="Arial"/>
            <w:sz w:val="24"/>
            <w:szCs w:val="24"/>
          </w:rPr>
          <w:id w:val="74637885"/>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Ton00 \l 1033 </w:instrText>
          </w:r>
          <w:r w:rsidRPr="00D90226">
            <w:rPr>
              <w:rFonts w:ascii="Arial" w:hAnsi="Arial" w:cs="Arial"/>
              <w:sz w:val="24"/>
              <w:szCs w:val="24"/>
            </w:rPr>
            <w:fldChar w:fldCharType="separate"/>
          </w:r>
          <w:r w:rsidRPr="00D90226">
            <w:rPr>
              <w:rFonts w:ascii="Arial" w:hAnsi="Arial" w:cs="Arial"/>
              <w:sz w:val="24"/>
              <w:szCs w:val="24"/>
            </w:rPr>
            <w:t xml:space="preserve"> (Tong et al., 2000)</w:t>
          </w:r>
          <w:r w:rsidRPr="00D90226">
            <w:rPr>
              <w:rFonts w:ascii="Arial" w:hAnsi="Arial" w:cs="Arial"/>
              <w:sz w:val="24"/>
              <w:szCs w:val="24"/>
            </w:rPr>
            <w:fldChar w:fldCharType="end"/>
          </w:r>
        </w:sdtContent>
      </w:sdt>
      <w:r w:rsidRPr="00D90226">
        <w:rPr>
          <w:rFonts w:ascii="Arial" w:hAnsi="Arial" w:cs="Arial"/>
          <w:sz w:val="24"/>
          <w:szCs w:val="24"/>
        </w:rPr>
        <w:t>. Additionally, in many regions, several local and federal governments provide incentives in the form of tax credits or grants to businesses that employ fuel-efficient transportation solutions, further reducing costs.</w:t>
      </w:r>
    </w:p>
    <w:p w14:paraId="0202574F" w14:textId="0AD85084"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With the inclusion of fuel-efficient cars in the hospitality sector, brand reputation is improved. The customer base is increasingly responsive toward businesses that show commitment to sustainable means of operation, and showing fuel-efficient transport can only enhance customer loyalty with eco-conscious </w:t>
      </w:r>
      <w:r w:rsidRPr="00D90226">
        <w:rPr>
          <w:rFonts w:ascii="Arial" w:hAnsi="Arial" w:cs="Arial"/>
          <w:sz w:val="24"/>
          <w:szCs w:val="24"/>
        </w:rPr>
        <w:t>travellers</w:t>
      </w:r>
      <w:r w:rsidRPr="00D90226">
        <w:rPr>
          <w:rFonts w:ascii="Arial" w:hAnsi="Arial" w:cs="Arial"/>
          <w:sz w:val="24"/>
          <w:szCs w:val="24"/>
        </w:rPr>
        <w:t xml:space="preserve">. </w:t>
      </w:r>
    </w:p>
    <w:p w14:paraId="2EDC1A89"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One of the most significant consists of human benefits, considering the reduced air pollutants from fuel-efficient internal combustion cars. Traditional fuel cars ordinarily pump out contaminated emissions, leading to respiratory illnesses, cardiovascular conditions, and other problems within humans. Through considering cleaner combustion technologies, the adoption of more fuel-efficient models can help mitigate </w:t>
      </w:r>
      <w:r w:rsidRPr="00D90226">
        <w:rPr>
          <w:rFonts w:ascii="Arial" w:hAnsi="Arial" w:cs="Arial"/>
          <w:sz w:val="24"/>
          <w:szCs w:val="24"/>
        </w:rPr>
        <w:lastRenderedPageBreak/>
        <w:t>air pollution among businesses and cities and hence enable the curtailing of the health risks associated with deteriorated air quality</w:t>
      </w:r>
      <w:sdt>
        <w:sdtPr>
          <w:rPr>
            <w:rFonts w:ascii="Arial" w:hAnsi="Arial" w:cs="Arial"/>
            <w:sz w:val="24"/>
            <w:szCs w:val="24"/>
          </w:rPr>
          <w:id w:val="2134280037"/>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Fon21 \l 1033 </w:instrText>
          </w:r>
          <w:r w:rsidRPr="00D90226">
            <w:rPr>
              <w:rFonts w:ascii="Arial" w:hAnsi="Arial" w:cs="Arial"/>
              <w:sz w:val="24"/>
              <w:szCs w:val="24"/>
            </w:rPr>
            <w:fldChar w:fldCharType="separate"/>
          </w:r>
          <w:r w:rsidRPr="00D90226">
            <w:rPr>
              <w:rFonts w:ascii="Arial" w:hAnsi="Arial" w:cs="Arial"/>
              <w:sz w:val="24"/>
              <w:szCs w:val="24"/>
            </w:rPr>
            <w:t xml:space="preserve"> (Font et al., 2021)</w:t>
          </w:r>
          <w:r w:rsidRPr="00D90226">
            <w:rPr>
              <w:rFonts w:ascii="Arial" w:hAnsi="Arial" w:cs="Arial"/>
              <w:sz w:val="24"/>
              <w:szCs w:val="24"/>
            </w:rPr>
            <w:fldChar w:fldCharType="end"/>
          </w:r>
        </w:sdtContent>
      </w:sdt>
      <w:r w:rsidRPr="00D90226">
        <w:rPr>
          <w:rFonts w:ascii="Arial" w:hAnsi="Arial" w:cs="Arial"/>
          <w:sz w:val="24"/>
          <w:szCs w:val="24"/>
        </w:rPr>
        <w:t>.</w:t>
      </w:r>
    </w:p>
    <w:p w14:paraId="4CF2D363" w14:textId="77777777" w:rsidR="00D90226" w:rsidRPr="00D90226" w:rsidRDefault="00D90226" w:rsidP="00D90226">
      <w:pPr>
        <w:spacing w:line="360" w:lineRule="auto"/>
        <w:jc w:val="both"/>
        <w:rPr>
          <w:rFonts w:ascii="Arial" w:hAnsi="Arial" w:cs="Arial"/>
          <w:b/>
          <w:sz w:val="24"/>
          <w:szCs w:val="24"/>
        </w:rPr>
      </w:pPr>
      <w:bookmarkStart w:id="14" w:name="_Toc191887495"/>
      <w:r w:rsidRPr="00D90226">
        <w:rPr>
          <w:rFonts w:ascii="Arial" w:hAnsi="Arial" w:cs="Arial"/>
          <w:b/>
          <w:sz w:val="24"/>
          <w:szCs w:val="24"/>
        </w:rPr>
        <w:t>Conclusions:</w:t>
      </w:r>
      <w:bookmarkEnd w:id="14"/>
    </w:p>
    <w:p w14:paraId="1AA450BD" w14:textId="53FD9A98"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Given that fuel combustion engine cars are still the most used means of transport around the globe. The hospitality industry, which is very transportation-oriented, will do </w:t>
      </w:r>
      <w:r w:rsidRPr="00D90226">
        <w:rPr>
          <w:rFonts w:ascii="Arial" w:hAnsi="Arial" w:cs="Arial"/>
          <w:sz w:val="24"/>
          <w:szCs w:val="24"/>
        </w:rPr>
        <w:t>better</w:t>
      </w:r>
      <w:r w:rsidRPr="00D90226">
        <w:rPr>
          <w:rFonts w:ascii="Arial" w:hAnsi="Arial" w:cs="Arial"/>
          <w:sz w:val="24"/>
          <w:szCs w:val="24"/>
        </w:rPr>
        <w:t xml:space="preserve"> to the society if they embrace the change of utilising more fuel-efficient cars and promote responsible fuel consumption. Governments and industry regulators must set stringent advertising guidelines that go a long way toward preventing greenwashing; they should insist on true transparency in sustainability claims. Clear reporting on emissions, fuel usage, and life-cycle assessments will equip both consumers and businesses with the information they require to make sound decisions.</w:t>
      </w:r>
    </w:p>
    <w:p w14:paraId="2CBA18FC" w14:textId="10110C76"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Economic sustainability allows the hospitality industry to embark upon the FEV route by lowering operating costs in addition to meeting the needs of environmentally sensitive </w:t>
      </w:r>
      <w:r w:rsidRPr="00D90226">
        <w:rPr>
          <w:rFonts w:ascii="Arial" w:hAnsi="Arial" w:cs="Arial"/>
          <w:sz w:val="24"/>
          <w:szCs w:val="24"/>
        </w:rPr>
        <w:t>travellers</w:t>
      </w:r>
      <w:sdt>
        <w:sdtPr>
          <w:rPr>
            <w:rFonts w:ascii="Arial" w:hAnsi="Arial" w:cs="Arial"/>
            <w:sz w:val="24"/>
            <w:szCs w:val="24"/>
          </w:rPr>
          <w:id w:val="1705212105"/>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Kit13 \l 1033 </w:instrText>
          </w:r>
          <w:r w:rsidRPr="00D90226">
            <w:rPr>
              <w:rFonts w:ascii="Arial" w:hAnsi="Arial" w:cs="Arial"/>
              <w:sz w:val="24"/>
              <w:szCs w:val="24"/>
            </w:rPr>
            <w:fldChar w:fldCharType="separate"/>
          </w:r>
          <w:r w:rsidRPr="00D90226">
            <w:rPr>
              <w:rFonts w:ascii="Arial" w:hAnsi="Arial" w:cs="Arial"/>
              <w:sz w:val="24"/>
              <w:szCs w:val="24"/>
            </w:rPr>
            <w:t xml:space="preserve"> (Kitanović et al., 2013)</w:t>
          </w:r>
          <w:r w:rsidRPr="00D90226">
            <w:rPr>
              <w:rFonts w:ascii="Arial" w:hAnsi="Arial" w:cs="Arial"/>
              <w:sz w:val="24"/>
              <w:szCs w:val="24"/>
            </w:rPr>
            <w:fldChar w:fldCharType="end"/>
          </w:r>
        </w:sdtContent>
      </w:sdt>
      <w:r w:rsidRPr="00D90226">
        <w:rPr>
          <w:rFonts w:ascii="Arial" w:hAnsi="Arial" w:cs="Arial"/>
          <w:sz w:val="24"/>
          <w:szCs w:val="24"/>
        </w:rPr>
        <w:t>. Car rentals with hybrid or low-emission options, sustainable transportation options for guests, and employee vanpools can garner added economic and environmental paybacks.</w:t>
      </w:r>
    </w:p>
    <w:p w14:paraId="7A5D4978" w14:textId="77777777" w:rsidR="00D90226" w:rsidRPr="00D90226" w:rsidRDefault="00D90226" w:rsidP="00D90226">
      <w:pPr>
        <w:spacing w:line="360" w:lineRule="auto"/>
        <w:jc w:val="both"/>
        <w:rPr>
          <w:rFonts w:ascii="Arial" w:hAnsi="Arial" w:cs="Arial"/>
          <w:sz w:val="24"/>
          <w:szCs w:val="24"/>
        </w:rPr>
      </w:pPr>
    </w:p>
    <w:p w14:paraId="67D87D33" w14:textId="77777777" w:rsidR="00D90226" w:rsidRPr="00D90226" w:rsidRDefault="00D90226" w:rsidP="00D90226">
      <w:pPr>
        <w:spacing w:line="360" w:lineRule="auto"/>
        <w:jc w:val="both"/>
        <w:rPr>
          <w:rFonts w:ascii="Arial" w:hAnsi="Arial" w:cs="Arial"/>
          <w:sz w:val="24"/>
          <w:szCs w:val="24"/>
        </w:rPr>
      </w:pPr>
    </w:p>
    <w:p w14:paraId="7747EA10" w14:textId="77777777" w:rsidR="00D90226" w:rsidRPr="00D90226" w:rsidRDefault="00D90226" w:rsidP="00D90226">
      <w:pPr>
        <w:spacing w:line="360" w:lineRule="auto"/>
        <w:jc w:val="both"/>
        <w:rPr>
          <w:rFonts w:ascii="Arial" w:hAnsi="Arial" w:cs="Arial"/>
          <w:b/>
          <w:sz w:val="24"/>
          <w:szCs w:val="24"/>
        </w:rPr>
      </w:pPr>
      <w:bookmarkStart w:id="15" w:name="_Toc191887496"/>
      <w:r w:rsidRPr="00D90226">
        <w:rPr>
          <w:rFonts w:ascii="Arial" w:hAnsi="Arial" w:cs="Arial"/>
          <w:b/>
          <w:sz w:val="24"/>
          <w:szCs w:val="24"/>
        </w:rPr>
        <w:t>Recommendations:</w:t>
      </w:r>
      <w:bookmarkEnd w:id="15"/>
    </w:p>
    <w:p w14:paraId="1CEB4E2B" w14:textId="77777777" w:rsidR="00D90226" w:rsidRPr="00D90226" w:rsidRDefault="00D90226" w:rsidP="00D90226">
      <w:pPr>
        <w:numPr>
          <w:ilvl w:val="0"/>
          <w:numId w:val="4"/>
        </w:numPr>
        <w:spacing w:line="360" w:lineRule="auto"/>
        <w:jc w:val="both"/>
        <w:rPr>
          <w:rFonts w:ascii="Arial" w:hAnsi="Arial" w:cs="Arial"/>
          <w:sz w:val="24"/>
          <w:szCs w:val="24"/>
        </w:rPr>
      </w:pPr>
      <w:r w:rsidRPr="00D90226">
        <w:rPr>
          <w:rFonts w:ascii="Arial" w:hAnsi="Arial" w:cs="Arial"/>
          <w:sz w:val="24"/>
          <w:szCs w:val="24"/>
        </w:rPr>
        <w:t>The structural shift toward sustainable fuel practices in hospitality will require cooperation and mutual trust between business entities, policymakers, and consumers</w:t>
      </w:r>
      <w:sdt>
        <w:sdtPr>
          <w:rPr>
            <w:rFonts w:ascii="Arial" w:hAnsi="Arial" w:cs="Arial"/>
            <w:sz w:val="24"/>
            <w:szCs w:val="24"/>
          </w:rPr>
          <w:id w:val="1023216177"/>
          <w:citation/>
        </w:sdtPr>
        <w:sdtContent>
          <w:r w:rsidRPr="00D90226">
            <w:rPr>
              <w:rFonts w:ascii="Arial" w:hAnsi="Arial" w:cs="Arial"/>
              <w:sz w:val="24"/>
              <w:szCs w:val="24"/>
            </w:rPr>
            <w:fldChar w:fldCharType="begin"/>
          </w:r>
          <w:r w:rsidRPr="00D90226">
            <w:rPr>
              <w:rFonts w:ascii="Arial" w:hAnsi="Arial" w:cs="Arial"/>
              <w:sz w:val="24"/>
              <w:szCs w:val="24"/>
            </w:rPr>
            <w:instrText xml:space="preserve"> CITATION Fer21 \l 1033 </w:instrText>
          </w:r>
          <w:r w:rsidRPr="00D90226">
            <w:rPr>
              <w:rFonts w:ascii="Arial" w:hAnsi="Arial" w:cs="Arial"/>
              <w:sz w:val="24"/>
              <w:szCs w:val="24"/>
            </w:rPr>
            <w:fldChar w:fldCharType="separate"/>
          </w:r>
          <w:r w:rsidRPr="00D90226">
            <w:rPr>
              <w:rFonts w:ascii="Arial" w:hAnsi="Arial" w:cs="Arial"/>
              <w:sz w:val="24"/>
              <w:szCs w:val="24"/>
            </w:rPr>
            <w:t xml:space="preserve"> (Fernandes, 2021)</w:t>
          </w:r>
          <w:r w:rsidRPr="00D90226">
            <w:rPr>
              <w:rFonts w:ascii="Arial" w:hAnsi="Arial" w:cs="Arial"/>
              <w:sz w:val="24"/>
              <w:szCs w:val="24"/>
            </w:rPr>
            <w:fldChar w:fldCharType="end"/>
          </w:r>
        </w:sdtContent>
      </w:sdt>
      <w:r w:rsidRPr="00D90226">
        <w:rPr>
          <w:rFonts w:ascii="Arial" w:hAnsi="Arial" w:cs="Arial"/>
          <w:sz w:val="24"/>
          <w:szCs w:val="24"/>
        </w:rPr>
        <w:t xml:space="preserve">. </w:t>
      </w:r>
    </w:p>
    <w:p w14:paraId="0A227FE5" w14:textId="77777777" w:rsidR="00D90226" w:rsidRPr="00D90226" w:rsidRDefault="00D90226" w:rsidP="00D90226">
      <w:pPr>
        <w:numPr>
          <w:ilvl w:val="0"/>
          <w:numId w:val="4"/>
        </w:numPr>
        <w:spacing w:line="360" w:lineRule="auto"/>
        <w:jc w:val="both"/>
        <w:rPr>
          <w:rFonts w:ascii="Arial" w:hAnsi="Arial" w:cs="Arial"/>
          <w:sz w:val="24"/>
          <w:szCs w:val="24"/>
        </w:rPr>
      </w:pPr>
      <w:r w:rsidRPr="00D90226">
        <w:rPr>
          <w:rFonts w:ascii="Arial" w:hAnsi="Arial" w:cs="Arial"/>
          <w:sz w:val="24"/>
          <w:szCs w:val="24"/>
        </w:rPr>
        <w:t>The industry has to push ahead with transparency, innovation and genuine efforts toward sustainability so that the industry can move further toward a future in which fuel engine cars become a more responsible part of transportation.</w:t>
      </w:r>
    </w:p>
    <w:p w14:paraId="6891377A"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br w:type="page"/>
      </w:r>
    </w:p>
    <w:bookmarkStart w:id="16" w:name="_Toc191887497" w:displacedByCustomXml="next"/>
    <w:sdt>
      <w:sdtPr>
        <w:rPr>
          <w:rFonts w:ascii="Arial" w:hAnsi="Arial" w:cs="Arial"/>
          <w:sz w:val="24"/>
          <w:szCs w:val="24"/>
        </w:rPr>
        <w:id w:val="176086117"/>
        <w:docPartObj>
          <w:docPartGallery w:val="Bibliographies"/>
          <w:docPartUnique/>
        </w:docPartObj>
      </w:sdtPr>
      <w:sdtContent>
        <w:p w14:paraId="260A2182" w14:textId="77777777" w:rsidR="00D90226" w:rsidRPr="00D90226" w:rsidRDefault="00D90226" w:rsidP="00D90226">
          <w:pPr>
            <w:spacing w:line="360" w:lineRule="auto"/>
            <w:jc w:val="both"/>
            <w:rPr>
              <w:rFonts w:ascii="Arial" w:hAnsi="Arial" w:cs="Arial"/>
              <w:b/>
              <w:sz w:val="24"/>
              <w:szCs w:val="24"/>
            </w:rPr>
          </w:pPr>
          <w:r w:rsidRPr="00D90226">
            <w:rPr>
              <w:rFonts w:ascii="Arial" w:hAnsi="Arial" w:cs="Arial"/>
              <w:b/>
              <w:sz w:val="24"/>
              <w:szCs w:val="24"/>
            </w:rPr>
            <w:t>Reference List:</w:t>
          </w:r>
          <w:bookmarkEnd w:id="16"/>
        </w:p>
        <w:sdt>
          <w:sdtPr>
            <w:rPr>
              <w:rFonts w:ascii="Arial" w:hAnsi="Arial" w:cs="Arial"/>
              <w:sz w:val="24"/>
              <w:szCs w:val="24"/>
            </w:rPr>
            <w:id w:val="-573587230"/>
            <w:bibliography/>
          </w:sdtPr>
          <w:sdtContent>
            <w:p w14:paraId="6DB43810"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fldChar w:fldCharType="begin"/>
              </w:r>
              <w:r w:rsidRPr="00D90226">
                <w:rPr>
                  <w:rFonts w:ascii="Arial" w:hAnsi="Arial" w:cs="Arial"/>
                  <w:sz w:val="24"/>
                  <w:szCs w:val="24"/>
                </w:rPr>
                <w:instrText xml:space="preserve"> BIBLIOGRAPHY </w:instrText>
              </w:r>
              <w:r w:rsidRPr="00D90226">
                <w:rPr>
                  <w:rFonts w:ascii="Arial" w:hAnsi="Arial" w:cs="Arial"/>
                  <w:sz w:val="24"/>
                  <w:szCs w:val="24"/>
                </w:rPr>
                <w:fldChar w:fldCharType="separate"/>
              </w:r>
              <w:r w:rsidRPr="00D90226">
                <w:rPr>
                  <w:rFonts w:ascii="Arial" w:hAnsi="Arial" w:cs="Arial"/>
                  <w:sz w:val="24"/>
                  <w:szCs w:val="24"/>
                </w:rPr>
                <w:t xml:space="preserve">Bohdanowicz, P. (2005) 'European hoteliers’ environmental attitudes'. </w:t>
              </w:r>
              <w:r w:rsidRPr="00D90226">
                <w:rPr>
                  <w:rFonts w:ascii="Arial" w:hAnsi="Arial" w:cs="Arial"/>
                  <w:i/>
                  <w:iCs/>
                  <w:sz w:val="24"/>
                  <w:szCs w:val="24"/>
                </w:rPr>
                <w:t>Cornell Hotel Restaur. Adm. Q</w:t>
              </w:r>
              <w:r w:rsidRPr="00D90226">
                <w:rPr>
                  <w:rFonts w:ascii="Arial" w:hAnsi="Arial" w:cs="Arial"/>
                  <w:sz w:val="24"/>
                  <w:szCs w:val="24"/>
                </w:rPr>
                <w:t xml:space="preserve">. pp. 188–204. Available at: </w:t>
              </w:r>
              <w:hyperlink r:id="rId22" w:history="1">
                <w:r w:rsidRPr="00D90226">
                  <w:rPr>
                    <w:rStyle w:val="Hyperlink"/>
                    <w:rFonts w:ascii="Arial" w:hAnsi="Arial" w:cs="Arial"/>
                    <w:sz w:val="24"/>
                    <w:szCs w:val="24"/>
                  </w:rPr>
                  <w:t>https://journals.sagepub.com/doi/abs/10.1177/0010880404273891</w:t>
                </w:r>
              </w:hyperlink>
              <w:r w:rsidRPr="00D90226">
                <w:rPr>
                  <w:rFonts w:ascii="Arial" w:hAnsi="Arial" w:cs="Arial"/>
                  <w:sz w:val="24"/>
                  <w:szCs w:val="24"/>
                </w:rPr>
                <w:t xml:space="preserve"> (Accessed: 24 February 2025).</w:t>
              </w:r>
            </w:p>
            <w:p w14:paraId="35D7B4BA"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Casey, C. (2023) </w:t>
              </w:r>
              <w:r w:rsidRPr="00D90226">
                <w:rPr>
                  <w:rFonts w:ascii="Arial" w:hAnsi="Arial" w:cs="Arial"/>
                  <w:i/>
                  <w:iCs/>
                  <w:sz w:val="24"/>
                  <w:szCs w:val="24"/>
                </w:rPr>
                <w:t>Hotel Competitive Advantage Strategy: A 2023 Guide</w:t>
              </w:r>
              <w:r w:rsidRPr="00D90226">
                <w:rPr>
                  <w:rFonts w:ascii="Arial" w:hAnsi="Arial" w:cs="Arial"/>
                  <w:sz w:val="24"/>
                  <w:szCs w:val="24"/>
                </w:rPr>
                <w:t xml:space="preserve">  Available at: </w:t>
              </w:r>
              <w:hyperlink r:id="rId23" w:anchor=":~:text=Hotel%20Competitive%20Advantage%20Explained&amp;text=This%20may%20be%20due%20to,customers%20and%20benchmark%20ideal%20pricing." w:history="1">
                <w:r w:rsidRPr="00D90226">
                  <w:rPr>
                    <w:rStyle w:val="Hyperlink"/>
                    <w:rFonts w:ascii="Arial" w:hAnsi="Arial" w:cs="Arial"/>
                    <w:sz w:val="24"/>
                    <w:szCs w:val="24"/>
                  </w:rPr>
                  <w:t>https://cultivateadvisors.com/blog/hotel-competitive-advantage-strategy/#:~:text=Hotel%20Competitive%20Advantage%20Explained&amp;text=This%20may%20be%20due%20to,customers%20and%20benchmark%20ideal%20pricing.</w:t>
                </w:r>
              </w:hyperlink>
              <w:r w:rsidRPr="00D90226">
                <w:rPr>
                  <w:rFonts w:ascii="Arial" w:hAnsi="Arial" w:cs="Arial"/>
                  <w:sz w:val="24"/>
                  <w:szCs w:val="24"/>
                </w:rPr>
                <w:t xml:space="preserve"> (Accessed: 26 February 2025).</w:t>
              </w:r>
            </w:p>
            <w:p w14:paraId="2F3D013D"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CDP (2023) </w:t>
              </w:r>
              <w:r w:rsidRPr="00D90226">
                <w:rPr>
                  <w:rFonts w:ascii="Arial" w:hAnsi="Arial" w:cs="Arial"/>
                  <w:i/>
                  <w:iCs/>
                  <w:sz w:val="24"/>
                  <w:szCs w:val="24"/>
                </w:rPr>
                <w:t>Marriott International, Inc. - Climate Change 2023</w:t>
              </w:r>
              <w:r w:rsidRPr="00D90226">
                <w:rPr>
                  <w:rFonts w:ascii="Arial" w:hAnsi="Arial" w:cs="Arial"/>
                  <w:sz w:val="24"/>
                  <w:szCs w:val="24"/>
                </w:rPr>
                <w:t xml:space="preserve">  Available at: </w:t>
              </w:r>
              <w:hyperlink r:id="rId24" w:history="1">
                <w:r w:rsidRPr="00D90226">
                  <w:rPr>
                    <w:rStyle w:val="Hyperlink"/>
                    <w:rFonts w:ascii="Arial" w:hAnsi="Arial" w:cs="Arial"/>
                    <w:sz w:val="24"/>
                    <w:szCs w:val="24"/>
                  </w:rPr>
                  <w:t>https://serve360.marriott.com/wp-content/uploads/2023/09/CDP-Climate-2023-vHsm2.pdf</w:t>
                </w:r>
              </w:hyperlink>
              <w:r w:rsidRPr="00D90226">
                <w:rPr>
                  <w:rFonts w:ascii="Arial" w:hAnsi="Arial" w:cs="Arial"/>
                  <w:sz w:val="24"/>
                  <w:szCs w:val="24"/>
                </w:rPr>
                <w:t xml:space="preserve"> (Accessed: 25 February 2025).</w:t>
              </w:r>
            </w:p>
            <w:p w14:paraId="52654771"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Cooper, C. (2021). </w:t>
              </w:r>
              <w:r w:rsidRPr="00D90226">
                <w:rPr>
                  <w:rFonts w:ascii="Arial" w:hAnsi="Arial" w:cs="Arial"/>
                  <w:i/>
                  <w:iCs/>
                  <w:sz w:val="24"/>
                  <w:szCs w:val="24"/>
                </w:rPr>
                <w:t>Essentials of tourism</w:t>
              </w:r>
              <w:r w:rsidRPr="00D90226">
                <w:rPr>
                  <w:rFonts w:ascii="Arial" w:hAnsi="Arial" w:cs="Arial"/>
                  <w:sz w:val="24"/>
                  <w:szCs w:val="24"/>
                </w:rPr>
                <w:t>. 3</w:t>
              </w:r>
              <w:r w:rsidRPr="00D90226">
                <w:rPr>
                  <w:rFonts w:ascii="Arial" w:hAnsi="Arial" w:cs="Arial"/>
                  <w:sz w:val="24"/>
                  <w:szCs w:val="24"/>
                  <w:vertAlign w:val="superscript"/>
                </w:rPr>
                <w:t>rd</w:t>
              </w:r>
              <w:r w:rsidRPr="00D90226">
                <w:rPr>
                  <w:rFonts w:ascii="Arial" w:hAnsi="Arial" w:cs="Arial"/>
                  <w:sz w:val="24"/>
                  <w:szCs w:val="24"/>
                </w:rPr>
                <w:t xml:space="preserve"> edn. London: SAGE.</w:t>
              </w:r>
            </w:p>
            <w:p w14:paraId="1272A26E"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Dr. Stephen, P. (2002) </w:t>
              </w:r>
              <w:r w:rsidRPr="00D90226">
                <w:rPr>
                  <w:rFonts w:ascii="Arial" w:hAnsi="Arial" w:cs="Arial"/>
                  <w:i/>
                  <w:iCs/>
                  <w:sz w:val="24"/>
                  <w:szCs w:val="24"/>
                </w:rPr>
                <w:t>TRANSPORT ENERGY AND EMISSIONS: URBAN PUBLIC TRANSPORT</w:t>
              </w:r>
              <w:r w:rsidRPr="00D90226">
                <w:rPr>
                  <w:rFonts w:ascii="Arial" w:hAnsi="Arial" w:cs="Arial"/>
                  <w:sz w:val="24"/>
                  <w:szCs w:val="24"/>
                </w:rPr>
                <w:t xml:space="preserve">  Available at: </w:t>
              </w:r>
              <w:hyperlink r:id="rId25" w:history="1">
                <w:r w:rsidRPr="00D90226">
                  <w:rPr>
                    <w:rStyle w:val="Hyperlink"/>
                    <w:rFonts w:ascii="Arial" w:hAnsi="Arial" w:cs="Arial"/>
                    <w:sz w:val="24"/>
                    <w:szCs w:val="24"/>
                  </w:rPr>
                  <w:t>https://oro.open.ac.uk/4378/1/PT_Energy_and_Emissions.pdf</w:t>
                </w:r>
              </w:hyperlink>
              <w:r w:rsidRPr="00D90226">
                <w:rPr>
                  <w:rFonts w:ascii="Arial" w:hAnsi="Arial" w:cs="Arial"/>
                  <w:sz w:val="24"/>
                  <w:szCs w:val="24"/>
                </w:rPr>
                <w:t xml:space="preserve"> (Accessed: 27 February 2025).</w:t>
              </w:r>
            </w:p>
            <w:p w14:paraId="52CE0A69"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EPA (2022) </w:t>
              </w:r>
              <w:r w:rsidRPr="00D90226">
                <w:rPr>
                  <w:rFonts w:ascii="Arial" w:hAnsi="Arial" w:cs="Arial"/>
                  <w:i/>
                  <w:iCs/>
                  <w:sz w:val="24"/>
                  <w:szCs w:val="24"/>
                </w:rPr>
                <w:t>Fast Facts on Transportation Greenhouse Gas Emissions</w:t>
              </w:r>
              <w:r w:rsidRPr="00D90226">
                <w:rPr>
                  <w:rFonts w:ascii="Arial" w:hAnsi="Arial" w:cs="Arial"/>
                  <w:sz w:val="24"/>
                  <w:szCs w:val="24"/>
                </w:rPr>
                <w:t xml:space="preserve">  Available at: </w:t>
              </w:r>
              <w:hyperlink r:id="rId26" w:history="1">
                <w:r w:rsidRPr="00D90226">
                  <w:rPr>
                    <w:rStyle w:val="Hyperlink"/>
                    <w:rFonts w:ascii="Arial" w:hAnsi="Arial" w:cs="Arial"/>
                    <w:sz w:val="24"/>
                    <w:szCs w:val="24"/>
                  </w:rPr>
                  <w:t>https://www.epa.gov/greenvehicles/fast-facts-transportation-greenhouse-gas-emissions</w:t>
                </w:r>
              </w:hyperlink>
              <w:r w:rsidRPr="00D90226">
                <w:rPr>
                  <w:rFonts w:ascii="Arial" w:hAnsi="Arial" w:cs="Arial"/>
                  <w:sz w:val="24"/>
                  <w:szCs w:val="24"/>
                </w:rPr>
                <w:t xml:space="preserve"> (Accessed: 27 February 2025).</w:t>
              </w:r>
            </w:p>
            <w:p w14:paraId="45723DAE"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Epicoco, N. and Falagario, M. (2022) 'Decision support tools for developing sustainable transportation systems in the EU: A review of research needs, barriers, and trends'. </w:t>
              </w:r>
              <w:r w:rsidRPr="00D90226">
                <w:rPr>
                  <w:rFonts w:ascii="Arial" w:hAnsi="Arial" w:cs="Arial"/>
                  <w:i/>
                  <w:iCs/>
                  <w:sz w:val="24"/>
                  <w:szCs w:val="24"/>
                </w:rPr>
                <w:t>Res. Transp. Bus. Manag</w:t>
              </w:r>
              <w:r w:rsidRPr="00D90226">
                <w:rPr>
                  <w:rFonts w:ascii="Arial" w:hAnsi="Arial" w:cs="Arial"/>
                  <w:sz w:val="24"/>
                  <w:szCs w:val="24"/>
                </w:rPr>
                <w:t>. p. 100819.</w:t>
              </w:r>
            </w:p>
            <w:p w14:paraId="4AB50664"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Fernandes, T.O.E. (2021) 'Understanding consumers’ acceptance of automated technologies in service encounters: Drivers of digital voice assistants’ adoption. '. </w:t>
              </w:r>
              <w:r w:rsidRPr="00D90226">
                <w:rPr>
                  <w:rFonts w:ascii="Arial" w:hAnsi="Arial" w:cs="Arial"/>
                  <w:i/>
                  <w:iCs/>
                  <w:sz w:val="24"/>
                  <w:szCs w:val="24"/>
                </w:rPr>
                <w:t>Journal of Business Research</w:t>
              </w:r>
              <w:r w:rsidRPr="00D90226">
                <w:rPr>
                  <w:rFonts w:ascii="Arial" w:hAnsi="Arial" w:cs="Arial"/>
                  <w:sz w:val="24"/>
                  <w:szCs w:val="24"/>
                </w:rPr>
                <w:t>. pp. 180-191.</w:t>
              </w:r>
            </w:p>
            <w:p w14:paraId="1DC2FD6D"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Font, X., Elgammal, I. and Lamond, I. (2021) 'Greenwashing in tourism: The role of regulation and stakeholders'. </w:t>
              </w:r>
              <w:r w:rsidRPr="00D90226">
                <w:rPr>
                  <w:rFonts w:ascii="Arial" w:hAnsi="Arial" w:cs="Arial"/>
                  <w:i/>
                  <w:iCs/>
                  <w:sz w:val="24"/>
                  <w:szCs w:val="24"/>
                </w:rPr>
                <w:t>Journal of Sustainable Tourism</w:t>
              </w:r>
              <w:r w:rsidRPr="00D90226">
                <w:rPr>
                  <w:rFonts w:ascii="Arial" w:hAnsi="Arial" w:cs="Arial"/>
                  <w:sz w:val="24"/>
                  <w:szCs w:val="24"/>
                </w:rPr>
                <w:t>. pp. 770–789.</w:t>
              </w:r>
            </w:p>
            <w:p w14:paraId="5C8102EE"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lastRenderedPageBreak/>
                <w:t xml:space="preserve">Inkson, C. and Minnaert, L. (2018) </w:t>
              </w:r>
              <w:r w:rsidRPr="00D90226">
                <w:rPr>
                  <w:rFonts w:ascii="Arial" w:hAnsi="Arial" w:cs="Arial"/>
                  <w:i/>
                  <w:iCs/>
                  <w:sz w:val="24"/>
                  <w:szCs w:val="24"/>
                </w:rPr>
                <w:t>Tourism Management: An Introduction</w:t>
              </w:r>
              <w:r w:rsidRPr="00D90226">
                <w:rPr>
                  <w:rFonts w:ascii="Arial" w:hAnsi="Arial" w:cs="Arial"/>
                  <w:sz w:val="24"/>
                  <w:szCs w:val="24"/>
                </w:rPr>
                <w:t>. London: Sage.</w:t>
              </w:r>
            </w:p>
            <w:p w14:paraId="5C5A5779"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Irene, S.S. (2024) </w:t>
              </w:r>
              <w:r w:rsidRPr="00D90226">
                <w:rPr>
                  <w:rFonts w:ascii="Arial" w:hAnsi="Arial" w:cs="Arial"/>
                  <w:i/>
                  <w:iCs/>
                  <w:sz w:val="24"/>
                  <w:szCs w:val="24"/>
                </w:rPr>
                <w:t>This Is How Marriott Associates Prioritize Sustainability, One Small Action at a Time</w:t>
              </w:r>
              <w:r w:rsidRPr="00D90226">
                <w:rPr>
                  <w:rFonts w:ascii="Arial" w:hAnsi="Arial" w:cs="Arial"/>
                  <w:sz w:val="24"/>
                  <w:szCs w:val="24"/>
                </w:rPr>
                <w:t xml:space="preserve">  Available at: </w:t>
              </w:r>
              <w:hyperlink r:id="rId27" w:anchor=":~:text=Beyond%20fighting%20food%20waste%2C%20Marriott,their%20communities%2C%20and%20the%20planet." w:history="1">
                <w:r w:rsidRPr="00D90226">
                  <w:rPr>
                    <w:rStyle w:val="Hyperlink"/>
                    <w:rFonts w:ascii="Arial" w:hAnsi="Arial" w:cs="Arial"/>
                    <w:sz w:val="24"/>
                    <w:szCs w:val="24"/>
                  </w:rPr>
                  <w:t>https://life.marriott.com/blog/sustainability-stories/#:~:text=Beyond%20fighting%20food%20waste%2C%20Marriott,their%20communities%2C%20and%20the%20planet.</w:t>
                </w:r>
              </w:hyperlink>
              <w:r w:rsidRPr="00D90226">
                <w:rPr>
                  <w:rFonts w:ascii="Arial" w:hAnsi="Arial" w:cs="Arial"/>
                  <w:sz w:val="24"/>
                  <w:szCs w:val="24"/>
                </w:rPr>
                <w:t xml:space="preserve"> (Accessed: 26 February 2025).</w:t>
              </w:r>
            </w:p>
            <w:p w14:paraId="10DAB632"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Jones, P., Hillier, D. and Comfort, D. (2016) 'Sustainability in the hospitality industry: Some personal reflections on corporate challenges and research agendas.'. </w:t>
              </w:r>
              <w:r w:rsidRPr="00D90226">
                <w:rPr>
                  <w:rFonts w:ascii="Arial" w:hAnsi="Arial" w:cs="Arial"/>
                  <w:i/>
                  <w:iCs/>
                  <w:sz w:val="24"/>
                  <w:szCs w:val="24"/>
                </w:rPr>
                <w:t>International Journal of Contemporary Hospitality Management</w:t>
              </w:r>
              <w:r w:rsidRPr="00D90226">
                <w:rPr>
                  <w:rFonts w:ascii="Arial" w:hAnsi="Arial" w:cs="Arial"/>
                  <w:sz w:val="24"/>
                  <w:szCs w:val="24"/>
                </w:rPr>
                <w:t xml:space="preserve">. pp. 36–67. Available at: </w:t>
              </w:r>
              <w:hyperlink r:id="rId28" w:history="1">
                <w:r w:rsidRPr="00D90226">
                  <w:rPr>
                    <w:rStyle w:val="Hyperlink"/>
                    <w:rFonts w:ascii="Arial" w:hAnsi="Arial" w:cs="Arial"/>
                    <w:sz w:val="24"/>
                    <w:szCs w:val="24"/>
                  </w:rPr>
                  <w:t>https://www.researchgate.net/publication/290458829_Sustainability_in_the_hospitality_industry_Some_personal_reflections_on_corporate_challenges_and_research_agendas</w:t>
                </w:r>
              </w:hyperlink>
              <w:r w:rsidRPr="00D90226">
                <w:rPr>
                  <w:rFonts w:ascii="Arial" w:hAnsi="Arial" w:cs="Arial"/>
                  <w:sz w:val="24"/>
                  <w:szCs w:val="24"/>
                </w:rPr>
                <w:t xml:space="preserve"> (Accessed: 24 February 2025).</w:t>
              </w:r>
            </w:p>
            <w:p w14:paraId="318C4B98"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Kara, A. (2025). </w:t>
              </w:r>
              <w:r w:rsidRPr="00D90226">
                <w:rPr>
                  <w:rFonts w:ascii="Arial" w:hAnsi="Arial" w:cs="Arial"/>
                  <w:i/>
                  <w:iCs/>
                  <w:sz w:val="24"/>
                  <w:szCs w:val="24"/>
                </w:rPr>
                <w:t>Tourism &amp; the Environment: A Delicate Balance</w:t>
              </w:r>
              <w:r w:rsidRPr="00D90226">
                <w:rPr>
                  <w:rFonts w:ascii="Arial" w:hAnsi="Arial" w:cs="Arial"/>
                  <w:sz w:val="24"/>
                  <w:szCs w:val="24"/>
                </w:rPr>
                <w:t xml:space="preserve">  Available at: </w:t>
              </w:r>
              <w:hyperlink r:id="rId29" w:history="1">
                <w:r w:rsidRPr="00D90226">
                  <w:rPr>
                    <w:rStyle w:val="Hyperlink"/>
                    <w:rFonts w:ascii="Arial" w:hAnsi="Arial" w:cs="Arial"/>
                    <w:sz w:val="24"/>
                    <w:szCs w:val="24"/>
                  </w:rPr>
                  <w:t>https://greenly.earth/en-us/blog/industries/tourism--the-environment-a-delicate-balance?utm_source=chatgpt.com</w:t>
                </w:r>
              </w:hyperlink>
              <w:r w:rsidRPr="00D90226">
                <w:rPr>
                  <w:rFonts w:ascii="Arial" w:hAnsi="Arial" w:cs="Arial"/>
                  <w:sz w:val="24"/>
                  <w:szCs w:val="24"/>
                </w:rPr>
                <w:t xml:space="preserve"> (Accessed: 20 February 2025).</w:t>
              </w:r>
            </w:p>
            <w:p w14:paraId="6E3CDF3B"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Kitanović, Marko, Predrag, D.M., Vladimir, P., Nenad, M., Slobodan, P. and Miroljub, V.T. (2013) 'A simulation study of fuel economy improvement potentials of a transit bus'. </w:t>
              </w:r>
              <w:r w:rsidRPr="00D90226">
                <w:rPr>
                  <w:rFonts w:ascii="Arial" w:hAnsi="Arial" w:cs="Arial"/>
                  <w:i/>
                  <w:iCs/>
                  <w:sz w:val="24"/>
                  <w:szCs w:val="24"/>
                </w:rPr>
                <w:t>In Proceedings of the 24th International Automotive Conference Science and Motor Vehicles</w:t>
              </w:r>
              <w:r w:rsidRPr="00D90226">
                <w:rPr>
                  <w:rFonts w:ascii="Arial" w:hAnsi="Arial" w:cs="Arial"/>
                  <w:sz w:val="24"/>
                  <w:szCs w:val="24"/>
                </w:rPr>
                <w:t>. pp. 56-67.</w:t>
              </w:r>
            </w:p>
            <w:p w14:paraId="304CD28C"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Li, X., Lv, T., Zhan, J., Wang, S. and Pan, F. (2022) 'Carbon Emission Measurement of Urban Green Passenger Transport: A Case Study of Qingdao'. </w:t>
              </w:r>
              <w:r w:rsidRPr="00D90226">
                <w:rPr>
                  <w:rFonts w:ascii="Arial" w:hAnsi="Arial" w:cs="Arial"/>
                  <w:i/>
                  <w:iCs/>
                  <w:sz w:val="24"/>
                  <w:szCs w:val="24"/>
                </w:rPr>
                <w:t>Sustainability</w:t>
              </w:r>
              <w:r w:rsidRPr="00D90226">
                <w:rPr>
                  <w:rFonts w:ascii="Arial" w:hAnsi="Arial" w:cs="Arial"/>
                  <w:sz w:val="24"/>
                  <w:szCs w:val="24"/>
                </w:rPr>
                <w:t>. p. 9588.</w:t>
              </w:r>
            </w:p>
            <w:p w14:paraId="0E35FEEF"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Malagón, Romina, Cruz, R., María and Saldaña, R. (2024) 'Circular Economy: A Technological Innovation Strategy for Sustainability in Air Transport'. </w:t>
              </w:r>
              <w:r w:rsidRPr="00D90226">
                <w:rPr>
                  <w:rFonts w:ascii="Arial" w:hAnsi="Arial" w:cs="Arial"/>
                  <w:i/>
                  <w:iCs/>
                  <w:sz w:val="24"/>
                  <w:szCs w:val="24"/>
                </w:rPr>
                <w:t>Mercados y Negocios</w:t>
              </w:r>
              <w:r w:rsidRPr="00D90226">
                <w:rPr>
                  <w:rFonts w:ascii="Arial" w:hAnsi="Arial" w:cs="Arial"/>
                  <w:sz w:val="24"/>
                  <w:szCs w:val="24"/>
                </w:rPr>
                <w:t>. pp. 31-52.</w:t>
              </w:r>
            </w:p>
            <w:p w14:paraId="4881C188"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Mariia, K. and Julian, S. (2022) </w:t>
              </w:r>
              <w:r w:rsidRPr="00D90226">
                <w:rPr>
                  <w:rFonts w:ascii="Arial" w:hAnsi="Arial" w:cs="Arial"/>
                  <w:i/>
                  <w:iCs/>
                  <w:sz w:val="24"/>
                  <w:szCs w:val="24"/>
                </w:rPr>
                <w:t>Sustainability Analysis and Environmental Decision-Making Using Simulation, Optimization, and Computational Analytics</w:t>
              </w:r>
              <w:r w:rsidRPr="00D90226">
                <w:rPr>
                  <w:rFonts w:ascii="Arial" w:hAnsi="Arial" w:cs="Arial"/>
                  <w:sz w:val="24"/>
                  <w:szCs w:val="24"/>
                </w:rPr>
                <w:t xml:space="preserve">  Available at: </w:t>
              </w:r>
              <w:hyperlink r:id="rId30" w:history="1">
                <w:r w:rsidRPr="00D90226">
                  <w:rPr>
                    <w:rStyle w:val="Hyperlink"/>
                    <w:rFonts w:ascii="Arial" w:hAnsi="Arial" w:cs="Arial"/>
                    <w:sz w:val="24"/>
                    <w:szCs w:val="24"/>
                  </w:rPr>
                  <w:t>https://mdpi-res.com/bookfiles/book/5001/Sustainability_Analysis_and_Environmental_DecisionM</w:t>
                </w:r>
                <w:r w:rsidRPr="00D90226">
                  <w:rPr>
                    <w:rStyle w:val="Hyperlink"/>
                    <w:rFonts w:ascii="Arial" w:hAnsi="Arial" w:cs="Arial"/>
                    <w:sz w:val="24"/>
                    <w:szCs w:val="24"/>
                  </w:rPr>
                  <w:lastRenderedPageBreak/>
                  <w:t>aking_Using_Simulation_Optimization_and_Computational_Analytics.pdf?v=1738029834</w:t>
                </w:r>
              </w:hyperlink>
              <w:r w:rsidRPr="00D90226">
                <w:rPr>
                  <w:rFonts w:ascii="Arial" w:hAnsi="Arial" w:cs="Arial"/>
                  <w:sz w:val="24"/>
                  <w:szCs w:val="24"/>
                </w:rPr>
                <w:t xml:space="preserve"> (Accessed: 27 FEBRUARY 2025).</w:t>
              </w:r>
            </w:p>
            <w:p w14:paraId="34EA6CC7"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Marriot (2024) </w:t>
              </w:r>
              <w:r w:rsidRPr="00D90226">
                <w:rPr>
                  <w:rFonts w:ascii="Arial" w:hAnsi="Arial" w:cs="Arial"/>
                  <w:i/>
                  <w:iCs/>
                  <w:sz w:val="24"/>
                  <w:szCs w:val="24"/>
                </w:rPr>
                <w:t>Sustain responsible operations</w:t>
              </w:r>
              <w:r w:rsidRPr="00D90226">
                <w:rPr>
                  <w:rFonts w:ascii="Arial" w:hAnsi="Arial" w:cs="Arial"/>
                  <w:sz w:val="24"/>
                  <w:szCs w:val="24"/>
                </w:rPr>
                <w:t xml:space="preserve">  Available at: </w:t>
              </w:r>
              <w:hyperlink r:id="rId31" w:history="1">
                <w:r w:rsidRPr="00D90226">
                  <w:rPr>
                    <w:rStyle w:val="Hyperlink"/>
                    <w:rFonts w:ascii="Arial" w:hAnsi="Arial" w:cs="Arial"/>
                    <w:sz w:val="24"/>
                    <w:szCs w:val="24"/>
                  </w:rPr>
                  <w:t>https://serve360.marriott.com/sustain/</w:t>
                </w:r>
              </w:hyperlink>
              <w:r w:rsidRPr="00D90226">
                <w:rPr>
                  <w:rFonts w:ascii="Arial" w:hAnsi="Arial" w:cs="Arial"/>
                  <w:sz w:val="24"/>
                  <w:szCs w:val="24"/>
                </w:rPr>
                <w:t xml:space="preserve"> (Accessed: 24 February 2025).</w:t>
              </w:r>
            </w:p>
            <w:p w14:paraId="205BD720"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Qin-Lei, J., Han-Zhen, L., Wei-Qing, Y. and Xu, H. (2022) 'The Impact of Public Transportation on Carbon Emissions—From the Perspective of Energy Consumption'. </w:t>
              </w:r>
              <w:r w:rsidRPr="00D90226">
                <w:rPr>
                  <w:rFonts w:ascii="Arial" w:hAnsi="Arial" w:cs="Arial"/>
                  <w:i/>
                  <w:iCs/>
                  <w:sz w:val="24"/>
                  <w:szCs w:val="24"/>
                </w:rPr>
                <w:t>Sustainability</w:t>
              </w:r>
              <w:r w:rsidRPr="00D90226">
                <w:rPr>
                  <w:rFonts w:ascii="Arial" w:hAnsi="Arial" w:cs="Arial"/>
                  <w:sz w:val="24"/>
                  <w:szCs w:val="24"/>
                </w:rPr>
                <w:t>. p. 6248.</w:t>
              </w:r>
            </w:p>
            <w:p w14:paraId="7E58AF60"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t xml:space="preserve">Tong, H.Y., Hung, W. and Cheung, C.S. (2000) 'On-road motor vehicle emissions and fuel consumption in urban driving conditions'. </w:t>
              </w:r>
              <w:r w:rsidRPr="00D90226">
                <w:rPr>
                  <w:rFonts w:ascii="Arial" w:hAnsi="Arial" w:cs="Arial"/>
                  <w:i/>
                  <w:iCs/>
                  <w:sz w:val="24"/>
                  <w:szCs w:val="24"/>
                </w:rPr>
                <w:t>Journal of the Air &amp; Waste Management Association</w:t>
              </w:r>
              <w:r w:rsidRPr="00D90226">
                <w:rPr>
                  <w:rFonts w:ascii="Arial" w:hAnsi="Arial" w:cs="Arial"/>
                  <w:sz w:val="24"/>
                  <w:szCs w:val="24"/>
                </w:rPr>
                <w:t>. pp. 543-554.</w:t>
              </w:r>
            </w:p>
            <w:p w14:paraId="2B4D0464" w14:textId="77777777" w:rsidR="00D90226" w:rsidRPr="00D90226" w:rsidRDefault="00D90226" w:rsidP="00D90226">
              <w:pPr>
                <w:spacing w:line="360" w:lineRule="auto"/>
                <w:jc w:val="both"/>
                <w:rPr>
                  <w:rFonts w:ascii="Arial" w:hAnsi="Arial" w:cs="Arial"/>
                  <w:sz w:val="24"/>
                  <w:szCs w:val="24"/>
                </w:rPr>
              </w:pPr>
              <w:r w:rsidRPr="00D90226">
                <w:rPr>
                  <w:rFonts w:ascii="Arial" w:hAnsi="Arial" w:cs="Arial"/>
                  <w:sz w:val="24"/>
                  <w:szCs w:val="24"/>
                </w:rPr>
                <w:fldChar w:fldCharType="end"/>
              </w:r>
            </w:p>
          </w:sdtContent>
        </w:sdt>
      </w:sdtContent>
    </w:sdt>
    <w:p w14:paraId="44AE3663" w14:textId="77777777" w:rsidR="00D90226" w:rsidRPr="00D90226" w:rsidRDefault="00D90226" w:rsidP="00D90226">
      <w:pPr>
        <w:spacing w:line="360" w:lineRule="auto"/>
        <w:jc w:val="both"/>
        <w:rPr>
          <w:rFonts w:ascii="Arial" w:hAnsi="Arial" w:cs="Arial"/>
          <w:sz w:val="24"/>
          <w:szCs w:val="24"/>
        </w:rPr>
      </w:pPr>
    </w:p>
    <w:p w14:paraId="15CC93EA" w14:textId="77777777" w:rsidR="001461C5" w:rsidRPr="00D90226" w:rsidRDefault="001461C5" w:rsidP="00D90226">
      <w:pPr>
        <w:spacing w:line="360" w:lineRule="auto"/>
        <w:jc w:val="both"/>
        <w:rPr>
          <w:rFonts w:ascii="Arial" w:hAnsi="Arial" w:cs="Arial"/>
          <w:sz w:val="24"/>
          <w:szCs w:val="24"/>
        </w:rPr>
      </w:pPr>
    </w:p>
    <w:sectPr w:rsidR="001461C5" w:rsidRPr="00D902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56188"/>
    <w:multiLevelType w:val="hybridMultilevel"/>
    <w:tmpl w:val="EF2872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0C523FE"/>
    <w:multiLevelType w:val="hybridMultilevel"/>
    <w:tmpl w:val="06B6D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89A1848"/>
    <w:multiLevelType w:val="hybridMultilevel"/>
    <w:tmpl w:val="682E0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62252FA"/>
    <w:multiLevelType w:val="hybridMultilevel"/>
    <w:tmpl w:val="0D84E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608009447">
    <w:abstractNumId w:val="1"/>
    <w:lvlOverride w:ilvl="0"/>
    <w:lvlOverride w:ilvl="1"/>
    <w:lvlOverride w:ilvl="2"/>
    <w:lvlOverride w:ilvl="3"/>
    <w:lvlOverride w:ilvl="4"/>
    <w:lvlOverride w:ilvl="5"/>
    <w:lvlOverride w:ilvl="6"/>
    <w:lvlOverride w:ilvl="7"/>
    <w:lvlOverride w:ilvl="8"/>
  </w:num>
  <w:num w:numId="2" w16cid:durableId="961306826">
    <w:abstractNumId w:val="3"/>
    <w:lvlOverride w:ilvl="0"/>
    <w:lvlOverride w:ilvl="1"/>
    <w:lvlOverride w:ilvl="2"/>
    <w:lvlOverride w:ilvl="3"/>
    <w:lvlOverride w:ilvl="4"/>
    <w:lvlOverride w:ilvl="5"/>
    <w:lvlOverride w:ilvl="6"/>
    <w:lvlOverride w:ilvl="7"/>
    <w:lvlOverride w:ilvl="8"/>
  </w:num>
  <w:num w:numId="3" w16cid:durableId="635575137">
    <w:abstractNumId w:val="0"/>
    <w:lvlOverride w:ilvl="0"/>
    <w:lvlOverride w:ilvl="1"/>
    <w:lvlOverride w:ilvl="2"/>
    <w:lvlOverride w:ilvl="3"/>
    <w:lvlOverride w:ilvl="4"/>
    <w:lvlOverride w:ilvl="5"/>
    <w:lvlOverride w:ilvl="6"/>
    <w:lvlOverride w:ilvl="7"/>
    <w:lvlOverride w:ilvl="8"/>
  </w:num>
  <w:num w:numId="4" w16cid:durableId="9837597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226"/>
    <w:rsid w:val="001461C5"/>
    <w:rsid w:val="0023438C"/>
    <w:rsid w:val="005353CE"/>
    <w:rsid w:val="0067451F"/>
    <w:rsid w:val="008506EE"/>
    <w:rsid w:val="00D90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66966"/>
  <w15:chartTrackingRefBased/>
  <w15:docId w15:val="{68DC5EBE-E627-4CA5-8B83-896A3FECF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2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02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02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02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02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02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2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2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2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2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02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02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02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02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02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2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2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226"/>
    <w:rPr>
      <w:rFonts w:eastAsiaTheme="majorEastAsia" w:cstheme="majorBidi"/>
      <w:color w:val="272727" w:themeColor="text1" w:themeTint="D8"/>
    </w:rPr>
  </w:style>
  <w:style w:type="paragraph" w:styleId="Title">
    <w:name w:val="Title"/>
    <w:basedOn w:val="Normal"/>
    <w:next w:val="Normal"/>
    <w:link w:val="TitleChar"/>
    <w:uiPriority w:val="10"/>
    <w:qFormat/>
    <w:rsid w:val="00D902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2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2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2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226"/>
    <w:pPr>
      <w:spacing w:before="160"/>
      <w:jc w:val="center"/>
    </w:pPr>
    <w:rPr>
      <w:i/>
      <w:iCs/>
      <w:color w:val="404040" w:themeColor="text1" w:themeTint="BF"/>
    </w:rPr>
  </w:style>
  <w:style w:type="character" w:customStyle="1" w:styleId="QuoteChar">
    <w:name w:val="Quote Char"/>
    <w:basedOn w:val="DefaultParagraphFont"/>
    <w:link w:val="Quote"/>
    <w:uiPriority w:val="29"/>
    <w:rsid w:val="00D90226"/>
    <w:rPr>
      <w:i/>
      <w:iCs/>
      <w:color w:val="404040" w:themeColor="text1" w:themeTint="BF"/>
    </w:rPr>
  </w:style>
  <w:style w:type="paragraph" w:styleId="ListParagraph">
    <w:name w:val="List Paragraph"/>
    <w:basedOn w:val="Normal"/>
    <w:uiPriority w:val="34"/>
    <w:qFormat/>
    <w:rsid w:val="00D90226"/>
    <w:pPr>
      <w:ind w:left="720"/>
      <w:contextualSpacing/>
    </w:pPr>
  </w:style>
  <w:style w:type="character" w:styleId="IntenseEmphasis">
    <w:name w:val="Intense Emphasis"/>
    <w:basedOn w:val="DefaultParagraphFont"/>
    <w:uiPriority w:val="21"/>
    <w:qFormat/>
    <w:rsid w:val="00D90226"/>
    <w:rPr>
      <w:i/>
      <w:iCs/>
      <w:color w:val="2F5496" w:themeColor="accent1" w:themeShade="BF"/>
    </w:rPr>
  </w:style>
  <w:style w:type="paragraph" w:styleId="IntenseQuote">
    <w:name w:val="Intense Quote"/>
    <w:basedOn w:val="Normal"/>
    <w:next w:val="Normal"/>
    <w:link w:val="IntenseQuoteChar"/>
    <w:uiPriority w:val="30"/>
    <w:qFormat/>
    <w:rsid w:val="00D902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0226"/>
    <w:rPr>
      <w:i/>
      <w:iCs/>
      <w:color w:val="2F5496" w:themeColor="accent1" w:themeShade="BF"/>
    </w:rPr>
  </w:style>
  <w:style w:type="character" w:styleId="IntenseReference">
    <w:name w:val="Intense Reference"/>
    <w:basedOn w:val="DefaultParagraphFont"/>
    <w:uiPriority w:val="32"/>
    <w:qFormat/>
    <w:rsid w:val="00D90226"/>
    <w:rPr>
      <w:b/>
      <w:bCs/>
      <w:smallCaps/>
      <w:color w:val="2F5496" w:themeColor="accent1" w:themeShade="BF"/>
      <w:spacing w:val="5"/>
    </w:rPr>
  </w:style>
  <w:style w:type="character" w:styleId="Hyperlink">
    <w:name w:val="Hyperlink"/>
    <w:basedOn w:val="DefaultParagraphFont"/>
    <w:uiPriority w:val="99"/>
    <w:unhideWhenUsed/>
    <w:rsid w:val="00D90226"/>
    <w:rPr>
      <w:color w:val="0563C1" w:themeColor="hyperlink"/>
      <w:u w:val="single"/>
    </w:rPr>
  </w:style>
  <w:style w:type="character" w:styleId="UnresolvedMention">
    <w:name w:val="Unresolved Mention"/>
    <w:basedOn w:val="DefaultParagraphFont"/>
    <w:uiPriority w:val="99"/>
    <w:semiHidden/>
    <w:unhideWhenUsed/>
    <w:rsid w:val="00D902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794517">
      <w:bodyDiv w:val="1"/>
      <w:marLeft w:val="0"/>
      <w:marRight w:val="0"/>
      <w:marTop w:val="0"/>
      <w:marBottom w:val="0"/>
      <w:divBdr>
        <w:top w:val="none" w:sz="0" w:space="0" w:color="auto"/>
        <w:left w:val="none" w:sz="0" w:space="0" w:color="auto"/>
        <w:bottom w:val="none" w:sz="0" w:space="0" w:color="auto"/>
        <w:right w:val="none" w:sz="0" w:space="0" w:color="auto"/>
      </w:divBdr>
    </w:div>
    <w:div w:id="191385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robbi\AppData\Local\Microsoft\Windows\INetCache\IE\EQJGPXDP\SUSTAINABILITY-IONEL_BABACHE%5b1%5d.docx" TargetMode="External"/><Relationship Id="rId18" Type="http://schemas.openxmlformats.org/officeDocument/2006/relationships/hyperlink" Target="file:///C:\Users\robbi\AppData\Local\Microsoft\Windows\INetCache\IE\EQJGPXDP\SUSTAINABILITY-IONEL_BABACHE%5b1%5d.docx" TargetMode="External"/><Relationship Id="rId26" Type="http://schemas.openxmlformats.org/officeDocument/2006/relationships/hyperlink" Target="https://www.epa.gov/greenvehicles/fast-facts-transportation-greenhouse-gas-emissions" TargetMode="External"/><Relationship Id="rId3" Type="http://schemas.openxmlformats.org/officeDocument/2006/relationships/settings" Target="settings.xml"/><Relationship Id="rId21" Type="http://schemas.openxmlformats.org/officeDocument/2006/relationships/hyperlink" Target="file:///C:\Users\robbi\AppData\Local\Microsoft\Windows\INetCache\IE\EQJGPXDP\SUSTAINABILITY-IONEL_BABACHE%5b1%5d.docx" TargetMode="External"/><Relationship Id="rId7" Type="http://schemas.openxmlformats.org/officeDocument/2006/relationships/hyperlink" Target="file:///C:\Users\robbi\AppData\Local\Microsoft\Windows\INetCache\IE\EQJGPXDP\SUSTAINABILITY-IONEL_BABACHE%5b1%5d.docx" TargetMode="External"/><Relationship Id="rId12" Type="http://schemas.openxmlformats.org/officeDocument/2006/relationships/hyperlink" Target="file:///C:\Users\robbi\AppData\Local\Microsoft\Windows\INetCache\IE\EQJGPXDP\SUSTAINABILITY-IONEL_BABACHE%5b1%5d.docx" TargetMode="External"/><Relationship Id="rId17" Type="http://schemas.openxmlformats.org/officeDocument/2006/relationships/hyperlink" Target="file:///C:\Users\robbi\AppData\Local\Microsoft\Windows\INetCache\IE\EQJGPXDP\SUSTAINABILITY-IONEL_BABACHE%5b1%5d.docx" TargetMode="External"/><Relationship Id="rId25" Type="http://schemas.openxmlformats.org/officeDocument/2006/relationships/hyperlink" Target="https://oro.open.ac.uk/4378/1/PT_Energy_and_Emissions.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robbi\AppData\Local\Microsoft\Windows\INetCache\IE\EQJGPXDP\SUSTAINABILITY-IONEL_BABACHE%5b1%5d.docx" TargetMode="External"/><Relationship Id="rId20" Type="http://schemas.openxmlformats.org/officeDocument/2006/relationships/hyperlink" Target="file:///C:\Users\robbi\AppData\Local\Microsoft\Windows\INetCache\IE\EQJGPXDP\SUSTAINABILITY-IONEL_BABACHE%5b1%5d.docx" TargetMode="External"/><Relationship Id="rId29" Type="http://schemas.openxmlformats.org/officeDocument/2006/relationships/hyperlink" Target="https://greenly.earth/en-us/blog/industries/tourism--the-environment-a-delicate-balance?utm_source=chatgpt.com" TargetMode="External"/><Relationship Id="rId1" Type="http://schemas.openxmlformats.org/officeDocument/2006/relationships/numbering" Target="numbering.xml"/><Relationship Id="rId6" Type="http://schemas.openxmlformats.org/officeDocument/2006/relationships/hyperlink" Target="file:///C:\Users\robbi\AppData\Local\Microsoft\Windows\INetCache\IE\EQJGPXDP\SUSTAINABILITY-IONEL_BABACHE%5b1%5d.docx" TargetMode="External"/><Relationship Id="rId11" Type="http://schemas.openxmlformats.org/officeDocument/2006/relationships/hyperlink" Target="file:///C:\Users\robbi\AppData\Local\Microsoft\Windows\INetCache\IE\EQJGPXDP\SUSTAINABILITY-IONEL_BABACHE%5b1%5d.docx" TargetMode="External"/><Relationship Id="rId24" Type="http://schemas.openxmlformats.org/officeDocument/2006/relationships/hyperlink" Target="https://serve360.marriott.com/wp-content/uploads/2023/09/CDP-Climate-2023-vHsm2.pdf" TargetMode="External"/><Relationship Id="rId32" Type="http://schemas.openxmlformats.org/officeDocument/2006/relationships/fontTable" Target="fontTable.xml"/><Relationship Id="rId5" Type="http://schemas.openxmlformats.org/officeDocument/2006/relationships/hyperlink" Target="file:///C:\Users\robbi\AppData\Local\Microsoft\Windows\INetCache\IE\EQJGPXDP\SUSTAINABILITY-IONEL_BABACHE%5b1%5d.docx" TargetMode="External"/><Relationship Id="rId15" Type="http://schemas.openxmlformats.org/officeDocument/2006/relationships/hyperlink" Target="file:///C:\Users\robbi\AppData\Local\Microsoft\Windows\INetCache\IE\EQJGPXDP\SUSTAINABILITY-IONEL_BABACHE%5b1%5d.docx" TargetMode="External"/><Relationship Id="rId23" Type="http://schemas.openxmlformats.org/officeDocument/2006/relationships/hyperlink" Target="https://cultivateadvisors.com/blog/hotel-competitive-advantage-strategy/" TargetMode="External"/><Relationship Id="rId28" Type="http://schemas.openxmlformats.org/officeDocument/2006/relationships/hyperlink" Target="https://www.researchgate.net/publication/290458829_Sustainability_in_the_hospitality_industry_Some_personal_reflections_on_corporate_challenges_and_research_agendas" TargetMode="External"/><Relationship Id="rId10" Type="http://schemas.openxmlformats.org/officeDocument/2006/relationships/hyperlink" Target="file:///C:\Users\robbi\AppData\Local\Microsoft\Windows\INetCache\IE\EQJGPXDP\SUSTAINABILITY-IONEL_BABACHE%5b1%5d.docx" TargetMode="External"/><Relationship Id="rId19" Type="http://schemas.openxmlformats.org/officeDocument/2006/relationships/hyperlink" Target="file:///C:\Users\robbi\AppData\Local\Microsoft\Windows\INetCache\IE\EQJGPXDP\SUSTAINABILITY-IONEL_BABACHE%5b1%5d.docx" TargetMode="External"/><Relationship Id="rId31" Type="http://schemas.openxmlformats.org/officeDocument/2006/relationships/hyperlink" Target="https://serve360.marriott.com/sustain/" TargetMode="External"/><Relationship Id="rId4" Type="http://schemas.openxmlformats.org/officeDocument/2006/relationships/webSettings" Target="webSettings.xml"/><Relationship Id="rId9" Type="http://schemas.openxmlformats.org/officeDocument/2006/relationships/hyperlink" Target="file:///C:\Users\robbi\AppData\Local\Microsoft\Windows\INetCache\IE\EQJGPXDP\SUSTAINABILITY-IONEL_BABACHE%5b1%5d.docx" TargetMode="External"/><Relationship Id="rId14" Type="http://schemas.openxmlformats.org/officeDocument/2006/relationships/hyperlink" Target="file:///C:\Users\robbi\AppData\Local\Microsoft\Windows\INetCache\IE\EQJGPXDP\SUSTAINABILITY-IONEL_BABACHE%5b1%5d.docx" TargetMode="External"/><Relationship Id="rId22" Type="http://schemas.openxmlformats.org/officeDocument/2006/relationships/hyperlink" Target="https://journals.sagepub.com/doi/abs/10.1177/0010880404273891" TargetMode="External"/><Relationship Id="rId27" Type="http://schemas.openxmlformats.org/officeDocument/2006/relationships/hyperlink" Target="https://life.marriott.com/blog/sustainability-stories/" TargetMode="External"/><Relationship Id="rId30" Type="http://schemas.openxmlformats.org/officeDocument/2006/relationships/hyperlink" Target="https://mdpi-res.com/bookfiles/book/5001/Sustainability_Analysis_and_Environmental_DecisionMaking_Using_Simulation_Optimization_and_Computational_Analytics.pdf?v=1738029834" TargetMode="External"/><Relationship Id="rId8" Type="http://schemas.openxmlformats.org/officeDocument/2006/relationships/hyperlink" Target="file:///C:\Users\robbi\AppData\Local\Microsoft\Windows\INetCache\IE\EQJGPXDP\SUSTAINABILITY-IONEL_BABACHE%5b1%5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4076</Words>
  <Characters>23236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 Babache (2241659)</dc:creator>
  <cp:keywords/>
  <dc:description/>
  <cp:lastModifiedBy>Ionel Babache (2241659)</cp:lastModifiedBy>
  <cp:revision>1</cp:revision>
  <dcterms:created xsi:type="dcterms:W3CDTF">2025-03-06T19:46:00Z</dcterms:created>
  <dcterms:modified xsi:type="dcterms:W3CDTF">2025-03-06T19:58:00Z</dcterms:modified>
</cp:coreProperties>
</file>