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6B0BA2" w14:textId="05391F5A" w:rsidR="00EA2380" w:rsidRDefault="00EA2380" w:rsidP="0046228D">
      <w:r w:rsidRPr="00EA2380">
        <w:t>HPCA7015</w:t>
      </w:r>
      <w:bookmarkStart w:id="0" w:name="_GoBack"/>
      <w:bookmarkEnd w:id="0"/>
    </w:p>
    <w:p w14:paraId="09AEDDB8" w14:textId="2B2A176B" w:rsidR="00D81159" w:rsidRDefault="00DD33F4" w:rsidP="0046228D">
      <w:r w:rsidRPr="00DD33F4">
        <w:t xml:space="preserve">A Critical </w:t>
      </w:r>
      <w:r>
        <w:t>Comparison of Two JSTOR Papers</w:t>
      </w:r>
    </w:p>
    <w:p w14:paraId="45EE3576" w14:textId="184D8F3C" w:rsidR="0046228D" w:rsidRDefault="0046228D" w:rsidP="0046228D">
      <w:r>
        <w:t>Murray Eiland</w:t>
      </w:r>
    </w:p>
    <w:p w14:paraId="36148577" w14:textId="090226FF" w:rsidR="00DD33F4" w:rsidRDefault="00D81159" w:rsidP="00D81159">
      <w:pPr>
        <w:spacing w:line="480" w:lineRule="auto"/>
      </w:pPr>
      <w:r>
        <w:t xml:space="preserve">   </w:t>
      </w:r>
    </w:p>
    <w:p w14:paraId="147C8608" w14:textId="2F6E508A" w:rsidR="00D81159" w:rsidRDefault="00D81159" w:rsidP="00D81159">
      <w:pPr>
        <w:spacing w:line="480" w:lineRule="auto"/>
        <w:rPr>
          <w:b/>
        </w:rPr>
      </w:pPr>
      <w:r>
        <w:t xml:space="preserve"> </w:t>
      </w:r>
      <w:r w:rsidRPr="00927613">
        <w:rPr>
          <w:b/>
        </w:rPr>
        <w:t>Introduction</w:t>
      </w:r>
    </w:p>
    <w:p w14:paraId="10CA8E12" w14:textId="4CD542F6" w:rsidR="004609F2" w:rsidRDefault="00400969" w:rsidP="00400969">
      <w:pPr>
        <w:spacing w:line="480" w:lineRule="auto"/>
      </w:pPr>
      <w:r>
        <w:rPr>
          <w:b/>
        </w:rPr>
        <w:t xml:space="preserve">     </w:t>
      </w:r>
      <w:r w:rsidRPr="00400969">
        <w:t>This essay compares and contrasts</w:t>
      </w:r>
      <w:r w:rsidR="004609F2">
        <w:t xml:space="preserve"> Glen Cooper's paper titled</w:t>
      </w:r>
      <w:r>
        <w:t xml:space="preserve"> 'Galen and Astrology: A Mésal</w:t>
      </w:r>
      <w:r w:rsidR="004609F2">
        <w:t>li</w:t>
      </w:r>
      <w:r w:rsidR="00603058">
        <w:t xml:space="preserve">ance?' published in the </w:t>
      </w:r>
      <w:r w:rsidR="004609F2">
        <w:t>j</w:t>
      </w:r>
      <w:r>
        <w:t xml:space="preserve">ournal </w:t>
      </w:r>
      <w:r w:rsidRPr="004609F2">
        <w:rPr>
          <w:i/>
        </w:rPr>
        <w:t xml:space="preserve">Early Science and Medicine </w:t>
      </w:r>
      <w:r>
        <w:t>in 2011,</w:t>
      </w:r>
      <w:r>
        <w:rPr>
          <w:rStyle w:val="FootnoteReference"/>
        </w:rPr>
        <w:footnoteReference w:id="1"/>
      </w:r>
      <w:r>
        <w:t xml:space="preserve"> with </w:t>
      </w:r>
      <w:r w:rsidRPr="00400969">
        <w:t>Roger French</w:t>
      </w:r>
      <w:r>
        <w:t>'s paper titled</w:t>
      </w:r>
      <w:r w:rsidRPr="00400969">
        <w:t xml:space="preserve"> 'Foretelling the Future: Arabic Astrology and English Medicine in the Late Twelfth Century', in </w:t>
      </w:r>
      <w:r>
        <w:t xml:space="preserve">the </w:t>
      </w:r>
      <w:r w:rsidR="004609F2">
        <w:t>j</w:t>
      </w:r>
      <w:r>
        <w:t xml:space="preserve">ournal </w:t>
      </w:r>
      <w:r w:rsidRPr="00D03C2D">
        <w:rPr>
          <w:i/>
        </w:rPr>
        <w:t>Isis</w:t>
      </w:r>
      <w:r w:rsidR="00D03C2D">
        <w:t xml:space="preserve"> </w:t>
      </w:r>
      <w:r>
        <w:t>in 1996.</w:t>
      </w:r>
      <w:r>
        <w:rPr>
          <w:rStyle w:val="FootnoteReference"/>
        </w:rPr>
        <w:footnoteReference w:id="2"/>
      </w:r>
      <w:r>
        <w:t xml:space="preserve"> Both are scholarly papers written for an academic audience. </w:t>
      </w:r>
      <w:r w:rsidR="00603058">
        <w:t>These scholars</w:t>
      </w:r>
      <w:r w:rsidR="00D03C2D">
        <w:t xml:space="preserve"> cover the work</w:t>
      </w:r>
      <w:r w:rsidR="004609F2">
        <w:t>s of different authors. Galen (</w:t>
      </w:r>
      <w:r w:rsidR="00D03C2D">
        <w:t>c. 129-</w:t>
      </w:r>
      <w:r w:rsidR="002F6C84">
        <w:t xml:space="preserve"> c.</w:t>
      </w:r>
      <w:r w:rsidR="00D03C2D" w:rsidRPr="00D03C2D">
        <w:t>216</w:t>
      </w:r>
      <w:r w:rsidR="00D03C2D">
        <w:t>) is considere</w:t>
      </w:r>
      <w:r w:rsidR="004609F2">
        <w:t>d the most influential writer on</w:t>
      </w:r>
      <w:r w:rsidR="00D03C2D">
        <w:t xml:space="preserve"> medicine fro</w:t>
      </w:r>
      <w:r w:rsidR="004609F2">
        <w:t xml:space="preserve">m Roman antiquity. </w:t>
      </w:r>
      <w:r w:rsidR="00D03C2D">
        <w:t xml:space="preserve">French's paper considers the work of Roger of Hereford (fl. </w:t>
      </w:r>
      <w:r w:rsidR="00D03C2D" w:rsidRPr="00D03C2D">
        <w:t xml:space="preserve">1178 </w:t>
      </w:r>
      <w:r w:rsidR="004609F2">
        <w:t>-</w:t>
      </w:r>
      <w:r w:rsidR="00D03C2D" w:rsidRPr="00D03C2D">
        <w:t xml:space="preserve"> 1198</w:t>
      </w:r>
      <w:r w:rsidR="00D03C2D">
        <w:t xml:space="preserve">) an English astronomer and astrologer. </w:t>
      </w:r>
    </w:p>
    <w:p w14:paraId="46EF76BF" w14:textId="431B05D6" w:rsidR="00400969" w:rsidRDefault="004609F2" w:rsidP="00400969">
      <w:pPr>
        <w:spacing w:line="480" w:lineRule="auto"/>
      </w:pPr>
      <w:r>
        <w:t xml:space="preserve">     </w:t>
      </w:r>
      <w:r w:rsidR="004D57C9">
        <w:t>Glen Cooper is Adjunct Professor of Philosophy at Bingham Young University. He has a BA in Mathematical Physics from BYU, several master's degrees in history and languages, and a PhD in Islamic studies and the history of Islamic science from Columbia University.</w:t>
      </w:r>
      <w:r w:rsidR="004D57C9">
        <w:rPr>
          <w:rStyle w:val="FootnoteReference"/>
        </w:rPr>
        <w:footnoteReference w:id="3"/>
      </w:r>
      <w:r w:rsidR="0087771F">
        <w:t xml:space="preserve"> He was also a Visiting Assistant Professor at Claremont McKenna College.</w:t>
      </w:r>
      <w:r w:rsidR="0087771F">
        <w:rPr>
          <w:rStyle w:val="FootnoteReference"/>
        </w:rPr>
        <w:footnoteReference w:id="4"/>
      </w:r>
      <w:r w:rsidR="004D57C9">
        <w:t xml:space="preserve"> </w:t>
      </w:r>
      <w:r w:rsidR="00D03C2D">
        <w:t xml:space="preserve">Roger French </w:t>
      </w:r>
      <w:r w:rsidR="00D03C2D" w:rsidRPr="00D03C2D">
        <w:t>(1938–2002)</w:t>
      </w:r>
      <w:r w:rsidR="00D03C2D">
        <w:t xml:space="preserve"> was at the University of Cambridge as University Lecturer in the History of Medicine. He had a B.A. in Zoology and a D. Phil in the History of Medicine.</w:t>
      </w:r>
      <w:r w:rsidR="004D57C9">
        <w:rPr>
          <w:rStyle w:val="FootnoteReference"/>
        </w:rPr>
        <w:footnoteReference w:id="5"/>
      </w:r>
      <w:r w:rsidR="00D03C2D">
        <w:t xml:space="preserve"> </w:t>
      </w:r>
    </w:p>
    <w:p w14:paraId="3C08C654" w14:textId="6997720A" w:rsidR="004609F2" w:rsidRDefault="004D57C9" w:rsidP="00191B23">
      <w:pPr>
        <w:spacing w:line="480" w:lineRule="auto"/>
      </w:pPr>
      <w:r>
        <w:t xml:space="preserve">     </w:t>
      </w:r>
      <w:r w:rsidR="00400969">
        <w:t xml:space="preserve">These </w:t>
      </w:r>
      <w:r w:rsidR="004609F2">
        <w:t xml:space="preserve">two </w:t>
      </w:r>
      <w:r>
        <w:t>papers</w:t>
      </w:r>
      <w:r w:rsidR="002F6C84">
        <w:t xml:space="preserve"> </w:t>
      </w:r>
      <w:r>
        <w:t>deal</w:t>
      </w:r>
      <w:r w:rsidR="00927613">
        <w:t xml:space="preserve"> with </w:t>
      </w:r>
      <w:r>
        <w:t>'</w:t>
      </w:r>
      <w:r w:rsidR="00927613">
        <w:t>astrology</w:t>
      </w:r>
      <w:r>
        <w:t>'</w:t>
      </w:r>
      <w:r w:rsidR="00927613">
        <w:t xml:space="preserve"> and </w:t>
      </w:r>
      <w:r>
        <w:t>'</w:t>
      </w:r>
      <w:r w:rsidR="00927613">
        <w:t>medicine</w:t>
      </w:r>
      <w:r>
        <w:t>'</w:t>
      </w:r>
      <w:r w:rsidR="00927613">
        <w:t>.</w:t>
      </w:r>
      <w:r>
        <w:t xml:space="preserve"> Cooper</w:t>
      </w:r>
      <w:r w:rsidR="0037479A">
        <w:t xml:space="preserve"> suggests that '…Galen's use of astrology is superficial, and does not cohere with the rest of his medical science, except in an </w:t>
      </w:r>
      <w:r w:rsidR="0037479A">
        <w:lastRenderedPageBreak/>
        <w:t>almost meaninglessly general way…'.</w:t>
      </w:r>
      <w:r w:rsidR="0037479A">
        <w:rPr>
          <w:rStyle w:val="FootnoteReference"/>
        </w:rPr>
        <w:footnoteReference w:id="6"/>
      </w:r>
      <w:r w:rsidR="0037479A">
        <w:t xml:space="preserve"> The author notes that the astrology is only</w:t>
      </w:r>
      <w:r w:rsidR="004609F2">
        <w:t xml:space="preserve"> of interest</w:t>
      </w:r>
      <w:r w:rsidR="0037479A">
        <w:t xml:space="preserve"> when considering the development of scientific thinking.</w:t>
      </w:r>
      <w:r w:rsidR="004609F2">
        <w:t xml:space="preserve"> T</w:t>
      </w:r>
      <w:r w:rsidR="006B788B">
        <w:t>hese authors</w:t>
      </w:r>
      <w:r w:rsidR="004609F2">
        <w:t xml:space="preserve"> did not define </w:t>
      </w:r>
      <w:r w:rsidR="006B788B">
        <w:t>what they mean by</w:t>
      </w:r>
      <w:r w:rsidR="004609F2">
        <w:t xml:space="preserve"> astrology or medicine. Astrology encompasses an array of divinatory practices that are based on calculating the positions of celestial objects. It is often associated with calculating a horoscope (chart or diagram of celestial objects) at critical times (such as birth). As Pauline Ripat note</w:t>
      </w:r>
      <w:r w:rsidR="00603058">
        <w:t>s</w:t>
      </w:r>
      <w:r w:rsidR="004609F2">
        <w:t>, there was a bright line between advanced 'court astrologers' and 'street astrologers' who practiced to a wider clientele.</w:t>
      </w:r>
      <w:r w:rsidR="004609F2">
        <w:rPr>
          <w:rStyle w:val="FootnoteReference"/>
        </w:rPr>
        <w:footnoteReference w:id="7"/>
      </w:r>
      <w:r w:rsidR="002F6C84">
        <w:t xml:space="preserve"> Nicholas Campion argues</w:t>
      </w:r>
      <w:r w:rsidR="00E81159">
        <w:t xml:space="preserve"> that in the ancient Greek world</w:t>
      </w:r>
      <w:r w:rsidR="002F6C84">
        <w:t xml:space="preserve"> to the 17</w:t>
      </w:r>
      <w:r w:rsidR="002F6C84" w:rsidRPr="002F6C84">
        <w:rPr>
          <w:vertAlign w:val="superscript"/>
        </w:rPr>
        <w:t>th</w:t>
      </w:r>
      <w:r w:rsidR="002F6C84">
        <w:t xml:space="preserve"> century</w:t>
      </w:r>
      <w:r w:rsidR="00E81159">
        <w:t>, terms could overlap. Words that correspond to astronomy dealt with the movement of the stars, and astrology dealt wit</w:t>
      </w:r>
      <w:r w:rsidR="002F6C84">
        <w:t>h their effects or significance</w:t>
      </w:r>
      <w:r w:rsidR="00E81159">
        <w:t>. The conceptual split between astronomy and astrology is a modern Western concept.</w:t>
      </w:r>
      <w:r w:rsidR="00E81159">
        <w:rPr>
          <w:rStyle w:val="FootnoteReference"/>
        </w:rPr>
        <w:footnoteReference w:id="8"/>
      </w:r>
      <w:r w:rsidR="00E81159">
        <w:t xml:space="preserve"> </w:t>
      </w:r>
      <w:r w:rsidR="00771C62">
        <w:t xml:space="preserve">Medicine is here defined as the field dealing with the </w:t>
      </w:r>
      <w:r w:rsidR="00771C62" w:rsidRPr="006B788B">
        <w:t>diagnosis, treatment, and prevention of disease</w:t>
      </w:r>
      <w:r w:rsidR="00603058">
        <w:t xml:space="preserve">. </w:t>
      </w:r>
      <w:r w:rsidR="00771C62">
        <w:t>Geoffrey Lloyd</w:t>
      </w:r>
      <w:r w:rsidR="002F6C84">
        <w:t xml:space="preserve"> suggests for ancient medicine</w:t>
      </w:r>
      <w:r w:rsidR="00771C62">
        <w:t>, there could be considerable overlap with what today would be considered magic.</w:t>
      </w:r>
      <w:r w:rsidR="00771C62">
        <w:rPr>
          <w:rStyle w:val="FootnoteReference"/>
        </w:rPr>
        <w:footnoteReference w:id="9"/>
      </w:r>
    </w:p>
    <w:p w14:paraId="44E63955" w14:textId="16F776AE" w:rsidR="009C0A2E" w:rsidRPr="00A379EA" w:rsidRDefault="00A379EA" w:rsidP="00D81159">
      <w:pPr>
        <w:spacing w:line="480" w:lineRule="auto"/>
        <w:rPr>
          <w:b/>
        </w:rPr>
      </w:pPr>
      <w:r w:rsidRPr="00A379EA">
        <w:rPr>
          <w:b/>
        </w:rPr>
        <w:t>Major Points</w:t>
      </w:r>
    </w:p>
    <w:p w14:paraId="213F3632" w14:textId="1E6339E7" w:rsidR="006A2A8D" w:rsidRDefault="00D81159" w:rsidP="00D81159">
      <w:pPr>
        <w:spacing w:line="480" w:lineRule="auto"/>
      </w:pPr>
      <w:r>
        <w:t xml:space="preserve">    </w:t>
      </w:r>
      <w:r w:rsidR="00A379EA">
        <w:t>Both papers are</w:t>
      </w:r>
      <w:r w:rsidR="000275D6">
        <w:t xml:space="preserve"> clear and logically structured, and they deal with related although not identical concepts.</w:t>
      </w:r>
      <w:r w:rsidR="00603058">
        <w:t xml:space="preserve"> T</w:t>
      </w:r>
      <w:r w:rsidR="004A2DF0">
        <w:t>hey use a historical-critical method of analysis, with Cooper giving less evidence regarding the context in which Gale</w:t>
      </w:r>
      <w:r w:rsidR="00603058">
        <w:t xml:space="preserve">n's work should be understood. </w:t>
      </w:r>
      <w:r w:rsidR="00A379EA">
        <w:t xml:space="preserve">Cooper </w:t>
      </w:r>
      <w:r w:rsidR="006E4F53">
        <w:t xml:space="preserve">covers the treatment of critical days from Galen's </w:t>
      </w:r>
      <w:r w:rsidR="006E4F53" w:rsidRPr="006E4F53">
        <w:rPr>
          <w:i/>
        </w:rPr>
        <w:t>De diebus decretoriis</w:t>
      </w:r>
      <w:r w:rsidR="009467E1">
        <w:rPr>
          <w:i/>
        </w:rPr>
        <w:t xml:space="preserve"> </w:t>
      </w:r>
      <w:r w:rsidR="009467E1" w:rsidRPr="009467E1">
        <w:t xml:space="preserve">(hereafter </w:t>
      </w:r>
      <w:r w:rsidR="009467E1" w:rsidRPr="00603058">
        <w:rPr>
          <w:i/>
        </w:rPr>
        <w:t>Critical Days</w:t>
      </w:r>
      <w:r w:rsidR="009467E1" w:rsidRPr="009467E1">
        <w:t>)</w:t>
      </w:r>
      <w:r w:rsidR="006E4F53" w:rsidRPr="009467E1">
        <w:t xml:space="preserve">. </w:t>
      </w:r>
      <w:r w:rsidR="006E4F53">
        <w:t>The theory goes that during the course of an illness, the disease will enter turning points</w:t>
      </w:r>
      <w:r w:rsidR="00603058">
        <w:t xml:space="preserve"> (which could correlate with </w:t>
      </w:r>
      <w:r w:rsidR="00603058">
        <w:lastRenderedPageBreak/>
        <w:t>phases of the moon)</w:t>
      </w:r>
      <w:r w:rsidR="006E4F53">
        <w:t xml:space="preserve"> where the patient could either recover or die on a fixed day from the day the illness started. The day is not absolute, and is not the same for all diseases. </w:t>
      </w:r>
    </w:p>
    <w:p w14:paraId="7F8353D0" w14:textId="110EE752" w:rsidR="00D81159" w:rsidRPr="006A2A8D" w:rsidRDefault="004A2DF0" w:rsidP="00D81159">
      <w:pPr>
        <w:spacing w:line="480" w:lineRule="auto"/>
      </w:pPr>
      <w:r>
        <w:rPr>
          <w:b/>
        </w:rPr>
        <w:t>Argument of Cooper's Paper</w:t>
      </w:r>
    </w:p>
    <w:p w14:paraId="075FE908" w14:textId="028E3F43" w:rsidR="004A2DF0" w:rsidRPr="00A215F2" w:rsidRDefault="00DE04B6" w:rsidP="004A2DF0">
      <w:pPr>
        <w:spacing w:line="480" w:lineRule="auto"/>
      </w:pPr>
      <w:r>
        <w:t xml:space="preserve">     </w:t>
      </w:r>
      <w:r w:rsidR="004A2DF0">
        <w:t>Cooper’</w:t>
      </w:r>
      <w:r w:rsidR="00EB0799">
        <w:t xml:space="preserve">s stance seems </w:t>
      </w:r>
      <w:r w:rsidR="00543FE8">
        <w:t>narrower</w:t>
      </w:r>
      <w:r w:rsidR="004A2DF0">
        <w:t xml:space="preserve"> than French’s integrative, interdisciplinary approach to Roger’s work. Cooper argues that a</w:t>
      </w:r>
      <w:r w:rsidR="00EB0799">
        <w:t xml:space="preserve">strology played a minor  </w:t>
      </w:r>
      <w:r w:rsidR="000D0D49">
        <w:t xml:space="preserve">- </w:t>
      </w:r>
      <w:r w:rsidR="00EB0799">
        <w:t>perhaps essentially no -</w:t>
      </w:r>
      <w:r w:rsidR="004A2DF0">
        <w:t xml:space="preserve"> role in Galen’s </w:t>
      </w:r>
      <w:r w:rsidR="004A2DF0" w:rsidRPr="003F5833">
        <w:rPr>
          <w:i/>
          <w:iCs/>
        </w:rPr>
        <w:t>Critical Days</w:t>
      </w:r>
      <w:r w:rsidR="004A2DF0">
        <w:t xml:space="preserve">. He states that Galen </w:t>
      </w:r>
      <w:r w:rsidR="00BB0770">
        <w:t>simply wanted '</w:t>
      </w:r>
      <w:r w:rsidR="004A2DF0">
        <w:t>…to increase his clientele, especially among the wealthier and more powerful Romans</w:t>
      </w:r>
      <w:r w:rsidR="00BB0770">
        <w:t>'.</w:t>
      </w:r>
      <w:r w:rsidR="004A2DF0" w:rsidRPr="00AC2D1E">
        <w:rPr>
          <w:rStyle w:val="FootnoteReference"/>
        </w:rPr>
        <w:footnoteReference w:id="10"/>
      </w:r>
      <w:r w:rsidR="00BB0770">
        <w:t xml:space="preserve"> This </w:t>
      </w:r>
      <w:r w:rsidR="002C3375">
        <w:t xml:space="preserve">broad </w:t>
      </w:r>
      <w:r w:rsidR="00BB0770">
        <w:t xml:space="preserve">hypothesis was not supported by </w:t>
      </w:r>
      <w:r w:rsidR="002C3375">
        <w:t xml:space="preserve">relevant </w:t>
      </w:r>
      <w:r w:rsidR="00BB0770">
        <w:t xml:space="preserve">evidence. </w:t>
      </w:r>
      <w:r w:rsidR="002C3375">
        <w:t xml:space="preserve">Cooper argues that astrology is not present in Galen's other works, and that their presence in </w:t>
      </w:r>
      <w:r w:rsidR="002C3375" w:rsidRPr="002C3375">
        <w:rPr>
          <w:i/>
        </w:rPr>
        <w:t>Critical Days</w:t>
      </w:r>
      <w:r w:rsidR="002C3375">
        <w:t xml:space="preserve"> was just rhetorical</w:t>
      </w:r>
      <w:r w:rsidR="004A2DF0">
        <w:t>. His thesis promotes an interpretation of Galen that situates him within natural astrology</w:t>
      </w:r>
      <w:r w:rsidR="00BB0770">
        <w:t xml:space="preserve"> (largely inanimate nature)</w:t>
      </w:r>
      <w:r w:rsidR="004A2DF0">
        <w:t>, rather than judicial</w:t>
      </w:r>
      <w:r w:rsidR="00BB0770">
        <w:t xml:space="preserve"> (largely individual human events)</w:t>
      </w:r>
      <w:r w:rsidR="004A2DF0">
        <w:t>, and that natural astrology i</w:t>
      </w:r>
      <w:r w:rsidR="00BB0770">
        <w:t>tself was an afterthought</w:t>
      </w:r>
      <w:r w:rsidR="004A2DF0">
        <w:t>.</w:t>
      </w:r>
      <w:r w:rsidR="004A2DF0" w:rsidRPr="00BD14A8">
        <w:rPr>
          <w:vertAlign w:val="superscript"/>
        </w:rPr>
        <w:footnoteReference w:id="11"/>
      </w:r>
      <w:r w:rsidR="004A2DF0">
        <w:rPr>
          <w:vertAlign w:val="superscript"/>
        </w:rPr>
        <w:t xml:space="preserve"> </w:t>
      </w:r>
      <w:r w:rsidR="004A2DF0">
        <w:t>He implies that Galen developed a proto-rational approach to science,</w:t>
      </w:r>
      <w:r w:rsidR="008C4484">
        <w:t xml:space="preserve"> going as far as to argue that '</w:t>
      </w:r>
      <w:r w:rsidR="004A2DF0">
        <w:t>Galen’s theoretical approach…reflects the beginning of the sophisticated notion of a closed scientific system</w:t>
      </w:r>
      <w:r w:rsidR="008C4484">
        <w:t>'.</w:t>
      </w:r>
      <w:r w:rsidR="004A2DF0" w:rsidRPr="00BD14A8">
        <w:rPr>
          <w:vertAlign w:val="superscript"/>
        </w:rPr>
        <w:footnoteReference w:id="12"/>
      </w:r>
      <w:r w:rsidR="004A2DF0">
        <w:rPr>
          <w:vertAlign w:val="superscript"/>
        </w:rPr>
        <w:t xml:space="preserve"> </w:t>
      </w:r>
      <w:r w:rsidR="004A2DF0">
        <w:t xml:space="preserve">For Cooper, the focus on astrology in Galen obscures the proto-rationalism of Galen’s writing and thinking. </w:t>
      </w:r>
    </w:p>
    <w:p w14:paraId="2BEFFAE1" w14:textId="53AE469C" w:rsidR="006A2A8D" w:rsidRDefault="004A2DF0" w:rsidP="00DE04B6">
      <w:pPr>
        <w:spacing w:line="480" w:lineRule="auto"/>
        <w:ind w:firstLine="720"/>
      </w:pPr>
      <w:r>
        <w:t xml:space="preserve">  To make this argument, Cooper draws primarily on textual evidence, with a </w:t>
      </w:r>
      <w:r w:rsidR="002C3375">
        <w:t>particular interest paid how astrology is presented in Ptolemy's</w:t>
      </w:r>
      <w:r w:rsidR="002C3375" w:rsidRPr="002C3375">
        <w:t xml:space="preserve"> </w:t>
      </w:r>
      <w:r w:rsidR="002C3375">
        <w:t xml:space="preserve">(c. 100 - c. 170 C.E.) </w:t>
      </w:r>
      <w:r w:rsidR="002C3375" w:rsidRPr="002C3375">
        <w:rPr>
          <w:i/>
        </w:rPr>
        <w:t>Tetrabiblos</w:t>
      </w:r>
      <w:r>
        <w:t xml:space="preserve">. Cooper largely dismisses the idea that Galen would have sincerely valued astrology: </w:t>
      </w:r>
      <w:r w:rsidR="002C3375">
        <w:t>'</w:t>
      </w:r>
      <w:r w:rsidRPr="00621E8C">
        <w:t>Galen would have excluded all magical and divinatory practices, since he emphasized repeatedly that his ability to predict the future was based on rat</w:t>
      </w:r>
      <w:r w:rsidR="002C3375">
        <w:t>ional procedures, not prophecy'.</w:t>
      </w:r>
      <w:r w:rsidRPr="00AC2D1E">
        <w:rPr>
          <w:rStyle w:val="FootnoteReference"/>
        </w:rPr>
        <w:footnoteReference w:id="13"/>
      </w:r>
      <w:r w:rsidRPr="00621E8C">
        <w:t xml:space="preserve"> </w:t>
      </w:r>
      <w:r>
        <w:t xml:space="preserve"> He draws attention to the </w:t>
      </w:r>
      <w:r>
        <w:lastRenderedPageBreak/>
        <w:t>details in the text that suggest Galen’s</w:t>
      </w:r>
      <w:r w:rsidR="00603058">
        <w:t xml:space="preserve"> belief in agency over a predetermined fate</w:t>
      </w:r>
      <w:r>
        <w:t>.</w:t>
      </w:r>
      <w:r w:rsidRPr="00BD14A8">
        <w:rPr>
          <w:vertAlign w:val="superscript"/>
        </w:rPr>
        <w:footnoteReference w:id="14"/>
      </w:r>
      <w:r w:rsidR="006A2A8D">
        <w:t>There is an extensive literature regarding ancient medicine that Cooper makes little reference to. However, he</w:t>
      </w:r>
      <w:r w:rsidR="006A2A8D">
        <w:rPr>
          <w:vertAlign w:val="superscript"/>
        </w:rPr>
        <w:t xml:space="preserve"> </w:t>
      </w:r>
      <w:r>
        <w:t xml:space="preserve">analyzes the original Greek text in a careful and productive way, situating his interpretations of the word choices within Greek cosmology at the time. </w:t>
      </w:r>
      <w:r w:rsidR="006A2A8D">
        <w:t xml:space="preserve">For instance, he notes that </w:t>
      </w:r>
      <w:r w:rsidR="006A2A8D" w:rsidRPr="006A2A8D">
        <w:rPr>
          <w:i/>
        </w:rPr>
        <w:t>astronomia</w:t>
      </w:r>
      <w:r w:rsidR="006A2A8D">
        <w:t xml:space="preserve"> and </w:t>
      </w:r>
      <w:r w:rsidR="006A2A8D" w:rsidRPr="006A2A8D">
        <w:rPr>
          <w:i/>
        </w:rPr>
        <w:t>astrologia</w:t>
      </w:r>
      <w:r w:rsidR="006A2A8D">
        <w:t xml:space="preserve"> continued to be used interchangeably by some.</w:t>
      </w:r>
      <w:r w:rsidR="006A2A8D">
        <w:rPr>
          <w:rStyle w:val="FootnoteReference"/>
        </w:rPr>
        <w:footnoteReference w:id="15"/>
      </w:r>
      <w:r w:rsidR="006A2A8D">
        <w:t xml:space="preserve"> However, his argument seems limited compared to the wealth of secondary sources on this subject. </w:t>
      </w:r>
    </w:p>
    <w:p w14:paraId="4EC6CC8C" w14:textId="0F6F870D" w:rsidR="00191B23" w:rsidRPr="008C7E7A" w:rsidRDefault="006A2A8D" w:rsidP="00D81159">
      <w:pPr>
        <w:spacing w:line="480" w:lineRule="auto"/>
      </w:pPr>
      <w:r>
        <w:rPr>
          <w:b/>
        </w:rPr>
        <w:t xml:space="preserve">Argument of </w:t>
      </w:r>
      <w:r w:rsidRPr="006A2A8D">
        <w:rPr>
          <w:b/>
        </w:rPr>
        <w:t>French's Paper</w:t>
      </w:r>
      <w:r w:rsidR="004A2DF0">
        <w:br/>
      </w:r>
      <w:r w:rsidR="00DE04B6">
        <w:t xml:space="preserve">    </w:t>
      </w:r>
      <w:r>
        <w:t xml:space="preserve">French </w:t>
      </w:r>
      <w:r w:rsidR="00DE04B6">
        <w:t>begins by outlining the context of Arabic astrology and English medicine in the twelfth century, noting the various discourses and influences that shaped thes</w:t>
      </w:r>
      <w:r w:rsidR="00603058">
        <w:t>e ideas</w:t>
      </w:r>
      <w:r w:rsidR="00DE04B6">
        <w:t>, and describing the practical, economic, and cultural context in which med</w:t>
      </w:r>
      <w:r w:rsidR="00603058">
        <w:t>icine was practiced</w:t>
      </w:r>
      <w:r w:rsidR="00DE04B6">
        <w:t>. He asserts that Roger of Hereford has been und</w:t>
      </w:r>
      <w:r>
        <w:t>erappreciated</w:t>
      </w:r>
      <w:r w:rsidR="00DE04B6">
        <w:t>, and explains how the connection between prognosticating the future and di</w:t>
      </w:r>
      <w:r>
        <w:t xml:space="preserve">agnosing the body formed in </w:t>
      </w:r>
      <w:r w:rsidR="00DE04B6">
        <w:t>socio-historical conte</w:t>
      </w:r>
      <w:r>
        <w:t xml:space="preserve">xt. French </w:t>
      </w:r>
      <w:r w:rsidR="00DE04B6">
        <w:t>explain</w:t>
      </w:r>
      <w:r>
        <w:t>s</w:t>
      </w:r>
      <w:r w:rsidR="00DE04B6">
        <w:t xml:space="preserve"> that Roger was '…almost certainly the first Englishman to give a systematic account of the kinds of astrological prediction and perhaps the first Westerner to make available to medical men a way of making a 'judicial' prognosis'.</w:t>
      </w:r>
      <w:r w:rsidR="00DE04B6" w:rsidRPr="00AC2D1E">
        <w:rPr>
          <w:rStyle w:val="FootnoteReference"/>
        </w:rPr>
        <w:footnoteReference w:id="16"/>
      </w:r>
      <w:r w:rsidR="00DE04B6">
        <w:t xml:space="preserve"> Roger relied upon several sources in Ara</w:t>
      </w:r>
      <w:r>
        <w:t xml:space="preserve">bic, and Roger combined </w:t>
      </w:r>
      <w:r w:rsidR="00DE04B6">
        <w:t>uroscopy</w:t>
      </w:r>
      <w:r>
        <w:t xml:space="preserve"> (medical examination of urine</w:t>
      </w:r>
      <w:r w:rsidR="00AF27FB">
        <w:t xml:space="preserve"> common in Europe</w:t>
      </w:r>
      <w:r>
        <w:t>)</w:t>
      </w:r>
      <w:r w:rsidR="00DE04B6">
        <w:t xml:space="preserve"> with new methods of technical analysis from Arab astrologers to extend a doctor's prognosis.</w:t>
      </w:r>
      <w:r w:rsidR="00DE04B6">
        <w:rPr>
          <w:rStyle w:val="FootnoteReference"/>
        </w:rPr>
        <w:footnoteReference w:id="17"/>
      </w:r>
      <w:r w:rsidR="00DE04B6">
        <w:t xml:space="preserve"> </w:t>
      </w:r>
    </w:p>
    <w:p w14:paraId="4F70D3CF" w14:textId="2A1DD51E" w:rsidR="00DE04B6" w:rsidRPr="000D0D49" w:rsidRDefault="00D81159" w:rsidP="000D0D49">
      <w:pPr>
        <w:spacing w:line="480" w:lineRule="auto"/>
        <w:rPr>
          <w:b/>
        </w:rPr>
      </w:pPr>
      <w:r>
        <w:t xml:space="preserve">    </w:t>
      </w:r>
      <w:r w:rsidRPr="00927613">
        <w:rPr>
          <w:b/>
        </w:rPr>
        <w:t>Comparison of the two papers</w:t>
      </w:r>
    </w:p>
    <w:p w14:paraId="6FE1F34D" w14:textId="7579DD45" w:rsidR="00FD38EE" w:rsidRDefault="000D0D49" w:rsidP="00802C8D">
      <w:pPr>
        <w:spacing w:line="480" w:lineRule="auto"/>
        <w:ind w:firstLine="720"/>
      </w:pPr>
      <w:r>
        <w:t xml:space="preserve">Cooper has a narrow focus, and does not describe the social context in which Galen wrote his </w:t>
      </w:r>
      <w:r w:rsidRPr="000D0D49">
        <w:rPr>
          <w:i/>
        </w:rPr>
        <w:t>Critical Days</w:t>
      </w:r>
      <w:r>
        <w:t xml:space="preserve">. In contrast, </w:t>
      </w:r>
      <w:r w:rsidR="00FD38EE">
        <w:t xml:space="preserve">French describes the reasons that Roger was so influential in bridging these different </w:t>
      </w:r>
      <w:r w:rsidR="00DE04B6">
        <w:t xml:space="preserve">cultural and </w:t>
      </w:r>
      <w:r>
        <w:t>textual dynamics.</w:t>
      </w:r>
      <w:r w:rsidR="00DE04B6">
        <w:t xml:space="preserve"> '</w:t>
      </w:r>
      <w:r w:rsidR="00FD38EE">
        <w:t xml:space="preserve">Roger was a key figure in the </w:t>
      </w:r>
      <w:r w:rsidR="00FD38EE">
        <w:lastRenderedPageBreak/>
        <w:t xml:space="preserve">dissemination of Arabic astrology in England because he was familiar with the </w:t>
      </w:r>
      <w:r w:rsidR="00FD38EE">
        <w:rPr>
          <w:i/>
        </w:rPr>
        <w:t xml:space="preserve">Introduction </w:t>
      </w:r>
      <w:r w:rsidR="00FD38EE">
        <w:rPr>
          <w:iCs/>
        </w:rPr>
        <w:t>of the ninth-century Muslim Ab</w:t>
      </w:r>
      <w:r w:rsidR="004C4A73">
        <w:rPr>
          <w:iCs/>
        </w:rPr>
        <w:t>ū Ma’shar</w:t>
      </w:r>
      <w:r w:rsidR="00DE04B6">
        <w:rPr>
          <w:iCs/>
        </w:rPr>
        <w:t>'</w:t>
      </w:r>
      <w:r w:rsidR="004C4A73">
        <w:rPr>
          <w:iCs/>
        </w:rPr>
        <w:t>.</w:t>
      </w:r>
      <w:r w:rsidR="00374DD5" w:rsidRPr="00374DD5">
        <w:rPr>
          <w:rStyle w:val="FootnoteReference"/>
        </w:rPr>
        <w:t xml:space="preserve"> </w:t>
      </w:r>
      <w:r w:rsidR="00374DD5" w:rsidRPr="00AC2D1E">
        <w:rPr>
          <w:rStyle w:val="FootnoteReference"/>
        </w:rPr>
        <w:footnoteReference w:id="18"/>
      </w:r>
      <w:r w:rsidR="00374DD5">
        <w:t xml:space="preserve"> In examining the contents of this text, French reveals some of the dynamics underlying epistemology at this time, particularly as </w:t>
      </w:r>
      <w:r w:rsidR="00374DD5">
        <w:rPr>
          <w:iCs/>
        </w:rPr>
        <w:t>Abū Ma’shar</w:t>
      </w:r>
      <w:r w:rsidR="00374DD5">
        <w:t>’s</w:t>
      </w:r>
      <w:r w:rsidR="0028566E">
        <w:t xml:space="preserve"> (787 - </w:t>
      </w:r>
      <w:r w:rsidR="0028566E" w:rsidRPr="0028566E">
        <w:t>886</w:t>
      </w:r>
      <w:r w:rsidR="0028566E">
        <w:t>)</w:t>
      </w:r>
      <w:r w:rsidR="00374DD5">
        <w:t xml:space="preserve"> epistemology influenced physicians and the practice of medicine.</w:t>
      </w:r>
      <w:r>
        <w:t xml:space="preserve"> He describes the nature of the medical guild, and touches on the formation of guilds of scholars into universities in the 12</w:t>
      </w:r>
      <w:r w:rsidRPr="000D0D49">
        <w:rPr>
          <w:vertAlign w:val="superscript"/>
        </w:rPr>
        <w:t>th</w:t>
      </w:r>
      <w:r>
        <w:t xml:space="preserve"> century.</w:t>
      </w:r>
      <w:r w:rsidR="00374DD5">
        <w:t xml:space="preserve"> Next, he discusses the European context for medicine and astrology, focusing particularly on the relationship between Greek rationalism and the teaching of medicine after an Aristotelian model while also noting that this educational dynamic generally arose just after Roger’s time.</w:t>
      </w:r>
      <w:r w:rsidR="00374DD5" w:rsidRPr="00AC2D1E">
        <w:rPr>
          <w:rStyle w:val="FootnoteReference"/>
        </w:rPr>
        <w:footnoteReference w:id="19"/>
      </w:r>
      <w:r w:rsidR="00374DD5">
        <w:t xml:space="preserve"> </w:t>
      </w:r>
      <w:r w:rsidR="00D37C9B">
        <w:t xml:space="preserve">French </w:t>
      </w:r>
      <w:r>
        <w:t>argues '</w:t>
      </w:r>
      <w:r w:rsidR="00D37C9B">
        <w:t>…doctors chose to base the theory of their subject on Aristotle’s physical principles and its technical content on the interpretation of Hippocratic</w:t>
      </w:r>
      <w:r w:rsidR="00AF27FB">
        <w:t xml:space="preserve"> (c. 460 -</w:t>
      </w:r>
      <w:r w:rsidR="00AF27FB" w:rsidRPr="00AF27FB">
        <w:t xml:space="preserve"> c. 370 BC</w:t>
      </w:r>
      <w:r w:rsidR="00AF27FB">
        <w:t>E)</w:t>
      </w:r>
      <w:r w:rsidR="00D37C9B">
        <w:t xml:space="preserve"> texts offered by Galen…</w:t>
      </w:r>
      <w:r>
        <w:t>'.</w:t>
      </w:r>
      <w:r w:rsidR="00645526" w:rsidRPr="00AC2D1E">
        <w:rPr>
          <w:rStyle w:val="FootnoteReference"/>
        </w:rPr>
        <w:footnoteReference w:id="20"/>
      </w:r>
      <w:r w:rsidR="007858BA">
        <w:t xml:space="preserve"> He also argues that this context is particularly meaningful because it made Roger’s astrological innovations even more disruptive. </w:t>
      </w:r>
    </w:p>
    <w:p w14:paraId="2D13E5C1" w14:textId="290781E1" w:rsidR="004A2DF0" w:rsidRDefault="007858BA" w:rsidP="00A06295">
      <w:pPr>
        <w:spacing w:line="480" w:lineRule="auto"/>
        <w:ind w:firstLine="720"/>
      </w:pPr>
      <w:r>
        <w:t>French then turns to what is known about Roger’s biography</w:t>
      </w:r>
      <w:r w:rsidR="00975DA1">
        <w:t xml:space="preserve">, </w:t>
      </w:r>
      <w:r>
        <w:t>education at Hereford</w:t>
      </w:r>
      <w:r w:rsidR="00AF27FB">
        <w:t>, and contemporaries</w:t>
      </w:r>
      <w:r w:rsidR="00975DA1">
        <w:t>.</w:t>
      </w:r>
      <w:r w:rsidR="00975DA1" w:rsidRPr="00975DA1">
        <w:rPr>
          <w:rStyle w:val="FootnoteReference"/>
        </w:rPr>
        <w:t xml:space="preserve"> </w:t>
      </w:r>
      <w:r w:rsidR="00975DA1" w:rsidRPr="00AC2D1E">
        <w:rPr>
          <w:rStyle w:val="FootnoteReference"/>
        </w:rPr>
        <w:footnoteReference w:id="21"/>
      </w:r>
      <w:r>
        <w:t xml:space="preserve"> </w:t>
      </w:r>
      <w:r w:rsidR="00975DA1">
        <w:t xml:space="preserve">For this portion of the essay, he relies on textual evidence and secondary historical documents to support his interpretation. </w:t>
      </w:r>
      <w:r w:rsidR="00EC1C89">
        <w:t>It is then that he turns his attention to the texts of Roger himself. The</w:t>
      </w:r>
      <w:r w:rsidR="00C35F1A">
        <w:t xml:space="preserve"> majority of the</w:t>
      </w:r>
      <w:r w:rsidR="00EC1C89">
        <w:t xml:space="preserve"> article is a t</w:t>
      </w:r>
      <w:r w:rsidR="00A06295">
        <w:t>extual analysis of Roger’s work</w:t>
      </w:r>
      <w:r w:rsidR="00C35F1A">
        <w:t>. French outlines the unique aspects of Roger’s scientific theories and their origins in the discourses outlined earlier in the article, including how Roger rec</w:t>
      </w:r>
      <w:r w:rsidR="000D0D49">
        <w:t xml:space="preserve">onciled these theories with </w:t>
      </w:r>
      <w:r w:rsidR="00C35F1A">
        <w:t>Church teachings.</w:t>
      </w:r>
      <w:r w:rsidR="0025419D">
        <w:t xml:space="preserve"> Next, he outlines the core tenets of the judicial astronomy system</w:t>
      </w:r>
      <w:r w:rsidR="00546599">
        <w:t xml:space="preserve">, and in particular, </w:t>
      </w:r>
      <w:r w:rsidR="000D0D49">
        <w:t>the 'three general judgments'</w:t>
      </w:r>
      <w:r w:rsidR="00032E4F">
        <w:t xml:space="preserve"> of Roger’s framework. These are </w:t>
      </w:r>
      <w:r w:rsidR="00104DB1">
        <w:t xml:space="preserve">elections, cogitation (sometimes </w:t>
      </w:r>
      <w:r w:rsidR="00104DB1">
        <w:lastRenderedPageBreak/>
        <w:t>called intention), and interrogation.</w:t>
      </w:r>
      <w:r w:rsidR="00104DB1" w:rsidRPr="00AC2D1E">
        <w:rPr>
          <w:rStyle w:val="FootnoteReference"/>
        </w:rPr>
        <w:footnoteReference w:id="22"/>
      </w:r>
      <w:r w:rsidR="00104DB1">
        <w:t xml:space="preserve"> They formed the bedrock of his novel uroscopy process,</w:t>
      </w:r>
      <w:r w:rsidR="000D0D49">
        <w:t xml:space="preserve"> through which Roger purported '</w:t>
      </w:r>
      <w:r w:rsidR="00104DB1">
        <w:t xml:space="preserve">…to be able to make judgments about the urine and the patient it came from </w:t>
      </w:r>
      <w:r w:rsidR="00104DB1">
        <w:rPr>
          <w:i/>
          <w:iCs/>
        </w:rPr>
        <w:t xml:space="preserve">without seeing </w:t>
      </w:r>
      <w:r w:rsidR="00104DB1" w:rsidRPr="00104DB1">
        <w:t>either</w:t>
      </w:r>
      <w:r w:rsidR="000D0D49">
        <w:t>'.</w:t>
      </w:r>
      <w:r w:rsidR="00104DB1" w:rsidRPr="00AC2D1E">
        <w:rPr>
          <w:rStyle w:val="FootnoteReference"/>
        </w:rPr>
        <w:footnoteReference w:id="23"/>
      </w:r>
      <w:r w:rsidR="00104DB1">
        <w:t xml:space="preserve">  </w:t>
      </w:r>
      <w:r w:rsidR="00104DB1" w:rsidRPr="00104DB1">
        <w:t>French</w:t>
      </w:r>
      <w:r w:rsidR="00104DB1">
        <w:t xml:space="preserve"> argues that these predictive judgments were an intuitive outgrowth of the predictive process of the healer or physician, and that Roger was among the first to</w:t>
      </w:r>
      <w:r w:rsidR="00A06295">
        <w:t xml:space="preserve"> define.</w:t>
      </w:r>
      <w:r w:rsidR="00621E8C" w:rsidRPr="00AC2D1E">
        <w:rPr>
          <w:rStyle w:val="FootnoteReference"/>
        </w:rPr>
        <w:footnoteReference w:id="24"/>
      </w:r>
      <w:r w:rsidR="00F623F6">
        <w:t xml:space="preserve"> </w:t>
      </w:r>
    </w:p>
    <w:p w14:paraId="06037E64" w14:textId="4AEE5F6E" w:rsidR="00BD14A8" w:rsidRDefault="00A06295" w:rsidP="00A06295">
      <w:pPr>
        <w:spacing w:line="480" w:lineRule="auto"/>
      </w:pPr>
      <w:r>
        <w:t xml:space="preserve">     </w:t>
      </w:r>
      <w:r w:rsidR="00627BAC">
        <w:t>Both Cooper and French are interested in astrology and how that shaped the epistemo</w:t>
      </w:r>
      <w:r w:rsidR="00244912">
        <w:t>logy and practice of medicine</w:t>
      </w:r>
      <w:r w:rsidR="00627BAC">
        <w:t xml:space="preserve">. </w:t>
      </w:r>
      <w:r w:rsidR="008A169C">
        <w:t>However, each scholar comes to distinct conclusions about th</w:t>
      </w:r>
      <w:r>
        <w:t>e role of astrology in the eras they study.</w:t>
      </w:r>
      <w:r w:rsidR="008A169C">
        <w:t xml:space="preserve"> French is interested in the Arabic influence on Roger,</w:t>
      </w:r>
      <w:r>
        <w:t xml:space="preserve"> and finds that astrology was core to Roger's medical theories. In contrast</w:t>
      </w:r>
      <w:r w:rsidR="008A169C">
        <w:t xml:space="preserve"> Cooper traces the beginnings of rationalism</w:t>
      </w:r>
      <w:r>
        <w:t>, with astrology just used rhetorically,</w:t>
      </w:r>
      <w:r w:rsidR="008A169C">
        <w:t xml:space="preserve"> in Galen. </w:t>
      </w:r>
    </w:p>
    <w:p w14:paraId="766A2147" w14:textId="7EECF8FE" w:rsidR="00CF30D9" w:rsidRDefault="00CF30D9" w:rsidP="00802C8D">
      <w:pPr>
        <w:spacing w:line="480" w:lineRule="auto"/>
        <w:ind w:firstLine="720"/>
      </w:pPr>
      <w:r>
        <w:t xml:space="preserve">For Cooper, astrology has two main branches, with the key differentiating feature being the role of agency; for French, </w:t>
      </w:r>
      <w:r w:rsidR="00F623F6">
        <w:t>there is no dichotomy, and astrology was situated within a broader system of belief in which the important and defining feature was the ability to know the future.</w:t>
      </w:r>
      <w:r w:rsidR="00F623F6" w:rsidRPr="00F623F6">
        <w:rPr>
          <w:rStyle w:val="FootnoteReference"/>
        </w:rPr>
        <w:t xml:space="preserve"> </w:t>
      </w:r>
      <w:r w:rsidR="00F623F6" w:rsidRPr="00AC2D1E">
        <w:rPr>
          <w:rStyle w:val="FootnoteReference"/>
        </w:rPr>
        <w:footnoteReference w:id="25"/>
      </w:r>
      <w:r w:rsidR="00F623F6">
        <w:t xml:space="preserve"> </w:t>
      </w:r>
      <w:r>
        <w:t xml:space="preserve"> </w:t>
      </w:r>
      <w:r w:rsidR="00F623F6">
        <w:t>These distinctions may come from the fact that each scholar was studying a different w</w:t>
      </w:r>
      <w:r w:rsidR="00244912">
        <w:t>riter in a different culture</w:t>
      </w:r>
      <w:r w:rsidR="00F623F6">
        <w:t xml:space="preserve">. However, these distinctions may also be historiographic, reflecting differences in scholarly thought between 1996, when French published his article, and 2011, when Cooper published his. </w:t>
      </w:r>
    </w:p>
    <w:p w14:paraId="2ED302D5" w14:textId="7CE135DC" w:rsidR="00073A95" w:rsidRDefault="005150B5" w:rsidP="007109BA">
      <w:pPr>
        <w:spacing w:line="480" w:lineRule="auto"/>
      </w:pPr>
      <w:r>
        <w:t xml:space="preserve">     Science clearly </w:t>
      </w:r>
      <w:r w:rsidR="00073A95">
        <w:t xml:space="preserve">has different meanings for each of these </w:t>
      </w:r>
      <w:r>
        <w:t xml:space="preserve">scholars. Cooper’s interest in Classical </w:t>
      </w:r>
      <w:r w:rsidR="00073A95">
        <w:t xml:space="preserve">science seems to lie in its relationship to what is now considered </w:t>
      </w:r>
      <w:r w:rsidR="00244912">
        <w:t>empiricism and rationalism</w:t>
      </w:r>
      <w:r w:rsidR="00073A95">
        <w:t>. In contrast, French understands science as a largely medical practice</w:t>
      </w:r>
      <w:r w:rsidR="003C7D6A">
        <w:t xml:space="preserve"> that only had rationalism added to it later when the teaching of medicine was formalized through institutions </w:t>
      </w:r>
      <w:r w:rsidR="003C7D6A">
        <w:lastRenderedPageBreak/>
        <w:t>like universities.</w:t>
      </w:r>
      <w:r w:rsidR="003C7D6A" w:rsidRPr="00AC2D1E">
        <w:rPr>
          <w:rStyle w:val="FootnoteReference"/>
        </w:rPr>
        <w:footnoteReference w:id="26"/>
      </w:r>
      <w:r w:rsidR="003C7D6A">
        <w:t xml:space="preserve">  </w:t>
      </w:r>
      <w:r w:rsidR="00073A95">
        <w:t xml:space="preserve">This practice </w:t>
      </w:r>
      <w:r w:rsidR="003C7D6A">
        <w:t xml:space="preserve">was multicultural and </w:t>
      </w:r>
      <w:r>
        <w:t xml:space="preserve">integrative. </w:t>
      </w:r>
      <w:r w:rsidR="009067F4">
        <w:t>French’s view of ratio</w:t>
      </w:r>
      <w:r w:rsidR="00244912">
        <w:t xml:space="preserve">nality and science is rooted </w:t>
      </w:r>
      <w:r w:rsidR="009067F4">
        <w:t>in the practice of medicine</w:t>
      </w:r>
      <w:r w:rsidR="00244912">
        <w:t xml:space="preserve"> and astrology. T</w:t>
      </w:r>
      <w:r w:rsidR="00931129">
        <w:t>his approach to science was a means of rendering visible the invisible and understanding that which cannot be perceived</w:t>
      </w:r>
      <w:r w:rsidR="00FD0674">
        <w:t xml:space="preserve"> by senses</w:t>
      </w:r>
      <w:r w:rsidR="00931129">
        <w:t>, in order to better predict the future.  Cooper’s reading of Galen</w:t>
      </w:r>
      <w:r w:rsidR="00AE78C7">
        <w:t xml:space="preserve">, </w:t>
      </w:r>
      <w:r w:rsidR="00931129">
        <w:t>meanwhile</w:t>
      </w:r>
      <w:r w:rsidR="00AE78C7">
        <w:t>,</w:t>
      </w:r>
      <w:r w:rsidR="00931129">
        <w:t xml:space="preserve"> suggests that Rationalism is a thought process of finding meaning and causa</w:t>
      </w:r>
      <w:r w:rsidR="00244912">
        <w:t>lity within the empirical world</w:t>
      </w:r>
      <w:r w:rsidR="00931129">
        <w:t xml:space="preserve">. French seems to believe that astrology could enhance this rationalism because it provided another source of evidence on which to base these predictions, whereas Cooper seeks to diminish the role of astrology because of its non-empirical nature. </w:t>
      </w:r>
      <w:r w:rsidR="00AE78C7">
        <w:br/>
      </w:r>
      <w:r w:rsidR="00AE78C7">
        <w:tab/>
        <w:t>Nearly 20 years separate these essays, so perhaps changes in the field or even broader changes in culture</w:t>
      </w:r>
      <w:r w:rsidR="00371DBA">
        <w:t xml:space="preserve"> overall explains differing positions</w:t>
      </w:r>
      <w:r w:rsidR="00AE78C7">
        <w:t xml:space="preserve">. </w:t>
      </w:r>
      <w:r w:rsidR="00945892">
        <w:t>When French wrote i</w:t>
      </w:r>
      <w:r w:rsidR="00371DBA">
        <w:t>n the 1990s prominent</w:t>
      </w:r>
      <w:r w:rsidR="00945892">
        <w:t xml:space="preserve"> cultural discourses had to do with globalization and multiculturalism. </w:t>
      </w:r>
      <w:r w:rsidR="00371DBA">
        <w:t>In contrast, when Cooper was</w:t>
      </w:r>
      <w:r w:rsidR="00327204">
        <w:t xml:space="preserve"> writing, the dominant cultural discourses </w:t>
      </w:r>
      <w:r w:rsidR="00E3130F">
        <w:t>of division and perception may have shaped his writing. I</w:t>
      </w:r>
      <w:r w:rsidR="00327204">
        <w:t>t is worth noting that Cooper is</w:t>
      </w:r>
      <w:r w:rsidR="002A6B3F">
        <w:t xml:space="preserve"> a professor at </w:t>
      </w:r>
      <w:r w:rsidR="00327204">
        <w:t>Brigham Young University</w:t>
      </w:r>
      <w:r w:rsidR="002A6B3F">
        <w:t>, which is known for being very culturally conservative</w:t>
      </w:r>
      <w:r w:rsidR="00327204">
        <w:t>.</w:t>
      </w:r>
      <w:r w:rsidR="003F73F3">
        <w:t xml:space="preserve"> Today the Church of Latter Day Saints is not supportive of astrology, which is usually lumped together with magic. In some of Cooper's</w:t>
      </w:r>
      <w:r w:rsidR="00304DBD">
        <w:t xml:space="preserve"> other publications, he </w:t>
      </w:r>
      <w:r w:rsidR="00802C8D">
        <w:t>addressed the broader conversation about how historians interpret astrology, delineating a more complex taxonomy than in his 2011 article, and maintains the idea that Galen’s use of astrology was minor.</w:t>
      </w:r>
      <w:r w:rsidR="00802C8D" w:rsidRPr="00AC2D1E">
        <w:rPr>
          <w:rStyle w:val="FootnoteReference"/>
        </w:rPr>
        <w:footnoteReference w:id="27"/>
      </w:r>
      <w:r w:rsidR="009325A0">
        <w:t xml:space="preserve"> </w:t>
      </w:r>
    </w:p>
    <w:p w14:paraId="07B2CD2D" w14:textId="6AF59311" w:rsidR="00522BC3" w:rsidRDefault="004C52F8" w:rsidP="00894CB4">
      <w:pPr>
        <w:spacing w:line="480" w:lineRule="auto"/>
      </w:pPr>
      <w:r>
        <w:t xml:space="preserve">     </w:t>
      </w:r>
      <w:r w:rsidR="00DD6408">
        <w:t>Cooper’s paper has been cited by others</w:t>
      </w:r>
      <w:r w:rsidR="007109BA">
        <w:t xml:space="preserve">. </w:t>
      </w:r>
      <w:r w:rsidR="00CF2E49">
        <w:t>Michelle Pfeffer</w:t>
      </w:r>
      <w:r w:rsidR="00547EFC">
        <w:t xml:space="preserve"> notes that astrology has been</w:t>
      </w:r>
      <w:r w:rsidR="006257B4">
        <w:t xml:space="preserve"> increasingly</w:t>
      </w:r>
      <w:r w:rsidR="00547EFC">
        <w:t xml:space="preserve"> marginalized during the shift from a pre-modern to the modern world, but that recent trends suggest it is now gaining back lost ground, but this time for its historical </w:t>
      </w:r>
      <w:r w:rsidR="00547EFC">
        <w:lastRenderedPageBreak/>
        <w:t xml:space="preserve">importance. Pfeffer cites Cooper's </w:t>
      </w:r>
      <w:r>
        <w:t>hypothesis that while Galen was interested in astrology, he had little skill in the art</w:t>
      </w:r>
      <w:r w:rsidR="00CF2E49">
        <w:t>.</w:t>
      </w:r>
      <w:r w:rsidR="00547EFC">
        <w:rPr>
          <w:rStyle w:val="FootnoteReference"/>
        </w:rPr>
        <w:footnoteReference w:id="28"/>
      </w:r>
      <w:r w:rsidR="00547EFC">
        <w:t xml:space="preserve"> </w:t>
      </w:r>
      <w:r w:rsidR="00CF2E49">
        <w:t xml:space="preserve"> </w:t>
      </w:r>
    </w:p>
    <w:p w14:paraId="66F14538" w14:textId="5A39D9AA" w:rsidR="007109BA" w:rsidRDefault="00F94D49" w:rsidP="00C0418C">
      <w:pPr>
        <w:spacing w:line="480" w:lineRule="auto"/>
        <w:ind w:firstLine="720"/>
      </w:pPr>
      <w:r>
        <w:t>N</w:t>
      </w:r>
      <w:r w:rsidR="00461694">
        <w:t>ot all</w:t>
      </w:r>
      <w:r w:rsidR="000C0609">
        <w:t xml:space="preserve"> contemporary</w:t>
      </w:r>
      <w:r w:rsidR="006257B4">
        <w:t xml:space="preserve"> scholars agree that astrology would not have been considered a science</w:t>
      </w:r>
      <w:r>
        <w:t xml:space="preserve"> (given that word had a different meaning in the past) in the m</w:t>
      </w:r>
      <w:r w:rsidR="00461694">
        <w:t xml:space="preserve">edieval era. </w:t>
      </w:r>
      <w:r w:rsidR="000C3058">
        <w:t>Elly Truitt</w:t>
      </w:r>
      <w:r w:rsidR="000C0609">
        <w:t xml:space="preserve"> </w:t>
      </w:r>
      <w:r>
        <w:t>notes that '</w:t>
      </w:r>
      <w:r w:rsidRPr="00F94D49">
        <w:t xml:space="preserve"> Astronodia is a medieval term that covers the mathematical, predictive, and interpretive aspects of astral science</w:t>
      </w:r>
      <w:r>
        <w:t>'</w:t>
      </w:r>
      <w:r w:rsidR="000C0609">
        <w:t>.</w:t>
      </w:r>
      <w:r w:rsidR="007C6747">
        <w:rPr>
          <w:rStyle w:val="FootnoteReference"/>
        </w:rPr>
        <w:footnoteReference w:id="29"/>
      </w:r>
      <w:r w:rsidR="00025536">
        <w:t xml:space="preserve"> Others</w:t>
      </w:r>
      <w:r w:rsidR="000C3058">
        <w:t xml:space="preserve"> like Irene Caiazzo argue </w:t>
      </w:r>
      <w:r w:rsidR="00025536">
        <w:t xml:space="preserve">that the distinctions and applications </w:t>
      </w:r>
      <w:r w:rsidR="000C3058">
        <w:t>of science differed</w:t>
      </w:r>
      <w:r w:rsidR="00025536">
        <w:t xml:space="preserve"> based on the region and institution in which t</w:t>
      </w:r>
      <w:r w:rsidR="000C3058">
        <w:t>he writer had been educated because the primary mode of instruction was oral lectures</w:t>
      </w:r>
      <w:r w:rsidR="00025536">
        <w:t>.</w:t>
      </w:r>
      <w:r w:rsidR="00025536">
        <w:rPr>
          <w:rStyle w:val="FootnoteReference"/>
        </w:rPr>
        <w:footnoteReference w:id="30"/>
      </w:r>
      <w:r w:rsidR="00025536">
        <w:t xml:space="preserve"> </w:t>
      </w:r>
      <w:r w:rsidR="000C3058">
        <w:t>S</w:t>
      </w:r>
      <w:r w:rsidR="00C72442">
        <w:t>cholars</w:t>
      </w:r>
      <w:r w:rsidR="000C3058">
        <w:t xml:space="preserve"> like</w:t>
      </w:r>
      <w:r w:rsidR="000C3058" w:rsidRPr="000C3058">
        <w:t xml:space="preserve"> Dorian Gieseler</w:t>
      </w:r>
      <w:r w:rsidR="00C72442">
        <w:t xml:space="preserve"> </w:t>
      </w:r>
      <w:r w:rsidR="000C3058" w:rsidRPr="000C3058">
        <w:t>Greenbaum</w:t>
      </w:r>
      <w:r w:rsidR="000C3058">
        <w:t xml:space="preserve"> </w:t>
      </w:r>
      <w:r w:rsidR="00C0418C">
        <w:t>suggest that for the ancient Greeks, '</w:t>
      </w:r>
      <w:r w:rsidR="00C0418C">
        <w:t>div</w:t>
      </w:r>
      <w:r w:rsidR="00C0418C">
        <w:t xml:space="preserve">ination, medicine and astrology </w:t>
      </w:r>
      <w:r w:rsidR="00C0418C">
        <w:t xml:space="preserve">are, furthermore, all considered to be </w:t>
      </w:r>
      <w:r w:rsidR="00C0418C" w:rsidRPr="00C0418C">
        <w:rPr>
          <w:i/>
        </w:rPr>
        <w:t>technai</w:t>
      </w:r>
      <w:r w:rsidR="00C0418C">
        <w:t>, arts</w:t>
      </w:r>
      <w:r w:rsidR="00C0418C">
        <w:t>'</w:t>
      </w:r>
      <w:r w:rsidR="00C0418C">
        <w:t>.</w:t>
      </w:r>
      <w:r w:rsidR="00C0418C">
        <w:t xml:space="preserve"> Therefore, many ancient Greeks would not have appreciated astrology as irrational</w:t>
      </w:r>
      <w:r w:rsidR="00C72442">
        <w:t>.</w:t>
      </w:r>
      <w:r w:rsidR="00433208">
        <w:rPr>
          <w:rStyle w:val="FootnoteReference"/>
        </w:rPr>
        <w:footnoteReference w:id="31"/>
      </w:r>
      <w:r w:rsidR="00C72442">
        <w:t xml:space="preserve"> </w:t>
      </w:r>
    </w:p>
    <w:p w14:paraId="19C1BE6F" w14:textId="53099954" w:rsidR="004A2DF0" w:rsidRDefault="004A2DF0" w:rsidP="004A2DF0">
      <w:pPr>
        <w:spacing w:line="480" w:lineRule="auto"/>
        <w:rPr>
          <w:b/>
        </w:rPr>
      </w:pPr>
      <w:r w:rsidRPr="004A2DF0">
        <w:rPr>
          <w:b/>
        </w:rPr>
        <w:t>Conclusion</w:t>
      </w:r>
    </w:p>
    <w:p w14:paraId="324C13E4" w14:textId="05A88CEF" w:rsidR="004A2DF0" w:rsidRPr="004A2DF0" w:rsidRDefault="00A05A61" w:rsidP="00A05A61">
      <w:pPr>
        <w:spacing w:line="480" w:lineRule="auto"/>
        <w:ind w:firstLine="720"/>
      </w:pPr>
      <w:r w:rsidRPr="004A2DF0">
        <w:t>These two essays set together open up a broader conversation, not just about astrology</w:t>
      </w:r>
      <w:r>
        <w:t xml:space="preserve"> and </w:t>
      </w:r>
      <w:r>
        <w:t>medicine</w:t>
      </w:r>
      <w:r w:rsidRPr="004A2DF0">
        <w:t xml:space="preserve"> in the pre-modern era, but also about epistemology and the systems that crea</w:t>
      </w:r>
      <w:r>
        <w:t xml:space="preserve">te and circulate it. </w:t>
      </w:r>
      <w:r w:rsidR="00BE1F72">
        <w:t>W</w:t>
      </w:r>
      <w:r w:rsidR="00894CB4">
        <w:t>hen read in conversation with French’s article, Cooper’s seems somewhat limited because of the narrower scope of evidence he uses.</w:t>
      </w:r>
      <w:r>
        <w:t xml:space="preserve"> It also addresses the issue of astrology being seen as being irrational, without fully exploring how it may have been viewed as rational. In the end, Cooper's main hypothesis seems weakly supported. In contrast,</w:t>
      </w:r>
      <w:r w:rsidR="00894CB4">
        <w:t xml:space="preserve"> French does an excellent job articulating the system of meaning within Roger’s work, </w:t>
      </w:r>
      <w:r>
        <w:t xml:space="preserve">including exploring how medicine and </w:t>
      </w:r>
      <w:r>
        <w:lastRenderedPageBreak/>
        <w:t>astrology functioned in 12</w:t>
      </w:r>
      <w:r w:rsidRPr="00A05A61">
        <w:rPr>
          <w:vertAlign w:val="superscript"/>
        </w:rPr>
        <w:t>th</w:t>
      </w:r>
      <w:r>
        <w:t xml:space="preserve"> century England. Importantly, French explored the wider issue of cultural diffusion from Arab texts and linked the rise of many academic fields with the development of guilds that would later lead to universities. </w:t>
      </w:r>
    </w:p>
    <w:p w14:paraId="6AACFEDE" w14:textId="77777777" w:rsidR="001F16B9" w:rsidRDefault="001F16B9" w:rsidP="00DD33F4">
      <w:pPr>
        <w:rPr>
          <w:lang w:val="en-GB"/>
        </w:rPr>
      </w:pPr>
    </w:p>
    <w:p w14:paraId="093C836B" w14:textId="77777777" w:rsidR="00894CB4" w:rsidRDefault="00894CB4" w:rsidP="00DD33F4">
      <w:pPr>
        <w:rPr>
          <w:lang w:val="en-GB"/>
        </w:rPr>
      </w:pPr>
    </w:p>
    <w:p w14:paraId="284A7B90" w14:textId="29DF0BF4" w:rsidR="00816827" w:rsidRPr="007C6747" w:rsidRDefault="007C6747" w:rsidP="007C6747">
      <w:pPr>
        <w:spacing w:line="480" w:lineRule="auto"/>
        <w:jc w:val="center"/>
        <w:rPr>
          <w:b/>
          <w:bCs/>
        </w:rPr>
      </w:pPr>
      <w:r w:rsidRPr="007C6747">
        <w:rPr>
          <w:b/>
          <w:bCs/>
        </w:rPr>
        <w:t>Bibliography</w:t>
      </w:r>
    </w:p>
    <w:p w14:paraId="76455727" w14:textId="77777777" w:rsidR="006F0523" w:rsidRDefault="006F0523" w:rsidP="002A2E8F">
      <w:pPr>
        <w:ind w:left="720" w:hanging="720"/>
      </w:pPr>
      <w:r>
        <w:t xml:space="preserve">BYU College of Humanities, </w:t>
      </w:r>
      <w:r w:rsidRPr="00295F6E">
        <w:rPr>
          <w:i/>
        </w:rPr>
        <w:t>Glen Cooper</w:t>
      </w:r>
      <w:r>
        <w:t xml:space="preserve"> (2023), &lt;https://hum.byu.edu/directory/glen-cooper&gt; [accessed 4 November 2023]</w:t>
      </w:r>
    </w:p>
    <w:p w14:paraId="3EC53F6E" w14:textId="77777777" w:rsidR="002A2E8F" w:rsidRDefault="002A2E8F" w:rsidP="002A2E8F">
      <w:pPr>
        <w:ind w:left="720" w:hanging="720"/>
      </w:pPr>
    </w:p>
    <w:p w14:paraId="5D2D6788" w14:textId="02542C38" w:rsidR="006F0523" w:rsidRDefault="00295F6E" w:rsidP="002A2E8F">
      <w:pPr>
        <w:ind w:left="720" w:hanging="720"/>
      </w:pPr>
      <w:r w:rsidRPr="00295F6E">
        <w:t xml:space="preserve">Caiazzo, </w:t>
      </w:r>
      <w:r w:rsidRPr="00295F6E">
        <w:t>Irene</w:t>
      </w:r>
      <w:r w:rsidRPr="00295F6E">
        <w:t xml:space="preserve"> 'Teaching the Quadrivium in the Twelfth-Century Schools', in </w:t>
      </w:r>
      <w:r w:rsidRPr="00295F6E">
        <w:rPr>
          <w:i/>
        </w:rPr>
        <w:t>A Companion to Twelfth-Century Schools</w:t>
      </w:r>
      <w:r w:rsidRPr="00295F6E">
        <w:t xml:space="preserve"> ed.by Cédric Giraud, tr. by Ignacio Duran (Leid</w:t>
      </w:r>
      <w:r>
        <w:t>en: Brill, 2019),pp. 180-202</w:t>
      </w:r>
    </w:p>
    <w:p w14:paraId="301F2F96" w14:textId="77777777" w:rsidR="002A2E8F" w:rsidRDefault="002A2E8F" w:rsidP="002A2E8F">
      <w:pPr>
        <w:ind w:left="720" w:hanging="720"/>
      </w:pPr>
    </w:p>
    <w:p w14:paraId="31E9A9B1" w14:textId="1FDFA683" w:rsidR="006F0523" w:rsidRDefault="005A189D" w:rsidP="002A2E8F">
      <w:pPr>
        <w:ind w:left="720" w:hanging="720"/>
      </w:pPr>
      <w:r>
        <w:t>Campion, Nicholas</w:t>
      </w:r>
      <w:r w:rsidRPr="005A189D">
        <w:t xml:space="preserve">, </w:t>
      </w:r>
      <w:r w:rsidRPr="005A189D">
        <w:rPr>
          <w:i/>
        </w:rPr>
        <w:t>A History of Western Astrology Vol. 1: The Ancient World</w:t>
      </w:r>
      <w:r>
        <w:t xml:space="preserve"> (London: Bloomsbury, 2009)</w:t>
      </w:r>
    </w:p>
    <w:p w14:paraId="58A223CE" w14:textId="77777777" w:rsidR="002A2E8F" w:rsidRDefault="002A2E8F" w:rsidP="002A2E8F">
      <w:pPr>
        <w:ind w:left="720" w:hanging="720"/>
      </w:pPr>
    </w:p>
    <w:p w14:paraId="6C1FCA9B" w14:textId="2D71CE39" w:rsidR="006F0523" w:rsidRDefault="006F0523" w:rsidP="002A2E8F">
      <w:pPr>
        <w:ind w:left="720" w:hanging="720"/>
      </w:pPr>
      <w:r>
        <w:t xml:space="preserve">Claremont McKenna College, </w:t>
      </w:r>
      <w:r w:rsidRPr="00295F6E">
        <w:rPr>
          <w:i/>
        </w:rPr>
        <w:t>Professor Glen Cooper</w:t>
      </w:r>
      <w:r>
        <w:t xml:space="preserve"> (2023), </w:t>
      </w:r>
      <w:r w:rsidR="005A189D">
        <w:t>&lt;</w:t>
      </w:r>
      <w:r>
        <w:t>https://www.cmc.edu/news/professor-glen-cooper-brings-expertise-in-late-antique-middle-eastern-european-studies-to-cmc</w:t>
      </w:r>
      <w:r w:rsidR="005A189D">
        <w:t>&gt;</w:t>
      </w:r>
      <w:r>
        <w:t xml:space="preserve"> [acces</w:t>
      </w:r>
      <w:r w:rsidR="005A189D">
        <w:t>sed 4 November 2023]</w:t>
      </w:r>
    </w:p>
    <w:p w14:paraId="5F448E06" w14:textId="77777777" w:rsidR="002A2E8F" w:rsidRDefault="002A2E8F" w:rsidP="002A2E8F">
      <w:pPr>
        <w:ind w:left="720" w:hanging="720"/>
      </w:pPr>
    </w:p>
    <w:p w14:paraId="1AAC9E50" w14:textId="736B9E10" w:rsidR="006F0523" w:rsidRDefault="005A189D" w:rsidP="002A2E8F">
      <w:pPr>
        <w:ind w:left="720" w:hanging="720"/>
      </w:pPr>
      <w:r>
        <w:t>Cooper, Glen M.</w:t>
      </w:r>
      <w:r w:rsidR="00C91462">
        <w:t>,</w:t>
      </w:r>
      <w:r>
        <w:t xml:space="preserve"> '</w:t>
      </w:r>
      <w:r w:rsidR="006F0523">
        <w:t>Approaches to the Critical Days in Late Med</w:t>
      </w:r>
      <w:r>
        <w:t>ieval and Renaissance Thinkers',</w:t>
      </w:r>
      <w:r w:rsidR="006F0523">
        <w:t xml:space="preserve"> </w:t>
      </w:r>
      <w:r>
        <w:t xml:space="preserve">in </w:t>
      </w:r>
      <w:r w:rsidR="006F0523" w:rsidRPr="005A189D">
        <w:rPr>
          <w:i/>
        </w:rPr>
        <w:t>Early Science and Medicine</w:t>
      </w:r>
      <w:r w:rsidR="00C91462">
        <w:rPr>
          <w:i/>
        </w:rPr>
        <w:t>,</w:t>
      </w:r>
      <w:r>
        <w:t xml:space="preserve"> 18.6 (2013),</w:t>
      </w:r>
      <w:r w:rsidR="00C91462">
        <w:t xml:space="preserve"> 536–65</w:t>
      </w:r>
    </w:p>
    <w:p w14:paraId="64095425" w14:textId="77777777" w:rsidR="002A2E8F" w:rsidRDefault="002A2E8F" w:rsidP="002A2E8F">
      <w:pPr>
        <w:ind w:left="720" w:hanging="720"/>
      </w:pPr>
    </w:p>
    <w:p w14:paraId="6B421C3B" w14:textId="0DA18FDF" w:rsidR="006F0523" w:rsidRDefault="00C91462" w:rsidP="002A2E8F">
      <w:pPr>
        <w:ind w:left="720" w:hanging="720"/>
      </w:pPr>
      <w:r>
        <w:t>———. '</w:t>
      </w:r>
      <w:r w:rsidR="006F0523">
        <w:t>Gale</w:t>
      </w:r>
      <w:r>
        <w:t xml:space="preserve">n and Astrology: A Mésalliance?', in </w:t>
      </w:r>
      <w:r w:rsidR="006F0523" w:rsidRPr="00C91462">
        <w:rPr>
          <w:i/>
        </w:rPr>
        <w:t>E</w:t>
      </w:r>
      <w:r w:rsidRPr="00C91462">
        <w:rPr>
          <w:i/>
        </w:rPr>
        <w:t>arly Science and Medicine</w:t>
      </w:r>
      <w:r>
        <w:t xml:space="preserve"> 16.2 (2011), 120-</w:t>
      </w:r>
      <w:r w:rsidR="003A0FB6">
        <w:t>46</w:t>
      </w:r>
    </w:p>
    <w:p w14:paraId="54EDF2B8" w14:textId="77777777" w:rsidR="002A2E8F" w:rsidRDefault="002A2E8F" w:rsidP="002A2E8F">
      <w:pPr>
        <w:ind w:left="720" w:hanging="720"/>
      </w:pPr>
    </w:p>
    <w:p w14:paraId="6241F3F9" w14:textId="34A4A0A5" w:rsidR="006F0523" w:rsidRDefault="00C91462" w:rsidP="002A2E8F">
      <w:pPr>
        <w:ind w:left="720" w:hanging="720"/>
      </w:pPr>
      <w:r>
        <w:t>French, Roger, '</w:t>
      </w:r>
      <w:r w:rsidR="006F0523">
        <w:t>Foretelling the Future: Arabic Astrology and English Medic</w:t>
      </w:r>
      <w:r>
        <w:t>ine in the Late Twelfth Century', in</w:t>
      </w:r>
      <w:r w:rsidR="006F0523">
        <w:t xml:space="preserve"> </w:t>
      </w:r>
      <w:r w:rsidR="006F0523" w:rsidRPr="00C91462">
        <w:rPr>
          <w:i/>
        </w:rPr>
        <w:t>Isis</w:t>
      </w:r>
      <w:r>
        <w:t xml:space="preserve"> 87.3 (1996), 453–80</w:t>
      </w:r>
    </w:p>
    <w:p w14:paraId="47857088" w14:textId="77777777" w:rsidR="002A2E8F" w:rsidRDefault="002A2E8F" w:rsidP="002A2E8F">
      <w:pPr>
        <w:ind w:left="720" w:hanging="720"/>
      </w:pPr>
    </w:p>
    <w:p w14:paraId="167F0B73" w14:textId="11E50B98" w:rsidR="006F0523" w:rsidRDefault="006F0523" w:rsidP="002A2E8F">
      <w:pPr>
        <w:ind w:left="720" w:hanging="720"/>
      </w:pPr>
      <w:r>
        <w:t>Greenbaum, Dorian Gie</w:t>
      </w:r>
      <w:r w:rsidR="00C91462">
        <w:t xml:space="preserve">seler, </w:t>
      </w:r>
      <w:r w:rsidR="00C91462" w:rsidRPr="00C91462">
        <w:t xml:space="preserve">'Divination and Decumbiture: Katarchic Astrology and Greek Medicine', in </w:t>
      </w:r>
      <w:r w:rsidR="00C91462" w:rsidRPr="00C91462">
        <w:rPr>
          <w:i/>
        </w:rPr>
        <w:t>Divination and Knowledge in Greco-Roman Antiquity</w:t>
      </w:r>
      <w:r w:rsidR="00C91462" w:rsidRPr="00C91462">
        <w:t>, ed. by Crystal Addey (London: Routle</w:t>
      </w:r>
      <w:r w:rsidR="00C91462">
        <w:t>dge, 2021), pp. 110-137</w:t>
      </w:r>
    </w:p>
    <w:p w14:paraId="653AFCA0" w14:textId="77777777" w:rsidR="002A2E8F" w:rsidRDefault="002A2E8F" w:rsidP="002A2E8F">
      <w:pPr>
        <w:ind w:left="720" w:hanging="720"/>
      </w:pPr>
    </w:p>
    <w:p w14:paraId="22E6FF30" w14:textId="78359585" w:rsidR="006F0523" w:rsidRDefault="006F0523" w:rsidP="002A2E8F">
      <w:pPr>
        <w:ind w:left="720" w:hanging="720"/>
      </w:pPr>
      <w:r>
        <w:t>Lloyd, Geoffrey E.R.</w:t>
      </w:r>
      <w:r w:rsidR="004B5DDC">
        <w:t>,</w:t>
      </w:r>
      <w:r>
        <w:t xml:space="preserve"> 'Aspects of the Interrelations of Medicine, Magic and Philosophy in Ancient Greece</w:t>
      </w:r>
      <w:r w:rsidR="003A0FB6">
        <w:t>'</w:t>
      </w:r>
      <w:r>
        <w:t xml:space="preserve">, </w:t>
      </w:r>
      <w:r w:rsidR="004B5DDC">
        <w:t xml:space="preserve">in </w:t>
      </w:r>
      <w:r w:rsidRPr="004B5DDC">
        <w:rPr>
          <w:i/>
        </w:rPr>
        <w:t>Apeiron: A Journal for Ancient Philosophy and</w:t>
      </w:r>
      <w:r>
        <w:t xml:space="preserve"> </w:t>
      </w:r>
      <w:r w:rsidRPr="004B5DDC">
        <w:rPr>
          <w:i/>
        </w:rPr>
        <w:t>Science</w:t>
      </w:r>
      <w:r w:rsidR="004B5DDC">
        <w:t>, 9.1 (1975), 1–16</w:t>
      </w:r>
    </w:p>
    <w:p w14:paraId="22FA838F" w14:textId="77777777" w:rsidR="002A2E8F" w:rsidRDefault="002A2E8F" w:rsidP="002A2E8F">
      <w:pPr>
        <w:ind w:left="720" w:hanging="720"/>
      </w:pPr>
    </w:p>
    <w:p w14:paraId="12D8A810" w14:textId="3D10F6E8" w:rsidR="006F0523" w:rsidRDefault="003A0FB6" w:rsidP="002A2E8F">
      <w:pPr>
        <w:ind w:left="720" w:hanging="720"/>
      </w:pPr>
      <w:r>
        <w:t>Pfeffer, Michelle, '</w:t>
      </w:r>
      <w:r w:rsidR="006F0523">
        <w:t>Reassessing the Marginalization of Astr</w:t>
      </w:r>
      <w:r>
        <w:t>ology in the Early Modern World', in</w:t>
      </w:r>
      <w:r w:rsidR="006F0523">
        <w:t xml:space="preserve"> </w:t>
      </w:r>
      <w:r w:rsidR="006F0523" w:rsidRPr="003A0FB6">
        <w:rPr>
          <w:i/>
        </w:rPr>
        <w:t>The Historical Journal</w:t>
      </w:r>
      <w:r>
        <w:t xml:space="preserve"> (September 6, 2023), 1–25</w:t>
      </w:r>
      <w:r w:rsidR="006F0523">
        <w:t xml:space="preserve"> </w:t>
      </w:r>
    </w:p>
    <w:p w14:paraId="7F95BAF8" w14:textId="77777777" w:rsidR="002A2E8F" w:rsidRDefault="002A2E8F" w:rsidP="002A2E8F">
      <w:pPr>
        <w:ind w:left="720" w:hanging="720"/>
      </w:pPr>
    </w:p>
    <w:p w14:paraId="1CB41634" w14:textId="4CEFDE99" w:rsidR="006F0523" w:rsidRDefault="003A0FB6" w:rsidP="002A2E8F">
      <w:pPr>
        <w:ind w:left="720" w:hanging="720"/>
      </w:pPr>
      <w:r>
        <w:t>Ripat, Pauline, '</w:t>
      </w:r>
      <w:r w:rsidR="006F0523">
        <w:t>Expelling Misco</w:t>
      </w:r>
      <w:r>
        <w:t>nceptions: Astrologers At Rome', in</w:t>
      </w:r>
      <w:r w:rsidR="006F0523">
        <w:t xml:space="preserve"> </w:t>
      </w:r>
      <w:r w:rsidR="006F0523" w:rsidRPr="003A0FB6">
        <w:rPr>
          <w:i/>
        </w:rPr>
        <w:t>Classical Philology</w:t>
      </w:r>
      <w:r>
        <w:t xml:space="preserve"> 106.2 (2011), 115–54</w:t>
      </w:r>
    </w:p>
    <w:p w14:paraId="43C478B2" w14:textId="1807E808" w:rsidR="006F0523" w:rsidRDefault="006F0523" w:rsidP="002A2E8F">
      <w:pPr>
        <w:ind w:left="720" w:hanging="720"/>
      </w:pPr>
      <w:r>
        <w:lastRenderedPageBreak/>
        <w:t>Truitt, E. R.</w:t>
      </w:r>
      <w:r w:rsidR="003A0FB6">
        <w:t>, '</w:t>
      </w:r>
      <w:r>
        <w:t>Celestial Divination and Arabic Science in Twelfth-Century England: The History of Gerbert of</w:t>
      </w:r>
      <w:r w:rsidR="003A0FB6">
        <w:t xml:space="preserve"> Aurillac’s Talking Head', in</w:t>
      </w:r>
      <w:r>
        <w:t xml:space="preserve"> </w:t>
      </w:r>
      <w:r w:rsidRPr="003A0FB6">
        <w:rPr>
          <w:i/>
        </w:rPr>
        <w:t>Journal of the History of Ideas</w:t>
      </w:r>
      <w:r w:rsidR="003A0FB6">
        <w:t xml:space="preserve"> 73.2 (2012), 201–22</w:t>
      </w:r>
    </w:p>
    <w:p w14:paraId="7B1AF85D" w14:textId="77777777" w:rsidR="002A2E8F" w:rsidRDefault="002A2E8F" w:rsidP="002A2E8F">
      <w:pPr>
        <w:ind w:left="720" w:hanging="720"/>
      </w:pPr>
    </w:p>
    <w:p w14:paraId="63571A28" w14:textId="77777777" w:rsidR="006F0523" w:rsidRDefault="006F0523" w:rsidP="002A2E8F">
      <w:pPr>
        <w:ind w:left="720" w:hanging="720"/>
      </w:pPr>
      <w:r>
        <w:t xml:space="preserve">University of Cambridge Department of History and Philosophy of Science, </w:t>
      </w:r>
      <w:r w:rsidRPr="00295F6E">
        <w:rPr>
          <w:i/>
        </w:rPr>
        <w:t>Roger French</w:t>
      </w:r>
      <w:r>
        <w:t xml:space="preserve"> (2023), &lt;https://www.hps.cam.ac.uk/news-events/news-archive/roger-french&gt; [accessed 4 November 2023]</w:t>
      </w:r>
    </w:p>
    <w:p w14:paraId="1F93540A" w14:textId="77777777" w:rsidR="006F0523" w:rsidRDefault="006F0523" w:rsidP="006F0523">
      <w:pPr>
        <w:spacing w:line="480" w:lineRule="auto"/>
      </w:pPr>
    </w:p>
    <w:p w14:paraId="720BBF7F" w14:textId="77777777" w:rsidR="006F0523" w:rsidRDefault="006F0523" w:rsidP="006F0523">
      <w:pPr>
        <w:spacing w:line="480" w:lineRule="auto"/>
      </w:pPr>
    </w:p>
    <w:p w14:paraId="47BE705C" w14:textId="77777777" w:rsidR="006F0523" w:rsidRDefault="006F0523" w:rsidP="006F0523">
      <w:pPr>
        <w:spacing w:line="480" w:lineRule="auto"/>
      </w:pPr>
    </w:p>
    <w:p w14:paraId="6FE951C2" w14:textId="77777777" w:rsidR="006F0523" w:rsidRDefault="006F0523" w:rsidP="006F0523">
      <w:pPr>
        <w:spacing w:line="480" w:lineRule="auto"/>
      </w:pPr>
    </w:p>
    <w:p w14:paraId="64F28599" w14:textId="77777777" w:rsidR="006F0523" w:rsidRDefault="006F0523" w:rsidP="006F0523">
      <w:pPr>
        <w:spacing w:line="480" w:lineRule="auto"/>
      </w:pPr>
    </w:p>
    <w:p w14:paraId="46FC1DD1" w14:textId="77777777" w:rsidR="006F0523" w:rsidRDefault="006F0523" w:rsidP="006F0523">
      <w:pPr>
        <w:spacing w:line="480" w:lineRule="auto"/>
      </w:pPr>
    </w:p>
    <w:p w14:paraId="5110AF98" w14:textId="77777777" w:rsidR="006F0523" w:rsidRDefault="006F0523" w:rsidP="006F0523">
      <w:pPr>
        <w:spacing w:line="480" w:lineRule="auto"/>
      </w:pPr>
    </w:p>
    <w:p w14:paraId="4D805C91" w14:textId="1E0EE37F" w:rsidR="007C6747" w:rsidRDefault="007C6747" w:rsidP="006F0523">
      <w:pPr>
        <w:spacing w:line="480" w:lineRule="auto"/>
      </w:pPr>
    </w:p>
    <w:sectPr w:rsidR="007C6747">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3BC344" w14:textId="77777777" w:rsidR="000F6C14" w:rsidRDefault="000F6C14" w:rsidP="00610D79">
      <w:r>
        <w:separator/>
      </w:r>
    </w:p>
  </w:endnote>
  <w:endnote w:type="continuationSeparator" w:id="0">
    <w:p w14:paraId="57C2FB7B" w14:textId="77777777" w:rsidR="000F6C14" w:rsidRDefault="000F6C14" w:rsidP="00610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60ABC8" w14:textId="77777777" w:rsidR="000F6C14" w:rsidRDefault="000F6C14" w:rsidP="00610D79">
      <w:r>
        <w:separator/>
      </w:r>
    </w:p>
  </w:footnote>
  <w:footnote w:type="continuationSeparator" w:id="0">
    <w:p w14:paraId="2F3FA906" w14:textId="77777777" w:rsidR="000F6C14" w:rsidRDefault="000F6C14" w:rsidP="00610D79">
      <w:r>
        <w:continuationSeparator/>
      </w:r>
    </w:p>
  </w:footnote>
  <w:footnote w:id="1">
    <w:p w14:paraId="1477440B" w14:textId="4EFF0076" w:rsidR="00400969" w:rsidRDefault="00400969">
      <w:pPr>
        <w:pStyle w:val="FootnoteText"/>
      </w:pPr>
      <w:r>
        <w:rPr>
          <w:rStyle w:val="FootnoteReference"/>
        </w:rPr>
        <w:footnoteRef/>
      </w:r>
      <w:r>
        <w:t xml:space="preserve"> </w:t>
      </w:r>
      <w:r w:rsidR="008A0AB9">
        <w:t xml:space="preserve">See </w:t>
      </w:r>
      <w:r w:rsidRPr="00400969">
        <w:t>Glen M. Cooper,</w:t>
      </w:r>
      <w:r w:rsidR="003F73F3" w:rsidRPr="003F73F3">
        <w:t xml:space="preserve"> </w:t>
      </w:r>
      <w:r w:rsidR="003F73F3">
        <w:t>'</w:t>
      </w:r>
      <w:r w:rsidR="003F73F3" w:rsidRPr="003F73F3">
        <w:t>Gale</w:t>
      </w:r>
      <w:r w:rsidR="00D034A8">
        <w:t>n and Astrology: A Mésalliance?', in</w:t>
      </w:r>
      <w:r w:rsidR="003F73F3" w:rsidRPr="003F73F3">
        <w:t xml:space="preserve"> </w:t>
      </w:r>
      <w:r w:rsidR="003F73F3" w:rsidRPr="003F73F3">
        <w:rPr>
          <w:i/>
        </w:rPr>
        <w:t>Early Science and Medicine</w:t>
      </w:r>
      <w:r w:rsidR="00210F75">
        <w:rPr>
          <w:i/>
        </w:rPr>
        <w:t>,</w:t>
      </w:r>
      <w:r w:rsidR="00D034A8">
        <w:t xml:space="preserve"> 16.2 (2011), 120-</w:t>
      </w:r>
      <w:r w:rsidR="003F73F3" w:rsidRPr="003F73F3">
        <w:t>46</w:t>
      </w:r>
      <w:r>
        <w:t>.</w:t>
      </w:r>
    </w:p>
  </w:footnote>
  <w:footnote w:id="2">
    <w:p w14:paraId="268411ED" w14:textId="776DEBE1" w:rsidR="00400969" w:rsidRDefault="00400969">
      <w:pPr>
        <w:pStyle w:val="FootnoteText"/>
      </w:pPr>
      <w:r>
        <w:rPr>
          <w:rStyle w:val="FootnoteReference"/>
        </w:rPr>
        <w:footnoteRef/>
      </w:r>
      <w:r>
        <w:t xml:space="preserve"> </w:t>
      </w:r>
      <w:r w:rsidRPr="00400969">
        <w:t>See Roger French, 'Foretelling the Future: Arabic Astrology and English Medicine in the Late Twelfth Century</w:t>
      </w:r>
      <w:r w:rsidR="003D2801">
        <w:t>'</w:t>
      </w:r>
      <w:r w:rsidR="00D034A8">
        <w:t>,</w:t>
      </w:r>
      <w:r w:rsidRPr="00400969">
        <w:t xml:space="preserve"> in </w:t>
      </w:r>
      <w:r w:rsidRPr="004609F2">
        <w:rPr>
          <w:i/>
        </w:rPr>
        <w:t>Isis</w:t>
      </w:r>
      <w:r w:rsidR="00210F75">
        <w:rPr>
          <w:i/>
        </w:rPr>
        <w:t>,</w:t>
      </w:r>
      <w:r w:rsidR="00D034A8">
        <w:t xml:space="preserve"> 87.3 (1996), 453-</w:t>
      </w:r>
      <w:r w:rsidRPr="00400969">
        <w:t>80.</w:t>
      </w:r>
    </w:p>
  </w:footnote>
  <w:footnote w:id="3">
    <w:p w14:paraId="67C78DFC" w14:textId="632CA38B" w:rsidR="004D57C9" w:rsidRDefault="004D57C9">
      <w:pPr>
        <w:pStyle w:val="FootnoteText"/>
      </w:pPr>
      <w:r>
        <w:rPr>
          <w:rStyle w:val="FootnoteReference"/>
        </w:rPr>
        <w:footnoteRef/>
      </w:r>
      <w:r>
        <w:t xml:space="preserve"> </w:t>
      </w:r>
      <w:r w:rsidR="008A0AB9">
        <w:t xml:space="preserve">BYU College of Humanities, </w:t>
      </w:r>
      <w:r w:rsidR="008A0AB9" w:rsidRPr="008A0AB9">
        <w:rPr>
          <w:i/>
        </w:rPr>
        <w:t>Glen Cooper</w:t>
      </w:r>
      <w:r w:rsidR="008A0AB9">
        <w:t xml:space="preserve"> (2023), </w:t>
      </w:r>
      <w:r w:rsidR="00752B9C">
        <w:t>&lt;</w:t>
      </w:r>
      <w:r w:rsidR="008A0AB9" w:rsidRPr="00752B9C">
        <w:t>https://hum.byu.edu/directory/glen-cooper</w:t>
      </w:r>
      <w:r w:rsidR="00752B9C">
        <w:t>&gt;</w:t>
      </w:r>
      <w:r w:rsidR="008A0AB9">
        <w:t xml:space="preserve"> [accessed 4 November 2023].</w:t>
      </w:r>
    </w:p>
  </w:footnote>
  <w:footnote w:id="4">
    <w:p w14:paraId="7EBBACD8" w14:textId="48040C69" w:rsidR="0087771F" w:rsidRDefault="0087771F">
      <w:pPr>
        <w:pStyle w:val="FootnoteText"/>
      </w:pPr>
      <w:r>
        <w:rPr>
          <w:rStyle w:val="FootnoteReference"/>
        </w:rPr>
        <w:footnoteRef/>
      </w:r>
      <w:r>
        <w:t xml:space="preserve"> Claremont McKenna College, </w:t>
      </w:r>
      <w:r w:rsidRPr="00D034A8">
        <w:rPr>
          <w:i/>
        </w:rPr>
        <w:t>Professor Glen Cooper</w:t>
      </w:r>
      <w:r>
        <w:t xml:space="preserve"> (2023), </w:t>
      </w:r>
      <w:r w:rsidR="00D034A8">
        <w:t>&lt;</w:t>
      </w:r>
      <w:r w:rsidRPr="00D034A8">
        <w:t>https://www.cmc.edu/news/professor-glen-cooper-brings-expertise-in-late-antique-middle-eastern-european-studies-to-cmc</w:t>
      </w:r>
      <w:r w:rsidR="00D034A8">
        <w:t>&gt;</w:t>
      </w:r>
      <w:r>
        <w:t xml:space="preserve"> [accessed 4 November 2023].</w:t>
      </w:r>
    </w:p>
  </w:footnote>
  <w:footnote w:id="5">
    <w:p w14:paraId="75EA16F2" w14:textId="1BA5D103" w:rsidR="004D57C9" w:rsidRDefault="004D57C9">
      <w:pPr>
        <w:pStyle w:val="FootnoteText"/>
      </w:pPr>
      <w:r>
        <w:rPr>
          <w:rStyle w:val="FootnoteReference"/>
        </w:rPr>
        <w:footnoteRef/>
      </w:r>
      <w:r>
        <w:t xml:space="preserve"> </w:t>
      </w:r>
      <w:r w:rsidR="008A0AB9">
        <w:t>University of Cambridge Department of History and Philosophy of Science</w:t>
      </w:r>
      <w:r w:rsidR="00752B9C" w:rsidRPr="00752B9C">
        <w:rPr>
          <w:i/>
        </w:rPr>
        <w:t>, Roger French</w:t>
      </w:r>
      <w:r w:rsidR="00752B9C">
        <w:t xml:space="preserve"> (2023), &lt;</w:t>
      </w:r>
      <w:r w:rsidRPr="004D57C9">
        <w:t>https://www.hps.cam.ac.uk/news-events/news-archive/roger-french</w:t>
      </w:r>
      <w:r w:rsidR="00752B9C">
        <w:t xml:space="preserve">&gt; </w:t>
      </w:r>
      <w:r w:rsidR="00752B9C" w:rsidRPr="00752B9C">
        <w:t>[accessed 4 November 2023].</w:t>
      </w:r>
    </w:p>
  </w:footnote>
  <w:footnote w:id="6">
    <w:p w14:paraId="61FCDA15" w14:textId="7EDA3A3D" w:rsidR="0037479A" w:rsidRDefault="0037479A">
      <w:pPr>
        <w:pStyle w:val="FootnoteText"/>
      </w:pPr>
      <w:r>
        <w:rPr>
          <w:rStyle w:val="FootnoteReference"/>
        </w:rPr>
        <w:footnoteRef/>
      </w:r>
      <w:r>
        <w:t xml:space="preserve"> Cooper, p. 121. </w:t>
      </w:r>
    </w:p>
  </w:footnote>
  <w:footnote w:id="7">
    <w:p w14:paraId="1D8F1201" w14:textId="65DA013A" w:rsidR="004609F2" w:rsidRDefault="004609F2" w:rsidP="004609F2">
      <w:pPr>
        <w:pStyle w:val="FootnoteText"/>
      </w:pPr>
      <w:r>
        <w:rPr>
          <w:rStyle w:val="FootnoteReference"/>
        </w:rPr>
        <w:footnoteRef/>
      </w:r>
      <w:r w:rsidR="00603058">
        <w:t xml:space="preserve"> </w:t>
      </w:r>
      <w:r w:rsidR="00D034A8">
        <w:t xml:space="preserve">See </w:t>
      </w:r>
      <w:r w:rsidRPr="00D01F3C">
        <w:t>Pauline</w:t>
      </w:r>
      <w:r w:rsidR="00603058" w:rsidRPr="00603058">
        <w:t xml:space="preserve"> </w:t>
      </w:r>
      <w:r w:rsidR="00603058" w:rsidRPr="00D01F3C">
        <w:t>Ripat</w:t>
      </w:r>
      <w:r w:rsidR="00D034A8">
        <w:t>,</w:t>
      </w:r>
      <w:r w:rsidR="00603058">
        <w:t xml:space="preserve"> '</w:t>
      </w:r>
      <w:r w:rsidRPr="00D01F3C">
        <w:t>Expelling Misconceptions: Astrologers At</w:t>
      </w:r>
      <w:r w:rsidR="00603058">
        <w:t xml:space="preserve"> Rome'</w:t>
      </w:r>
      <w:r w:rsidR="00D034A8">
        <w:t>,</w:t>
      </w:r>
      <w:r w:rsidRPr="00D01F3C">
        <w:t xml:space="preserve"> </w:t>
      </w:r>
      <w:r w:rsidR="00D034A8">
        <w:t>in</w:t>
      </w:r>
      <w:r w:rsidR="00F1387F">
        <w:t xml:space="preserve"> </w:t>
      </w:r>
      <w:r w:rsidRPr="00603058">
        <w:rPr>
          <w:i/>
        </w:rPr>
        <w:t>Classical Philology</w:t>
      </w:r>
      <w:r w:rsidR="00210F75">
        <w:rPr>
          <w:i/>
        </w:rPr>
        <w:t>,</w:t>
      </w:r>
      <w:r w:rsidR="00D034A8">
        <w:t xml:space="preserve"> 106.2 (2011),</w:t>
      </w:r>
      <w:r w:rsidR="00D034A8" w:rsidRPr="00D034A8">
        <w:t xml:space="preserve"> 115–54</w:t>
      </w:r>
      <w:r w:rsidR="00D034A8">
        <w:t xml:space="preserve">, pp. </w:t>
      </w:r>
      <w:r>
        <w:t>115-116</w:t>
      </w:r>
      <w:r w:rsidRPr="00D01F3C">
        <w:t>.</w:t>
      </w:r>
    </w:p>
  </w:footnote>
  <w:footnote w:id="8">
    <w:p w14:paraId="10D20A30" w14:textId="0BD0DBE6" w:rsidR="00E81159" w:rsidRDefault="00E81159">
      <w:pPr>
        <w:pStyle w:val="FootnoteText"/>
      </w:pPr>
      <w:r>
        <w:rPr>
          <w:rStyle w:val="FootnoteReference"/>
        </w:rPr>
        <w:footnoteRef/>
      </w:r>
      <w:r>
        <w:t xml:space="preserve"> </w:t>
      </w:r>
      <w:r w:rsidR="00D034A8">
        <w:t>See Nicholas Campion,</w:t>
      </w:r>
      <w:r w:rsidRPr="00E81159">
        <w:t xml:space="preserve"> </w:t>
      </w:r>
      <w:r w:rsidRPr="000D0D49">
        <w:rPr>
          <w:i/>
        </w:rPr>
        <w:t>A History of Western Astrology Vol. 1: The Ancient World</w:t>
      </w:r>
      <w:r w:rsidRPr="00E81159">
        <w:t xml:space="preserve"> </w:t>
      </w:r>
      <w:r w:rsidR="00D034A8">
        <w:t>(</w:t>
      </w:r>
      <w:r>
        <w:t>London: Bloomsbury,</w:t>
      </w:r>
      <w:r w:rsidR="00D034A8">
        <w:t xml:space="preserve"> 2009),</w:t>
      </w:r>
      <w:r>
        <w:t xml:space="preserve"> p. x</w:t>
      </w:r>
      <w:r w:rsidR="00D034A8">
        <w:t>.</w:t>
      </w:r>
    </w:p>
  </w:footnote>
  <w:footnote w:id="9">
    <w:p w14:paraId="4F150C6A" w14:textId="28E49FFA" w:rsidR="00771C62" w:rsidRDefault="00771C62" w:rsidP="00771C62">
      <w:pPr>
        <w:pStyle w:val="FootnoteText"/>
      </w:pPr>
      <w:r>
        <w:rPr>
          <w:rStyle w:val="FootnoteReference"/>
        </w:rPr>
        <w:footnoteRef/>
      </w:r>
      <w:r w:rsidR="000D0D49">
        <w:t xml:space="preserve"> </w:t>
      </w:r>
      <w:r w:rsidR="00D034A8">
        <w:t xml:space="preserve">See </w:t>
      </w:r>
      <w:r>
        <w:t xml:space="preserve">Geoffrey </w:t>
      </w:r>
      <w:r w:rsidR="000D0D49">
        <w:t>E.R. Lloyd</w:t>
      </w:r>
      <w:r w:rsidR="00D034A8">
        <w:t>,</w:t>
      </w:r>
      <w:r w:rsidR="000D0D49">
        <w:t xml:space="preserve"> 'Aspects of the Interrelations of Medicine, Magic and Philosophy in Ancient Greece</w:t>
      </w:r>
      <w:r w:rsidR="00603058">
        <w:t>'</w:t>
      </w:r>
      <w:r w:rsidR="000D0D49">
        <w:t xml:space="preserve">, </w:t>
      </w:r>
      <w:r w:rsidR="00F1387F">
        <w:t xml:space="preserve">in </w:t>
      </w:r>
      <w:r w:rsidRPr="000D0D49">
        <w:rPr>
          <w:i/>
        </w:rPr>
        <w:t>Apeiron: A Journal for Ancient Philosophy and Science</w:t>
      </w:r>
      <w:r w:rsidR="00210F75">
        <w:rPr>
          <w:i/>
        </w:rPr>
        <w:t>,</w:t>
      </w:r>
      <w:r w:rsidR="00D034A8">
        <w:t xml:space="preserve"> 9.1 (1975), </w:t>
      </w:r>
      <w:r w:rsidR="00D034A8" w:rsidRPr="00D034A8">
        <w:t>1–16</w:t>
      </w:r>
      <w:r w:rsidR="00D034A8">
        <w:t>, pp.</w:t>
      </w:r>
      <w:r w:rsidR="00603058">
        <w:t xml:space="preserve"> 1-3</w:t>
      </w:r>
      <w:r w:rsidR="000D0D49">
        <w:t>.</w:t>
      </w:r>
    </w:p>
  </w:footnote>
  <w:footnote w:id="10">
    <w:p w14:paraId="6D3D9BB0" w14:textId="552EACEB" w:rsidR="004A2DF0" w:rsidRDefault="004A2DF0" w:rsidP="004A2DF0">
      <w:pPr>
        <w:pStyle w:val="FootnoteText"/>
      </w:pPr>
      <w:r w:rsidRPr="00AC2D1E">
        <w:rPr>
          <w:rStyle w:val="FootnoteReference"/>
        </w:rPr>
        <w:footnoteRef/>
      </w:r>
      <w:r w:rsidR="008C7E7A">
        <w:t xml:space="preserve"> Cooper, p. 122.</w:t>
      </w:r>
    </w:p>
  </w:footnote>
  <w:footnote w:id="11">
    <w:p w14:paraId="6F8AA5FF" w14:textId="77777777" w:rsidR="004A2DF0" w:rsidRDefault="004A2DF0" w:rsidP="004A2DF0">
      <w:pPr>
        <w:pStyle w:val="FootnoteText"/>
      </w:pPr>
      <w:r w:rsidRPr="00AC2D1E">
        <w:rPr>
          <w:rStyle w:val="FootnoteReference"/>
        </w:rPr>
        <w:footnoteRef/>
      </w:r>
      <w:r>
        <w:t xml:space="preserve"> </w:t>
      </w:r>
      <w:r>
        <w:fldChar w:fldCharType="begin"/>
      </w:r>
      <w:r>
        <w:instrText xml:space="preserve"> ADDIN ZOTERO_ITEM CSL_CITATION {"citationID":"Rc4Qzb2h","properties":{"formattedCitation":"Cooper, 124.","plainCitation":"Cooper, 124.","noteIndex":12},"citationItems":[{"id":68427,"uris":["http://zotero.org/users/8324705/items/IHEPCQLN"],"itemData":{"id":68427,"type":"article-journal","abstract":"The author examines the question of Galen's affinity with astrology, in view of Galen's extended astrological discussion in the De diebus decretoriis (Critical Days). The critical passages from Galen are examined, and shown to be superficial in understanding. The author performs a lexical sounding of Galen's corpus, using key terms with astrological valences drawn from the Critical Days, and assesses their absence in Galen's other works. He compares Galen's astrology with the astrology of Ptolemy's Tetrabiblos, and evaluates their respective strategies of scientific reasoning. Three types of inference are introduced and applied to Galen's astrology. Finally, he concludes that the empirical side of Galen's science does not depend upon astrological methods or concepts, but that these were introduced for their rhetorical effect in presenting his new medical methodology. It is suggested that continued attention to Galen's astrology has obscured the truly important empirical scientific method that Galen developed.","container-title":"Early Science and Medicine","ISSN":"1383-7427","issue":"2","note":"publisher: Brill","page":"120-146","source":"JSTOR","title":"Galen and Astrology: A Mésalliance?","title-short":"Galen and Astrology","volume":"16","author":[{"family":"Cooper","given":"Glen M."}],"issued":{"date-parts":[["2011"]]}},"locator":"124","label":"page"}],"schema":"https://github.com/citation-style-language/schema/raw/master/csl-citation.json"} </w:instrText>
      </w:r>
      <w:r>
        <w:fldChar w:fldCharType="separate"/>
      </w:r>
      <w:r>
        <w:rPr>
          <w:kern w:val="0"/>
        </w:rPr>
        <w:t>Cooper, p.124.</w:t>
      </w:r>
      <w:r>
        <w:fldChar w:fldCharType="end"/>
      </w:r>
    </w:p>
  </w:footnote>
  <w:footnote w:id="12">
    <w:p w14:paraId="350F199B" w14:textId="77777777" w:rsidR="004A2DF0" w:rsidRDefault="004A2DF0" w:rsidP="004A2DF0">
      <w:pPr>
        <w:pStyle w:val="FootnoteText"/>
      </w:pPr>
      <w:r w:rsidRPr="00AC2D1E">
        <w:rPr>
          <w:rStyle w:val="FootnoteReference"/>
        </w:rPr>
        <w:footnoteRef/>
      </w:r>
      <w:r>
        <w:t xml:space="preserve"> </w:t>
      </w:r>
      <w:r>
        <w:fldChar w:fldCharType="begin"/>
      </w:r>
      <w:r>
        <w:instrText xml:space="preserve"> ADDIN ZOTERO_ITEM CSL_CITATION {"citationID":"cafyEyy1","properties":{"formattedCitation":"Cooper, 144.","plainCitation":"Cooper, 144.","noteIndex":13},"citationItems":[{"id":68427,"uris":["http://zotero.org/users/8324705/items/IHEPCQLN"],"itemData":{"id":68427,"type":"article-journal","abstract":"The author examines the question of Galen's affinity with astrology, in view of Galen's extended astrological discussion in the De diebus decretoriis (Critical Days). The critical passages from Galen are examined, and shown to be superficial in understanding. The author performs a lexical sounding of Galen's corpus, using key terms with astrological valences drawn from the Critical Days, and assesses their absence in Galen's other works. He compares Galen's astrology with the astrology of Ptolemy's Tetrabiblos, and evaluates their respective strategies of scientific reasoning. Three types of inference are introduced and applied to Galen's astrology. Finally, he concludes that the empirical side of Galen's science does not depend upon astrological methods or concepts, but that these were introduced for their rhetorical effect in presenting his new medical methodology. It is suggested that continued attention to Galen's astrology has obscured the truly important empirical scientific method that Galen developed.","container-title":"Early Science and Medicine","ISSN":"1383-7427","issue":"2","note":"publisher: Brill","page":"120-146","source":"JSTOR","title":"Galen and Astrology: A Mésalliance?","title-short":"Galen and Astrology","volume":"16","author":[{"family":"Cooper","given":"Glen M."}],"issued":{"date-parts":[["2011"]]}},"locator":"144","label":"page"}],"schema":"https://github.com/citation-style-language/schema/raw/master/csl-citation.json"} </w:instrText>
      </w:r>
      <w:r>
        <w:fldChar w:fldCharType="separate"/>
      </w:r>
      <w:r>
        <w:rPr>
          <w:kern w:val="0"/>
        </w:rPr>
        <w:t>Cooper, p. 144.</w:t>
      </w:r>
      <w:r>
        <w:fldChar w:fldCharType="end"/>
      </w:r>
    </w:p>
  </w:footnote>
  <w:footnote w:id="13">
    <w:p w14:paraId="1F560D6D" w14:textId="77777777" w:rsidR="004A2DF0" w:rsidRDefault="004A2DF0" w:rsidP="004A2DF0">
      <w:pPr>
        <w:pStyle w:val="FootnoteText"/>
      </w:pPr>
      <w:r w:rsidRPr="00AC2D1E">
        <w:rPr>
          <w:rStyle w:val="FootnoteReference"/>
        </w:rPr>
        <w:footnoteRef/>
      </w:r>
      <w:r>
        <w:t xml:space="preserve"> </w:t>
      </w:r>
      <w:r>
        <w:fldChar w:fldCharType="begin"/>
      </w:r>
      <w:r>
        <w:instrText xml:space="preserve"> ADDIN ZOTERO_ITEM CSL_CITATION {"citationID":"U7OjM3f6","properties":{"formattedCitation":"Cooper, 123.","plainCitation":"Cooper, 123.","noteIndex":14},"citationItems":[{"id":68427,"uris":["http://zotero.org/users/8324705/items/IHEPCQLN"],"itemData":{"id":68427,"type":"article-journal","abstract":"The author examines the question of Galen's affinity with astrology, in view of Galen's extended astrological discussion in the De diebus decretoriis (Critical Days). The critical passages from Galen are examined, and shown to be superficial in understanding. The author performs a lexical sounding of Galen's corpus, using key terms with astrological valences drawn from the Critical Days, and assesses their absence in Galen's other works. He compares Galen's astrology with the astrology of Ptolemy's Tetrabiblos, and evaluates their respective strategies of scientific reasoning. Three types of inference are introduced and applied to Galen's astrology. Finally, he concludes that the empirical side of Galen's science does not depend upon astrological methods or concepts, but that these were introduced for their rhetorical effect in presenting his new medical methodology. It is suggested that continued attention to Galen's astrology has obscured the truly important empirical scientific method that Galen developed.","container-title":"Early Science and Medicine","ISSN":"1383-7427","issue":"2","note":"publisher: Brill","page":"120-146","source":"JSTOR","title":"Galen and Astrology: A Mésalliance?","title-short":"Galen and Astrology","volume":"16","author":[{"family":"Cooper","given":"Glen M."}],"issued":{"date-parts":[["2011"]]}},"locator":"123","label":"page"}],"schema":"https://github.com/citation-style-language/schema/raw/master/csl-citation.json"} </w:instrText>
      </w:r>
      <w:r>
        <w:fldChar w:fldCharType="separate"/>
      </w:r>
      <w:r>
        <w:rPr>
          <w:kern w:val="0"/>
        </w:rPr>
        <w:t>Cooper, p. 123.</w:t>
      </w:r>
      <w:r>
        <w:fldChar w:fldCharType="end"/>
      </w:r>
    </w:p>
  </w:footnote>
  <w:footnote w:id="14">
    <w:p w14:paraId="434DD854" w14:textId="77777777" w:rsidR="004A2DF0" w:rsidRDefault="004A2DF0" w:rsidP="004A2DF0">
      <w:pPr>
        <w:pStyle w:val="FootnoteText"/>
      </w:pPr>
      <w:r w:rsidRPr="00AC2D1E">
        <w:rPr>
          <w:rStyle w:val="FootnoteReference"/>
        </w:rPr>
        <w:footnoteRef/>
      </w:r>
      <w:r>
        <w:t xml:space="preserve"> </w:t>
      </w:r>
      <w:r>
        <w:fldChar w:fldCharType="begin"/>
      </w:r>
      <w:r>
        <w:instrText xml:space="preserve"> ADDIN ZOTERO_ITEM CSL_CITATION {"citationID":"qXODGXIe","properties":{"formattedCitation":"Cooper, 129.","plainCitation":"Cooper, 129.","noteIndex":14},"citationItems":[{"id":68427,"uris":["http://zotero.org/users/8324705/items/IHEPCQLN"],"itemData":{"id":68427,"type":"article-journal","abstract":"The author examines the question of Galen's affinity with astrology, in view of Galen's extended astrological discussion in the De diebus decretoriis (Critical Days). The critical passages from Galen are examined, and shown to be superficial in understanding. The author performs a lexical sounding of Galen's corpus, using key terms with astrological valences drawn from the Critical Days, and assesses their absence in Galen's other works. He compares Galen's astrology with the astrology of Ptolemy's Tetrabiblos, and evaluates their respective strategies of scientific reasoning. Three types of inference are introduced and applied to Galen's astrology. Finally, he concludes that the empirical side of Galen's science does not depend upon astrological methods or concepts, but that these were introduced for their rhetorical effect in presenting his new medical methodology. It is suggested that continued attention to Galen's astrology has obscured the truly important empirical scientific method that Galen developed.","container-title":"Early Science and Medicine","ISSN":"1383-7427","issue":"2","note":"publisher: Brill","page":"120-146","source":"JSTOR","title":"Galen and Astrology: A Mésalliance?","title-short":"Galen and Astrology","volume":"16","author":[{"family":"Cooper","given":"Glen M."}],"issued":{"date-parts":[["2011"]]}},"locator":"129","label":"page"}],"schema":"https://github.com/citation-style-language/schema/raw/master/csl-citation.json"} </w:instrText>
      </w:r>
      <w:r>
        <w:fldChar w:fldCharType="separate"/>
      </w:r>
      <w:r>
        <w:rPr>
          <w:kern w:val="0"/>
        </w:rPr>
        <w:t>Cooper, p. 129.</w:t>
      </w:r>
      <w:r>
        <w:fldChar w:fldCharType="end"/>
      </w:r>
    </w:p>
  </w:footnote>
  <w:footnote w:id="15">
    <w:p w14:paraId="130654CB" w14:textId="3D8915D1" w:rsidR="006A2A8D" w:rsidRDefault="006A2A8D">
      <w:pPr>
        <w:pStyle w:val="FootnoteText"/>
      </w:pPr>
      <w:r>
        <w:rPr>
          <w:rStyle w:val="FootnoteReference"/>
        </w:rPr>
        <w:footnoteRef/>
      </w:r>
      <w:r>
        <w:t xml:space="preserve"> Cooper, p. 139.</w:t>
      </w:r>
    </w:p>
  </w:footnote>
  <w:footnote w:id="16">
    <w:p w14:paraId="6F330CA4" w14:textId="77777777" w:rsidR="00DE04B6" w:rsidRDefault="00DE04B6" w:rsidP="00DE04B6">
      <w:pPr>
        <w:pStyle w:val="FootnoteText"/>
      </w:pPr>
      <w:r w:rsidRPr="00AC2D1E">
        <w:rPr>
          <w:rStyle w:val="FootnoteReference"/>
        </w:rPr>
        <w:footnoteRef/>
      </w:r>
      <w:r>
        <w:t xml:space="preserve"> </w:t>
      </w:r>
      <w:r>
        <w:fldChar w:fldCharType="begin"/>
      </w:r>
      <w:r>
        <w:instrText xml:space="preserve"> ADDIN ZOTERO_ITEM CSL_CITATION {"citationID":"13YsGGln","properties":{"formattedCitation":"French, \\uc0\\u8220{}Foretelling the Future,\\uc0\\u8221{} 455.","plainCitation":"French, “Foretelling the Future,” 455.","noteIndex":3},"citationItems":[{"id":68426,"uris":["http://zotero.org/users/8324705/items/42SN2LMQ"],"itemData":{"id":68426,"type":"article-journal","container-title":"Isis","ISSN":"0021-1753","issue":"3","note":"publisher: [The University of Chicago Press, The History of Science Society]","page":"453-480","source":"JSTOR","title":"Foretelling the Future: Arabic Astrology and English Medicine in the Late Twelfth Century","title-short":"Foretelling the Future","volume":"87","author":[{"family":"French","given":"Roger"}],"issued":{"date-parts":[["1996"]]}},"locator":"455","label":"page"}],"schema":"https://github.com/citation-style-language/schema/raw/master/csl-citation.json"} </w:instrText>
      </w:r>
      <w:r>
        <w:fldChar w:fldCharType="separate"/>
      </w:r>
      <w:r w:rsidRPr="00EA5698">
        <w:rPr>
          <w:kern w:val="0"/>
        </w:rPr>
        <w:t>F</w:t>
      </w:r>
      <w:r>
        <w:rPr>
          <w:kern w:val="0"/>
        </w:rPr>
        <w:t>rench, p.</w:t>
      </w:r>
      <w:r w:rsidRPr="00EA5698">
        <w:rPr>
          <w:kern w:val="0"/>
        </w:rPr>
        <w:t xml:space="preserve"> 455.</w:t>
      </w:r>
      <w:r>
        <w:fldChar w:fldCharType="end"/>
      </w:r>
    </w:p>
  </w:footnote>
  <w:footnote w:id="17">
    <w:p w14:paraId="1478EA77" w14:textId="77777777" w:rsidR="00DE04B6" w:rsidRDefault="00DE04B6" w:rsidP="00DE04B6">
      <w:pPr>
        <w:pStyle w:val="FootnoteText"/>
      </w:pPr>
      <w:r>
        <w:rPr>
          <w:rStyle w:val="FootnoteReference"/>
        </w:rPr>
        <w:footnoteRef/>
      </w:r>
      <w:r>
        <w:t xml:space="preserve"> French, p. 454.</w:t>
      </w:r>
    </w:p>
  </w:footnote>
  <w:footnote w:id="18">
    <w:p w14:paraId="535ED0DC" w14:textId="730E637D" w:rsidR="00374DD5" w:rsidRDefault="00374DD5" w:rsidP="00374DD5">
      <w:pPr>
        <w:pStyle w:val="FootnoteText"/>
      </w:pPr>
      <w:r w:rsidRPr="00AC2D1E">
        <w:rPr>
          <w:rStyle w:val="FootnoteReference"/>
        </w:rPr>
        <w:footnoteRef/>
      </w:r>
      <w:r>
        <w:t xml:space="preserve"> </w:t>
      </w:r>
      <w:r>
        <w:fldChar w:fldCharType="begin"/>
      </w:r>
      <w:r>
        <w:instrText xml:space="preserve"> ADDIN ZOTERO_ITEM CSL_CITATION {"citationID":"lxA70JvT","properties":{"formattedCitation":"French, 455.","plainCitation":"French, 455.","noteIndex":4},"citationItems":[{"id":68426,"uris":["http://zotero.org/users/8324705/items/42SN2LMQ"],"itemData":{"id":68426,"type":"article-journal","container-title":"Isis","ISSN":"0021-1753","issue":"3","note":"publisher: [The University of Chicago Press, The History of Science Society]","page":"453-480","source":"JSTOR","title":"Foretelling the Future: Arabic Astrology and English Medicine in the Late Twelfth Century","title-short":"Foretelling the Future","volume":"87","author":[{"family":"French","given":"Roger"}],"issued":{"date-parts":[["1996"]]}},"locator":"455","label":"page"}],"schema":"https://github.com/citation-style-language/schema/raw/master/csl-citation.json"} </w:instrText>
      </w:r>
      <w:r>
        <w:fldChar w:fldCharType="separate"/>
      </w:r>
      <w:r>
        <w:rPr>
          <w:kern w:val="0"/>
        </w:rPr>
        <w:t xml:space="preserve">French, </w:t>
      </w:r>
      <w:r w:rsidR="007F5B0C">
        <w:rPr>
          <w:kern w:val="0"/>
        </w:rPr>
        <w:t xml:space="preserve">p. </w:t>
      </w:r>
      <w:r>
        <w:rPr>
          <w:kern w:val="0"/>
        </w:rPr>
        <w:t>455.</w:t>
      </w:r>
      <w:r>
        <w:fldChar w:fldCharType="end"/>
      </w:r>
    </w:p>
  </w:footnote>
  <w:footnote w:id="19">
    <w:p w14:paraId="449B0601" w14:textId="0A0BA055" w:rsidR="00374DD5" w:rsidRDefault="00374DD5" w:rsidP="00374DD5">
      <w:pPr>
        <w:pStyle w:val="FootnoteText"/>
      </w:pPr>
      <w:r w:rsidRPr="00AC2D1E">
        <w:rPr>
          <w:rStyle w:val="FootnoteReference"/>
        </w:rPr>
        <w:footnoteRef/>
      </w:r>
      <w:r>
        <w:t xml:space="preserve"> </w:t>
      </w:r>
      <w:r>
        <w:fldChar w:fldCharType="begin"/>
      </w:r>
      <w:r>
        <w:instrText xml:space="preserve"> ADDIN ZOTERO_ITEM CSL_CITATION {"citationID":"b0FHIySS","properties":{"formattedCitation":"French, 457.","plainCitation":"French, 457.","noteIndex":5},"citationItems":[{"id":68426,"uris":["http://zotero.org/users/8324705/items/42SN2LMQ"],"itemData":{"id":68426,"type":"article-journal","container-title":"Isis","ISSN":"0021-1753","issue":"3","note":"publisher: [The University of Chicago Press, The History of Science Society]","page":"453-480","source":"JSTOR","title":"Foretelling the Future: Arabic Astrology and English Medicine in the Late Twelfth Century","title-short":"Foretelling the Future","volume":"87","author":[{"family":"French","given":"Roger"}],"issued":{"date-parts":[["1996"]]}},"locator":"457","label":"page"}],"schema":"https://github.com/citation-style-language/schema/raw/master/csl-citation.json"} </w:instrText>
      </w:r>
      <w:r>
        <w:fldChar w:fldCharType="separate"/>
      </w:r>
      <w:r>
        <w:rPr>
          <w:kern w:val="0"/>
        </w:rPr>
        <w:t xml:space="preserve">French, </w:t>
      </w:r>
      <w:r w:rsidR="007F5B0C">
        <w:rPr>
          <w:kern w:val="0"/>
        </w:rPr>
        <w:t xml:space="preserve">p. </w:t>
      </w:r>
      <w:r>
        <w:rPr>
          <w:kern w:val="0"/>
        </w:rPr>
        <w:t>457.</w:t>
      </w:r>
      <w:r>
        <w:fldChar w:fldCharType="end"/>
      </w:r>
    </w:p>
  </w:footnote>
  <w:footnote w:id="20">
    <w:p w14:paraId="29694670" w14:textId="7B12A256" w:rsidR="00645526" w:rsidRDefault="00645526" w:rsidP="00645526">
      <w:pPr>
        <w:pStyle w:val="FootnoteText"/>
      </w:pPr>
      <w:r w:rsidRPr="00AC2D1E">
        <w:rPr>
          <w:rStyle w:val="FootnoteReference"/>
        </w:rPr>
        <w:footnoteRef/>
      </w:r>
      <w:r>
        <w:t xml:space="preserve"> </w:t>
      </w:r>
      <w:r>
        <w:fldChar w:fldCharType="begin"/>
      </w:r>
      <w:r>
        <w:instrText xml:space="preserve"> ADDIN ZOTERO_ITEM CSL_CITATION {"citationID":"9FEMwtfG","properties":{"formattedCitation":"French, 458.","plainCitation":"French, 458.","noteIndex":6},"citationItems":[{"id":68426,"uris":["http://zotero.org/users/8324705/items/42SN2LMQ"],"itemData":{"id":68426,"type":"article-journal","container-title":"Isis","ISSN":"0021-1753","issue":"3","note":"publisher: [The University of Chicago Press, The History of Science Society]","page":"453-480","source":"JSTOR","title":"Foretelling the Future: Arabic Astrology and English Medicine in the Late Twelfth Century","title-short":"Foretelling the Future","volume":"87","author":[{"family":"French","given":"Roger"}],"issued":{"date-parts":[["1996"]]}},"locator":"458","label":"page"}],"schema":"https://github.com/citation-style-language/schema/raw/master/csl-citation.json"} </w:instrText>
      </w:r>
      <w:r>
        <w:fldChar w:fldCharType="separate"/>
      </w:r>
      <w:r>
        <w:rPr>
          <w:kern w:val="0"/>
        </w:rPr>
        <w:t xml:space="preserve">French, </w:t>
      </w:r>
      <w:r w:rsidR="007F5B0C">
        <w:rPr>
          <w:kern w:val="0"/>
        </w:rPr>
        <w:t xml:space="preserve">p. </w:t>
      </w:r>
      <w:r>
        <w:rPr>
          <w:kern w:val="0"/>
        </w:rPr>
        <w:t>458.</w:t>
      </w:r>
      <w:r>
        <w:fldChar w:fldCharType="end"/>
      </w:r>
    </w:p>
  </w:footnote>
  <w:footnote w:id="21">
    <w:p w14:paraId="283752F1" w14:textId="14EAA5B2" w:rsidR="00975DA1" w:rsidRDefault="00975DA1" w:rsidP="00975DA1">
      <w:pPr>
        <w:pStyle w:val="FootnoteText"/>
      </w:pPr>
      <w:r w:rsidRPr="00AC2D1E">
        <w:rPr>
          <w:rStyle w:val="FootnoteReference"/>
        </w:rPr>
        <w:footnoteRef/>
      </w:r>
      <w:r>
        <w:t xml:space="preserve"> </w:t>
      </w:r>
      <w:r>
        <w:fldChar w:fldCharType="begin"/>
      </w:r>
      <w:r>
        <w:instrText xml:space="preserve"> ADDIN ZOTERO_ITEM CSL_CITATION {"citationID":"YZgUABMC","properties":{"formattedCitation":"French, 459\\uc0\\u8211{}60.","plainCitation":"French, 459–60.","noteIndex":7},"citationItems":[{"id":68426,"uris":["http://zotero.org/users/8324705/items/42SN2LMQ"],"itemData":{"id":68426,"type":"article-journal","container-title":"Isis","ISSN":"0021-1753","issue":"3","note":"publisher: [The University of Chicago Press, The History of Science Society]","page":"453-480","source":"JSTOR","title":"Foretelling the Future: Arabic Astrology and English Medicine in the Late Twelfth Century","title-short":"Foretelling the Future","volume":"87","author":[{"family":"French","given":"Roger"}],"issued":{"date-parts":[["1996"]]}},"locator":"459-460","label":"page"}],"schema":"https://github.com/citation-style-language/schema/raw/master/csl-citation.json"} </w:instrText>
      </w:r>
      <w:r>
        <w:fldChar w:fldCharType="separate"/>
      </w:r>
      <w:r w:rsidRPr="00975DA1">
        <w:rPr>
          <w:kern w:val="0"/>
        </w:rPr>
        <w:t xml:space="preserve">French, </w:t>
      </w:r>
      <w:r w:rsidR="007F5B0C">
        <w:rPr>
          <w:kern w:val="0"/>
        </w:rPr>
        <w:t xml:space="preserve">pp. </w:t>
      </w:r>
      <w:r w:rsidRPr="00975DA1">
        <w:rPr>
          <w:kern w:val="0"/>
        </w:rPr>
        <w:t>459–60.</w:t>
      </w:r>
      <w:r>
        <w:fldChar w:fldCharType="end"/>
      </w:r>
    </w:p>
  </w:footnote>
  <w:footnote w:id="22">
    <w:p w14:paraId="63539E8E" w14:textId="08E3593C" w:rsidR="00104DB1" w:rsidRDefault="00104DB1" w:rsidP="00104DB1">
      <w:pPr>
        <w:pStyle w:val="FootnoteText"/>
      </w:pPr>
      <w:r w:rsidRPr="00AC2D1E">
        <w:rPr>
          <w:rStyle w:val="FootnoteReference"/>
        </w:rPr>
        <w:footnoteRef/>
      </w:r>
      <w:r>
        <w:t xml:space="preserve"> </w:t>
      </w:r>
      <w:r>
        <w:fldChar w:fldCharType="begin"/>
      </w:r>
      <w:r>
        <w:instrText xml:space="preserve"> ADDIN ZOTERO_ITEM CSL_CITATION {"citationID":"EkKLN5gW","properties":{"formattedCitation":"French, 473.","plainCitation":"French, 473.","noteIndex":8},"citationItems":[{"id":68426,"uris":["http://zotero.org/users/8324705/items/42SN2LMQ"],"itemData":{"id":68426,"type":"article-journal","container-title":"Isis","ISSN":"0021-1753","issue":"3","note":"publisher: [The University of Chicago Press, The History of Science Society]","page":"453-480","source":"JSTOR","title":"Foretelling the Future: Arabic Astrology and English Medicine in the Late Twelfth Century","title-short":"Foretelling the Future","volume":"87","author":[{"family":"French","given":"Roger"}],"issued":{"date-parts":[["1996"]]}},"locator":"473","label":"page"}],"schema":"https://github.com/citation-style-language/schema/raw/master/csl-citation.json"} </w:instrText>
      </w:r>
      <w:r>
        <w:fldChar w:fldCharType="separate"/>
      </w:r>
      <w:r>
        <w:rPr>
          <w:kern w:val="0"/>
        </w:rPr>
        <w:t xml:space="preserve">French, </w:t>
      </w:r>
      <w:r w:rsidR="007F5B0C">
        <w:rPr>
          <w:kern w:val="0"/>
        </w:rPr>
        <w:t xml:space="preserve">p. </w:t>
      </w:r>
      <w:r>
        <w:rPr>
          <w:kern w:val="0"/>
        </w:rPr>
        <w:t>473.</w:t>
      </w:r>
      <w:r>
        <w:fldChar w:fldCharType="end"/>
      </w:r>
    </w:p>
  </w:footnote>
  <w:footnote w:id="23">
    <w:p w14:paraId="0E0C4342" w14:textId="14E315C9" w:rsidR="00104DB1" w:rsidRDefault="00104DB1" w:rsidP="00104DB1">
      <w:pPr>
        <w:pStyle w:val="FootnoteText"/>
      </w:pPr>
      <w:r w:rsidRPr="00AC2D1E">
        <w:rPr>
          <w:rStyle w:val="FootnoteReference"/>
        </w:rPr>
        <w:footnoteRef/>
      </w:r>
      <w:r>
        <w:t xml:space="preserve"> </w:t>
      </w:r>
      <w:r>
        <w:fldChar w:fldCharType="begin"/>
      </w:r>
      <w:r>
        <w:instrText xml:space="preserve"> ADDIN ZOTERO_ITEM CSL_CITATION {"citationID":"qHZiHUNp","properties":{"formattedCitation":"French, 476.","plainCitation":"French, 476.","noteIndex":9},"citationItems":[{"id":68426,"uris":["http://zotero.org/users/8324705/items/42SN2LMQ"],"itemData":{"id":68426,"type":"article-journal","container-title":"Isis","ISSN":"0021-1753","issue":"3","note":"publisher: [The University of Chicago Press, The History of Science Society]","page":"453-480","source":"JSTOR","title":"Foretelling the Future: Arabic Astrology and English Medicine in the Late Twelfth Century","title-short":"Foretelling the Future","volume":"87","author":[{"family":"French","given":"Roger"}],"issued":{"date-parts":[["1996"]]}},"locator":"476","label":"page"}],"schema":"https://github.com/citation-style-language/schema/raw/master/csl-citation.json"} </w:instrText>
      </w:r>
      <w:r>
        <w:fldChar w:fldCharType="separate"/>
      </w:r>
      <w:r>
        <w:rPr>
          <w:kern w:val="0"/>
        </w:rPr>
        <w:t xml:space="preserve">French, </w:t>
      </w:r>
      <w:r w:rsidR="007F5B0C">
        <w:rPr>
          <w:kern w:val="0"/>
        </w:rPr>
        <w:t xml:space="preserve">p. </w:t>
      </w:r>
      <w:r>
        <w:rPr>
          <w:kern w:val="0"/>
        </w:rPr>
        <w:t>476.</w:t>
      </w:r>
      <w:r>
        <w:fldChar w:fldCharType="end"/>
      </w:r>
    </w:p>
  </w:footnote>
  <w:footnote w:id="24">
    <w:p w14:paraId="31F66150" w14:textId="66C78254" w:rsidR="00621E8C" w:rsidRDefault="00621E8C" w:rsidP="00621E8C">
      <w:pPr>
        <w:pStyle w:val="FootnoteText"/>
      </w:pPr>
      <w:r w:rsidRPr="00AC2D1E">
        <w:rPr>
          <w:rStyle w:val="FootnoteReference"/>
        </w:rPr>
        <w:footnoteRef/>
      </w:r>
      <w:r>
        <w:t xml:space="preserve"> </w:t>
      </w:r>
      <w:r>
        <w:fldChar w:fldCharType="begin"/>
      </w:r>
      <w:r>
        <w:instrText xml:space="preserve"> ADDIN ZOTERO_ITEM CSL_CITATION {"citationID":"QFmKH8ab","properties":{"formattedCitation":"French, 479.","plainCitation":"French, 479.","noteIndex":10},"citationItems":[{"id":68426,"uris":["http://zotero.org/users/8324705/items/42SN2LMQ"],"itemData":{"id":68426,"type":"article-journal","container-title":"Isis","ISSN":"0021-1753","issue":"3","note":"publisher: [The University of Chicago Press, The History of Science Society]","page":"453-480","source":"JSTOR","title":"Foretelling the Future: Arabic Astrology and English Medicine in the Late Twelfth Century","title-short":"Foretelling the Future","volume":"87","author":[{"family":"French","given":"Roger"}],"issued":{"date-parts":[["1996"]]}},"locator":"479","label":"page"}],"schema":"https://github.com/citation-style-language/schema/raw/master/csl-citation.json"} </w:instrText>
      </w:r>
      <w:r>
        <w:fldChar w:fldCharType="separate"/>
      </w:r>
      <w:r>
        <w:rPr>
          <w:kern w:val="0"/>
        </w:rPr>
        <w:t xml:space="preserve">French, </w:t>
      </w:r>
      <w:r w:rsidR="007F5B0C">
        <w:rPr>
          <w:kern w:val="0"/>
        </w:rPr>
        <w:t xml:space="preserve">p. </w:t>
      </w:r>
      <w:r>
        <w:rPr>
          <w:kern w:val="0"/>
        </w:rPr>
        <w:t>479.</w:t>
      </w:r>
      <w:r>
        <w:fldChar w:fldCharType="end"/>
      </w:r>
    </w:p>
  </w:footnote>
  <w:footnote w:id="25">
    <w:p w14:paraId="059BFE9D" w14:textId="0244C830" w:rsidR="00F623F6" w:rsidRDefault="00F623F6" w:rsidP="00F623F6">
      <w:pPr>
        <w:pStyle w:val="FootnoteText"/>
      </w:pPr>
      <w:r w:rsidRPr="00AC2D1E">
        <w:rPr>
          <w:rStyle w:val="FootnoteReference"/>
        </w:rPr>
        <w:footnoteRef/>
      </w:r>
      <w:r>
        <w:t xml:space="preserve"> </w:t>
      </w:r>
      <w:r>
        <w:fldChar w:fldCharType="begin"/>
      </w:r>
      <w:r w:rsidR="003C7D6A">
        <w:instrText xml:space="preserve"> ADDIN ZOTERO_ITEM CSL_CITATION {"citationID":"ACxtejdE","properties":{"formattedCitation":"French, \\uc0\\u8220{}Foretelling the Future,\\uc0\\u8221{} 479.","plainCitation":"French, “Foretelling the Future,” 479.","noteIndex":16},"citationItems":[{"id":68426,"uris":["http://zotero.org/users/8324705/items/42SN2LMQ"],"itemData":{"id":68426,"type":"article-journal","container-title":"Isis","ISSN":"0021-1753","issue":"3","note":"publisher: [The University of Chicago Press, The History of Science Society]","page":"453-480","source":"JSTOR","title":"Foretelling the Future: Arabic Astrology and English Medicine in the Late Twelfth Century","title-short":"Foretelling the Future","volume":"87","author":[{"family":"French","given":"Roger"}],"issued":{"date-parts":[["1996"]]}},"locator":"479","label":"page"}],"schema":"https://github.com/citation-style-language/schema/raw/master/csl-citation.json"} </w:instrText>
      </w:r>
      <w:r>
        <w:fldChar w:fldCharType="separate"/>
      </w:r>
      <w:r w:rsidR="003C7D6A" w:rsidRPr="003C7D6A">
        <w:rPr>
          <w:kern w:val="0"/>
        </w:rPr>
        <w:t>Fr</w:t>
      </w:r>
      <w:r w:rsidR="007F5B0C">
        <w:rPr>
          <w:kern w:val="0"/>
        </w:rPr>
        <w:t xml:space="preserve">ench, p. </w:t>
      </w:r>
      <w:r w:rsidR="003C7D6A" w:rsidRPr="003C7D6A">
        <w:rPr>
          <w:kern w:val="0"/>
        </w:rPr>
        <w:t>479.</w:t>
      </w:r>
      <w:r>
        <w:fldChar w:fldCharType="end"/>
      </w:r>
    </w:p>
  </w:footnote>
  <w:footnote w:id="26">
    <w:p w14:paraId="3A36BB50" w14:textId="23C0807A" w:rsidR="003C7D6A" w:rsidRDefault="003C7D6A" w:rsidP="003C7D6A">
      <w:pPr>
        <w:pStyle w:val="FootnoteText"/>
      </w:pPr>
      <w:r w:rsidRPr="00AC2D1E">
        <w:rPr>
          <w:rStyle w:val="FootnoteReference"/>
        </w:rPr>
        <w:footnoteRef/>
      </w:r>
      <w:r>
        <w:t xml:space="preserve"> </w:t>
      </w:r>
      <w:r>
        <w:fldChar w:fldCharType="begin"/>
      </w:r>
      <w:r>
        <w:instrText xml:space="preserve"> ADDIN ZOTERO_ITEM CSL_CITATION {"citationID":"xa7koQ7i","properties":{"formattedCitation":"French, 457.","plainCitation":"French, 457.","noteIndex":17},"citationItems":[{"id":68426,"uris":["http://zotero.org/users/8324705/items/42SN2LMQ"],"itemData":{"id":68426,"type":"article-journal","container-title":"Isis","ISSN":"0021-1753","issue":"3","note":"publisher: [The University of Chicago Press, The History of Science Society]","page":"453-480","source":"JSTOR","title":"Foretelling the Future: Arabic Astrology and English Medicine in the Late Twelfth Century","title-short":"Foretelling the Future","volume":"87","author":[{"family":"French","given":"Roger"}],"issued":{"date-parts":[["1996"]]}},"locator":"457","label":"page"}],"schema":"https://github.com/citation-style-language/schema/raw/master/csl-citation.json"} </w:instrText>
      </w:r>
      <w:r>
        <w:fldChar w:fldCharType="separate"/>
      </w:r>
      <w:r>
        <w:rPr>
          <w:kern w:val="0"/>
        </w:rPr>
        <w:t xml:space="preserve">French, </w:t>
      </w:r>
      <w:r w:rsidR="007F5B0C">
        <w:rPr>
          <w:kern w:val="0"/>
        </w:rPr>
        <w:t xml:space="preserve">p. </w:t>
      </w:r>
      <w:r>
        <w:rPr>
          <w:kern w:val="0"/>
        </w:rPr>
        <w:t>457.</w:t>
      </w:r>
      <w:r>
        <w:fldChar w:fldCharType="end"/>
      </w:r>
    </w:p>
  </w:footnote>
  <w:footnote w:id="27">
    <w:p w14:paraId="2C46CF4B" w14:textId="31DDE69B" w:rsidR="00802C8D" w:rsidRDefault="00802C8D" w:rsidP="00802C8D">
      <w:pPr>
        <w:pStyle w:val="FootnoteText"/>
      </w:pPr>
      <w:r w:rsidRPr="00AC2D1E">
        <w:rPr>
          <w:rStyle w:val="FootnoteReference"/>
        </w:rPr>
        <w:footnoteRef/>
      </w:r>
      <w:r>
        <w:t xml:space="preserve"> </w:t>
      </w:r>
      <w:r w:rsidR="00D034A8">
        <w:t xml:space="preserve">See </w:t>
      </w:r>
      <w:r>
        <w:fldChar w:fldCharType="begin"/>
      </w:r>
      <w:r>
        <w:instrText xml:space="preserve"> ADDIN ZOTERO_ITEM CSL_CITATION {"citationID":"LNUZZuSU","properties":{"formattedCitation":"Glen M. Cooper, \\uc0\\u8220{}Approaches to the Critical Days in Late Medieval and Renaissance Thinkers,\\uc0\\u8221{} {\\i{}Early Science and Medicine} 18, no. 6 (2013): 536\\uc0\\u8211{}65, https://doi.org/10.1163/15733823-0186P0003.","plainCitation":"Glen M. Cooper, “Approaches to the Critical Days in Late Medieval and Renaissance Thinkers,” Early Science and Medicine 18, no. 6 (2013): 536–65, https://doi.org/10.1163/15733823-0186P0003.","noteIndex":10},"citationItems":[{"id":68431,"uris":["http://zotero.org/users/8324705/items/CL6B8PZV"],"itemData":{"id":68431,"type":"article-journal","abstract":"Galen's astrological doctrine of the critical days, as found in his De diebus decretoriis (Critical Days), Book III, was at the center of a long discussion in the Latin West about the relationship between astrology and medicine. The main problem was that Galen's views could not be made to square with the prevailing cosmology, which derived both from Aristotle and Abü Ma'shar. The views of selected Latin thinkers concerning the critical days, from Pietro d'Abano, down through Girolamo Cardano, are considered in the context of a fourfold scheme that aims to classify the main approaches to the criti cal days. The criticisms of Pico della Mirandola are discussed, as well as two kinds of responses to him: the progressive views of Giovanni Mainardi and Girolamo Fracastoro, as well as the conservative views of Thomas Bodier and Girolamo Cardano.","container-title":"Early Science and Medicine","DOI":"10.1163/15733823-0186P0003","ISSN":"1383-7427, 1573-3823","issue":"6","journalAbbreviation":"Early Sci Med","language":"en","page":"536-565","source":"DOI.org (Crossref)","title":"Approaches to the Critical Days in Late Medieval and Renaissance Thinkers","volume":"18","author":[{"family":"Cooper","given":"Glen M."}],"issued":{"date-parts":[["2013"]]}}}],"schema":"https://github.com/citation-style-language/schema/raw/master/csl-citation.json"} </w:instrText>
      </w:r>
      <w:r>
        <w:fldChar w:fldCharType="separate"/>
      </w:r>
      <w:r w:rsidR="00544F1A">
        <w:rPr>
          <w:kern w:val="0"/>
        </w:rPr>
        <w:t>Glen M. Cooper, '</w:t>
      </w:r>
      <w:r w:rsidRPr="00947DD4">
        <w:rPr>
          <w:kern w:val="0"/>
        </w:rPr>
        <w:t>Approaches to the Critical Days in Late Medieval and Renaissance Thinkers</w:t>
      </w:r>
      <w:r w:rsidR="00544F1A">
        <w:rPr>
          <w:kern w:val="0"/>
        </w:rPr>
        <w:t>',</w:t>
      </w:r>
      <w:r w:rsidRPr="00947DD4">
        <w:rPr>
          <w:kern w:val="0"/>
        </w:rPr>
        <w:t xml:space="preserve"> </w:t>
      </w:r>
      <w:r w:rsidR="00F1387F">
        <w:rPr>
          <w:kern w:val="0"/>
        </w:rPr>
        <w:t xml:space="preserve">in </w:t>
      </w:r>
      <w:r w:rsidRPr="00947DD4">
        <w:rPr>
          <w:i/>
          <w:iCs/>
          <w:kern w:val="0"/>
        </w:rPr>
        <w:t>Early Science and Medicine</w:t>
      </w:r>
      <w:r w:rsidR="00210F75">
        <w:rPr>
          <w:i/>
          <w:iCs/>
          <w:kern w:val="0"/>
        </w:rPr>
        <w:t>,</w:t>
      </w:r>
      <w:r w:rsidR="00F1387F">
        <w:rPr>
          <w:kern w:val="0"/>
        </w:rPr>
        <w:t xml:space="preserve"> 18.</w:t>
      </w:r>
      <w:r w:rsidR="00544F1A">
        <w:rPr>
          <w:kern w:val="0"/>
        </w:rPr>
        <w:t>6 (2013),</w:t>
      </w:r>
      <w:r w:rsidR="00F1387F">
        <w:rPr>
          <w:kern w:val="0"/>
        </w:rPr>
        <w:t xml:space="preserve"> 536–65, pp. 536-537.</w:t>
      </w:r>
      <w:r>
        <w:fldChar w:fldCharType="end"/>
      </w:r>
    </w:p>
  </w:footnote>
  <w:footnote w:id="28">
    <w:p w14:paraId="7FEB9B16" w14:textId="68843FF2" w:rsidR="00547EFC" w:rsidRDefault="00547EFC" w:rsidP="00547EFC">
      <w:pPr>
        <w:pStyle w:val="FootnoteText"/>
      </w:pPr>
      <w:r>
        <w:rPr>
          <w:rStyle w:val="FootnoteReference"/>
        </w:rPr>
        <w:footnoteRef/>
      </w:r>
      <w:r>
        <w:t xml:space="preserve"> </w:t>
      </w:r>
      <w:r w:rsidR="00F1387F">
        <w:t xml:space="preserve">See </w:t>
      </w:r>
      <w:r>
        <w:fldChar w:fldCharType="begin"/>
      </w:r>
      <w:r>
        <w:instrText xml:space="preserve"> ADDIN ZOTERO_ITEM CSL_CITATION {"citationID":"GC8uPhXE","properties":{"formattedCitation":"Michelle Pfeffer, \\uc0\\u8220{}Reassessing the Marginalization of Astrology in the Early Modern World,\\uc0\\u8221{} {\\i{}The Historical Journal}, September 6, 2023, 1\\uc0\\u8211{}25, https://doi.org/10.1017/S0018246X23000328.","plainCitation":"Michelle Pfeffer, “Reassessing the Marginalization of Astrology in the Early Modern World,” The Historical Journal, September 6, 2023, 1–25, https://doi.org/10.1017/S0018246X23000328.","noteIndex":19},"citationItems":[{"id":68452,"uris":["http://zotero.org/users/8324705/items/2YC3LA7G"],"itemData":{"id":68452,"type":"article-journal","abstract":"The marginalization of astrology – the protracted process by which a rich scholarly field and a highly skilled trade migrated into the margins of European culture – is coming to be recognized as one of the most fundamental transformations in the transition from the pre-modern to the modern world. Long assumed to be a casualty of the ‘scientific revolution’ and ‘Enlightenment’, since the 1970s historians have questioned the power of intellectual developments to carry the weight of this major shift, and have constructed alternative social, political, and cultural narratives. However, in the last fifteen years, the field has been making a (re-)turn to intellectual history, albeit in innovative ways. This critical historiographical review accumulates and digests this large body of new work, showing how these historiographical about-turns leave us with broader questions about the role of ideas in cultural transformations, as well as – on a smaller scale – the processes by which individuals change their minds. I close the review by contending that after decades of neglect, it is an opportune time to bring intellectual history back into our studies of the ‘disenchantment of the world’.","container-title":"The Historical Journal","DOI":"10.1017/S0018246X23000328","ISSN":"0018-246X, 1469-5103","language":"en","page":"1-25","source":"Cambridge University Press","title":"Reassessing the Marginalization of Astrology in the Early Modern World","author":[{"family":"Pfeffer","given":"Michelle"}],"issued":{"date-parts":[["2023",9,6]]}}}],"schema":"https://github.com/citation-style-language/schema/raw/master/csl-citation.json"} </w:instrText>
      </w:r>
      <w:r>
        <w:fldChar w:fldCharType="separate"/>
      </w:r>
      <w:r>
        <w:rPr>
          <w:kern w:val="0"/>
        </w:rPr>
        <w:t>Michelle Pfeffer, '</w:t>
      </w:r>
      <w:r w:rsidRPr="00802C8D">
        <w:rPr>
          <w:kern w:val="0"/>
        </w:rPr>
        <w:t>Reassessing the Marginalization of Astro</w:t>
      </w:r>
      <w:r>
        <w:rPr>
          <w:kern w:val="0"/>
        </w:rPr>
        <w:t>logy in the Early Modern World',</w:t>
      </w:r>
      <w:r w:rsidR="00F1387F">
        <w:rPr>
          <w:kern w:val="0"/>
        </w:rPr>
        <w:t xml:space="preserve"> in</w:t>
      </w:r>
      <w:r w:rsidRPr="00802C8D">
        <w:rPr>
          <w:kern w:val="0"/>
        </w:rPr>
        <w:t xml:space="preserve"> </w:t>
      </w:r>
      <w:r w:rsidRPr="00802C8D">
        <w:rPr>
          <w:i/>
          <w:iCs/>
          <w:kern w:val="0"/>
        </w:rPr>
        <w:t>The Historical Journal</w:t>
      </w:r>
      <w:r>
        <w:rPr>
          <w:i/>
          <w:iCs/>
          <w:kern w:val="0"/>
        </w:rPr>
        <w:t xml:space="preserve"> </w:t>
      </w:r>
      <w:r>
        <w:rPr>
          <w:kern w:val="0"/>
        </w:rPr>
        <w:t>(Sept</w:t>
      </w:r>
      <w:r w:rsidR="00F1387F">
        <w:rPr>
          <w:kern w:val="0"/>
        </w:rPr>
        <w:t>ember</w:t>
      </w:r>
      <w:r>
        <w:rPr>
          <w:kern w:val="0"/>
        </w:rPr>
        <w:t xml:space="preserve"> </w:t>
      </w:r>
      <w:r w:rsidRPr="00802C8D">
        <w:rPr>
          <w:kern w:val="0"/>
        </w:rPr>
        <w:t>6, 2023</w:t>
      </w:r>
      <w:r>
        <w:rPr>
          <w:kern w:val="0"/>
        </w:rPr>
        <w:t>)</w:t>
      </w:r>
      <w:r w:rsidR="004C52F8">
        <w:rPr>
          <w:kern w:val="0"/>
        </w:rPr>
        <w:t xml:space="preserve">, </w:t>
      </w:r>
      <w:r w:rsidR="00F1387F" w:rsidRPr="00F1387F">
        <w:rPr>
          <w:kern w:val="0"/>
        </w:rPr>
        <w:t>1–25</w:t>
      </w:r>
      <w:r w:rsidR="00F1387F">
        <w:rPr>
          <w:kern w:val="0"/>
        </w:rPr>
        <w:t xml:space="preserve">. p </w:t>
      </w:r>
      <w:r w:rsidR="004C52F8">
        <w:rPr>
          <w:kern w:val="0"/>
        </w:rPr>
        <w:t>12</w:t>
      </w:r>
      <w:r w:rsidRPr="00802C8D">
        <w:rPr>
          <w:kern w:val="0"/>
        </w:rPr>
        <w:t>.</w:t>
      </w:r>
      <w:r>
        <w:fldChar w:fldCharType="end"/>
      </w:r>
    </w:p>
  </w:footnote>
  <w:footnote w:id="29">
    <w:p w14:paraId="323BD9B5" w14:textId="4FC634F6" w:rsidR="007C6747" w:rsidRDefault="007C6747" w:rsidP="007C6747">
      <w:pPr>
        <w:pStyle w:val="FootnoteText"/>
      </w:pPr>
      <w:r>
        <w:rPr>
          <w:rStyle w:val="FootnoteReference"/>
        </w:rPr>
        <w:footnoteRef/>
      </w:r>
      <w:r>
        <w:t xml:space="preserve"> </w:t>
      </w:r>
      <w:r w:rsidR="00F1387F" w:rsidRPr="00F1387F">
        <w:t xml:space="preserve">See Elly R. Truitt, 'Celestial Divination and Arabic Science in Twelfth-Century England: The History of Gerbert of Aurillac’s Talking Head', in </w:t>
      </w:r>
      <w:r w:rsidR="00F1387F" w:rsidRPr="00F1387F">
        <w:rPr>
          <w:i/>
        </w:rPr>
        <w:t>Journal of the History of Ideas</w:t>
      </w:r>
      <w:r w:rsidR="00F1387F">
        <w:t>, 73.2 (2012), 201–222, p.</w:t>
      </w:r>
      <w:r w:rsidR="00F1387F" w:rsidRPr="00F1387F">
        <w:t xml:space="preserve"> 209.</w:t>
      </w:r>
    </w:p>
  </w:footnote>
  <w:footnote w:id="30">
    <w:p w14:paraId="506A7629" w14:textId="3AB6136A" w:rsidR="00025536" w:rsidRDefault="00025536">
      <w:pPr>
        <w:pStyle w:val="FootnoteText"/>
      </w:pPr>
      <w:r>
        <w:rPr>
          <w:rStyle w:val="FootnoteReference"/>
        </w:rPr>
        <w:footnoteRef/>
      </w:r>
      <w:r>
        <w:t xml:space="preserve"> </w:t>
      </w:r>
      <w:r w:rsidR="006F0523">
        <w:t xml:space="preserve">See </w:t>
      </w:r>
      <w:r>
        <w:fldChar w:fldCharType="begin"/>
      </w:r>
      <w:r>
        <w:instrText xml:space="preserve"> ADDIN ZOTERO_ITEM CSL_CITATION {"citationID":"FZ0Mnv5d","properties":{"formattedCitation":"Irene Caiazzo, \\uc0\\u8220{}Teaching the Quadrivium in the Twelfth-Century Schools,\\uc0\\u8221{} in {\\i{}A Companion to Twelfth-Century Schools} (Brill, 2019), 180\\uc0\\u8211{}202, https://doi.org/10.1163/9789004410138_010.","plainCitation":"Irene Caiazzo, “Teaching the Quadrivium in the Twelfth-Century Schools,” in A Companion to Twelfth-Century Schools (Brill, 2019), 180–202, https://doi.org/10.1163/9789004410138_010.","noteIndex":23},"citationItems":[{"id":68523,"uris":["http://zotero.org/users/8324705/items/JIHULNRP"],"itemData":{"id":68523,"type":"chapter","container-title":"A Companion to Twelfth-Century Schools","ISBN":"978-90-04-41013-8","language":"en","note":"section: A Companion to Twelfth-Century Schools\nDOI: 10.1163/9789004410138_010","page":"180-202","publisher":"Brill","source":"brill.com","title":"Teaching the Quadrivium in the Twelfth-Century Schools","URL":"https://brill.com/display/book/edcoll/9789004410138/BP000009.xml","author":[{"family":"Caiazzo","given":"Irene"}],"accessed":{"date-parts":[["2023",10,31]]},"issued":{"date-parts":[["2019",11,4]]}}}],"schema":"https://github.com/citation-style-language/schema/raw/master/csl-citation.json"} </w:instrText>
      </w:r>
      <w:r>
        <w:fldChar w:fldCharType="separate"/>
      </w:r>
      <w:r w:rsidRPr="00025536">
        <w:rPr>
          <w:kern w:val="0"/>
        </w:rPr>
        <w:t>Iren</w:t>
      </w:r>
      <w:r w:rsidR="00947D6A">
        <w:rPr>
          <w:kern w:val="0"/>
        </w:rPr>
        <w:t>e Caiazzo, '</w:t>
      </w:r>
      <w:r w:rsidRPr="00025536">
        <w:rPr>
          <w:kern w:val="0"/>
        </w:rPr>
        <w:t>Teaching the Quadrivium in the Twelfth-Century Schools</w:t>
      </w:r>
      <w:r w:rsidR="00947D6A">
        <w:rPr>
          <w:kern w:val="0"/>
        </w:rPr>
        <w:t>',</w:t>
      </w:r>
      <w:r w:rsidRPr="00025536">
        <w:rPr>
          <w:kern w:val="0"/>
        </w:rPr>
        <w:t xml:space="preserve"> in </w:t>
      </w:r>
      <w:r w:rsidRPr="00025536">
        <w:rPr>
          <w:i/>
          <w:iCs/>
          <w:kern w:val="0"/>
        </w:rPr>
        <w:t>A Companion to Twelfth-Century Schools</w:t>
      </w:r>
      <w:r w:rsidR="006F0523">
        <w:rPr>
          <w:i/>
          <w:iCs/>
          <w:kern w:val="0"/>
        </w:rPr>
        <w:t xml:space="preserve"> ed.by </w:t>
      </w:r>
      <w:r w:rsidR="006F0523" w:rsidRPr="006F0523">
        <w:rPr>
          <w:i/>
          <w:iCs/>
          <w:kern w:val="0"/>
        </w:rPr>
        <w:t>Cédric Giraud</w:t>
      </w:r>
      <w:r w:rsidR="006F0523">
        <w:rPr>
          <w:i/>
          <w:iCs/>
          <w:kern w:val="0"/>
        </w:rPr>
        <w:t xml:space="preserve">, tr. by </w:t>
      </w:r>
      <w:r w:rsidR="006F0523" w:rsidRPr="006F0523">
        <w:rPr>
          <w:i/>
          <w:iCs/>
          <w:kern w:val="0"/>
        </w:rPr>
        <w:t>Ignacio Duran</w:t>
      </w:r>
      <w:r w:rsidR="006F0523">
        <w:rPr>
          <w:i/>
          <w:iCs/>
          <w:kern w:val="0"/>
        </w:rPr>
        <w:t xml:space="preserve"> </w:t>
      </w:r>
      <w:r w:rsidRPr="00025536">
        <w:rPr>
          <w:kern w:val="0"/>
        </w:rPr>
        <w:t>(</w:t>
      </w:r>
      <w:r w:rsidR="00947D6A">
        <w:rPr>
          <w:kern w:val="0"/>
        </w:rPr>
        <w:t xml:space="preserve">Leiden: </w:t>
      </w:r>
      <w:r w:rsidR="000C3058">
        <w:rPr>
          <w:kern w:val="0"/>
        </w:rPr>
        <w:t>Brill, 2019),</w:t>
      </w:r>
      <w:r w:rsidR="003A0FB6">
        <w:rPr>
          <w:kern w:val="0"/>
        </w:rPr>
        <w:t xml:space="preserve"> </w:t>
      </w:r>
      <w:r w:rsidR="006F0523">
        <w:rPr>
          <w:kern w:val="0"/>
        </w:rPr>
        <w:t>pp.</w:t>
      </w:r>
      <w:r w:rsidR="000C3058">
        <w:rPr>
          <w:kern w:val="0"/>
        </w:rPr>
        <w:t xml:space="preserve"> </w:t>
      </w:r>
      <w:r w:rsidR="003605BA">
        <w:rPr>
          <w:kern w:val="0"/>
        </w:rPr>
        <w:t xml:space="preserve">180-202, pp. </w:t>
      </w:r>
      <w:r w:rsidR="000C3058">
        <w:rPr>
          <w:kern w:val="0"/>
        </w:rPr>
        <w:t>180-181.</w:t>
      </w:r>
      <w:r>
        <w:fldChar w:fldCharType="end"/>
      </w:r>
    </w:p>
  </w:footnote>
  <w:footnote w:id="31">
    <w:p w14:paraId="6205D01A" w14:textId="22B88F29" w:rsidR="00433208" w:rsidRDefault="00433208">
      <w:pPr>
        <w:pStyle w:val="FootnoteText"/>
      </w:pPr>
      <w:r>
        <w:rPr>
          <w:rStyle w:val="FootnoteReference"/>
        </w:rPr>
        <w:footnoteRef/>
      </w:r>
      <w:r>
        <w:t xml:space="preserve"> </w:t>
      </w:r>
      <w:r w:rsidR="006F0523">
        <w:t xml:space="preserve">See </w:t>
      </w:r>
      <w:r w:rsidR="006F0523" w:rsidRPr="006F0523">
        <w:t xml:space="preserve">Dorian Gieseler Greenbaum, 'Divination and Decumbiture: Katarchic Astrology and Greek Medicine', in </w:t>
      </w:r>
      <w:r w:rsidR="006F0523" w:rsidRPr="006F0523">
        <w:rPr>
          <w:i/>
        </w:rPr>
        <w:t>Divination and Knowledge in Greco-Roman Antiquity</w:t>
      </w:r>
      <w:r w:rsidR="006F0523" w:rsidRPr="006F0523">
        <w:t>,</w:t>
      </w:r>
      <w:r w:rsidR="006F0523">
        <w:t xml:space="preserve"> </w:t>
      </w:r>
      <w:r w:rsidR="006F0523" w:rsidRPr="006F0523">
        <w:t>e</w:t>
      </w:r>
      <w:r w:rsidR="006F0523">
        <w:t>d. by Crystal Addey (London: Routledge, 2021), pp.</w:t>
      </w:r>
      <w:r w:rsidR="006F0523" w:rsidRPr="006F0523">
        <w:t xml:space="preserve"> 110-137</w:t>
      </w:r>
      <w:r w:rsidR="006F0523">
        <w:t>, p.</w:t>
      </w:r>
      <w:r w:rsidR="006F0523" w:rsidRPr="006F0523">
        <w:t xml:space="preserve"> </w:t>
      </w:r>
      <w:r w:rsidR="00C0418C">
        <w:t>109.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714386883"/>
      <w:docPartObj>
        <w:docPartGallery w:val="Page Numbers (Top of Page)"/>
        <w:docPartUnique/>
      </w:docPartObj>
    </w:sdtPr>
    <w:sdtEndPr>
      <w:rPr>
        <w:rStyle w:val="PageNumber"/>
      </w:rPr>
    </w:sdtEndPr>
    <w:sdtContent>
      <w:p w14:paraId="34F532DB" w14:textId="27E5B9DC" w:rsidR="00975DA1" w:rsidRDefault="00975DA1" w:rsidP="00BC42A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68F112" w14:textId="77777777" w:rsidR="00975DA1" w:rsidRDefault="00975DA1" w:rsidP="00975DA1">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295868847"/>
      <w:docPartObj>
        <w:docPartGallery w:val="Page Numbers (Top of Page)"/>
        <w:docPartUnique/>
      </w:docPartObj>
    </w:sdtPr>
    <w:sdtEndPr>
      <w:rPr>
        <w:rStyle w:val="PageNumber"/>
      </w:rPr>
    </w:sdtEndPr>
    <w:sdtContent>
      <w:p w14:paraId="3F31DB4B" w14:textId="2CFA4DEF" w:rsidR="00975DA1" w:rsidRDefault="00975DA1" w:rsidP="00BC42A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A2380">
          <w:rPr>
            <w:rStyle w:val="PageNumber"/>
            <w:noProof/>
          </w:rPr>
          <w:t>1</w:t>
        </w:r>
        <w:r>
          <w:rPr>
            <w:rStyle w:val="PageNumber"/>
          </w:rPr>
          <w:fldChar w:fldCharType="end"/>
        </w:r>
      </w:p>
    </w:sdtContent>
  </w:sdt>
  <w:p w14:paraId="6F55873B" w14:textId="77777777" w:rsidR="00975DA1" w:rsidRDefault="00975DA1" w:rsidP="00975DA1">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7"/>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AA4"/>
    <w:rsid w:val="00025536"/>
    <w:rsid w:val="000275D6"/>
    <w:rsid w:val="00032E4F"/>
    <w:rsid w:val="000332C1"/>
    <w:rsid w:val="00060FDE"/>
    <w:rsid w:val="00073A95"/>
    <w:rsid w:val="000756AD"/>
    <w:rsid w:val="00087426"/>
    <w:rsid w:val="00090334"/>
    <w:rsid w:val="000B3170"/>
    <w:rsid w:val="000C0609"/>
    <w:rsid w:val="000C3058"/>
    <w:rsid w:val="000D0D49"/>
    <w:rsid w:val="000F6C14"/>
    <w:rsid w:val="00104DB1"/>
    <w:rsid w:val="00151C5A"/>
    <w:rsid w:val="00160D9E"/>
    <w:rsid w:val="00170068"/>
    <w:rsid w:val="00182CC8"/>
    <w:rsid w:val="00191B23"/>
    <w:rsid w:val="00194758"/>
    <w:rsid w:val="001B2151"/>
    <w:rsid w:val="001F16B9"/>
    <w:rsid w:val="00210F75"/>
    <w:rsid w:val="0021474D"/>
    <w:rsid w:val="00241903"/>
    <w:rsid w:val="00244912"/>
    <w:rsid w:val="0025419D"/>
    <w:rsid w:val="0028566E"/>
    <w:rsid w:val="00291EDC"/>
    <w:rsid w:val="00295F6E"/>
    <w:rsid w:val="002A2E8F"/>
    <w:rsid w:val="002A6B3F"/>
    <w:rsid w:val="002B60ED"/>
    <w:rsid w:val="002C2347"/>
    <w:rsid w:val="002C3375"/>
    <w:rsid w:val="002D1D85"/>
    <w:rsid w:val="002E4338"/>
    <w:rsid w:val="002F6C84"/>
    <w:rsid w:val="00304DBD"/>
    <w:rsid w:val="0031171C"/>
    <w:rsid w:val="00325210"/>
    <w:rsid w:val="00327204"/>
    <w:rsid w:val="00331B3D"/>
    <w:rsid w:val="003605BA"/>
    <w:rsid w:val="00371DBA"/>
    <w:rsid w:val="0037479A"/>
    <w:rsid w:val="00374DD5"/>
    <w:rsid w:val="003778AB"/>
    <w:rsid w:val="003A0FB6"/>
    <w:rsid w:val="003C4775"/>
    <w:rsid w:val="003C7D6A"/>
    <w:rsid w:val="003D2801"/>
    <w:rsid w:val="003F5833"/>
    <w:rsid w:val="003F73F3"/>
    <w:rsid w:val="00400969"/>
    <w:rsid w:val="00433208"/>
    <w:rsid w:val="0044259B"/>
    <w:rsid w:val="00443DAB"/>
    <w:rsid w:val="004609F2"/>
    <w:rsid w:val="00461694"/>
    <w:rsid w:val="0046228D"/>
    <w:rsid w:val="004A2DF0"/>
    <w:rsid w:val="004B5DDC"/>
    <w:rsid w:val="004C4A73"/>
    <w:rsid w:val="004C4AB0"/>
    <w:rsid w:val="004C52F8"/>
    <w:rsid w:val="004D57C9"/>
    <w:rsid w:val="004E6B75"/>
    <w:rsid w:val="00514AB6"/>
    <w:rsid w:val="005150B5"/>
    <w:rsid w:val="00522BC3"/>
    <w:rsid w:val="00543FE8"/>
    <w:rsid w:val="00544F1A"/>
    <w:rsid w:val="00546599"/>
    <w:rsid w:val="00547EFC"/>
    <w:rsid w:val="00560BF9"/>
    <w:rsid w:val="00575343"/>
    <w:rsid w:val="00576BE5"/>
    <w:rsid w:val="005829A9"/>
    <w:rsid w:val="005A189D"/>
    <w:rsid w:val="005F7939"/>
    <w:rsid w:val="00603058"/>
    <w:rsid w:val="00610D79"/>
    <w:rsid w:val="00621E8C"/>
    <w:rsid w:val="006232F1"/>
    <w:rsid w:val="006257B4"/>
    <w:rsid w:val="006260EE"/>
    <w:rsid w:val="00626B65"/>
    <w:rsid w:val="00627BAC"/>
    <w:rsid w:val="00645526"/>
    <w:rsid w:val="00657B38"/>
    <w:rsid w:val="006A22C8"/>
    <w:rsid w:val="006A2A8D"/>
    <w:rsid w:val="006B788B"/>
    <w:rsid w:val="006E4F53"/>
    <w:rsid w:val="006F0523"/>
    <w:rsid w:val="006F4661"/>
    <w:rsid w:val="00703A6D"/>
    <w:rsid w:val="0070575E"/>
    <w:rsid w:val="007109BA"/>
    <w:rsid w:val="00752B9C"/>
    <w:rsid w:val="0076357D"/>
    <w:rsid w:val="00771C62"/>
    <w:rsid w:val="007858BA"/>
    <w:rsid w:val="00795407"/>
    <w:rsid w:val="007B5B7E"/>
    <w:rsid w:val="007C6747"/>
    <w:rsid w:val="007F5B0C"/>
    <w:rsid w:val="00802C8D"/>
    <w:rsid w:val="00806523"/>
    <w:rsid w:val="00816827"/>
    <w:rsid w:val="0085289E"/>
    <w:rsid w:val="00874336"/>
    <w:rsid w:val="0087771F"/>
    <w:rsid w:val="00887F28"/>
    <w:rsid w:val="00894CB4"/>
    <w:rsid w:val="008A0AB9"/>
    <w:rsid w:val="008A169C"/>
    <w:rsid w:val="008C4484"/>
    <w:rsid w:val="008C7E7A"/>
    <w:rsid w:val="009067F4"/>
    <w:rsid w:val="00916568"/>
    <w:rsid w:val="00927613"/>
    <w:rsid w:val="00931129"/>
    <w:rsid w:val="009325A0"/>
    <w:rsid w:val="00932AA4"/>
    <w:rsid w:val="00944B30"/>
    <w:rsid w:val="00945892"/>
    <w:rsid w:val="009467E1"/>
    <w:rsid w:val="00947D6A"/>
    <w:rsid w:val="00947DD4"/>
    <w:rsid w:val="00975DA1"/>
    <w:rsid w:val="00980F05"/>
    <w:rsid w:val="00995491"/>
    <w:rsid w:val="009C0A2E"/>
    <w:rsid w:val="009E6098"/>
    <w:rsid w:val="00A05A61"/>
    <w:rsid w:val="00A06295"/>
    <w:rsid w:val="00A121F2"/>
    <w:rsid w:val="00A1740B"/>
    <w:rsid w:val="00A215F2"/>
    <w:rsid w:val="00A30CA0"/>
    <w:rsid w:val="00A379EA"/>
    <w:rsid w:val="00A76D2C"/>
    <w:rsid w:val="00AA376D"/>
    <w:rsid w:val="00AC2D1E"/>
    <w:rsid w:val="00AC593A"/>
    <w:rsid w:val="00AE78C7"/>
    <w:rsid w:val="00AF27FB"/>
    <w:rsid w:val="00B437A4"/>
    <w:rsid w:val="00B721DB"/>
    <w:rsid w:val="00BB0770"/>
    <w:rsid w:val="00BB1087"/>
    <w:rsid w:val="00BB53AB"/>
    <w:rsid w:val="00BB6CC4"/>
    <w:rsid w:val="00BD14A8"/>
    <w:rsid w:val="00BE1F72"/>
    <w:rsid w:val="00C0418C"/>
    <w:rsid w:val="00C12088"/>
    <w:rsid w:val="00C35F1A"/>
    <w:rsid w:val="00C72442"/>
    <w:rsid w:val="00C83939"/>
    <w:rsid w:val="00C91462"/>
    <w:rsid w:val="00CB5BE0"/>
    <w:rsid w:val="00CC3221"/>
    <w:rsid w:val="00CE14B8"/>
    <w:rsid w:val="00CF2E49"/>
    <w:rsid w:val="00CF30D9"/>
    <w:rsid w:val="00D01F3C"/>
    <w:rsid w:val="00D034A8"/>
    <w:rsid w:val="00D03C2D"/>
    <w:rsid w:val="00D37C9B"/>
    <w:rsid w:val="00D81159"/>
    <w:rsid w:val="00DA7C2A"/>
    <w:rsid w:val="00DB0A6C"/>
    <w:rsid w:val="00DD0F20"/>
    <w:rsid w:val="00DD33F4"/>
    <w:rsid w:val="00DD6408"/>
    <w:rsid w:val="00DE04B6"/>
    <w:rsid w:val="00E3130F"/>
    <w:rsid w:val="00E3430F"/>
    <w:rsid w:val="00E81159"/>
    <w:rsid w:val="00E81A00"/>
    <w:rsid w:val="00EA2380"/>
    <w:rsid w:val="00EA2EE7"/>
    <w:rsid w:val="00EA5698"/>
    <w:rsid w:val="00EB0799"/>
    <w:rsid w:val="00EC1C89"/>
    <w:rsid w:val="00EC4257"/>
    <w:rsid w:val="00ED4EFC"/>
    <w:rsid w:val="00EE21E2"/>
    <w:rsid w:val="00F04364"/>
    <w:rsid w:val="00F1387F"/>
    <w:rsid w:val="00F348E7"/>
    <w:rsid w:val="00F465A2"/>
    <w:rsid w:val="00F62155"/>
    <w:rsid w:val="00F623F6"/>
    <w:rsid w:val="00F66FA2"/>
    <w:rsid w:val="00F94D49"/>
    <w:rsid w:val="00FA3EAD"/>
    <w:rsid w:val="00FD0674"/>
    <w:rsid w:val="00FD38EE"/>
    <w:rsid w:val="00FE6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B9C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kern w:val="2"/>
        <w:sz w:val="24"/>
        <w:szCs w:val="24"/>
        <w:lang w:val="en-US"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4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10D79"/>
    <w:rPr>
      <w:sz w:val="20"/>
      <w:szCs w:val="20"/>
    </w:rPr>
  </w:style>
  <w:style w:type="character" w:customStyle="1" w:styleId="FootnoteTextChar">
    <w:name w:val="Footnote Text Char"/>
    <w:basedOn w:val="DefaultParagraphFont"/>
    <w:link w:val="FootnoteText"/>
    <w:uiPriority w:val="99"/>
    <w:semiHidden/>
    <w:rsid w:val="00610D79"/>
    <w:rPr>
      <w:sz w:val="20"/>
      <w:szCs w:val="20"/>
    </w:rPr>
  </w:style>
  <w:style w:type="character" w:styleId="FootnoteReference">
    <w:name w:val="footnote reference"/>
    <w:basedOn w:val="DefaultParagraphFont"/>
    <w:uiPriority w:val="99"/>
    <w:semiHidden/>
    <w:unhideWhenUsed/>
    <w:rsid w:val="00610D79"/>
    <w:rPr>
      <w:vertAlign w:val="superscript"/>
    </w:rPr>
  </w:style>
  <w:style w:type="paragraph" w:styleId="Header">
    <w:name w:val="header"/>
    <w:basedOn w:val="Normal"/>
    <w:link w:val="HeaderChar"/>
    <w:uiPriority w:val="99"/>
    <w:unhideWhenUsed/>
    <w:rsid w:val="00975DA1"/>
    <w:pPr>
      <w:tabs>
        <w:tab w:val="center" w:pos="4680"/>
        <w:tab w:val="right" w:pos="9360"/>
      </w:tabs>
    </w:pPr>
  </w:style>
  <w:style w:type="character" w:customStyle="1" w:styleId="HeaderChar">
    <w:name w:val="Header Char"/>
    <w:basedOn w:val="DefaultParagraphFont"/>
    <w:link w:val="Header"/>
    <w:uiPriority w:val="99"/>
    <w:rsid w:val="00975DA1"/>
  </w:style>
  <w:style w:type="character" w:styleId="PageNumber">
    <w:name w:val="page number"/>
    <w:basedOn w:val="DefaultParagraphFont"/>
    <w:uiPriority w:val="99"/>
    <w:semiHidden/>
    <w:unhideWhenUsed/>
    <w:rsid w:val="00975DA1"/>
  </w:style>
  <w:style w:type="character" w:styleId="EndnoteReference">
    <w:name w:val="endnote reference"/>
    <w:basedOn w:val="DefaultParagraphFont"/>
    <w:uiPriority w:val="99"/>
    <w:semiHidden/>
    <w:unhideWhenUsed/>
    <w:rsid w:val="00AC2D1E"/>
    <w:rPr>
      <w:vertAlign w:val="superscript"/>
    </w:rPr>
  </w:style>
  <w:style w:type="paragraph" w:styleId="Bibliography">
    <w:name w:val="Bibliography"/>
    <w:basedOn w:val="Normal"/>
    <w:next w:val="Normal"/>
    <w:uiPriority w:val="37"/>
    <w:unhideWhenUsed/>
    <w:rsid w:val="007C6747"/>
    <w:pPr>
      <w:ind w:left="720" w:hanging="720"/>
    </w:pPr>
  </w:style>
  <w:style w:type="character" w:styleId="Hyperlink">
    <w:name w:val="Hyperlink"/>
    <w:basedOn w:val="DefaultParagraphFont"/>
    <w:uiPriority w:val="99"/>
    <w:unhideWhenUsed/>
    <w:rsid w:val="008A0AB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kern w:val="2"/>
        <w:sz w:val="24"/>
        <w:szCs w:val="24"/>
        <w:lang w:val="en-US"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4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10D79"/>
    <w:rPr>
      <w:sz w:val="20"/>
      <w:szCs w:val="20"/>
    </w:rPr>
  </w:style>
  <w:style w:type="character" w:customStyle="1" w:styleId="FootnoteTextChar">
    <w:name w:val="Footnote Text Char"/>
    <w:basedOn w:val="DefaultParagraphFont"/>
    <w:link w:val="FootnoteText"/>
    <w:uiPriority w:val="99"/>
    <w:semiHidden/>
    <w:rsid w:val="00610D79"/>
    <w:rPr>
      <w:sz w:val="20"/>
      <w:szCs w:val="20"/>
    </w:rPr>
  </w:style>
  <w:style w:type="character" w:styleId="FootnoteReference">
    <w:name w:val="footnote reference"/>
    <w:basedOn w:val="DefaultParagraphFont"/>
    <w:uiPriority w:val="99"/>
    <w:semiHidden/>
    <w:unhideWhenUsed/>
    <w:rsid w:val="00610D79"/>
    <w:rPr>
      <w:vertAlign w:val="superscript"/>
    </w:rPr>
  </w:style>
  <w:style w:type="paragraph" w:styleId="Header">
    <w:name w:val="header"/>
    <w:basedOn w:val="Normal"/>
    <w:link w:val="HeaderChar"/>
    <w:uiPriority w:val="99"/>
    <w:unhideWhenUsed/>
    <w:rsid w:val="00975DA1"/>
    <w:pPr>
      <w:tabs>
        <w:tab w:val="center" w:pos="4680"/>
        <w:tab w:val="right" w:pos="9360"/>
      </w:tabs>
    </w:pPr>
  </w:style>
  <w:style w:type="character" w:customStyle="1" w:styleId="HeaderChar">
    <w:name w:val="Header Char"/>
    <w:basedOn w:val="DefaultParagraphFont"/>
    <w:link w:val="Header"/>
    <w:uiPriority w:val="99"/>
    <w:rsid w:val="00975DA1"/>
  </w:style>
  <w:style w:type="character" w:styleId="PageNumber">
    <w:name w:val="page number"/>
    <w:basedOn w:val="DefaultParagraphFont"/>
    <w:uiPriority w:val="99"/>
    <w:semiHidden/>
    <w:unhideWhenUsed/>
    <w:rsid w:val="00975DA1"/>
  </w:style>
  <w:style w:type="character" w:styleId="EndnoteReference">
    <w:name w:val="endnote reference"/>
    <w:basedOn w:val="DefaultParagraphFont"/>
    <w:uiPriority w:val="99"/>
    <w:semiHidden/>
    <w:unhideWhenUsed/>
    <w:rsid w:val="00AC2D1E"/>
    <w:rPr>
      <w:vertAlign w:val="superscript"/>
    </w:rPr>
  </w:style>
  <w:style w:type="paragraph" w:styleId="Bibliography">
    <w:name w:val="Bibliography"/>
    <w:basedOn w:val="Normal"/>
    <w:next w:val="Normal"/>
    <w:uiPriority w:val="37"/>
    <w:unhideWhenUsed/>
    <w:rsid w:val="007C6747"/>
    <w:pPr>
      <w:ind w:left="720" w:hanging="720"/>
    </w:pPr>
  </w:style>
  <w:style w:type="character" w:styleId="Hyperlink">
    <w:name w:val="Hyperlink"/>
    <w:basedOn w:val="DefaultParagraphFont"/>
    <w:uiPriority w:val="99"/>
    <w:unhideWhenUsed/>
    <w:rsid w:val="008A0A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063624">
      <w:bodyDiv w:val="1"/>
      <w:marLeft w:val="0"/>
      <w:marRight w:val="0"/>
      <w:marTop w:val="0"/>
      <w:marBottom w:val="0"/>
      <w:divBdr>
        <w:top w:val="none" w:sz="0" w:space="0" w:color="auto"/>
        <w:left w:val="none" w:sz="0" w:space="0" w:color="auto"/>
        <w:bottom w:val="none" w:sz="0" w:space="0" w:color="auto"/>
        <w:right w:val="none" w:sz="0" w:space="0" w:color="auto"/>
      </w:divBdr>
      <w:divsChild>
        <w:div w:id="714424871">
          <w:marLeft w:val="0"/>
          <w:marRight w:val="0"/>
          <w:marTop w:val="0"/>
          <w:marBottom w:val="0"/>
          <w:divBdr>
            <w:top w:val="none" w:sz="0" w:space="0" w:color="auto"/>
            <w:left w:val="none" w:sz="0" w:space="0" w:color="auto"/>
            <w:bottom w:val="none" w:sz="0" w:space="0" w:color="auto"/>
            <w:right w:val="none" w:sz="0" w:space="0" w:color="auto"/>
          </w:divBdr>
          <w:divsChild>
            <w:div w:id="97383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B87DF-86EF-4E6F-B989-4383BF70F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2405</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2023-10-30T18:48:00Z</dcterms:created>
  <dcterms:modified xsi:type="dcterms:W3CDTF">2023-11-05T22:52:00Z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zotero-version="6.0.29"&gt;&lt;session id="su00I0Fq"/&gt;&lt;style id="http://www.zotero.org/styles/chicago-fullnote-bibliography" locale="en-US" hasBibliography="1" bibliographyStyleHasBeenSet="1"/&gt;&lt;prefs&gt;&lt;pref name="fieldType" value="Field"/&gt;</vt:lpwstr>
  </property>
  <property fmtid="{D5CDD505-2E9C-101B-9397-08002B2CF9AE}" pid="3" name="ZOTERO_PREF_2">
    <vt:lpwstr>&lt;pref name="noteType" value="1"/&gt;&lt;/prefs&gt;&lt;/data&gt;</vt:lpwstr>
  </property>
</Properties>
</file>