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A74BC0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96624">
              <w:rPr>
                <w:rFonts w:ascii="Times New Roman" w:hAnsi="Times New Roman" w:cs="Times New Roman"/>
                <w:b/>
                <w:color w:val="auto"/>
                <w:sz w:val="48"/>
              </w:rPr>
              <w:t>Lauren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4B621C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96624">
              <w:rPr>
                <w:rFonts w:ascii="Times New Roman" w:hAnsi="Times New Roman" w:cs="Times New Roman"/>
                <w:b/>
                <w:color w:val="auto"/>
                <w:sz w:val="48"/>
              </w:rPr>
              <w:t xml:space="preserve"> L.vaughan@npt.gov.uk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B32192A" w14:textId="77777777" w:rsidR="0089662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96624">
              <w:rPr>
                <w:rFonts w:ascii="Times New Roman" w:hAnsi="Times New Roman" w:cs="Times New Roman"/>
                <w:b/>
                <w:color w:val="auto"/>
                <w:sz w:val="48"/>
              </w:rPr>
              <w:t xml:space="preserve"> </w:t>
            </w:r>
          </w:p>
          <w:p w14:paraId="0DE696B2" w14:textId="3B2D12AC" w:rsidR="00F927A1" w:rsidRPr="005D3F07" w:rsidRDefault="0089662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2432434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B6D80A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896624">
              <w:rPr>
                <w:rFonts w:ascii="Times New Roman" w:hAnsi="Times New Roman" w:cs="Times New Roman"/>
                <w:b/>
                <w:color w:val="auto"/>
                <w:sz w:val="48"/>
              </w:rPr>
              <w:t>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BE17940" w14:textId="77777777" w:rsidR="00A41C6F" w:rsidRPr="00376316" w:rsidRDefault="00A41C6F" w:rsidP="00A41C6F">
            <w:pPr>
              <w:rPr>
                <w:sz w:val="24"/>
                <w:szCs w:val="24"/>
              </w:rPr>
            </w:pPr>
          </w:p>
          <w:p w14:paraId="43F57EBE" w14:textId="77777777" w:rsidR="00A41C6F" w:rsidRPr="00376316" w:rsidRDefault="00A41C6F" w:rsidP="00A41C6F">
            <w:pPr>
              <w:rPr>
                <w:sz w:val="24"/>
                <w:szCs w:val="24"/>
              </w:rPr>
            </w:pPr>
            <w:r w:rsidRPr="00376316">
              <w:rPr>
                <w:b/>
                <w:bCs/>
                <w:sz w:val="24"/>
                <w:szCs w:val="24"/>
              </w:rPr>
              <w:t>Abstract</w:t>
            </w:r>
          </w:p>
          <w:p w14:paraId="3C0C077B" w14:textId="77777777" w:rsidR="00A41C6F" w:rsidRDefault="00A41C6F" w:rsidP="00A41C6F">
            <w:pPr>
              <w:rPr>
                <w:sz w:val="24"/>
                <w:szCs w:val="24"/>
              </w:rPr>
            </w:pPr>
            <w:r w:rsidRPr="00376316">
              <w:rPr>
                <w:sz w:val="24"/>
                <w:szCs w:val="24"/>
              </w:rPr>
              <w:t xml:space="preserve">This critically reflective case study explores a two-year safeguarding journey with Adult1, a white Welsh adult male who has experienced modern slavery twice, including physical violence, criminal exploitation, coercion and financial exploitation through cuckooing. The narrative is located within the Welsh safeguarding framework established by the Social Services and Well-being (Wales) Act 2014, supported by the Wales Safeguarding Procedures (Social Care Wales, 2019), Code of Safeguarding Practice (Welsh Government, 2022) and Modern Slavery: survivor pathway (Wales) (Welsh Government, 2024). UK-level legislation including the Modern Slavery Act 2015, the Human Rights Act 1998, the Mental Capacity Act 2005, Equality Act 2010 and UK GDPR/Data Protection Act 2018 provide the necessary interface, while international frameworks such as the Council of Europe Convention on Action against Trafficking in Human Beings, GRETA monitoring, the UN Palermo Protocol and EU Directive 2011/36/EU shape broader expectations around non-punishment, protection and multi-agency collaboration. </w:t>
            </w:r>
          </w:p>
          <w:p w14:paraId="5D59BF09" w14:textId="77777777" w:rsidR="00A41C6F" w:rsidRPr="00376316" w:rsidRDefault="00A41C6F" w:rsidP="00A41C6F">
            <w:pPr>
              <w:rPr>
                <w:sz w:val="24"/>
                <w:szCs w:val="24"/>
              </w:rPr>
            </w:pPr>
          </w:p>
          <w:p w14:paraId="3487C5F6" w14:textId="77777777" w:rsidR="00A41C6F" w:rsidRDefault="00A41C6F" w:rsidP="00A41C6F">
            <w:pPr>
              <w:rPr>
                <w:sz w:val="24"/>
                <w:szCs w:val="24"/>
              </w:rPr>
            </w:pPr>
            <w:r w:rsidRPr="00376316">
              <w:rPr>
                <w:sz w:val="24"/>
                <w:szCs w:val="24"/>
              </w:rPr>
              <w:t>The analytical framework draws on strengths-based practice (Saleebey, 1996), ecological systems theory (Bronfenbrenner, 1979), trauma informed practice (SAMHSA, 2014), coercive control theory (Stark, 2007) and Karpman’s Drama Triangle (Karpman, 1968).  Trauma</w:t>
            </w:r>
            <w:r w:rsidRPr="00376316">
              <w:rPr>
                <w:rFonts w:ascii="Cambria Math" w:hAnsi="Cambria Math" w:cs="Cambria Math"/>
                <w:sz w:val="24"/>
                <w:szCs w:val="24"/>
              </w:rPr>
              <w:t>‑</w:t>
            </w:r>
            <w:r w:rsidRPr="00376316">
              <w:rPr>
                <w:sz w:val="24"/>
                <w:szCs w:val="24"/>
              </w:rPr>
              <w:t>informed (SAMHSA, 2014) and rights</w:t>
            </w:r>
            <w:r w:rsidRPr="00376316">
              <w:rPr>
                <w:rFonts w:ascii="Cambria Math" w:hAnsi="Cambria Math" w:cs="Cambria Math"/>
                <w:sz w:val="24"/>
                <w:szCs w:val="24"/>
              </w:rPr>
              <w:t>‑</w:t>
            </w:r>
            <w:r w:rsidRPr="00376316">
              <w:rPr>
                <w:sz w:val="24"/>
                <w:szCs w:val="24"/>
              </w:rPr>
              <w:t>based practice (Reynaert et al., 2022; Asenjo Palma and Verity, 2025), proportionality under the Human Rights Act, and relationship</w:t>
            </w:r>
            <w:r w:rsidRPr="00376316">
              <w:rPr>
                <w:rFonts w:ascii="Cambria Math" w:hAnsi="Cambria Math" w:cs="Cambria Math"/>
                <w:sz w:val="24"/>
                <w:szCs w:val="24"/>
              </w:rPr>
              <w:t>‑</w:t>
            </w:r>
            <w:r w:rsidRPr="00376316">
              <w:rPr>
                <w:sz w:val="24"/>
                <w:szCs w:val="24"/>
              </w:rPr>
              <w:t xml:space="preserve">based practice (Cleece et al., 2025) were essential given Adult1’s fluctuating </w:t>
            </w:r>
            <w:r w:rsidRPr="00376316">
              <w:rPr>
                <w:sz w:val="24"/>
                <w:szCs w:val="24"/>
              </w:rPr>
              <w:lastRenderedPageBreak/>
              <w:t xml:space="preserve">presentation (SAMHSA, 2014). The case demonstrates how capacity, coercion, language needs and executive functioning repeatedly intersected, producing an assessment that evolved continuously rather than proceeding linearly. </w:t>
            </w:r>
          </w:p>
          <w:p w14:paraId="1D19B5BF" w14:textId="77777777" w:rsidR="00A41C6F" w:rsidRPr="00376316" w:rsidRDefault="00A41C6F" w:rsidP="00A41C6F">
            <w:pPr>
              <w:rPr>
                <w:sz w:val="24"/>
                <w:szCs w:val="24"/>
              </w:rPr>
            </w:pPr>
          </w:p>
          <w:p w14:paraId="0CD04C54" w14:textId="77777777" w:rsidR="00A41C6F" w:rsidRDefault="00A41C6F" w:rsidP="00A41C6F">
            <w:pPr>
              <w:rPr>
                <w:sz w:val="24"/>
                <w:szCs w:val="24"/>
              </w:rPr>
            </w:pPr>
            <w:r w:rsidRPr="00376316">
              <w:rPr>
                <w:sz w:val="24"/>
                <w:szCs w:val="24"/>
              </w:rPr>
              <w:t>The analysis tracks behavioural change, shifting disclosures and emerging safeguarding concerns (gender expression, sex working, neurodivergence, hoarding and substance use). The case foregrounds professional judgement, the emotional impact of ongoing exploitation and the reality that, even with extensive multi-agency intervention, outcomes are constrained when a capacitated individual exercises their right to refuse support. The analysis is grounded in UK/Wales practice structures including MARAC and the National Referral Mechanism (NRM) that frame multi</w:t>
            </w:r>
            <w:r w:rsidRPr="00376316">
              <w:rPr>
                <w:rFonts w:ascii="Cambria Math" w:hAnsi="Cambria Math" w:cs="Cambria Math"/>
                <w:sz w:val="24"/>
                <w:szCs w:val="24"/>
              </w:rPr>
              <w:t>‑</w:t>
            </w:r>
            <w:r w:rsidRPr="00376316">
              <w:rPr>
                <w:sz w:val="24"/>
                <w:szCs w:val="24"/>
              </w:rPr>
              <w:t>agency information</w:t>
            </w:r>
            <w:r w:rsidRPr="00376316">
              <w:rPr>
                <w:rFonts w:ascii="Cambria Math" w:hAnsi="Cambria Math" w:cs="Cambria Math"/>
                <w:sz w:val="24"/>
                <w:szCs w:val="24"/>
              </w:rPr>
              <w:t>‑</w:t>
            </w:r>
            <w:r w:rsidRPr="00376316">
              <w:rPr>
                <w:sz w:val="24"/>
                <w:szCs w:val="24"/>
              </w:rPr>
              <w:t>sharing and decision</w:t>
            </w:r>
            <w:r w:rsidRPr="00376316">
              <w:rPr>
                <w:rFonts w:ascii="Cambria Math" w:hAnsi="Cambria Math" w:cs="Cambria Math"/>
                <w:sz w:val="24"/>
                <w:szCs w:val="24"/>
              </w:rPr>
              <w:t>‑</w:t>
            </w:r>
            <w:r w:rsidRPr="00376316">
              <w:rPr>
                <w:sz w:val="24"/>
                <w:szCs w:val="24"/>
              </w:rPr>
              <w:t>making (SafeLives, 2015; Home Office, 2020).</w:t>
            </w:r>
          </w:p>
          <w:p w14:paraId="57C244C2" w14:textId="41058BC8" w:rsidR="00A41C6F" w:rsidRPr="00376316" w:rsidRDefault="00A41C6F" w:rsidP="00A41C6F">
            <w:pPr>
              <w:rPr>
                <w:sz w:val="24"/>
                <w:szCs w:val="24"/>
              </w:rPr>
            </w:pPr>
            <w:r w:rsidRPr="00376316">
              <w:rPr>
                <w:sz w:val="24"/>
                <w:szCs w:val="24"/>
              </w:rPr>
              <w:t xml:space="preserve"> </w:t>
            </w:r>
          </w:p>
          <w:p w14:paraId="52D4B0E0" w14:textId="77777777" w:rsidR="00A41C6F" w:rsidRDefault="00A41C6F" w:rsidP="00A41C6F">
            <w:pPr>
              <w:rPr>
                <w:sz w:val="24"/>
                <w:szCs w:val="24"/>
              </w:rPr>
            </w:pPr>
            <w:r w:rsidRPr="00376316">
              <w:rPr>
                <w:sz w:val="24"/>
                <w:szCs w:val="24"/>
              </w:rPr>
              <w:t>Word count 316</w:t>
            </w:r>
          </w:p>
          <w:p w14:paraId="63B20F65" w14:textId="77777777" w:rsidR="00A41C6F" w:rsidRPr="00376316" w:rsidRDefault="00A41C6F" w:rsidP="00A41C6F">
            <w:pPr>
              <w:rPr>
                <w:sz w:val="24"/>
                <w:szCs w:val="24"/>
              </w:rPr>
            </w:pPr>
          </w:p>
          <w:p w14:paraId="44925884" w14:textId="77777777" w:rsidR="00A41C6F" w:rsidRDefault="00A41C6F" w:rsidP="00A41C6F">
            <w:pPr>
              <w:rPr>
                <w:b/>
                <w:bCs/>
                <w:sz w:val="24"/>
                <w:szCs w:val="24"/>
              </w:rPr>
            </w:pPr>
            <w:r w:rsidRPr="00376316">
              <w:rPr>
                <w:b/>
                <w:bCs/>
                <w:sz w:val="24"/>
                <w:szCs w:val="24"/>
              </w:rPr>
              <w:t>1. Introduction and Case Context</w:t>
            </w:r>
          </w:p>
          <w:p w14:paraId="5317870C" w14:textId="77777777" w:rsidR="00A41C6F" w:rsidRPr="00376316" w:rsidRDefault="00A41C6F" w:rsidP="00A41C6F">
            <w:pPr>
              <w:rPr>
                <w:b/>
                <w:bCs/>
                <w:sz w:val="24"/>
                <w:szCs w:val="24"/>
              </w:rPr>
            </w:pPr>
          </w:p>
          <w:p w14:paraId="3D5AA34F" w14:textId="77777777" w:rsidR="00A41C6F" w:rsidRDefault="00A41C6F" w:rsidP="00A41C6F">
            <w:pPr>
              <w:rPr>
                <w:sz w:val="24"/>
                <w:szCs w:val="24"/>
              </w:rPr>
            </w:pPr>
            <w:r w:rsidRPr="00376316">
              <w:rPr>
                <w:sz w:val="24"/>
                <w:szCs w:val="24"/>
              </w:rPr>
              <w:t xml:space="preserve">When I was allocated Adult1’s case more than two years ago, I was transitioning from student to newly qualified social worker. The memory of our local authority’s first modern slavery case several years earlier felt heavy in my mind. I was aware of the gravity of the situation before I met him and I feared getting it wrong, given the implications of delayed action, misjudged risk or missed indicators of coercion. With support from my supervisor and my team manager, I learned quickly that clarity of communication, disciplined coordination and defensible documentation form the core pillars of safe practice. Particularly in modern slavery (Welsh Government, 2024) where disclosure is rarely straightforward and patterns of behaviour can look contradictory, with some survivors remaining linked to exploiters for perceived safety, belonging or survival (Bales, 2012). </w:t>
            </w:r>
          </w:p>
          <w:p w14:paraId="7C3ADF49" w14:textId="77777777" w:rsidR="00A41C6F" w:rsidRPr="00376316" w:rsidRDefault="00A41C6F" w:rsidP="00A41C6F">
            <w:pPr>
              <w:rPr>
                <w:sz w:val="24"/>
                <w:szCs w:val="24"/>
              </w:rPr>
            </w:pPr>
          </w:p>
          <w:p w14:paraId="5937E1FE" w14:textId="77777777" w:rsidR="00A41C6F" w:rsidRDefault="00A41C6F" w:rsidP="00A41C6F">
            <w:pPr>
              <w:rPr>
                <w:sz w:val="24"/>
                <w:szCs w:val="24"/>
              </w:rPr>
            </w:pPr>
            <w:r w:rsidRPr="00376316">
              <w:rPr>
                <w:sz w:val="24"/>
                <w:szCs w:val="24"/>
              </w:rPr>
              <w:t xml:space="preserve">Adult1’s history was characterised by adversity. Childhood neglect, time in care, teenage homelessness and a pattern of unstable relationships shaped both resilience and vulnerability. His finances were managed by a Court-appointed deputy, and he lived alone in a privately rented property where exploiters repeatedly gained access.  </w:t>
            </w:r>
          </w:p>
          <w:p w14:paraId="643F7BF7" w14:textId="77777777" w:rsidR="00A41C6F" w:rsidRPr="00376316" w:rsidRDefault="00A41C6F" w:rsidP="00A41C6F">
            <w:pPr>
              <w:rPr>
                <w:sz w:val="24"/>
                <w:szCs w:val="24"/>
              </w:rPr>
            </w:pPr>
          </w:p>
          <w:p w14:paraId="4FE5B460" w14:textId="77777777" w:rsidR="00A41C6F" w:rsidRDefault="00A41C6F" w:rsidP="00A41C6F">
            <w:pPr>
              <w:rPr>
                <w:sz w:val="24"/>
                <w:szCs w:val="24"/>
              </w:rPr>
            </w:pPr>
            <w:r w:rsidRPr="00376316">
              <w:rPr>
                <w:sz w:val="24"/>
                <w:szCs w:val="24"/>
              </w:rPr>
              <w:t>I undertook a Mental Capacity Act (MCA) assessment of his ability to manage finances. His attempt to challenge the deputyship coincided with escalating coercion. What initially looked like a legitimate bid for independence revealed itself as a trauma-shaped attempt to regain control while under the influence of exploiters. The MCA assessment mapped decision</w:t>
            </w:r>
            <w:r w:rsidRPr="00376316">
              <w:rPr>
                <w:rFonts w:ascii="Cambria Math" w:hAnsi="Cambria Math" w:cs="Cambria Math"/>
                <w:sz w:val="24"/>
                <w:szCs w:val="24"/>
              </w:rPr>
              <w:t>‑</w:t>
            </w:r>
            <w:r w:rsidRPr="00376316">
              <w:rPr>
                <w:sz w:val="24"/>
                <w:szCs w:val="24"/>
              </w:rPr>
              <w:t xml:space="preserve">specific questions, barriers to understanding and ways to maximise capacity. Throughout, I used Rolfe’s reflective model (Rolfe et al., 2001) What? So what? Now what?’ to examine how my feelings, assumptions and decisions interacted in real time. </w:t>
            </w:r>
          </w:p>
          <w:p w14:paraId="40F01272" w14:textId="77777777" w:rsidR="00A41C6F" w:rsidRPr="00376316" w:rsidRDefault="00A41C6F" w:rsidP="00A41C6F">
            <w:pPr>
              <w:rPr>
                <w:sz w:val="24"/>
                <w:szCs w:val="24"/>
              </w:rPr>
            </w:pPr>
          </w:p>
          <w:p w14:paraId="3A459E51" w14:textId="77777777" w:rsidR="00A41C6F" w:rsidRDefault="00A41C6F" w:rsidP="00A41C6F">
            <w:pPr>
              <w:rPr>
                <w:sz w:val="24"/>
                <w:szCs w:val="24"/>
              </w:rPr>
            </w:pPr>
            <w:r w:rsidRPr="00376316">
              <w:rPr>
                <w:sz w:val="24"/>
                <w:szCs w:val="24"/>
              </w:rPr>
              <w:t xml:space="preserve">During the assessment phase, Adult1’s engagement fluctuated. At times he appeared motivated to relocate or alter financial routines and at other times he reversed decisions, often after receiving calls from associates of the perpetrators. His phone frequently rang during meetings. These disruptions coincided with worsening risk indicators and suggested that perpetrators monitored his contact with professionals. I therefore used civic centres as </w:t>
            </w:r>
            <w:r w:rsidRPr="00376316">
              <w:rPr>
                <w:sz w:val="24"/>
                <w:szCs w:val="24"/>
              </w:rPr>
              <w:lastRenderedPageBreak/>
              <w:t>safe venues, agreed short text</w:t>
            </w:r>
            <w:r w:rsidRPr="00376316">
              <w:rPr>
                <w:rFonts w:ascii="Cambria Math" w:hAnsi="Cambria Math" w:cs="Cambria Math"/>
                <w:sz w:val="24"/>
                <w:szCs w:val="24"/>
              </w:rPr>
              <w:t>‑</w:t>
            </w:r>
            <w:r w:rsidRPr="00376316">
              <w:rPr>
                <w:sz w:val="24"/>
                <w:szCs w:val="24"/>
              </w:rPr>
              <w:t>based communication he could view discreetly and actively offered bilingual communication. These patterns mirror coercive control dynamics, surveillance, intimidation and disruption of help</w:t>
            </w:r>
            <w:r w:rsidRPr="00376316">
              <w:rPr>
                <w:rFonts w:ascii="Cambria Math" w:hAnsi="Cambria Math" w:cs="Cambria Math"/>
                <w:sz w:val="24"/>
                <w:szCs w:val="24"/>
              </w:rPr>
              <w:t>‑</w:t>
            </w:r>
            <w:r w:rsidRPr="00376316">
              <w:rPr>
                <w:sz w:val="24"/>
                <w:szCs w:val="24"/>
              </w:rPr>
              <w:t xml:space="preserve">seeking (Stark, 2007). </w:t>
            </w:r>
          </w:p>
          <w:p w14:paraId="103E9677" w14:textId="77777777" w:rsidR="00A41C6F" w:rsidRPr="00376316" w:rsidRDefault="00A41C6F" w:rsidP="00A41C6F">
            <w:pPr>
              <w:rPr>
                <w:sz w:val="24"/>
                <w:szCs w:val="24"/>
              </w:rPr>
            </w:pPr>
          </w:p>
          <w:p w14:paraId="4155C222" w14:textId="77777777" w:rsidR="00A41C6F" w:rsidRDefault="00A41C6F" w:rsidP="00A41C6F">
            <w:pPr>
              <w:rPr>
                <w:sz w:val="24"/>
                <w:szCs w:val="24"/>
              </w:rPr>
            </w:pPr>
            <w:r w:rsidRPr="00376316">
              <w:rPr>
                <w:sz w:val="24"/>
                <w:szCs w:val="24"/>
              </w:rPr>
              <w:t>Supervision became crucial for managing emotional impact and developing judgement. Sessions focused on risk, proportionality and my internal responses, which were uncertainty, frustration, worry and the sense of moral responsibility accompanying each decision. Early in the case I completed training in Violence against Women, Domestic Abuse and Sexual Violence (Wales) Act 2015 (VAWDASV, 2015), safeguarding and MCA. These programmes deepened my understanding of coercive control, clarified thresholds for Section 126 enquiries and strengthened the structure and language of my capacity assessments under pressure. Practitioner recognition of coercive control is known to vary and benefits from targeted training and reflective practice (Robinson, Myhill and Wire, 2018).</w:t>
            </w:r>
          </w:p>
          <w:p w14:paraId="1BD7624B" w14:textId="2E0CEFBC" w:rsidR="00A41C6F" w:rsidRPr="00376316" w:rsidRDefault="00A41C6F" w:rsidP="00A41C6F">
            <w:pPr>
              <w:rPr>
                <w:sz w:val="24"/>
                <w:szCs w:val="24"/>
              </w:rPr>
            </w:pPr>
            <w:r w:rsidRPr="00376316">
              <w:rPr>
                <w:sz w:val="24"/>
                <w:szCs w:val="24"/>
              </w:rPr>
              <w:t xml:space="preserve"> </w:t>
            </w:r>
          </w:p>
          <w:p w14:paraId="30E29B0F" w14:textId="77777777" w:rsidR="00A41C6F" w:rsidRDefault="00A41C6F" w:rsidP="00A41C6F">
            <w:pPr>
              <w:rPr>
                <w:sz w:val="24"/>
                <w:szCs w:val="24"/>
              </w:rPr>
            </w:pPr>
            <w:r w:rsidRPr="00376316">
              <w:rPr>
                <w:sz w:val="24"/>
                <w:szCs w:val="24"/>
              </w:rPr>
              <w:t>Word count 469</w:t>
            </w:r>
          </w:p>
          <w:p w14:paraId="7536E3EB" w14:textId="77777777" w:rsidR="00A41C6F" w:rsidRPr="00376316" w:rsidRDefault="00A41C6F" w:rsidP="00A41C6F">
            <w:pPr>
              <w:rPr>
                <w:sz w:val="24"/>
                <w:szCs w:val="24"/>
              </w:rPr>
            </w:pPr>
          </w:p>
          <w:p w14:paraId="006350B1" w14:textId="77777777" w:rsidR="00A41C6F" w:rsidRDefault="00A41C6F" w:rsidP="00A41C6F">
            <w:pPr>
              <w:rPr>
                <w:b/>
                <w:bCs/>
                <w:sz w:val="24"/>
                <w:szCs w:val="24"/>
              </w:rPr>
            </w:pPr>
            <w:r w:rsidRPr="00376316">
              <w:rPr>
                <w:b/>
                <w:bCs/>
                <w:sz w:val="24"/>
                <w:szCs w:val="24"/>
              </w:rPr>
              <w:t xml:space="preserve">2. Legislative, Policy and Procedural Context </w:t>
            </w:r>
          </w:p>
          <w:p w14:paraId="0CC56312" w14:textId="77777777" w:rsidR="00A41C6F" w:rsidRPr="00376316" w:rsidRDefault="00A41C6F" w:rsidP="00A41C6F">
            <w:pPr>
              <w:rPr>
                <w:b/>
                <w:bCs/>
                <w:sz w:val="24"/>
                <w:szCs w:val="24"/>
              </w:rPr>
            </w:pPr>
          </w:p>
          <w:p w14:paraId="7D1B394A" w14:textId="77777777" w:rsidR="00A41C6F" w:rsidRDefault="00A41C6F" w:rsidP="00A41C6F">
            <w:pPr>
              <w:rPr>
                <w:sz w:val="24"/>
                <w:szCs w:val="24"/>
              </w:rPr>
            </w:pPr>
            <w:r w:rsidRPr="00376316">
              <w:rPr>
                <w:sz w:val="24"/>
                <w:szCs w:val="24"/>
              </w:rPr>
              <w:t>Safeguarding practice in Wales is shaped by an interlocking legal and policy framework. The Social Services and Well</w:t>
            </w:r>
            <w:r w:rsidRPr="00376316">
              <w:rPr>
                <w:rFonts w:ascii="Cambria Math" w:hAnsi="Cambria Math" w:cs="Cambria Math"/>
                <w:sz w:val="24"/>
                <w:szCs w:val="24"/>
              </w:rPr>
              <w:t>‑</w:t>
            </w:r>
            <w:r w:rsidRPr="00376316">
              <w:rPr>
                <w:sz w:val="24"/>
                <w:szCs w:val="24"/>
              </w:rPr>
              <w:t>being (Wales) Act 2014 establishes core duties, including the duty to enquire under Section 126 and the power to seek an Adult Protection and Support Order (APSO) under Section 127 (Welsh Government, 2016). These provisions offer the legal foundation for assessing risk, gathering information and enabling private conversations when coercion may be influencing decision</w:t>
            </w:r>
            <w:r w:rsidRPr="00376316">
              <w:rPr>
                <w:rFonts w:ascii="Cambria Math" w:hAnsi="Cambria Math" w:cs="Cambria Math"/>
                <w:sz w:val="24"/>
                <w:szCs w:val="24"/>
              </w:rPr>
              <w:t>‑</w:t>
            </w:r>
            <w:r w:rsidRPr="00376316">
              <w:rPr>
                <w:sz w:val="24"/>
                <w:szCs w:val="24"/>
              </w:rPr>
              <w:t>making. The Wales Safeguarding Procedures (Social Care Wales, 2019) translate these duties into operational steps and thresholds, while the Code of Safeguarding Practice (WG, 2022) articulates professional expectations and ethical standards. The Wales Modern Slavery Safeguarding Pathway (Welsh Government, 2024) sets out emergency and non</w:t>
            </w:r>
            <w:r w:rsidRPr="00376316">
              <w:rPr>
                <w:rFonts w:ascii="Cambria Math" w:hAnsi="Cambria Math" w:cs="Cambria Math"/>
                <w:sz w:val="24"/>
                <w:szCs w:val="24"/>
              </w:rPr>
              <w:t>‑</w:t>
            </w:r>
            <w:r w:rsidRPr="00376316">
              <w:rPr>
                <w:sz w:val="24"/>
                <w:szCs w:val="24"/>
              </w:rPr>
              <w:t xml:space="preserve">emergency responses and interfaces with the National Referral Mechanism (Home Office, 2025), ensuring clarity of roles across agencies. </w:t>
            </w:r>
          </w:p>
          <w:p w14:paraId="5534A723" w14:textId="77777777" w:rsidR="00A41C6F" w:rsidRPr="00376316" w:rsidRDefault="00A41C6F" w:rsidP="00A41C6F">
            <w:pPr>
              <w:rPr>
                <w:sz w:val="24"/>
                <w:szCs w:val="24"/>
              </w:rPr>
            </w:pPr>
          </w:p>
          <w:p w14:paraId="1871C56C" w14:textId="77777777" w:rsidR="00A41C6F" w:rsidRDefault="00A41C6F" w:rsidP="00A41C6F">
            <w:pPr>
              <w:rPr>
                <w:sz w:val="24"/>
                <w:szCs w:val="24"/>
              </w:rPr>
            </w:pPr>
            <w:r w:rsidRPr="00376316">
              <w:rPr>
                <w:sz w:val="24"/>
                <w:szCs w:val="24"/>
              </w:rPr>
              <w:t>UK</w:t>
            </w:r>
            <w:r w:rsidRPr="00376316">
              <w:rPr>
                <w:rFonts w:ascii="Cambria Math" w:hAnsi="Cambria Math" w:cs="Cambria Math"/>
                <w:sz w:val="24"/>
                <w:szCs w:val="24"/>
              </w:rPr>
              <w:t>‑</w:t>
            </w:r>
            <w:r w:rsidRPr="00376316">
              <w:rPr>
                <w:sz w:val="24"/>
                <w:szCs w:val="24"/>
              </w:rPr>
              <w:t>level frameworks reinforced wider responsibilities. The Modern Slavery Act 2015 criminalises slavery, servitude, forced labour and trafficking and is supported by Section 49 guidance emphasising trauma</w:t>
            </w:r>
            <w:r w:rsidRPr="00376316">
              <w:rPr>
                <w:rFonts w:ascii="Cambria Math" w:hAnsi="Cambria Math" w:cs="Cambria Math"/>
                <w:sz w:val="24"/>
                <w:szCs w:val="24"/>
              </w:rPr>
              <w:t>‑</w:t>
            </w:r>
            <w:r w:rsidRPr="00376316">
              <w:rPr>
                <w:sz w:val="24"/>
                <w:szCs w:val="24"/>
              </w:rPr>
              <w:t>informed (SAMHSA, 2014) responses and the risks of re</w:t>
            </w:r>
            <w:r w:rsidRPr="00376316">
              <w:rPr>
                <w:rFonts w:ascii="Cambria Math" w:hAnsi="Cambria Math" w:cs="Cambria Math"/>
                <w:sz w:val="24"/>
                <w:szCs w:val="24"/>
              </w:rPr>
              <w:t>‑</w:t>
            </w:r>
            <w:r w:rsidRPr="00376316">
              <w:rPr>
                <w:sz w:val="24"/>
                <w:szCs w:val="24"/>
              </w:rPr>
              <w:t>trafficking. The Human Rights Act 1998, in particular, Articles 2, 3, 5, 6 and 8, provided a rights</w:t>
            </w:r>
            <w:r w:rsidRPr="00376316">
              <w:rPr>
                <w:rFonts w:ascii="Cambria Math" w:hAnsi="Cambria Math" w:cs="Cambria Math"/>
                <w:sz w:val="24"/>
                <w:szCs w:val="24"/>
              </w:rPr>
              <w:t>‑</w:t>
            </w:r>
            <w:r w:rsidRPr="00376316">
              <w:rPr>
                <w:sz w:val="24"/>
                <w:szCs w:val="24"/>
              </w:rPr>
              <w:t>based foundation for balancing autonomy with protective duties. The Mental Capacity Act 2005 enabled decision</w:t>
            </w:r>
            <w:r w:rsidRPr="00376316">
              <w:rPr>
                <w:rFonts w:ascii="Cambria Math" w:hAnsi="Cambria Math" w:cs="Cambria Math"/>
                <w:sz w:val="24"/>
                <w:szCs w:val="24"/>
              </w:rPr>
              <w:t>‑</w:t>
            </w:r>
            <w:r w:rsidRPr="00376316">
              <w:rPr>
                <w:sz w:val="24"/>
                <w:szCs w:val="24"/>
              </w:rPr>
              <w:t>specific assessments and best</w:t>
            </w:r>
            <w:r w:rsidRPr="00376316">
              <w:rPr>
                <w:rFonts w:ascii="Cambria Math" w:hAnsi="Cambria Math" w:cs="Cambria Math"/>
                <w:sz w:val="24"/>
                <w:szCs w:val="24"/>
              </w:rPr>
              <w:t>‑</w:t>
            </w:r>
            <w:r w:rsidRPr="00376316">
              <w:rPr>
                <w:sz w:val="24"/>
                <w:szCs w:val="24"/>
              </w:rPr>
              <w:t>interests planning and the Equality Act 2010 required attention to intersectionality and discrimination. UK GDPR and the DPA 2018 established transparent, lawful bases for the information</w:t>
            </w:r>
            <w:r w:rsidRPr="00376316">
              <w:rPr>
                <w:rFonts w:ascii="Cambria Math" w:hAnsi="Cambria Math" w:cs="Cambria Math"/>
                <w:sz w:val="24"/>
                <w:szCs w:val="24"/>
              </w:rPr>
              <w:t>‑</w:t>
            </w:r>
            <w:r w:rsidRPr="00376316">
              <w:rPr>
                <w:sz w:val="24"/>
                <w:szCs w:val="24"/>
              </w:rPr>
              <w:t>sharing that multi</w:t>
            </w:r>
            <w:r w:rsidRPr="00376316">
              <w:rPr>
                <w:rFonts w:ascii="Cambria Math" w:hAnsi="Cambria Math" w:cs="Cambria Math"/>
                <w:sz w:val="24"/>
                <w:szCs w:val="24"/>
              </w:rPr>
              <w:t>‑</w:t>
            </w:r>
            <w:r w:rsidRPr="00376316">
              <w:rPr>
                <w:sz w:val="24"/>
                <w:szCs w:val="24"/>
              </w:rPr>
              <w:t>agency safeguarding requires. The offence of controlling or coercive behaviour (introduced in England &amp; Wales in 2015) further shaped interfaces with criminal justice and multi</w:t>
            </w:r>
            <w:r w:rsidRPr="00376316">
              <w:rPr>
                <w:rFonts w:ascii="Cambria Math" w:hAnsi="Cambria Math" w:cs="Cambria Math"/>
                <w:sz w:val="24"/>
                <w:szCs w:val="24"/>
              </w:rPr>
              <w:t>‑</w:t>
            </w:r>
            <w:r w:rsidRPr="00376316">
              <w:rPr>
                <w:sz w:val="24"/>
                <w:szCs w:val="24"/>
              </w:rPr>
              <w:t>agency practice (Robinson, Myhill and Wire, 2018). In parallel, critical BJSW work urges an "intelligent" approach to safeguarding risk that balances protection and rights and rejects risk</w:t>
            </w:r>
            <w:r w:rsidRPr="00376316">
              <w:rPr>
                <w:rFonts w:ascii="Cambria Math" w:hAnsi="Cambria Math" w:cs="Cambria Math"/>
                <w:sz w:val="24"/>
                <w:szCs w:val="24"/>
              </w:rPr>
              <w:t>‑</w:t>
            </w:r>
            <w:r w:rsidRPr="00376316">
              <w:rPr>
                <w:sz w:val="24"/>
                <w:szCs w:val="24"/>
              </w:rPr>
              <w:t xml:space="preserve">averse drift (Macdonald and Macdonald, 2010), while Kemshall maps how differing "risk rationalities" shape policy and practice (Kemshall, 2010). </w:t>
            </w:r>
          </w:p>
          <w:p w14:paraId="7DA21EDE" w14:textId="77777777" w:rsidR="00A41C6F" w:rsidRPr="00376316" w:rsidRDefault="00A41C6F" w:rsidP="00A41C6F">
            <w:pPr>
              <w:rPr>
                <w:sz w:val="24"/>
                <w:szCs w:val="24"/>
              </w:rPr>
            </w:pPr>
          </w:p>
          <w:p w14:paraId="5FAF738F" w14:textId="77777777" w:rsidR="00A41C6F" w:rsidRDefault="00A41C6F" w:rsidP="00A41C6F">
            <w:pPr>
              <w:rPr>
                <w:sz w:val="24"/>
                <w:szCs w:val="24"/>
              </w:rPr>
            </w:pPr>
            <w:r w:rsidRPr="00376316">
              <w:rPr>
                <w:sz w:val="24"/>
                <w:szCs w:val="24"/>
              </w:rPr>
              <w:lastRenderedPageBreak/>
              <w:t>Welsh language duties were especially relevant. Evidence from Wales links language access with well</w:t>
            </w:r>
            <w:r w:rsidRPr="00376316">
              <w:rPr>
                <w:rFonts w:ascii="Cambria Math" w:hAnsi="Cambria Math" w:cs="Cambria Math"/>
                <w:sz w:val="24"/>
                <w:szCs w:val="24"/>
              </w:rPr>
              <w:t>‑</w:t>
            </w:r>
            <w:r w:rsidRPr="00376316">
              <w:rPr>
                <w:sz w:val="24"/>
                <w:szCs w:val="24"/>
              </w:rPr>
              <w:t>being and equitable care, strengthening the case for an Active Offer in health and social care (Davies, 2009; Prys and Matthews, 2023). Under the Welsh Language (Wales) Measure 2011 and the More than Just Words plan, I made an Active Offer of bilingual communication so that Welsh and English were available without Adult1 needing to ask. During acute distress, language access supported safety and decision</w:t>
            </w:r>
            <w:r w:rsidRPr="00376316">
              <w:rPr>
                <w:rFonts w:ascii="Cambria Math" w:hAnsi="Cambria Math" w:cs="Cambria Math"/>
                <w:sz w:val="24"/>
                <w:szCs w:val="24"/>
              </w:rPr>
              <w:t>‑</w:t>
            </w:r>
            <w:r w:rsidRPr="00376316">
              <w:rPr>
                <w:sz w:val="24"/>
                <w:szCs w:val="24"/>
              </w:rPr>
              <w:t xml:space="preserve">making. </w:t>
            </w:r>
          </w:p>
          <w:p w14:paraId="70C747DA" w14:textId="77777777" w:rsidR="00A41C6F" w:rsidRPr="00376316" w:rsidRDefault="00A41C6F" w:rsidP="00A41C6F">
            <w:pPr>
              <w:rPr>
                <w:sz w:val="24"/>
                <w:szCs w:val="24"/>
              </w:rPr>
            </w:pPr>
          </w:p>
          <w:p w14:paraId="68F11F0C" w14:textId="77777777" w:rsidR="00A41C6F" w:rsidRDefault="00A41C6F" w:rsidP="00A41C6F">
            <w:pPr>
              <w:rPr>
                <w:sz w:val="24"/>
                <w:szCs w:val="24"/>
              </w:rPr>
            </w:pPr>
            <w:r w:rsidRPr="00376316">
              <w:rPr>
                <w:sz w:val="24"/>
                <w:szCs w:val="24"/>
              </w:rPr>
              <w:t>The international interface also influenced practice. The Council of Europe Convention on Action against Trafficking in Human Beings and GRETA monitoring reinforced non</w:t>
            </w:r>
            <w:r w:rsidRPr="00376316">
              <w:rPr>
                <w:rFonts w:ascii="Cambria Math" w:hAnsi="Cambria Math" w:cs="Cambria Math"/>
                <w:sz w:val="24"/>
                <w:szCs w:val="24"/>
              </w:rPr>
              <w:t>‑</w:t>
            </w:r>
            <w:r w:rsidRPr="00376316">
              <w:rPr>
                <w:sz w:val="24"/>
                <w:szCs w:val="24"/>
              </w:rPr>
              <w:t>punishment principles, meaning coerced behaviours should not be treated as criminality. The UN Palermo Protocol set global standards for prevention and victim support, and EU Directive 2011/36/EU continued to guide interpretive alignment despite Brexit. Together these frameworks underscored that modern slavery (Welsh Government, 2024) is a human rights violation requiring coordinated, cross</w:t>
            </w:r>
            <w:r w:rsidRPr="00376316">
              <w:rPr>
                <w:rFonts w:ascii="Cambria Math" w:hAnsi="Cambria Math" w:cs="Cambria Math"/>
                <w:sz w:val="24"/>
                <w:szCs w:val="24"/>
              </w:rPr>
              <w:t>‑</w:t>
            </w:r>
            <w:r w:rsidRPr="00376316">
              <w:rPr>
                <w:sz w:val="24"/>
                <w:szCs w:val="24"/>
              </w:rPr>
              <w:t>border responses grounded in safety, dignity and long</w:t>
            </w:r>
            <w:r w:rsidRPr="00376316">
              <w:rPr>
                <w:rFonts w:ascii="Cambria Math" w:hAnsi="Cambria Math" w:cs="Cambria Math"/>
                <w:sz w:val="24"/>
                <w:szCs w:val="24"/>
              </w:rPr>
              <w:t>‑</w:t>
            </w:r>
            <w:r w:rsidRPr="00376316">
              <w:rPr>
                <w:sz w:val="24"/>
                <w:szCs w:val="24"/>
              </w:rPr>
              <w:t xml:space="preserve">term recovery. </w:t>
            </w:r>
          </w:p>
          <w:p w14:paraId="6622425F" w14:textId="77777777" w:rsidR="00A41C6F" w:rsidRPr="00376316" w:rsidRDefault="00A41C6F" w:rsidP="00A41C6F">
            <w:pPr>
              <w:rPr>
                <w:sz w:val="24"/>
                <w:szCs w:val="24"/>
              </w:rPr>
            </w:pPr>
          </w:p>
          <w:p w14:paraId="0540F0FF" w14:textId="77777777" w:rsidR="00A41C6F" w:rsidRDefault="00A41C6F" w:rsidP="00A41C6F">
            <w:pPr>
              <w:rPr>
                <w:sz w:val="24"/>
                <w:szCs w:val="24"/>
              </w:rPr>
            </w:pPr>
            <w:r w:rsidRPr="00376316">
              <w:rPr>
                <w:sz w:val="24"/>
                <w:szCs w:val="24"/>
              </w:rPr>
              <w:t>Across this framework lay an enduring tension that professionals cannot compel safety when a capacitated individual chooses a risky course of action. The legal interface clarified duties and powers, but proportionality under the Human Rights Act required least</w:t>
            </w:r>
            <w:r w:rsidRPr="00376316">
              <w:rPr>
                <w:rFonts w:ascii="Cambria Math" w:hAnsi="Cambria Math" w:cs="Cambria Math"/>
                <w:sz w:val="24"/>
                <w:szCs w:val="24"/>
              </w:rPr>
              <w:t>‑</w:t>
            </w:r>
            <w:r w:rsidRPr="00376316">
              <w:rPr>
                <w:sz w:val="24"/>
                <w:szCs w:val="24"/>
              </w:rPr>
              <w:t>restrictive rationales even when risks felt unacceptable. Acknowledging those boundaries was not a withdrawal of responsibility, it was the correct, lawful, and accountable way to practice.</w:t>
            </w:r>
          </w:p>
          <w:p w14:paraId="3384767B" w14:textId="77777777" w:rsidR="00A41C6F" w:rsidRPr="00376316" w:rsidRDefault="00A41C6F" w:rsidP="00A41C6F">
            <w:pPr>
              <w:rPr>
                <w:sz w:val="24"/>
                <w:szCs w:val="24"/>
              </w:rPr>
            </w:pPr>
          </w:p>
          <w:p w14:paraId="276A0DC0" w14:textId="77777777" w:rsidR="00A41C6F" w:rsidRDefault="00A41C6F" w:rsidP="00A41C6F">
            <w:pPr>
              <w:rPr>
                <w:sz w:val="24"/>
                <w:szCs w:val="24"/>
              </w:rPr>
            </w:pPr>
            <w:r w:rsidRPr="00376316">
              <w:rPr>
                <w:sz w:val="24"/>
                <w:szCs w:val="24"/>
              </w:rPr>
              <w:t>Word count 524</w:t>
            </w:r>
          </w:p>
          <w:p w14:paraId="5F0DF9BA" w14:textId="77777777" w:rsidR="00A41C6F" w:rsidRPr="00376316" w:rsidRDefault="00A41C6F" w:rsidP="00A41C6F">
            <w:pPr>
              <w:rPr>
                <w:sz w:val="24"/>
                <w:szCs w:val="24"/>
              </w:rPr>
            </w:pPr>
          </w:p>
          <w:p w14:paraId="2A9E518C" w14:textId="77777777" w:rsidR="00A41C6F" w:rsidRDefault="00A41C6F" w:rsidP="00A41C6F">
            <w:pPr>
              <w:rPr>
                <w:b/>
                <w:bCs/>
                <w:sz w:val="24"/>
                <w:szCs w:val="24"/>
              </w:rPr>
            </w:pPr>
            <w:r w:rsidRPr="00376316">
              <w:rPr>
                <w:b/>
                <w:bCs/>
                <w:sz w:val="24"/>
                <w:szCs w:val="24"/>
              </w:rPr>
              <w:t>3. Assessment, Analysis and Professional Judgement in Decision</w:t>
            </w:r>
            <w:r w:rsidRPr="00376316">
              <w:rPr>
                <w:rFonts w:ascii="Cambria Math" w:hAnsi="Cambria Math" w:cs="Cambria Math"/>
                <w:b/>
                <w:bCs/>
                <w:sz w:val="24"/>
                <w:szCs w:val="24"/>
              </w:rPr>
              <w:t>‑</w:t>
            </w:r>
            <w:r w:rsidRPr="00376316">
              <w:rPr>
                <w:b/>
                <w:bCs/>
                <w:sz w:val="24"/>
                <w:szCs w:val="24"/>
              </w:rPr>
              <w:t>making</w:t>
            </w:r>
          </w:p>
          <w:p w14:paraId="3E5F017D" w14:textId="77777777" w:rsidR="00A41C6F" w:rsidRPr="00376316" w:rsidRDefault="00A41C6F" w:rsidP="00A41C6F">
            <w:pPr>
              <w:rPr>
                <w:b/>
                <w:bCs/>
                <w:sz w:val="24"/>
                <w:szCs w:val="24"/>
              </w:rPr>
            </w:pPr>
          </w:p>
          <w:p w14:paraId="16AB36B0" w14:textId="77777777" w:rsidR="00A41C6F" w:rsidRPr="00376316" w:rsidRDefault="00A41C6F" w:rsidP="00A41C6F">
            <w:pPr>
              <w:rPr>
                <w:sz w:val="24"/>
                <w:szCs w:val="24"/>
              </w:rPr>
            </w:pPr>
            <w:r w:rsidRPr="00376316">
              <w:rPr>
                <w:sz w:val="24"/>
                <w:szCs w:val="24"/>
              </w:rPr>
              <w:t>Capacity assessment under the MCA was central to this case. The fluctuating nature of coercion made it necessary to revisit capacity, particularly when presentation changed or new information emerged. The two</w:t>
            </w:r>
            <w:r w:rsidRPr="00376316">
              <w:rPr>
                <w:rFonts w:ascii="Cambria Math" w:hAnsi="Cambria Math" w:cs="Cambria Math"/>
                <w:sz w:val="24"/>
                <w:szCs w:val="24"/>
              </w:rPr>
              <w:t>‑</w:t>
            </w:r>
            <w:r w:rsidRPr="00376316">
              <w:rPr>
                <w:sz w:val="24"/>
                <w:szCs w:val="24"/>
              </w:rPr>
              <w:t>stage test required identifying an impairment of mind or brain and determining whether this rendered Adult1 unable to understand, retain, use or weigh information or communicate a decision. Trauma, fear and coercion influenced these processes, sometimes subtly and sometimes markedly. The ethical task was to maximise decision</w:t>
            </w:r>
            <w:r w:rsidRPr="00376316">
              <w:rPr>
                <w:rFonts w:ascii="Cambria Math" w:hAnsi="Cambria Math" w:cs="Cambria Math"/>
                <w:sz w:val="24"/>
                <w:szCs w:val="24"/>
              </w:rPr>
              <w:t>‑</w:t>
            </w:r>
            <w:r w:rsidRPr="00376316">
              <w:rPr>
                <w:sz w:val="24"/>
                <w:szCs w:val="24"/>
              </w:rPr>
              <w:t xml:space="preserve">making ability while resisting the impulse to equate unsafe choices with incapacity. </w:t>
            </w:r>
          </w:p>
          <w:p w14:paraId="415DB4B6" w14:textId="77777777" w:rsidR="00A41C6F" w:rsidRDefault="00A41C6F" w:rsidP="00A41C6F">
            <w:pPr>
              <w:rPr>
                <w:sz w:val="24"/>
                <w:szCs w:val="24"/>
              </w:rPr>
            </w:pPr>
            <w:r w:rsidRPr="00376316">
              <w:rPr>
                <w:sz w:val="24"/>
                <w:szCs w:val="24"/>
              </w:rPr>
              <w:t xml:space="preserve">As assessment progressed, behavioural shifts were consistent. When discussing housing options, Adult1 initially appeared motivated to relocate and accepted help to approach housing support. When that process moved forward, he abruptly declined assistance and insisted on remaining where exploitation had occurred. These reversals often followed unexplained phone calls or contact from associates of perpetrators, illustrating how coercion can reassert influence at key decision points. This pattern is consistent with coercive control dynamics in practice (Robinson, Myhill and Wire, 2018). </w:t>
            </w:r>
          </w:p>
          <w:p w14:paraId="0152CF4E" w14:textId="77777777" w:rsidR="00A41C6F" w:rsidRPr="00376316" w:rsidRDefault="00A41C6F" w:rsidP="00A41C6F">
            <w:pPr>
              <w:rPr>
                <w:sz w:val="24"/>
                <w:szCs w:val="24"/>
              </w:rPr>
            </w:pPr>
          </w:p>
          <w:p w14:paraId="42EA7B7D" w14:textId="77777777" w:rsidR="00A41C6F" w:rsidRDefault="00A41C6F" w:rsidP="00A41C6F">
            <w:pPr>
              <w:rPr>
                <w:sz w:val="24"/>
                <w:szCs w:val="24"/>
              </w:rPr>
            </w:pPr>
            <w:r w:rsidRPr="00376316">
              <w:rPr>
                <w:sz w:val="24"/>
                <w:szCs w:val="24"/>
              </w:rPr>
              <w:t>Risk assessments balanced Article 8 rights to private life with Articles 2 and 3 duties to prevent serious harm, reflecting BJSW debates on moving beyond fear</w:t>
            </w:r>
            <w:r w:rsidRPr="00376316">
              <w:rPr>
                <w:rFonts w:ascii="Cambria Math" w:hAnsi="Cambria Math" w:cs="Cambria Math"/>
                <w:sz w:val="24"/>
                <w:szCs w:val="24"/>
              </w:rPr>
              <w:t>‑</w:t>
            </w:r>
            <w:r w:rsidRPr="00376316">
              <w:rPr>
                <w:sz w:val="24"/>
                <w:szCs w:val="24"/>
              </w:rPr>
              <w:t xml:space="preserve">driven risk management towards proportionate, ethical judgment (Warner and Sharland, 2010). Safeguarding colleagues helped structure decisions, so actions were proportionate and </w:t>
            </w:r>
            <w:r w:rsidRPr="00376316">
              <w:rPr>
                <w:sz w:val="24"/>
                <w:szCs w:val="24"/>
              </w:rPr>
              <w:lastRenderedPageBreak/>
              <w:t>least restrictive. Safety planning concentrated on achievable steps which were meetings in civic buildings to reduce surveillance, safe communication channels he could access discreetly, ensuring he had emergency numbers and coordinating with police to maintain cuckoo watch. In parallel, I adapted money management arrangements, moving disbursements from monthly to weekly, reducing cash exposure while preserving control over day</w:t>
            </w:r>
            <w:r w:rsidRPr="00376316">
              <w:rPr>
                <w:rFonts w:ascii="Cambria Math" w:hAnsi="Cambria Math" w:cs="Cambria Math"/>
                <w:sz w:val="24"/>
                <w:szCs w:val="24"/>
              </w:rPr>
              <w:t>‑</w:t>
            </w:r>
            <w:r w:rsidRPr="00376316">
              <w:rPr>
                <w:sz w:val="24"/>
                <w:szCs w:val="24"/>
              </w:rPr>
              <w:t>to</w:t>
            </w:r>
            <w:r w:rsidRPr="00376316">
              <w:rPr>
                <w:rFonts w:ascii="Cambria Math" w:hAnsi="Cambria Math" w:cs="Cambria Math"/>
                <w:sz w:val="24"/>
                <w:szCs w:val="24"/>
              </w:rPr>
              <w:t>‑</w:t>
            </w:r>
            <w:r w:rsidRPr="00376316">
              <w:rPr>
                <w:sz w:val="24"/>
                <w:szCs w:val="24"/>
              </w:rPr>
              <w:t xml:space="preserve">day spending. </w:t>
            </w:r>
          </w:p>
          <w:p w14:paraId="2F74BC88" w14:textId="77777777" w:rsidR="00A41C6F" w:rsidRPr="00376316" w:rsidRDefault="00A41C6F" w:rsidP="00A41C6F">
            <w:pPr>
              <w:rPr>
                <w:sz w:val="24"/>
                <w:szCs w:val="24"/>
              </w:rPr>
            </w:pPr>
          </w:p>
          <w:p w14:paraId="38904E4A" w14:textId="77777777" w:rsidR="00A41C6F" w:rsidRDefault="00A41C6F" w:rsidP="00A41C6F">
            <w:pPr>
              <w:rPr>
                <w:sz w:val="24"/>
                <w:szCs w:val="24"/>
              </w:rPr>
            </w:pPr>
            <w:r w:rsidRPr="00376316">
              <w:rPr>
                <w:sz w:val="24"/>
                <w:szCs w:val="24"/>
              </w:rPr>
              <w:t>Information</w:t>
            </w:r>
            <w:r w:rsidRPr="00376316">
              <w:rPr>
                <w:rFonts w:ascii="Cambria Math" w:hAnsi="Cambria Math" w:cs="Cambria Math"/>
                <w:sz w:val="24"/>
                <w:szCs w:val="24"/>
              </w:rPr>
              <w:t>‑</w:t>
            </w:r>
            <w:r w:rsidRPr="00376316">
              <w:rPr>
                <w:sz w:val="24"/>
                <w:szCs w:val="24"/>
              </w:rPr>
              <w:t>sharing formed a significant part of the assessment. MARAC, police, probation, housing, BAWSO (BAWSO, n.d.), the court deputy and safeguarding teams required timely communication. I documented every text, phone call, meeting and disclosure. Records were essential for defensible practice and for ensuring aligned information, reducing fragmented responses. An NRM referral was submitted and aligned to national decision</w:t>
            </w:r>
            <w:r w:rsidRPr="00376316">
              <w:rPr>
                <w:rFonts w:ascii="Cambria Math" w:hAnsi="Cambria Math" w:cs="Cambria Math"/>
                <w:sz w:val="24"/>
                <w:szCs w:val="24"/>
              </w:rPr>
              <w:t>‑</w:t>
            </w:r>
            <w:r w:rsidRPr="00376316">
              <w:rPr>
                <w:sz w:val="24"/>
                <w:szCs w:val="24"/>
              </w:rPr>
              <w:t xml:space="preserve">making (reasonable/conclusive grounds) to recognise indicators of exploitation (Home Office, 2020). I provided clear rationales to Adult1 about what was shared, with whom and why. </w:t>
            </w:r>
          </w:p>
          <w:p w14:paraId="52FAF7EC" w14:textId="77777777" w:rsidR="00A41C6F" w:rsidRPr="00376316" w:rsidRDefault="00A41C6F" w:rsidP="00A41C6F">
            <w:pPr>
              <w:rPr>
                <w:sz w:val="24"/>
                <w:szCs w:val="24"/>
              </w:rPr>
            </w:pPr>
          </w:p>
          <w:p w14:paraId="13184B98" w14:textId="77777777" w:rsidR="00A41C6F" w:rsidRDefault="00A41C6F" w:rsidP="00A41C6F">
            <w:pPr>
              <w:rPr>
                <w:sz w:val="24"/>
                <w:szCs w:val="24"/>
              </w:rPr>
            </w:pPr>
            <w:r w:rsidRPr="00376316">
              <w:rPr>
                <w:sz w:val="24"/>
                <w:szCs w:val="24"/>
              </w:rPr>
              <w:t>Mental health added complexity. Adult1 intermittently expressed suicidal ideation but repeatedly declined GP or specialist mental health referrals. Probation facilitated limited mental health input, but this did not replace NHS pathways (NHS 111 Wales, 2026). His capacity to decide about mental health treatment remained intact, constraining what could be lawfully imposed. The ethical tension was stark and indicators of serious risk coexisted with a capacitated individual choosing not to engage. Supervision and case</w:t>
            </w:r>
            <w:r w:rsidRPr="00376316">
              <w:rPr>
                <w:rFonts w:ascii="Cambria Math" w:hAnsi="Cambria Math" w:cs="Cambria Math"/>
                <w:sz w:val="24"/>
                <w:szCs w:val="24"/>
              </w:rPr>
              <w:t>‑</w:t>
            </w:r>
            <w:r w:rsidRPr="00376316">
              <w:rPr>
                <w:sz w:val="24"/>
                <w:szCs w:val="24"/>
              </w:rPr>
              <w:t>mapping helped navigate this space so that the purpose of safeguarding remained clear, to support informed decision</w:t>
            </w:r>
            <w:r w:rsidRPr="00376316">
              <w:rPr>
                <w:rFonts w:ascii="Cambria Math" w:hAnsi="Cambria Math" w:cs="Cambria Math"/>
                <w:sz w:val="24"/>
                <w:szCs w:val="24"/>
              </w:rPr>
              <w:t>‑</w:t>
            </w:r>
            <w:r w:rsidRPr="00376316">
              <w:rPr>
                <w:sz w:val="24"/>
                <w:szCs w:val="24"/>
              </w:rPr>
              <w:t>making and realistic, rights</w:t>
            </w:r>
            <w:r w:rsidRPr="00376316">
              <w:rPr>
                <w:rFonts w:ascii="Cambria Math" w:hAnsi="Cambria Math" w:cs="Cambria Math"/>
                <w:sz w:val="24"/>
                <w:szCs w:val="24"/>
              </w:rPr>
              <w:t>‑</w:t>
            </w:r>
            <w:r w:rsidRPr="00376316">
              <w:rPr>
                <w:sz w:val="24"/>
                <w:szCs w:val="24"/>
              </w:rPr>
              <w:t>compliant safety planning rather than to promise risk elimination.</w:t>
            </w:r>
          </w:p>
          <w:p w14:paraId="16B257DA" w14:textId="77777777" w:rsidR="00A41C6F" w:rsidRPr="00376316" w:rsidRDefault="00A41C6F" w:rsidP="00A41C6F">
            <w:pPr>
              <w:rPr>
                <w:sz w:val="24"/>
                <w:szCs w:val="24"/>
              </w:rPr>
            </w:pPr>
          </w:p>
          <w:p w14:paraId="2618D079" w14:textId="77777777" w:rsidR="00A41C6F" w:rsidRDefault="00A41C6F" w:rsidP="00A41C6F">
            <w:pPr>
              <w:rPr>
                <w:sz w:val="24"/>
                <w:szCs w:val="24"/>
              </w:rPr>
            </w:pPr>
            <w:r w:rsidRPr="00376316">
              <w:rPr>
                <w:sz w:val="24"/>
                <w:szCs w:val="24"/>
              </w:rPr>
              <w:t>Word count 461</w:t>
            </w:r>
          </w:p>
          <w:p w14:paraId="1C80A587" w14:textId="77777777" w:rsidR="00A41C6F" w:rsidRPr="00376316" w:rsidRDefault="00A41C6F" w:rsidP="00A41C6F">
            <w:pPr>
              <w:rPr>
                <w:sz w:val="24"/>
                <w:szCs w:val="24"/>
              </w:rPr>
            </w:pPr>
          </w:p>
          <w:p w14:paraId="21028C06" w14:textId="77777777" w:rsidR="00A41C6F" w:rsidRDefault="00A41C6F" w:rsidP="00A41C6F">
            <w:pPr>
              <w:rPr>
                <w:b/>
                <w:bCs/>
                <w:sz w:val="24"/>
                <w:szCs w:val="24"/>
              </w:rPr>
            </w:pPr>
            <w:r w:rsidRPr="00376316">
              <w:rPr>
                <w:b/>
                <w:bCs/>
                <w:sz w:val="24"/>
                <w:szCs w:val="24"/>
              </w:rPr>
              <w:t>4. Complexity, Neurodivergence and Identity in Safeguarding</w:t>
            </w:r>
          </w:p>
          <w:p w14:paraId="5D76D4B8" w14:textId="77777777" w:rsidR="00A41C6F" w:rsidRPr="00376316" w:rsidRDefault="00A41C6F" w:rsidP="00A41C6F">
            <w:pPr>
              <w:rPr>
                <w:b/>
                <w:bCs/>
                <w:sz w:val="24"/>
                <w:szCs w:val="24"/>
              </w:rPr>
            </w:pPr>
          </w:p>
          <w:p w14:paraId="79C28264" w14:textId="36C6A103" w:rsidR="00A41C6F" w:rsidRDefault="00A41C6F" w:rsidP="00A41C6F">
            <w:pPr>
              <w:rPr>
                <w:sz w:val="24"/>
                <w:szCs w:val="24"/>
              </w:rPr>
            </w:pPr>
            <w:r w:rsidRPr="00376316">
              <w:rPr>
                <w:sz w:val="24"/>
                <w:szCs w:val="24"/>
              </w:rPr>
              <w:t>Adult1’s safeguarding needs were complicated by diagnosed but untreated or inconsistently treated neurodevelopmental and mental health conditions, including Autism Spectrum Disorder (ASD) (NHS, 2024a), Attention Deficit Hyperactivity Disorder (ADHD) (NHS, 2024b), Post</w:t>
            </w:r>
            <w:r w:rsidRPr="00376316">
              <w:rPr>
                <w:rFonts w:ascii="Cambria Math" w:hAnsi="Cambria Math" w:cs="Cambria Math"/>
                <w:sz w:val="24"/>
                <w:szCs w:val="24"/>
              </w:rPr>
              <w:t>‑</w:t>
            </w:r>
            <w:r w:rsidRPr="00376316">
              <w:rPr>
                <w:sz w:val="24"/>
                <w:szCs w:val="24"/>
              </w:rPr>
              <w:t>Traumatic Stress Disorder (PTSD) (NHS, 2024c), anxiety (NHS, 2024d), depression (NHS, 2024e), hoarding (NHS, 2024</w:t>
            </w:r>
            <w:r w:rsidR="00E931B6">
              <w:rPr>
                <w:sz w:val="24"/>
                <w:szCs w:val="24"/>
              </w:rPr>
              <w:t>f</w:t>
            </w:r>
            <w:r w:rsidRPr="00376316">
              <w:rPr>
                <w:sz w:val="24"/>
                <w:szCs w:val="24"/>
              </w:rPr>
              <w:t>) behaviours and substance use involving drugs and alcohol. He also identified a gender expression that included dressing as a woman and involvement in sex work. These combined factors amplified vulnerability and called for a sensitive, non</w:t>
            </w:r>
            <w:r w:rsidRPr="00376316">
              <w:rPr>
                <w:sz w:val="24"/>
                <w:szCs w:val="24"/>
              </w:rPr>
              <w:noBreakHyphen/>
              <w:t>judgemental approach that held identity, autonomy, and risk in careful balance (Weekes, 2021).</w:t>
            </w:r>
          </w:p>
          <w:p w14:paraId="420DA271" w14:textId="77777777" w:rsidR="00A41C6F" w:rsidRPr="00376316" w:rsidRDefault="00A41C6F" w:rsidP="00A41C6F">
            <w:pPr>
              <w:rPr>
                <w:sz w:val="24"/>
                <w:szCs w:val="24"/>
              </w:rPr>
            </w:pPr>
          </w:p>
          <w:p w14:paraId="361129B8" w14:textId="77777777" w:rsidR="00A41C6F" w:rsidRDefault="00A41C6F" w:rsidP="00A41C6F">
            <w:pPr>
              <w:rPr>
                <w:sz w:val="24"/>
                <w:szCs w:val="24"/>
              </w:rPr>
            </w:pPr>
            <w:r w:rsidRPr="00376316">
              <w:rPr>
                <w:sz w:val="24"/>
                <w:szCs w:val="24"/>
              </w:rPr>
              <w:t>Neurodivergence, capacity and coercion interlink, where capacity assessments must consider communication needs and undue influence (NICE NG108). Autism and ADHD affect executive functioning, impulsivity and engagement, requiring non</w:t>
            </w:r>
            <w:r w:rsidRPr="00376316">
              <w:rPr>
                <w:sz w:val="24"/>
                <w:szCs w:val="24"/>
              </w:rPr>
              <w:noBreakHyphen/>
              <w:t>judgemental support (NICE CG142; NG87), where non</w:t>
            </w:r>
            <w:r w:rsidRPr="00376316">
              <w:rPr>
                <w:sz w:val="24"/>
                <w:szCs w:val="24"/>
              </w:rPr>
              <w:noBreakHyphen/>
              <w:t>attendance and medication refusal warrant supported decision</w:t>
            </w:r>
            <w:r w:rsidRPr="00376316">
              <w:rPr>
                <w:sz w:val="24"/>
                <w:szCs w:val="24"/>
              </w:rPr>
              <w:noBreakHyphen/>
              <w:t>making rather than assumptions of ‘non</w:t>
            </w:r>
            <w:r w:rsidRPr="00376316">
              <w:rPr>
                <w:sz w:val="24"/>
                <w:szCs w:val="24"/>
              </w:rPr>
              <w:noBreakHyphen/>
              <w:t xml:space="preserve">compliance’. </w:t>
            </w:r>
          </w:p>
          <w:p w14:paraId="2D57C6FB" w14:textId="77777777" w:rsidR="00A41C6F" w:rsidRPr="00376316" w:rsidRDefault="00A41C6F" w:rsidP="00A41C6F">
            <w:pPr>
              <w:rPr>
                <w:sz w:val="24"/>
                <w:szCs w:val="24"/>
              </w:rPr>
            </w:pPr>
          </w:p>
          <w:p w14:paraId="4B7A4731" w14:textId="77777777" w:rsidR="00A41C6F" w:rsidRDefault="00A41C6F" w:rsidP="00A41C6F">
            <w:pPr>
              <w:rPr>
                <w:sz w:val="24"/>
                <w:szCs w:val="24"/>
              </w:rPr>
            </w:pPr>
            <w:r w:rsidRPr="00376316">
              <w:rPr>
                <w:sz w:val="24"/>
                <w:szCs w:val="24"/>
              </w:rPr>
              <w:lastRenderedPageBreak/>
              <w:t>Applying strengths</w:t>
            </w:r>
            <w:r w:rsidRPr="00376316">
              <w:rPr>
                <w:sz w:val="24"/>
                <w:szCs w:val="24"/>
              </w:rPr>
              <w:noBreakHyphen/>
              <w:t>based (Saleebey, 1996) and trauma</w:t>
            </w:r>
            <w:r w:rsidRPr="00376316">
              <w:rPr>
                <w:sz w:val="24"/>
                <w:szCs w:val="24"/>
              </w:rPr>
              <w:noBreakHyphen/>
              <w:t>informed (SAMHSA, 2014) approaches reframed these presentations as consistent with neurodivergent experiences of overwhelm, mistrust, sensory stress and prior trauma, rather than wilful disengagement. From an MCA perspective, diagnoses did not negate capacity, however, when combined with PTSD, active coercion and substance use, they affected the ability to use and weigh information, particularly around finances and personal safety.</w:t>
            </w:r>
          </w:p>
          <w:p w14:paraId="1BB52263" w14:textId="77777777" w:rsidR="00A41C6F" w:rsidRPr="00376316" w:rsidRDefault="00A41C6F" w:rsidP="00A41C6F">
            <w:pPr>
              <w:rPr>
                <w:sz w:val="24"/>
                <w:szCs w:val="24"/>
              </w:rPr>
            </w:pPr>
          </w:p>
          <w:p w14:paraId="2D0A0A5A" w14:textId="77777777" w:rsidR="00A41C6F" w:rsidRDefault="00A41C6F" w:rsidP="00A41C6F">
            <w:pPr>
              <w:rPr>
                <w:sz w:val="24"/>
                <w:szCs w:val="24"/>
              </w:rPr>
            </w:pPr>
            <w:r w:rsidRPr="00376316">
              <w:rPr>
                <w:sz w:val="24"/>
                <w:szCs w:val="24"/>
              </w:rPr>
              <w:t>Assessments therefore relied on repetition, simplified language, reduced cognitive load, and private, safe environments free from coercive influence. This guarded against discriminatory assumptions that neurodivergence equates to incapacity and aligned with least</w:t>
            </w:r>
            <w:r w:rsidRPr="00376316">
              <w:rPr>
                <w:sz w:val="24"/>
                <w:szCs w:val="24"/>
              </w:rPr>
              <w:noBreakHyphen/>
              <w:t>restrictive practice.</w:t>
            </w:r>
          </w:p>
          <w:p w14:paraId="67528EDB" w14:textId="77777777" w:rsidR="00A41C6F" w:rsidRPr="00376316" w:rsidRDefault="00A41C6F" w:rsidP="00A41C6F">
            <w:pPr>
              <w:rPr>
                <w:sz w:val="24"/>
                <w:szCs w:val="24"/>
              </w:rPr>
            </w:pPr>
          </w:p>
          <w:p w14:paraId="753BF995" w14:textId="77777777" w:rsidR="00A41C6F" w:rsidRDefault="00A41C6F" w:rsidP="00A41C6F">
            <w:pPr>
              <w:rPr>
                <w:sz w:val="24"/>
                <w:szCs w:val="24"/>
              </w:rPr>
            </w:pPr>
            <w:r w:rsidRPr="00376316">
              <w:rPr>
                <w:sz w:val="24"/>
                <w:szCs w:val="24"/>
              </w:rPr>
              <w:t>NICE advises that adult ASD assessments and care require structured pathways and reasonable adjustments (NICE CG142). Likewise, NICE NG87 sets the standard for recognising, diagnosing and managing ADHD in adults, including impacts on executive functioning and engagement (NICE, 2019).</w:t>
            </w:r>
          </w:p>
          <w:p w14:paraId="46FBF4E2" w14:textId="77777777" w:rsidR="00A41C6F" w:rsidRPr="00376316" w:rsidRDefault="00A41C6F" w:rsidP="00A41C6F">
            <w:pPr>
              <w:rPr>
                <w:sz w:val="24"/>
                <w:szCs w:val="24"/>
              </w:rPr>
            </w:pPr>
          </w:p>
          <w:p w14:paraId="18E2AFA2" w14:textId="77777777" w:rsidR="00A41C6F" w:rsidRDefault="00A41C6F" w:rsidP="00A41C6F">
            <w:pPr>
              <w:rPr>
                <w:sz w:val="24"/>
                <w:szCs w:val="24"/>
              </w:rPr>
            </w:pPr>
            <w:r w:rsidRPr="00376316">
              <w:rPr>
                <w:sz w:val="24"/>
                <w:szCs w:val="24"/>
              </w:rPr>
              <w:t>Trauma and PTSD were central to understanding repeated exposure to modern slavery (Welsh Government, 2024). Symptoms such as hypervigilance, avoidance, emotional numbing and minimisation of risk shaped presentation and contributed to delayed disclosure and re-engagement with exploiters. Trauma</w:t>
            </w:r>
            <w:r w:rsidRPr="00376316">
              <w:rPr>
                <w:rFonts w:ascii="Cambria Math" w:hAnsi="Cambria Math" w:cs="Cambria Math"/>
                <w:sz w:val="24"/>
                <w:szCs w:val="24"/>
              </w:rPr>
              <w:t>‑</w:t>
            </w:r>
            <w:r w:rsidRPr="00376316">
              <w:rPr>
                <w:sz w:val="24"/>
                <w:szCs w:val="24"/>
              </w:rPr>
              <w:t>informed practice guided by SAMHSA’s 4 Rs (realise, recognise, respond, resist retraumatisation) supported pacing, choice, transparency and predictability (SAMHSA, 2014). This is especially relevant in modern slavery, where victims may stay connected to perpetrators for perceived safety, belonging or survival (Symmonds, 2024).</w:t>
            </w:r>
          </w:p>
          <w:p w14:paraId="3322170E" w14:textId="77777777" w:rsidR="00A41C6F" w:rsidRPr="00376316" w:rsidRDefault="00A41C6F" w:rsidP="00A41C6F">
            <w:pPr>
              <w:rPr>
                <w:sz w:val="24"/>
                <w:szCs w:val="24"/>
              </w:rPr>
            </w:pPr>
          </w:p>
          <w:p w14:paraId="4B789FE9" w14:textId="77777777" w:rsidR="00A41C6F" w:rsidRDefault="00A41C6F" w:rsidP="00A41C6F">
            <w:pPr>
              <w:rPr>
                <w:sz w:val="24"/>
                <w:szCs w:val="24"/>
              </w:rPr>
            </w:pPr>
            <w:r w:rsidRPr="00376316">
              <w:rPr>
                <w:sz w:val="24"/>
                <w:szCs w:val="24"/>
              </w:rPr>
              <w:t>Substance use and hoarding increased safeguarding complexity. Rather than treating these as discrete problems, systems/ecological theory (Bronfenbrenner, 1979) located them within a context of trauma, exploitation, housing insecurity and social isolation. Hoarding disorder (NHS, 2024e) is formally recognised by the NHS as a mental health condition linked to functional impairment and increased risk in the home environment, where BPS practice guidance outlines psychological approaches and multi</w:t>
            </w:r>
            <w:r w:rsidRPr="00376316">
              <w:rPr>
                <w:rFonts w:ascii="Cambria Math" w:hAnsi="Cambria Math" w:cs="Cambria Math"/>
                <w:sz w:val="24"/>
                <w:szCs w:val="24"/>
              </w:rPr>
              <w:t>‑</w:t>
            </w:r>
            <w:r w:rsidRPr="00376316">
              <w:rPr>
                <w:sz w:val="24"/>
                <w:szCs w:val="24"/>
              </w:rPr>
              <w:t>agency responses (NHS, 2024; BPS, 2015/2024). Hoarding behaviours intensified tenancy risk and created leverage for exploiters through cuckooing. Substance use heightened vulnerability to financial exploitation and coercion, especially during crises. These risks justified escalation under Section 126 of the SSWB Act while still requiring least</w:t>
            </w:r>
            <w:r w:rsidRPr="00376316">
              <w:rPr>
                <w:rFonts w:ascii="Cambria Math" w:hAnsi="Cambria Math" w:cs="Cambria Math"/>
                <w:sz w:val="24"/>
                <w:szCs w:val="24"/>
              </w:rPr>
              <w:t>‑</w:t>
            </w:r>
            <w:r w:rsidRPr="00376316">
              <w:rPr>
                <w:sz w:val="24"/>
                <w:szCs w:val="24"/>
              </w:rPr>
              <w:t xml:space="preserve">restrictive responses under the Human Rights Act. </w:t>
            </w:r>
          </w:p>
          <w:p w14:paraId="1F102861" w14:textId="77777777" w:rsidR="00A41C6F" w:rsidRPr="00376316" w:rsidRDefault="00A41C6F" w:rsidP="00A41C6F">
            <w:pPr>
              <w:rPr>
                <w:sz w:val="24"/>
                <w:szCs w:val="24"/>
              </w:rPr>
            </w:pPr>
          </w:p>
          <w:p w14:paraId="6D9B811D" w14:textId="77777777" w:rsidR="00A41C6F" w:rsidRDefault="00A41C6F" w:rsidP="00A41C6F">
            <w:pPr>
              <w:rPr>
                <w:sz w:val="24"/>
                <w:szCs w:val="24"/>
              </w:rPr>
            </w:pPr>
            <w:r w:rsidRPr="00376316">
              <w:rPr>
                <w:sz w:val="24"/>
                <w:szCs w:val="24"/>
              </w:rPr>
              <w:t>Gender identity, sex work and anti</w:t>
            </w:r>
            <w:r w:rsidRPr="00376316">
              <w:rPr>
                <w:rFonts w:ascii="Cambria Math" w:hAnsi="Cambria Math" w:cs="Cambria Math"/>
                <w:sz w:val="24"/>
                <w:szCs w:val="24"/>
              </w:rPr>
              <w:t>‑</w:t>
            </w:r>
            <w:r w:rsidRPr="00376316">
              <w:rPr>
                <w:sz w:val="24"/>
                <w:szCs w:val="24"/>
              </w:rPr>
              <w:t>oppressive practice (Schmid and Morgenshtern, 2024) demanded careful attention. Adult1’s choice to dress as a woman and undertake sex work did not diminish entitlement to safeguarding, dignity or respect. These factors increased exposure to violence, stigma and exploitation, particularly in the context of untreated trauma and neurodivergence. A rights</w:t>
            </w:r>
            <w:r w:rsidRPr="00376316">
              <w:rPr>
                <w:rFonts w:ascii="Cambria Math" w:hAnsi="Cambria Math" w:cs="Cambria Math"/>
                <w:sz w:val="24"/>
                <w:szCs w:val="24"/>
              </w:rPr>
              <w:t>‑</w:t>
            </w:r>
            <w:r w:rsidRPr="00376316">
              <w:rPr>
                <w:sz w:val="24"/>
                <w:szCs w:val="24"/>
              </w:rPr>
              <w:t xml:space="preserve">based framework (Reynaert et al., 2022; Asenjo Palma and Verity, 2025) ensured that safeguarding responses did not conflate consensual sex work with exploitation while remaining alert to heightened risks of trafficking, coercion and violence. Work with people involved in sex work should be non-judgmental (Weekes, 2021), </w:t>
            </w:r>
            <w:r w:rsidRPr="00376316">
              <w:rPr>
                <w:sz w:val="24"/>
                <w:szCs w:val="24"/>
              </w:rPr>
              <w:lastRenderedPageBreak/>
              <w:t>trauma</w:t>
            </w:r>
            <w:r w:rsidRPr="00376316">
              <w:rPr>
                <w:rFonts w:ascii="Cambria Math" w:hAnsi="Cambria Math" w:cs="Cambria Math"/>
                <w:sz w:val="24"/>
                <w:szCs w:val="24"/>
              </w:rPr>
              <w:t>‑</w:t>
            </w:r>
            <w:r w:rsidRPr="00376316">
              <w:rPr>
                <w:sz w:val="24"/>
                <w:szCs w:val="24"/>
              </w:rPr>
              <w:t>informed (SAMHSA, 2014) and safeguarding</w:t>
            </w:r>
            <w:r w:rsidRPr="00376316">
              <w:rPr>
                <w:rFonts w:ascii="Cambria Math" w:hAnsi="Cambria Math" w:cs="Cambria Math"/>
                <w:sz w:val="24"/>
                <w:szCs w:val="24"/>
              </w:rPr>
              <w:t>‑</w:t>
            </w:r>
            <w:r w:rsidRPr="00376316">
              <w:rPr>
                <w:sz w:val="24"/>
                <w:szCs w:val="24"/>
              </w:rPr>
              <w:t xml:space="preserve">led (Welsh Government, 2016) in line with national BASHH clinical standards (BASHH, 2022). This balance aligns with coercive control scholarship and contemporary analyses of exploitation in the global economy (Stark, 2007; Bales, 2012). </w:t>
            </w:r>
          </w:p>
          <w:p w14:paraId="29A7E115" w14:textId="77777777" w:rsidR="00A41C6F" w:rsidRPr="00376316" w:rsidRDefault="00A41C6F" w:rsidP="00A41C6F">
            <w:pPr>
              <w:rPr>
                <w:sz w:val="24"/>
                <w:szCs w:val="24"/>
              </w:rPr>
            </w:pPr>
          </w:p>
          <w:p w14:paraId="01B51CB7" w14:textId="77777777" w:rsidR="00A41C6F" w:rsidRDefault="00A41C6F" w:rsidP="00A41C6F">
            <w:pPr>
              <w:rPr>
                <w:sz w:val="24"/>
                <w:szCs w:val="24"/>
              </w:rPr>
            </w:pPr>
            <w:r w:rsidRPr="00376316">
              <w:rPr>
                <w:sz w:val="24"/>
                <w:szCs w:val="24"/>
              </w:rPr>
              <w:t>I also used Karpman’s Drama Triangle (Karpman, 1968) reflexively to manage professional dynamics. The intersection of neurodivergence, trauma, substance use and identity increased emotional intensity and the risk of victim–rescuer dynamics. Periods of crisis, especially involving financial requests, exploitation or substance use, pulled me towards rescuing behaviours. Using the model helped me examine how trauma and neurodivergence can reinforce perceived helplessness, how professional urgency can slip into over</w:t>
            </w:r>
            <w:r w:rsidRPr="00376316">
              <w:rPr>
                <w:rFonts w:ascii="Cambria Math" w:hAnsi="Cambria Math" w:cs="Cambria Math"/>
                <w:sz w:val="24"/>
                <w:szCs w:val="24"/>
              </w:rPr>
              <w:t>‑</w:t>
            </w:r>
            <w:r w:rsidRPr="00376316">
              <w:rPr>
                <w:sz w:val="24"/>
                <w:szCs w:val="24"/>
              </w:rPr>
              <w:t>functioning and how statutory interventions risk being experienced as persecutory if not carefully paced and explained. Supervision was critical to recognise these dynamics and maintain boundaries, while systems</w:t>
            </w:r>
            <w:r w:rsidRPr="00376316">
              <w:rPr>
                <w:rFonts w:ascii="Cambria Math" w:hAnsi="Cambria Math" w:cs="Cambria Math"/>
                <w:sz w:val="24"/>
                <w:szCs w:val="24"/>
              </w:rPr>
              <w:t>‑</w:t>
            </w:r>
            <w:r w:rsidRPr="00376316">
              <w:rPr>
                <w:sz w:val="24"/>
                <w:szCs w:val="24"/>
              </w:rPr>
              <w:t xml:space="preserve">based working redistributed responsibility across agencies, reducing emotional burden and supporting sustainable, ethical practice. (Karpman, 1968). </w:t>
            </w:r>
          </w:p>
          <w:p w14:paraId="539B65F0" w14:textId="77777777" w:rsidR="00A41C6F" w:rsidRPr="00376316" w:rsidRDefault="00A41C6F" w:rsidP="00A41C6F">
            <w:pPr>
              <w:rPr>
                <w:sz w:val="24"/>
                <w:szCs w:val="24"/>
              </w:rPr>
            </w:pPr>
          </w:p>
          <w:p w14:paraId="1C1B509B" w14:textId="77777777" w:rsidR="00A41C6F" w:rsidRDefault="00A41C6F" w:rsidP="00A41C6F">
            <w:pPr>
              <w:rPr>
                <w:sz w:val="24"/>
                <w:szCs w:val="24"/>
              </w:rPr>
            </w:pPr>
            <w:r w:rsidRPr="00376316">
              <w:rPr>
                <w:sz w:val="24"/>
                <w:szCs w:val="24"/>
              </w:rPr>
              <w:t>No single theory could hold all these realities. Strengths</w:t>
            </w:r>
            <w:r w:rsidRPr="00376316">
              <w:rPr>
                <w:sz w:val="24"/>
                <w:szCs w:val="24"/>
              </w:rPr>
              <w:noBreakHyphen/>
              <w:t>based practice ensured respect for autonomy and agency (Saleebey, 1996), systems theory addressed structural and multi</w:t>
            </w:r>
            <w:r w:rsidRPr="00376316">
              <w:rPr>
                <w:sz w:val="24"/>
                <w:szCs w:val="24"/>
              </w:rPr>
              <w:noBreakHyphen/>
              <w:t>agency risk (Bronfenbrenner, 1979), trauma</w:t>
            </w:r>
            <w:r w:rsidRPr="00376316">
              <w:rPr>
                <w:sz w:val="24"/>
                <w:szCs w:val="24"/>
              </w:rPr>
              <w:noBreakHyphen/>
              <w:t>informed practice explained behaviour shaped by fear (SAMHSA, 2014), rights</w:t>
            </w:r>
            <w:r w:rsidRPr="00376316">
              <w:rPr>
                <w:sz w:val="24"/>
                <w:szCs w:val="24"/>
              </w:rPr>
              <w:noBreakHyphen/>
              <w:t>based approaches (Reynaert et al., 2022; Asenjo Palma and Verity, 2025) and anti</w:t>
            </w:r>
            <w:r w:rsidRPr="00376316">
              <w:rPr>
                <w:sz w:val="24"/>
                <w:szCs w:val="24"/>
              </w:rPr>
              <w:noBreakHyphen/>
              <w:t>oppressive practice (Schmid and Morgenshtern, 2024) protected dignity and proportionality, and Karpman’s framework supported practitioner reflexivity and emotional containment (Karpman, 1968). Together, these theories enabled safeguarding that was defensible, humane and proportionate, recognising that safety in modern slavery contexts is negotiated, relational and often non</w:t>
            </w:r>
            <w:r w:rsidRPr="00376316">
              <w:rPr>
                <w:sz w:val="24"/>
                <w:szCs w:val="24"/>
              </w:rPr>
              <w:noBreakHyphen/>
              <w:t>linear.</w:t>
            </w:r>
          </w:p>
          <w:p w14:paraId="7759F612" w14:textId="77777777" w:rsidR="00A41C6F" w:rsidRPr="00376316" w:rsidRDefault="00A41C6F" w:rsidP="00A41C6F">
            <w:pPr>
              <w:rPr>
                <w:sz w:val="24"/>
                <w:szCs w:val="24"/>
              </w:rPr>
            </w:pPr>
          </w:p>
          <w:p w14:paraId="5EEFFFA9" w14:textId="77777777" w:rsidR="00A41C6F" w:rsidRDefault="00A41C6F" w:rsidP="00A41C6F">
            <w:pPr>
              <w:rPr>
                <w:sz w:val="24"/>
                <w:szCs w:val="24"/>
              </w:rPr>
            </w:pPr>
            <w:r w:rsidRPr="00376316">
              <w:rPr>
                <w:sz w:val="24"/>
                <w:szCs w:val="24"/>
              </w:rPr>
              <w:t>Word count 816</w:t>
            </w:r>
          </w:p>
          <w:p w14:paraId="6C66F357" w14:textId="77777777" w:rsidR="00A41C6F" w:rsidRPr="00376316" w:rsidRDefault="00A41C6F" w:rsidP="00A41C6F">
            <w:pPr>
              <w:rPr>
                <w:sz w:val="24"/>
                <w:szCs w:val="24"/>
              </w:rPr>
            </w:pPr>
          </w:p>
          <w:p w14:paraId="382FCD76" w14:textId="77777777" w:rsidR="00A41C6F" w:rsidRDefault="00A41C6F" w:rsidP="00A41C6F">
            <w:pPr>
              <w:rPr>
                <w:b/>
                <w:bCs/>
                <w:sz w:val="24"/>
                <w:szCs w:val="24"/>
              </w:rPr>
            </w:pPr>
            <w:r w:rsidRPr="00376316">
              <w:rPr>
                <w:b/>
                <w:bCs/>
                <w:sz w:val="24"/>
                <w:szCs w:val="24"/>
              </w:rPr>
              <w:t>5. Collaborative Working</w:t>
            </w:r>
          </w:p>
          <w:p w14:paraId="39C8E2AD" w14:textId="77777777" w:rsidR="00A41C6F" w:rsidRPr="00376316" w:rsidRDefault="00A41C6F" w:rsidP="00A41C6F">
            <w:pPr>
              <w:rPr>
                <w:b/>
                <w:bCs/>
                <w:sz w:val="24"/>
                <w:szCs w:val="24"/>
              </w:rPr>
            </w:pPr>
          </w:p>
          <w:p w14:paraId="1CEA0442" w14:textId="77777777" w:rsidR="00A41C6F" w:rsidRDefault="00A41C6F" w:rsidP="00A41C6F">
            <w:pPr>
              <w:rPr>
                <w:sz w:val="24"/>
                <w:szCs w:val="24"/>
              </w:rPr>
            </w:pPr>
            <w:r w:rsidRPr="00376316">
              <w:rPr>
                <w:sz w:val="24"/>
                <w:szCs w:val="24"/>
              </w:rPr>
              <w:t>Multi</w:t>
            </w:r>
            <w:r w:rsidRPr="00376316">
              <w:rPr>
                <w:rFonts w:ascii="Cambria Math" w:hAnsi="Cambria Math" w:cs="Cambria Math"/>
                <w:sz w:val="24"/>
                <w:szCs w:val="24"/>
              </w:rPr>
              <w:t>‑</w:t>
            </w:r>
            <w:r w:rsidRPr="00376316">
              <w:rPr>
                <w:sz w:val="24"/>
                <w:szCs w:val="24"/>
              </w:rPr>
              <w:t>agency collaboration defined this case from the outset. The police gathered evidence, responded to immediate risks and led cuckoo watch interventions to disrupt perpetrator access. Probation contributed essential intelligence about individuals connected to Adult1, including risk assessments, licence conditions and patterns of concerning behaviour. BAWSO (BAWSO, n.d.) coordinated trauma</w:t>
            </w:r>
            <w:r w:rsidRPr="00376316">
              <w:rPr>
                <w:rFonts w:ascii="Cambria Math" w:hAnsi="Cambria Math" w:cs="Cambria Math"/>
                <w:sz w:val="24"/>
                <w:szCs w:val="24"/>
              </w:rPr>
              <w:t>‑</w:t>
            </w:r>
            <w:r w:rsidRPr="00376316">
              <w:rPr>
                <w:sz w:val="24"/>
                <w:szCs w:val="24"/>
              </w:rPr>
              <w:t>informed (SAMHSA, 2014) support and safe accommodation options and advised on survivor engagement. Housing addressed tenancy safety issues, liaising with the landlord and inspecting the property following reports of forced entry or exploitation. The court deputy managed financial safeguards, and safeguarding colleagues advised on thresholds, proportionality and use of legislative tools such as Section 126 enquiries and, where justified, APSO (Welsh Government, 2016). Emergency Duty Team provided out</w:t>
            </w:r>
            <w:r w:rsidRPr="00376316">
              <w:rPr>
                <w:rFonts w:ascii="Cambria Math" w:hAnsi="Cambria Math" w:cs="Cambria Math"/>
                <w:sz w:val="24"/>
                <w:szCs w:val="24"/>
              </w:rPr>
              <w:t>‑</w:t>
            </w:r>
            <w:r w:rsidRPr="00376316">
              <w:rPr>
                <w:sz w:val="24"/>
                <w:szCs w:val="24"/>
              </w:rPr>
              <w:t>of</w:t>
            </w:r>
            <w:r w:rsidRPr="00376316">
              <w:rPr>
                <w:rFonts w:ascii="Cambria Math" w:hAnsi="Cambria Math" w:cs="Cambria Math"/>
                <w:sz w:val="24"/>
                <w:szCs w:val="24"/>
              </w:rPr>
              <w:t>‑</w:t>
            </w:r>
            <w:r w:rsidRPr="00376316">
              <w:rPr>
                <w:sz w:val="24"/>
                <w:szCs w:val="24"/>
              </w:rPr>
              <w:t xml:space="preserve">hours coverage to maintain continuity. </w:t>
            </w:r>
          </w:p>
          <w:p w14:paraId="05B02C0D" w14:textId="77777777" w:rsidR="00A41C6F" w:rsidRPr="00376316" w:rsidRDefault="00A41C6F" w:rsidP="00A41C6F">
            <w:pPr>
              <w:rPr>
                <w:sz w:val="24"/>
                <w:szCs w:val="24"/>
              </w:rPr>
            </w:pPr>
          </w:p>
          <w:p w14:paraId="58B20A07" w14:textId="77777777" w:rsidR="00A41C6F" w:rsidRDefault="00A41C6F" w:rsidP="00A41C6F">
            <w:pPr>
              <w:rPr>
                <w:sz w:val="24"/>
                <w:szCs w:val="24"/>
              </w:rPr>
            </w:pPr>
            <w:r w:rsidRPr="00376316">
              <w:rPr>
                <w:sz w:val="24"/>
                <w:szCs w:val="24"/>
              </w:rPr>
              <w:t>MARAC (SafeLives, 2015) created a structured space for collective decision</w:t>
            </w:r>
            <w:r w:rsidRPr="00376316">
              <w:rPr>
                <w:rFonts w:ascii="Cambria Math" w:hAnsi="Cambria Math" w:cs="Cambria Math"/>
                <w:sz w:val="24"/>
                <w:szCs w:val="24"/>
              </w:rPr>
              <w:t>‑</w:t>
            </w:r>
            <w:r w:rsidRPr="00376316">
              <w:rPr>
                <w:sz w:val="24"/>
                <w:szCs w:val="24"/>
              </w:rPr>
              <w:t xml:space="preserve">making. Prior to each meeting I prepared detailed summaries, chronologies, risk indicators, behavioural changes, capacity considerations, language needs and updates from Adult1. The police </w:t>
            </w:r>
            <w:r w:rsidRPr="00376316">
              <w:rPr>
                <w:sz w:val="24"/>
                <w:szCs w:val="24"/>
              </w:rPr>
              <w:lastRenderedPageBreak/>
              <w:t>confirmed patrol frequencies, housing committed to follow</w:t>
            </w:r>
            <w:r w:rsidRPr="00376316">
              <w:rPr>
                <w:rFonts w:ascii="Cambria Math" w:hAnsi="Cambria Math" w:cs="Cambria Math"/>
                <w:sz w:val="24"/>
                <w:szCs w:val="24"/>
              </w:rPr>
              <w:t>‑</w:t>
            </w:r>
            <w:r w:rsidRPr="00376316">
              <w:rPr>
                <w:sz w:val="24"/>
                <w:szCs w:val="24"/>
              </w:rPr>
              <w:t>up inspections, BAWSO (BAWSO, n.d.) updated safety plans, and probation clarified contact restrictions and flagged emerging risks. Plans were time</w:t>
            </w:r>
            <w:r w:rsidRPr="00376316">
              <w:rPr>
                <w:rFonts w:ascii="Cambria Math" w:hAnsi="Cambria Math" w:cs="Cambria Math"/>
                <w:sz w:val="24"/>
                <w:szCs w:val="24"/>
              </w:rPr>
              <w:t>‑</w:t>
            </w:r>
            <w:r w:rsidRPr="00376316">
              <w:rPr>
                <w:sz w:val="24"/>
                <w:szCs w:val="24"/>
              </w:rPr>
              <w:t>bound and shared across agencies, so no single organisation bore disproportionate responsibility. Decisions around safety, support and monitoring were made collectively and never in isolation, this was critical for accountability and professional containment. SafeLives’ national MARAC resources and outcomes reporting underpin this multi</w:t>
            </w:r>
            <w:r w:rsidRPr="00376316">
              <w:rPr>
                <w:rFonts w:ascii="Cambria Math" w:hAnsi="Cambria Math" w:cs="Cambria Math"/>
                <w:sz w:val="24"/>
                <w:szCs w:val="24"/>
              </w:rPr>
              <w:t>‑</w:t>
            </w:r>
            <w:r w:rsidRPr="00376316">
              <w:rPr>
                <w:sz w:val="24"/>
                <w:szCs w:val="24"/>
              </w:rPr>
              <w:t xml:space="preserve">agency process (SafeLives, 2015). </w:t>
            </w:r>
          </w:p>
          <w:p w14:paraId="79F897C1" w14:textId="77777777" w:rsidR="00A41C6F" w:rsidRPr="00376316" w:rsidRDefault="00A41C6F" w:rsidP="00A41C6F">
            <w:pPr>
              <w:rPr>
                <w:sz w:val="24"/>
                <w:szCs w:val="24"/>
              </w:rPr>
            </w:pPr>
          </w:p>
          <w:p w14:paraId="41379545" w14:textId="77777777" w:rsidR="00A41C6F" w:rsidRDefault="00A41C6F" w:rsidP="00A41C6F">
            <w:pPr>
              <w:rPr>
                <w:sz w:val="24"/>
                <w:szCs w:val="24"/>
              </w:rPr>
            </w:pPr>
            <w:r w:rsidRPr="00376316">
              <w:rPr>
                <w:sz w:val="24"/>
                <w:szCs w:val="24"/>
              </w:rPr>
              <w:t>Co</w:t>
            </w:r>
            <w:r w:rsidRPr="00376316">
              <w:rPr>
                <w:sz w:val="24"/>
                <w:szCs w:val="24"/>
              </w:rPr>
              <w:noBreakHyphen/>
              <w:t>production (Social Care Wales, 2025) remained central to engagement. Adult1 chose venues and communication methods that felt safe, and safety plans were co</w:t>
            </w:r>
            <w:r w:rsidRPr="00376316">
              <w:rPr>
                <w:sz w:val="24"/>
                <w:szCs w:val="24"/>
              </w:rPr>
              <w:noBreakHyphen/>
              <w:t>designed around steps he felt able to manage. His refusals of hoarding or mental health support were respected as expressions of autonomy, while the MDT reviewed alternatives that maintained safety without removing choice. Liaison, recording and supervision supported my ability to manage pressure, and case</w:t>
            </w:r>
            <w:r w:rsidRPr="00376316">
              <w:rPr>
                <w:sz w:val="24"/>
                <w:szCs w:val="24"/>
              </w:rPr>
              <w:noBreakHyphen/>
              <w:t>mapping helped clarify what was working, what required adjustment and any blind spots. Mapping transformed uncertainty into shared hypotheses and coordinated actions. This approach aligns with the Well</w:t>
            </w:r>
            <w:r w:rsidRPr="00376316">
              <w:rPr>
                <w:sz w:val="24"/>
                <w:szCs w:val="24"/>
              </w:rPr>
              <w:noBreakHyphen/>
              <w:t>being of Future Generations (Wales) Act 2015, which requires collaborative, preventative and long</w:t>
            </w:r>
            <w:r w:rsidRPr="00376316">
              <w:rPr>
                <w:sz w:val="24"/>
                <w:szCs w:val="24"/>
              </w:rPr>
              <w:noBreakHyphen/>
              <w:t>term approaches to supporting individual well</w:t>
            </w:r>
            <w:r w:rsidRPr="00376316">
              <w:rPr>
                <w:sz w:val="24"/>
                <w:szCs w:val="24"/>
              </w:rPr>
              <w:noBreakHyphen/>
              <w:t>being (Welsh Government, 2025).</w:t>
            </w:r>
          </w:p>
          <w:p w14:paraId="25367512" w14:textId="77777777" w:rsidR="00A41C6F" w:rsidRPr="00376316" w:rsidRDefault="00A41C6F" w:rsidP="00A41C6F">
            <w:pPr>
              <w:rPr>
                <w:sz w:val="24"/>
                <w:szCs w:val="24"/>
              </w:rPr>
            </w:pPr>
          </w:p>
          <w:p w14:paraId="0C665308" w14:textId="77777777" w:rsidR="00A41C6F" w:rsidRDefault="00A41C6F" w:rsidP="00A41C6F">
            <w:pPr>
              <w:rPr>
                <w:sz w:val="24"/>
                <w:szCs w:val="24"/>
              </w:rPr>
            </w:pPr>
            <w:r w:rsidRPr="00376316">
              <w:rPr>
                <w:sz w:val="24"/>
                <w:szCs w:val="24"/>
              </w:rPr>
              <w:t>As the case evolved, Adult1 did not wish to press charges, citing previous negative experiences. He later expressed the wish to live closer to his mother with the same landlord, which would lead to an ordinary residence transfer to a different local authority. While proximity to his mother could be protective, I was concerned about continuity and intensity of safeguarding support in the receiving authority. These issues were discussed in the MDT to enable early, transparent planning for cross</w:t>
            </w:r>
            <w:r w:rsidRPr="00376316">
              <w:rPr>
                <w:rFonts w:ascii="Cambria Math" w:hAnsi="Cambria Math" w:cs="Cambria Math"/>
                <w:sz w:val="24"/>
                <w:szCs w:val="24"/>
              </w:rPr>
              <w:t>‑</w:t>
            </w:r>
            <w:r w:rsidRPr="00376316">
              <w:rPr>
                <w:sz w:val="24"/>
                <w:szCs w:val="24"/>
              </w:rPr>
              <w:t>boundary transfer.</w:t>
            </w:r>
          </w:p>
          <w:p w14:paraId="73A3CB51" w14:textId="77777777" w:rsidR="00A41C6F" w:rsidRPr="00376316" w:rsidRDefault="00A41C6F" w:rsidP="00A41C6F">
            <w:pPr>
              <w:rPr>
                <w:sz w:val="24"/>
                <w:szCs w:val="24"/>
              </w:rPr>
            </w:pPr>
          </w:p>
          <w:p w14:paraId="4C8C2103" w14:textId="77777777" w:rsidR="00A41C6F" w:rsidRDefault="00A41C6F" w:rsidP="00A41C6F">
            <w:pPr>
              <w:rPr>
                <w:sz w:val="24"/>
                <w:szCs w:val="24"/>
              </w:rPr>
            </w:pPr>
            <w:r w:rsidRPr="00376316">
              <w:rPr>
                <w:sz w:val="24"/>
                <w:szCs w:val="24"/>
              </w:rPr>
              <w:t>Word count 421</w:t>
            </w:r>
          </w:p>
          <w:p w14:paraId="58AD91CB" w14:textId="77777777" w:rsidR="00A41C6F" w:rsidRPr="00376316" w:rsidRDefault="00A41C6F" w:rsidP="00A41C6F">
            <w:pPr>
              <w:rPr>
                <w:sz w:val="24"/>
                <w:szCs w:val="24"/>
              </w:rPr>
            </w:pPr>
          </w:p>
          <w:p w14:paraId="36DB5864" w14:textId="77777777" w:rsidR="00A41C6F" w:rsidRDefault="00A41C6F" w:rsidP="00A41C6F">
            <w:pPr>
              <w:rPr>
                <w:b/>
                <w:bCs/>
                <w:sz w:val="24"/>
                <w:szCs w:val="24"/>
              </w:rPr>
            </w:pPr>
            <w:r w:rsidRPr="00376316">
              <w:rPr>
                <w:b/>
                <w:bCs/>
                <w:sz w:val="24"/>
                <w:szCs w:val="24"/>
              </w:rPr>
              <w:t xml:space="preserve">6. Application of Social Work Theories </w:t>
            </w:r>
          </w:p>
          <w:p w14:paraId="5ADD259C" w14:textId="77777777" w:rsidR="00A41C6F" w:rsidRPr="00376316" w:rsidRDefault="00A41C6F" w:rsidP="00A41C6F">
            <w:pPr>
              <w:rPr>
                <w:b/>
                <w:bCs/>
                <w:sz w:val="24"/>
                <w:szCs w:val="24"/>
              </w:rPr>
            </w:pPr>
          </w:p>
          <w:p w14:paraId="17DAC82D" w14:textId="684CD3DE" w:rsidR="00A41C6F" w:rsidRDefault="00A41C6F" w:rsidP="00A41C6F">
            <w:pPr>
              <w:rPr>
                <w:sz w:val="24"/>
                <w:szCs w:val="24"/>
              </w:rPr>
            </w:pPr>
            <w:r w:rsidRPr="00376316">
              <w:rPr>
                <w:sz w:val="24"/>
                <w:szCs w:val="24"/>
              </w:rPr>
              <w:t>Strengths</w:t>
            </w:r>
            <w:r w:rsidRPr="00376316">
              <w:rPr>
                <w:rFonts w:ascii="Cambria Math" w:hAnsi="Cambria Math" w:cs="Cambria Math"/>
                <w:sz w:val="24"/>
                <w:szCs w:val="24"/>
              </w:rPr>
              <w:t>‑</w:t>
            </w:r>
            <w:r w:rsidRPr="00376316">
              <w:rPr>
                <w:sz w:val="24"/>
                <w:szCs w:val="24"/>
              </w:rPr>
              <w:t>based practice (Saleebey, 1996) framed participation and kept Adult1 at the centre of his safeguarding journey. It encouraged us to prioritise what he could do, which was engage selectively, co</w:t>
            </w:r>
            <w:r w:rsidRPr="00376316">
              <w:rPr>
                <w:rFonts w:ascii="Cambria Math" w:hAnsi="Cambria Math" w:cs="Cambria Math"/>
                <w:sz w:val="24"/>
                <w:szCs w:val="24"/>
              </w:rPr>
              <w:t>‑</w:t>
            </w:r>
            <w:r w:rsidRPr="00376316">
              <w:rPr>
                <w:sz w:val="24"/>
                <w:szCs w:val="24"/>
              </w:rPr>
              <w:t>design safety plans, choose preferred venues and channels, and identify trusted practitioners. The model acted as an antidote to deficit narratives and helped avoid casting him solely as a victim. However, in coercive control contexts strengths</w:t>
            </w:r>
            <w:r w:rsidRPr="00376316">
              <w:rPr>
                <w:rFonts w:ascii="Cambria Math" w:hAnsi="Cambria Math" w:cs="Cambria Math"/>
                <w:sz w:val="24"/>
                <w:szCs w:val="24"/>
              </w:rPr>
              <w:t>‑</w:t>
            </w:r>
            <w:r w:rsidRPr="00376316">
              <w:rPr>
                <w:sz w:val="24"/>
                <w:szCs w:val="24"/>
              </w:rPr>
              <w:t>based practice (Saleebey, 1996) can overstate agency and under</w:t>
            </w:r>
            <w:r w:rsidRPr="00376316">
              <w:rPr>
                <w:rFonts w:ascii="Cambria Math" w:hAnsi="Cambria Math" w:cs="Cambria Math"/>
                <w:sz w:val="24"/>
                <w:szCs w:val="24"/>
              </w:rPr>
              <w:t>‑</w:t>
            </w:r>
            <w:r w:rsidRPr="00376316">
              <w:rPr>
                <w:sz w:val="24"/>
                <w:szCs w:val="24"/>
              </w:rPr>
              <w:t>recognise constraint. I mitigated this by documenting risk rationales, time</w:t>
            </w:r>
            <w:r w:rsidRPr="00376316">
              <w:rPr>
                <w:rFonts w:ascii="Cambria Math" w:hAnsi="Cambria Math" w:cs="Cambria Math"/>
                <w:sz w:val="24"/>
                <w:szCs w:val="24"/>
              </w:rPr>
              <w:t>‑</w:t>
            </w:r>
            <w:r w:rsidRPr="00376316">
              <w:rPr>
                <w:sz w:val="24"/>
                <w:szCs w:val="24"/>
              </w:rPr>
              <w:t>bound goals and contingency plans and by testing my assumptions in supervision. When my instinct shifted towards rescue, supervision helped me re</w:t>
            </w:r>
            <w:r w:rsidRPr="00376316">
              <w:rPr>
                <w:rFonts w:ascii="Cambria Math" w:hAnsi="Cambria Math" w:cs="Cambria Math"/>
                <w:sz w:val="24"/>
                <w:szCs w:val="24"/>
              </w:rPr>
              <w:t>‑</w:t>
            </w:r>
            <w:r w:rsidRPr="00376316">
              <w:rPr>
                <w:sz w:val="24"/>
                <w:szCs w:val="24"/>
              </w:rPr>
              <w:t>centre the work on amplifying Adult1’s voice rather than substituting it with mine</w:t>
            </w:r>
            <w:r>
              <w:rPr>
                <w:sz w:val="24"/>
                <w:szCs w:val="24"/>
              </w:rPr>
              <w:t xml:space="preserve"> </w:t>
            </w:r>
            <w:r w:rsidRPr="00376316">
              <w:rPr>
                <w:sz w:val="24"/>
                <w:szCs w:val="24"/>
              </w:rPr>
              <w:t>(Saleebey, 1996)</w:t>
            </w:r>
            <w:r>
              <w:rPr>
                <w:sz w:val="24"/>
                <w:szCs w:val="24"/>
              </w:rPr>
              <w:t>.</w:t>
            </w:r>
            <w:r w:rsidRPr="00376316">
              <w:rPr>
                <w:sz w:val="24"/>
                <w:szCs w:val="24"/>
              </w:rPr>
              <w:t xml:space="preserve"> </w:t>
            </w:r>
          </w:p>
          <w:p w14:paraId="1037427D" w14:textId="77777777" w:rsidR="00A41C6F" w:rsidRPr="00376316" w:rsidRDefault="00A41C6F" w:rsidP="00A41C6F">
            <w:pPr>
              <w:rPr>
                <w:sz w:val="24"/>
                <w:szCs w:val="24"/>
              </w:rPr>
            </w:pPr>
          </w:p>
          <w:p w14:paraId="3F3E23A4" w14:textId="77777777" w:rsidR="00A41C6F" w:rsidRDefault="00A41C6F" w:rsidP="00A41C6F">
            <w:pPr>
              <w:rPr>
                <w:sz w:val="24"/>
                <w:szCs w:val="24"/>
              </w:rPr>
            </w:pPr>
            <w:r w:rsidRPr="00376316">
              <w:rPr>
                <w:sz w:val="24"/>
                <w:szCs w:val="24"/>
              </w:rPr>
              <w:t xml:space="preserve">Systems and ecological theory (Bronfenbrenner, 1979) offered a broader map. At the micro level, relationships with perpetrators, family, neighbours and individual practitioners shaped immediate risk and disclosure. At the meso level, the landlord, court deputy, BAWSO (BAWSO, n.d.) and health services influenced daily stability. At the exo level, police, probation and MARAC (SafeLives, 2015) created formal structures to interrupt exploitation. </w:t>
            </w:r>
            <w:r w:rsidRPr="00376316">
              <w:rPr>
                <w:sz w:val="24"/>
                <w:szCs w:val="24"/>
              </w:rPr>
              <w:lastRenderedPageBreak/>
              <w:t xml:space="preserve">At the macro level, national legislation, safeguarding procedures, language rights and human rights frameworks set values and duties that bounded practice. Seeing the case through these layers revealed leverage points and prevented professional drift by distributing responsibility across the system (Bronfenbrenner, 1979).  </w:t>
            </w:r>
          </w:p>
          <w:p w14:paraId="5D3C14C5" w14:textId="77777777" w:rsidR="00A41C6F" w:rsidRPr="00376316" w:rsidRDefault="00A41C6F" w:rsidP="00A41C6F">
            <w:pPr>
              <w:rPr>
                <w:sz w:val="24"/>
                <w:szCs w:val="24"/>
              </w:rPr>
            </w:pPr>
          </w:p>
          <w:p w14:paraId="4DEA1462" w14:textId="77777777" w:rsidR="00A41C6F" w:rsidRDefault="00A41C6F" w:rsidP="00A41C6F">
            <w:pPr>
              <w:rPr>
                <w:sz w:val="24"/>
                <w:szCs w:val="24"/>
              </w:rPr>
            </w:pPr>
            <w:r w:rsidRPr="00376316">
              <w:rPr>
                <w:sz w:val="24"/>
                <w:szCs w:val="24"/>
              </w:rPr>
              <w:t>Trauma</w:t>
            </w:r>
            <w:r w:rsidRPr="00376316">
              <w:rPr>
                <w:rFonts w:ascii="Cambria Math" w:hAnsi="Cambria Math" w:cs="Cambria Math"/>
                <w:sz w:val="24"/>
                <w:szCs w:val="24"/>
              </w:rPr>
              <w:t>‑</w:t>
            </w:r>
            <w:r w:rsidRPr="00376316">
              <w:rPr>
                <w:sz w:val="24"/>
                <w:szCs w:val="24"/>
              </w:rPr>
              <w:t>informed practice (SAMHSA, 2014) explained avoidance, minimisation, sudden reversals and the need for pacing and predictability. Rights</w:t>
            </w:r>
            <w:r w:rsidRPr="00376316">
              <w:rPr>
                <w:rFonts w:ascii="Cambria Math" w:hAnsi="Cambria Math" w:cs="Cambria Math"/>
                <w:sz w:val="24"/>
                <w:szCs w:val="24"/>
              </w:rPr>
              <w:t>‑</w:t>
            </w:r>
            <w:r w:rsidRPr="00376316">
              <w:rPr>
                <w:sz w:val="24"/>
                <w:szCs w:val="24"/>
              </w:rPr>
              <w:t>based practice demanded proportionality and transparency and kept the Active Offer central to access and dignity (Reynaert et al., 2022; Asenjo Palma and Verity, 2025). Relationship</w:t>
            </w:r>
            <w:r w:rsidRPr="00376316">
              <w:rPr>
                <w:rFonts w:ascii="Cambria Math" w:hAnsi="Cambria Math" w:cs="Cambria Math"/>
                <w:sz w:val="24"/>
                <w:szCs w:val="24"/>
              </w:rPr>
              <w:t>‑</w:t>
            </w:r>
            <w:r w:rsidRPr="00376316">
              <w:rPr>
                <w:sz w:val="24"/>
                <w:szCs w:val="24"/>
              </w:rPr>
              <w:t>based practice (Cleece et al., 2025) recognised that engagement is non</w:t>
            </w:r>
            <w:r w:rsidRPr="00376316">
              <w:rPr>
                <w:rFonts w:ascii="Cambria Math" w:hAnsi="Cambria Math" w:cs="Cambria Math"/>
                <w:sz w:val="24"/>
                <w:szCs w:val="24"/>
              </w:rPr>
              <w:t>‑</w:t>
            </w:r>
            <w:r w:rsidRPr="00376316">
              <w:rPr>
                <w:sz w:val="24"/>
                <w:szCs w:val="24"/>
              </w:rPr>
              <w:t>linear and that trust is earned through repeated, reliable contact, even, and especially, when someone remains in an exploitative situation. Karpman’s Drama Triangle added a vital reflexive lens to avoid unhelpful rescuer dynamics and to keep practice boundaried and sustainable. (SAMHSA, 2014; Karpman, 1968).</w:t>
            </w:r>
          </w:p>
          <w:p w14:paraId="40004DA4" w14:textId="77777777" w:rsidR="00A41C6F" w:rsidRPr="00376316" w:rsidRDefault="00A41C6F" w:rsidP="00A41C6F">
            <w:pPr>
              <w:rPr>
                <w:sz w:val="24"/>
                <w:szCs w:val="24"/>
              </w:rPr>
            </w:pPr>
          </w:p>
          <w:p w14:paraId="281CCA38" w14:textId="77777777" w:rsidR="00A41C6F" w:rsidRDefault="00A41C6F" w:rsidP="00A41C6F">
            <w:pPr>
              <w:rPr>
                <w:sz w:val="24"/>
                <w:szCs w:val="24"/>
              </w:rPr>
            </w:pPr>
            <w:r w:rsidRPr="00376316">
              <w:rPr>
                <w:sz w:val="24"/>
                <w:szCs w:val="24"/>
              </w:rPr>
              <w:t>Word count 320</w:t>
            </w:r>
          </w:p>
          <w:p w14:paraId="721B66FD" w14:textId="77777777" w:rsidR="00A41C6F" w:rsidRPr="00376316" w:rsidRDefault="00A41C6F" w:rsidP="00A41C6F">
            <w:pPr>
              <w:rPr>
                <w:sz w:val="24"/>
                <w:szCs w:val="24"/>
              </w:rPr>
            </w:pPr>
          </w:p>
          <w:p w14:paraId="73869F48" w14:textId="77777777" w:rsidR="00A41C6F" w:rsidRDefault="00A41C6F" w:rsidP="00A41C6F">
            <w:pPr>
              <w:rPr>
                <w:b/>
                <w:bCs/>
                <w:sz w:val="24"/>
                <w:szCs w:val="24"/>
              </w:rPr>
            </w:pPr>
            <w:r w:rsidRPr="00376316">
              <w:rPr>
                <w:b/>
                <w:bCs/>
                <w:sz w:val="24"/>
                <w:szCs w:val="24"/>
              </w:rPr>
              <w:t>7. Interventions, Outcomes and Critical Reflexivity</w:t>
            </w:r>
          </w:p>
          <w:p w14:paraId="75629632" w14:textId="77777777" w:rsidR="00A41C6F" w:rsidRPr="00376316" w:rsidRDefault="00A41C6F" w:rsidP="00A41C6F">
            <w:pPr>
              <w:rPr>
                <w:b/>
                <w:bCs/>
                <w:sz w:val="24"/>
                <w:szCs w:val="24"/>
              </w:rPr>
            </w:pPr>
          </w:p>
          <w:p w14:paraId="0E997E4D" w14:textId="77777777" w:rsidR="00A41C6F" w:rsidRDefault="00A41C6F" w:rsidP="00A41C6F">
            <w:pPr>
              <w:rPr>
                <w:sz w:val="24"/>
                <w:szCs w:val="24"/>
              </w:rPr>
            </w:pPr>
            <w:r w:rsidRPr="00376316">
              <w:rPr>
                <w:sz w:val="24"/>
                <w:szCs w:val="24"/>
              </w:rPr>
              <w:t xml:space="preserve">Interventions followed the Wales Modern Slavery Safeguarding Pathway (Welsh Government, 2024) and were adjusted to changing risk. When coercion and violence emerged, the case was escalated through MARAC (SafeLives, 2015). An NRM referral (Home Office, 2020) was submitted, and I provided witness statements supporting identification of exploitation indicators. Police, probation, BAWSO (BAWSO, n.d.), housing and safeguarding colleagues collaborated closely to ensure coherent, proportionate responses. Emergency Duty Team received timely handovers with clear weekend priorities. The NRM framework (reasonable/conclusive grounds) provided a national structure for recognition and support (Home Office, 2020). </w:t>
            </w:r>
          </w:p>
          <w:p w14:paraId="57BFE6D4" w14:textId="77777777" w:rsidR="00A41C6F" w:rsidRPr="00376316" w:rsidRDefault="00A41C6F" w:rsidP="00A41C6F">
            <w:pPr>
              <w:rPr>
                <w:sz w:val="24"/>
                <w:szCs w:val="24"/>
              </w:rPr>
            </w:pPr>
          </w:p>
          <w:p w14:paraId="318F0E3D" w14:textId="77777777" w:rsidR="00A41C6F" w:rsidRDefault="00A41C6F" w:rsidP="00A41C6F">
            <w:pPr>
              <w:rPr>
                <w:sz w:val="24"/>
                <w:szCs w:val="24"/>
              </w:rPr>
            </w:pPr>
            <w:r w:rsidRPr="00376316">
              <w:rPr>
                <w:sz w:val="24"/>
                <w:szCs w:val="24"/>
              </w:rPr>
              <w:t>Capacity and best</w:t>
            </w:r>
            <w:r w:rsidRPr="00376316">
              <w:rPr>
                <w:rFonts w:ascii="Cambria Math" w:hAnsi="Cambria Math" w:cs="Cambria Math"/>
                <w:sz w:val="24"/>
                <w:szCs w:val="24"/>
              </w:rPr>
              <w:t>‑</w:t>
            </w:r>
            <w:r w:rsidRPr="00376316">
              <w:rPr>
                <w:sz w:val="24"/>
                <w:szCs w:val="24"/>
              </w:rPr>
              <w:t>interests considerations evolved alongside circumstances. APSO (Welsh Government, 2016) was considered to facilitate private conversations without the presence of exploiters, and the use of any intrusive measure was weighed against proportionality and the Human Rights Act. Where Adult1 had capacity and declined interventions, decisions recorded least</w:t>
            </w:r>
            <w:r w:rsidRPr="00376316">
              <w:rPr>
                <w:rFonts w:ascii="Cambria Math" w:hAnsi="Cambria Math" w:cs="Cambria Math"/>
                <w:sz w:val="24"/>
                <w:szCs w:val="24"/>
              </w:rPr>
              <w:t>‑</w:t>
            </w:r>
            <w:r w:rsidRPr="00376316">
              <w:rPr>
                <w:sz w:val="24"/>
                <w:szCs w:val="24"/>
              </w:rPr>
              <w:t xml:space="preserve">restrictive rationales and crisis alternatives. At the same time, I ensured that information about rights, options and support was always offered again so that the door remained open if readiness shifted. </w:t>
            </w:r>
          </w:p>
          <w:p w14:paraId="4ACB8BA1" w14:textId="77777777" w:rsidR="00A41C6F" w:rsidRPr="00376316" w:rsidRDefault="00A41C6F" w:rsidP="00A41C6F">
            <w:pPr>
              <w:rPr>
                <w:sz w:val="24"/>
                <w:szCs w:val="24"/>
              </w:rPr>
            </w:pPr>
          </w:p>
          <w:p w14:paraId="582211D3" w14:textId="77777777" w:rsidR="00A41C6F" w:rsidRPr="00376316" w:rsidRDefault="00A41C6F" w:rsidP="00A41C6F">
            <w:pPr>
              <w:rPr>
                <w:sz w:val="24"/>
                <w:szCs w:val="24"/>
              </w:rPr>
            </w:pPr>
            <w:r w:rsidRPr="00376316">
              <w:rPr>
                <w:sz w:val="24"/>
                <w:szCs w:val="24"/>
              </w:rPr>
              <w:t>Information</w:t>
            </w:r>
            <w:r w:rsidRPr="00376316">
              <w:rPr>
                <w:rFonts w:ascii="Cambria Math" w:hAnsi="Cambria Math" w:cs="Cambria Math"/>
                <w:sz w:val="24"/>
                <w:szCs w:val="24"/>
              </w:rPr>
              <w:t>‑</w:t>
            </w:r>
            <w:r w:rsidRPr="00376316">
              <w:rPr>
                <w:sz w:val="24"/>
                <w:szCs w:val="24"/>
              </w:rPr>
              <w:t>sharing complied with UK GDPR and DPA requirements. Transparency notices explained what would be shared, why and with whom. This was vital for trust, especially when actions felt intrusive or counter</w:t>
            </w:r>
            <w:r w:rsidRPr="00376316">
              <w:rPr>
                <w:rFonts w:ascii="Cambria Math" w:hAnsi="Cambria Math" w:cs="Cambria Math"/>
                <w:sz w:val="24"/>
                <w:szCs w:val="24"/>
              </w:rPr>
              <w:t>‑</w:t>
            </w:r>
            <w:r w:rsidRPr="00376316">
              <w:rPr>
                <w:sz w:val="24"/>
                <w:szCs w:val="24"/>
              </w:rPr>
              <w:t>intuitive to Adult1. Multi</w:t>
            </w:r>
            <w:r w:rsidRPr="00376316">
              <w:rPr>
                <w:rFonts w:ascii="Cambria Math" w:hAnsi="Cambria Math" w:cs="Cambria Math"/>
                <w:sz w:val="24"/>
                <w:szCs w:val="24"/>
              </w:rPr>
              <w:t>‑</w:t>
            </w:r>
            <w:r w:rsidRPr="00376316">
              <w:rPr>
                <w:sz w:val="24"/>
                <w:szCs w:val="24"/>
              </w:rPr>
              <w:t xml:space="preserve">agency meetings provided spaces to review progress, test assumptions, evaluate safety plans and agree next steps. </w:t>
            </w:r>
          </w:p>
          <w:p w14:paraId="2E12B96C" w14:textId="77777777" w:rsidR="00A41C6F" w:rsidRDefault="00A41C6F" w:rsidP="00A41C6F">
            <w:pPr>
              <w:rPr>
                <w:sz w:val="24"/>
                <w:szCs w:val="24"/>
              </w:rPr>
            </w:pPr>
            <w:r w:rsidRPr="00376316">
              <w:rPr>
                <w:sz w:val="24"/>
                <w:szCs w:val="24"/>
              </w:rPr>
              <w:t>Emotionally, the case tested my resilience and was time</w:t>
            </w:r>
            <w:r w:rsidRPr="00376316">
              <w:rPr>
                <w:rFonts w:ascii="Cambria Math" w:hAnsi="Cambria Math" w:cs="Cambria Math"/>
                <w:sz w:val="24"/>
                <w:szCs w:val="24"/>
              </w:rPr>
              <w:t>‑</w:t>
            </w:r>
            <w:r w:rsidRPr="00376316">
              <w:rPr>
                <w:sz w:val="24"/>
                <w:szCs w:val="24"/>
              </w:rPr>
              <w:t>intensive. Supervision transformed uncertainty into reflection and motion. Case</w:t>
            </w:r>
            <w:r w:rsidRPr="00376316">
              <w:rPr>
                <w:rFonts w:ascii="Cambria Math" w:hAnsi="Cambria Math" w:cs="Cambria Math"/>
                <w:sz w:val="24"/>
                <w:szCs w:val="24"/>
              </w:rPr>
              <w:t>‑</w:t>
            </w:r>
            <w:r w:rsidRPr="00376316">
              <w:rPr>
                <w:sz w:val="24"/>
                <w:szCs w:val="24"/>
              </w:rPr>
              <w:t>mapping surfaced blind spots and re</w:t>
            </w:r>
            <w:r w:rsidRPr="00376316">
              <w:rPr>
                <w:rFonts w:ascii="Cambria Math" w:hAnsi="Cambria Math" w:cs="Cambria Math"/>
                <w:sz w:val="24"/>
                <w:szCs w:val="24"/>
              </w:rPr>
              <w:t>‑</w:t>
            </w:r>
            <w:r w:rsidRPr="00376316">
              <w:rPr>
                <w:sz w:val="24"/>
                <w:szCs w:val="24"/>
              </w:rPr>
              <w:t xml:space="preserve">prioritised action. It also reinforced that the actions taken were proportionate and appropriate, and that Adult1 was provided with informed choice at every stage. Applying Rolfe’s model of reflection (Rolfe et al., 2001), the ‘What?’ became a sequence of crises and partial </w:t>
            </w:r>
            <w:r w:rsidRPr="00376316">
              <w:rPr>
                <w:sz w:val="24"/>
                <w:szCs w:val="24"/>
              </w:rPr>
              <w:lastRenderedPageBreak/>
              <w:t>stabilisations, the ‘So what?’ was an ongoing balancing act between autonomy and protection, the ‘Now what?’ was to embed earlier APSO (Welsh Government, 2016) consideration, strengthen Active Offer consistency, maintain MDT clarity and continue using reflective supervision to process emotion so it did not run the practice. Over time the case consolidated my professional identity, a practitioner who decides transparently, collaborates consistently and tolerates uncertainty while keeping people connected to routes to safety.</w:t>
            </w:r>
          </w:p>
          <w:p w14:paraId="29D114A7" w14:textId="77777777" w:rsidR="00A41C6F" w:rsidRPr="00376316" w:rsidRDefault="00A41C6F" w:rsidP="00A41C6F">
            <w:pPr>
              <w:rPr>
                <w:sz w:val="24"/>
                <w:szCs w:val="24"/>
              </w:rPr>
            </w:pPr>
          </w:p>
          <w:p w14:paraId="1F60420C" w14:textId="77777777" w:rsidR="00A41C6F" w:rsidRDefault="00A41C6F" w:rsidP="00A41C6F">
            <w:pPr>
              <w:rPr>
                <w:sz w:val="24"/>
                <w:szCs w:val="24"/>
              </w:rPr>
            </w:pPr>
            <w:r w:rsidRPr="00376316">
              <w:rPr>
                <w:sz w:val="24"/>
                <w:szCs w:val="24"/>
              </w:rPr>
              <w:t>Word count 359</w:t>
            </w:r>
          </w:p>
          <w:p w14:paraId="3379E7A0" w14:textId="77777777" w:rsidR="00A41C6F" w:rsidRPr="00376316" w:rsidRDefault="00A41C6F" w:rsidP="00A41C6F">
            <w:pPr>
              <w:rPr>
                <w:sz w:val="24"/>
                <w:szCs w:val="24"/>
              </w:rPr>
            </w:pPr>
          </w:p>
          <w:p w14:paraId="4AD289B8" w14:textId="77777777" w:rsidR="00A41C6F" w:rsidRDefault="00A41C6F" w:rsidP="00A41C6F">
            <w:pPr>
              <w:rPr>
                <w:b/>
                <w:bCs/>
                <w:sz w:val="24"/>
                <w:szCs w:val="24"/>
              </w:rPr>
            </w:pPr>
            <w:r w:rsidRPr="00376316">
              <w:rPr>
                <w:b/>
                <w:bCs/>
                <w:sz w:val="24"/>
                <w:szCs w:val="24"/>
              </w:rPr>
              <w:t>8. Mapping to National Occupational Standards (NOS) and SCW Outcomes</w:t>
            </w:r>
          </w:p>
          <w:p w14:paraId="2FB33799" w14:textId="77777777" w:rsidR="00A41C6F" w:rsidRPr="00376316" w:rsidRDefault="00A41C6F" w:rsidP="00A41C6F">
            <w:pPr>
              <w:rPr>
                <w:b/>
                <w:bCs/>
                <w:sz w:val="24"/>
                <w:szCs w:val="24"/>
              </w:rPr>
            </w:pPr>
          </w:p>
          <w:p w14:paraId="0F8DA239" w14:textId="77777777" w:rsidR="00A41C6F" w:rsidRDefault="00A41C6F" w:rsidP="00A41C6F">
            <w:pPr>
              <w:rPr>
                <w:sz w:val="24"/>
                <w:szCs w:val="24"/>
              </w:rPr>
            </w:pPr>
            <w:r w:rsidRPr="00376316">
              <w:rPr>
                <w:sz w:val="24"/>
                <w:szCs w:val="24"/>
              </w:rPr>
              <w:t>The case evidences NOS and Social Care Wales outcomes in multiple domains. Rights</w:t>
            </w:r>
            <w:r w:rsidRPr="00376316">
              <w:rPr>
                <w:rFonts w:ascii="Cambria Math" w:hAnsi="Cambria Math" w:cs="Cambria Math"/>
                <w:sz w:val="24"/>
                <w:szCs w:val="24"/>
              </w:rPr>
              <w:t>‑</w:t>
            </w:r>
            <w:r w:rsidRPr="00376316">
              <w:rPr>
                <w:sz w:val="24"/>
                <w:szCs w:val="24"/>
              </w:rPr>
              <w:t>based (Reynaert et al., 2022; Asenjo Palma and Verity, 2025), person</w:t>
            </w:r>
            <w:r w:rsidRPr="00376316">
              <w:rPr>
                <w:rFonts w:ascii="Cambria Math" w:hAnsi="Cambria Math" w:cs="Cambria Math"/>
                <w:sz w:val="24"/>
                <w:szCs w:val="24"/>
              </w:rPr>
              <w:t>‑</w:t>
            </w:r>
            <w:r w:rsidRPr="00376316">
              <w:rPr>
                <w:sz w:val="24"/>
                <w:szCs w:val="24"/>
              </w:rPr>
              <w:t>centred practice is visible in proportionality analysis, bilingual access through the Active Offer and transparent explanations of decisions. Partnership and inter</w:t>
            </w:r>
            <w:r w:rsidRPr="00376316">
              <w:rPr>
                <w:rFonts w:ascii="Cambria Math" w:hAnsi="Cambria Math" w:cs="Cambria Math"/>
                <w:sz w:val="24"/>
                <w:szCs w:val="24"/>
              </w:rPr>
              <w:t>‑</w:t>
            </w:r>
            <w:r w:rsidRPr="00376316">
              <w:rPr>
                <w:sz w:val="24"/>
                <w:szCs w:val="24"/>
              </w:rPr>
              <w:t>professional working are demonstrated through sustained collaboration with police, probation, BAWSO (BAWSO, n.d.), housing, safeguarding and Emergency Duty Team, as well as early preparation for ordinary residence transfer. Legal and policy literacy is evident in the application of SSWB (Wales) Act duties (s126/s127), Wales Safeguarding Procedures (SCW, 2019), the Modern Slavery Act, the MCA, Equality Act and data protection frameworks, consistent with Braye and Preston</w:t>
            </w:r>
            <w:r w:rsidRPr="00376316">
              <w:rPr>
                <w:rFonts w:ascii="Cambria Math" w:hAnsi="Cambria Math" w:cs="Cambria Math"/>
                <w:sz w:val="24"/>
                <w:szCs w:val="24"/>
              </w:rPr>
              <w:t>‑</w:t>
            </w:r>
            <w:r w:rsidRPr="00376316">
              <w:rPr>
                <w:sz w:val="24"/>
                <w:szCs w:val="24"/>
              </w:rPr>
              <w:t>Shoot’s emphasis on legal literacy underpinning rights and accountable decision</w:t>
            </w:r>
            <w:r w:rsidRPr="00376316">
              <w:rPr>
                <w:rFonts w:ascii="Cambria Math" w:hAnsi="Cambria Math" w:cs="Cambria Math"/>
                <w:sz w:val="24"/>
                <w:szCs w:val="24"/>
              </w:rPr>
              <w:t>‑</w:t>
            </w:r>
            <w:r w:rsidRPr="00376316">
              <w:rPr>
                <w:sz w:val="24"/>
                <w:szCs w:val="24"/>
              </w:rPr>
              <w:t>making (Braye and Preston</w:t>
            </w:r>
            <w:r w:rsidRPr="00376316">
              <w:rPr>
                <w:rFonts w:ascii="Cambria Math" w:hAnsi="Cambria Math" w:cs="Cambria Math"/>
                <w:sz w:val="24"/>
                <w:szCs w:val="24"/>
              </w:rPr>
              <w:t>‑</w:t>
            </w:r>
            <w:r w:rsidRPr="00376316">
              <w:rPr>
                <w:sz w:val="24"/>
                <w:szCs w:val="24"/>
              </w:rPr>
              <w:t xml:space="preserve">Shoot, 2016). </w:t>
            </w:r>
          </w:p>
          <w:p w14:paraId="41822A12" w14:textId="77777777" w:rsidR="00A41C6F" w:rsidRDefault="00A41C6F" w:rsidP="00A41C6F">
            <w:pPr>
              <w:rPr>
                <w:sz w:val="24"/>
                <w:szCs w:val="24"/>
              </w:rPr>
            </w:pPr>
          </w:p>
          <w:p w14:paraId="09FA3D00" w14:textId="479530E9" w:rsidR="00A41C6F" w:rsidRDefault="00A41C6F" w:rsidP="00A41C6F">
            <w:pPr>
              <w:rPr>
                <w:sz w:val="24"/>
                <w:szCs w:val="24"/>
              </w:rPr>
            </w:pPr>
            <w:r w:rsidRPr="00376316">
              <w:rPr>
                <w:sz w:val="24"/>
                <w:szCs w:val="24"/>
              </w:rPr>
              <w:t>Critical analysis is shown in capacity assessments under coercion, documentation of least</w:t>
            </w:r>
            <w:r w:rsidRPr="00376316">
              <w:rPr>
                <w:rFonts w:ascii="Cambria Math" w:hAnsi="Cambria Math" w:cs="Cambria Math"/>
                <w:sz w:val="24"/>
                <w:szCs w:val="24"/>
              </w:rPr>
              <w:t>‑</w:t>
            </w:r>
            <w:r w:rsidRPr="00376316">
              <w:rPr>
                <w:sz w:val="24"/>
                <w:szCs w:val="24"/>
              </w:rPr>
              <w:t xml:space="preserve">restrictive rationales, and reflective use of supervision and case mapping. Leadership in complexity appears in coordinating responses, structuring safe communication and distributing responsibilities across the system. The work also demonstrates developing capability in assessment writing and statutory recording, strengthened through VAWDASV, safeguarding and MCA training and iterative feedback. These domains align with MARAC/NRM practice expectations and Welsh contextual texts (SafeLives, 2015; Home Office, 2020; Livingston, Redcliffe and Aziz, 2023). </w:t>
            </w:r>
          </w:p>
          <w:p w14:paraId="1A17CF6F" w14:textId="77777777" w:rsidR="00A41C6F" w:rsidRPr="00376316" w:rsidRDefault="00A41C6F" w:rsidP="00A41C6F">
            <w:pPr>
              <w:rPr>
                <w:sz w:val="24"/>
                <w:szCs w:val="24"/>
              </w:rPr>
            </w:pPr>
          </w:p>
          <w:p w14:paraId="6002E4B7" w14:textId="77777777" w:rsidR="00A41C6F" w:rsidRDefault="00A41C6F" w:rsidP="00A41C6F">
            <w:pPr>
              <w:rPr>
                <w:sz w:val="24"/>
                <w:szCs w:val="24"/>
              </w:rPr>
            </w:pPr>
            <w:r w:rsidRPr="00376316">
              <w:rPr>
                <w:sz w:val="24"/>
                <w:szCs w:val="24"/>
              </w:rPr>
              <w:t>Word count 210</w:t>
            </w:r>
          </w:p>
          <w:p w14:paraId="52EA1BA4" w14:textId="77777777" w:rsidR="00A41C6F" w:rsidRPr="00376316" w:rsidRDefault="00A41C6F" w:rsidP="00A41C6F">
            <w:pPr>
              <w:rPr>
                <w:sz w:val="24"/>
                <w:szCs w:val="24"/>
              </w:rPr>
            </w:pPr>
          </w:p>
          <w:p w14:paraId="6A0D37C4" w14:textId="77777777" w:rsidR="00A41C6F" w:rsidRDefault="00A41C6F" w:rsidP="00A41C6F">
            <w:pPr>
              <w:rPr>
                <w:b/>
                <w:bCs/>
                <w:sz w:val="24"/>
                <w:szCs w:val="24"/>
              </w:rPr>
            </w:pPr>
            <w:r w:rsidRPr="00376316">
              <w:rPr>
                <w:b/>
                <w:bCs/>
                <w:sz w:val="24"/>
                <w:szCs w:val="24"/>
              </w:rPr>
              <w:t>9. Future Development Needs</w:t>
            </w:r>
          </w:p>
          <w:p w14:paraId="1C5692E3" w14:textId="77777777" w:rsidR="00A41C6F" w:rsidRPr="00376316" w:rsidRDefault="00A41C6F" w:rsidP="00A41C6F">
            <w:pPr>
              <w:rPr>
                <w:b/>
                <w:bCs/>
                <w:sz w:val="24"/>
                <w:szCs w:val="24"/>
              </w:rPr>
            </w:pPr>
          </w:p>
          <w:p w14:paraId="18213AA3" w14:textId="77777777" w:rsidR="00A41C6F" w:rsidRDefault="00A41C6F" w:rsidP="00A41C6F">
            <w:pPr>
              <w:rPr>
                <w:sz w:val="24"/>
                <w:szCs w:val="24"/>
              </w:rPr>
            </w:pPr>
            <w:r w:rsidRPr="00376316">
              <w:rPr>
                <w:sz w:val="24"/>
                <w:szCs w:val="24"/>
              </w:rPr>
              <w:t>Over the next twelve months I will consolidate learning across Social Care Wales outcomes. For analysis in assessment, I will refine an assessment template integrating strengths</w:t>
            </w:r>
            <w:r w:rsidRPr="00376316">
              <w:rPr>
                <w:rFonts w:ascii="Cambria Math" w:hAnsi="Cambria Math" w:cs="Cambria Math"/>
                <w:sz w:val="24"/>
                <w:szCs w:val="24"/>
              </w:rPr>
              <w:t>‑</w:t>
            </w:r>
            <w:r w:rsidRPr="00376316">
              <w:rPr>
                <w:sz w:val="24"/>
                <w:szCs w:val="24"/>
              </w:rPr>
              <w:t>based practice (Saleebey, 1996), systems thinking (Bronfenbrenner, 1979), trauma</w:t>
            </w:r>
            <w:r w:rsidRPr="00376316">
              <w:rPr>
                <w:rFonts w:ascii="Cambria Math" w:hAnsi="Cambria Math" w:cs="Cambria Math"/>
                <w:sz w:val="24"/>
                <w:szCs w:val="24"/>
              </w:rPr>
              <w:t>‑</w:t>
            </w:r>
            <w:r w:rsidRPr="00376316">
              <w:rPr>
                <w:sz w:val="24"/>
                <w:szCs w:val="24"/>
              </w:rPr>
              <w:t>informed approaches (SAMHSA, 2014), MCA steps, APSO (Welsh Government, 2016) prompts, proportionality reasoning and the Active Offer. The template will include explicit prompts for rights</w:t>
            </w:r>
            <w:r w:rsidRPr="00376316">
              <w:rPr>
                <w:rFonts w:ascii="Cambria Math" w:hAnsi="Cambria Math" w:cs="Cambria Math"/>
                <w:sz w:val="24"/>
                <w:szCs w:val="24"/>
              </w:rPr>
              <w:t>‑</w:t>
            </w:r>
            <w:r w:rsidRPr="00376316">
              <w:rPr>
                <w:sz w:val="24"/>
                <w:szCs w:val="24"/>
              </w:rPr>
              <w:t>balancing and crisis alternatives when capacity is present, but risk remains high. For collaborative working, I will strengthen bilingual communication practice, ensure consistent language recording and agree a written information</w:t>
            </w:r>
            <w:r w:rsidRPr="00376316">
              <w:rPr>
                <w:rFonts w:ascii="Cambria Math" w:hAnsi="Cambria Math" w:cs="Cambria Math"/>
                <w:sz w:val="24"/>
                <w:szCs w:val="24"/>
              </w:rPr>
              <w:t>‑</w:t>
            </w:r>
            <w:r w:rsidRPr="00376316">
              <w:rPr>
                <w:sz w:val="24"/>
                <w:szCs w:val="24"/>
              </w:rPr>
              <w:t xml:space="preserve">sharing protocol for MARAC partners that sets out lawful bases, transparency wording and update cycles. This will be aligned to </w:t>
            </w:r>
            <w:r w:rsidRPr="00376316">
              <w:rPr>
                <w:sz w:val="24"/>
                <w:szCs w:val="24"/>
              </w:rPr>
              <w:lastRenderedPageBreak/>
              <w:t>national NRM/MARAC processes and Wales</w:t>
            </w:r>
            <w:r w:rsidRPr="00376316">
              <w:rPr>
                <w:rFonts w:ascii="Cambria Math" w:hAnsi="Cambria Math" w:cs="Cambria Math"/>
                <w:sz w:val="24"/>
                <w:szCs w:val="24"/>
              </w:rPr>
              <w:t>‑</w:t>
            </w:r>
            <w:r w:rsidRPr="00376316">
              <w:rPr>
                <w:sz w:val="24"/>
                <w:szCs w:val="24"/>
              </w:rPr>
              <w:t xml:space="preserve">specific practice resources (Home Office, 2020; SafeLives, 2015; Open University, 2016). </w:t>
            </w:r>
          </w:p>
          <w:p w14:paraId="05E76041" w14:textId="77777777" w:rsidR="00A41C6F" w:rsidRPr="00376316" w:rsidRDefault="00A41C6F" w:rsidP="00A41C6F">
            <w:pPr>
              <w:rPr>
                <w:sz w:val="24"/>
                <w:szCs w:val="24"/>
              </w:rPr>
            </w:pPr>
          </w:p>
          <w:p w14:paraId="4DD35049" w14:textId="77777777" w:rsidR="00A41C6F" w:rsidRDefault="00A41C6F" w:rsidP="00A41C6F">
            <w:pPr>
              <w:rPr>
                <w:sz w:val="24"/>
                <w:szCs w:val="24"/>
              </w:rPr>
            </w:pPr>
            <w:r w:rsidRPr="00376316">
              <w:rPr>
                <w:sz w:val="24"/>
                <w:szCs w:val="24"/>
              </w:rPr>
              <w:t>I will use a simple rights</w:t>
            </w:r>
            <w:r w:rsidRPr="00376316">
              <w:rPr>
                <w:rFonts w:ascii="Cambria Math" w:hAnsi="Cambria Math" w:cs="Cambria Math"/>
                <w:sz w:val="24"/>
                <w:szCs w:val="24"/>
              </w:rPr>
              <w:t>‑</w:t>
            </w:r>
            <w:r w:rsidRPr="00376316">
              <w:rPr>
                <w:sz w:val="24"/>
                <w:szCs w:val="24"/>
              </w:rPr>
              <w:t>balancing checklist (coercion indicators, capacity outcomes, least</w:t>
            </w:r>
            <w:r w:rsidRPr="00376316">
              <w:rPr>
                <w:rFonts w:ascii="Cambria Math" w:hAnsi="Cambria Math" w:cs="Cambria Math"/>
                <w:sz w:val="24"/>
                <w:szCs w:val="24"/>
              </w:rPr>
              <w:t>‑</w:t>
            </w:r>
            <w:r w:rsidRPr="00376316">
              <w:rPr>
                <w:sz w:val="24"/>
                <w:szCs w:val="24"/>
              </w:rPr>
              <w:t>restrictive options, HRA analysis), refresh knowledge via VAWDASV/safeguarding/MCA CPD, and share learning with the team through a short session on proportionality and case</w:t>
            </w:r>
            <w:r w:rsidRPr="00376316">
              <w:rPr>
                <w:rFonts w:ascii="Cambria Math" w:hAnsi="Cambria Math" w:cs="Cambria Math"/>
                <w:sz w:val="24"/>
                <w:szCs w:val="24"/>
              </w:rPr>
              <w:t>‑</w:t>
            </w:r>
            <w:r w:rsidRPr="00376316">
              <w:rPr>
                <w:sz w:val="24"/>
                <w:szCs w:val="24"/>
              </w:rPr>
              <w:t>mapping across boundaries.</w:t>
            </w:r>
          </w:p>
          <w:p w14:paraId="5E33D23F" w14:textId="77777777" w:rsidR="00A41C6F" w:rsidRPr="00376316" w:rsidRDefault="00A41C6F" w:rsidP="00A41C6F">
            <w:pPr>
              <w:rPr>
                <w:sz w:val="24"/>
                <w:szCs w:val="24"/>
              </w:rPr>
            </w:pPr>
          </w:p>
          <w:p w14:paraId="3EBBEEE4" w14:textId="77777777" w:rsidR="00A41C6F" w:rsidRDefault="00A41C6F" w:rsidP="00A41C6F">
            <w:pPr>
              <w:rPr>
                <w:sz w:val="24"/>
                <w:szCs w:val="24"/>
              </w:rPr>
            </w:pPr>
            <w:r w:rsidRPr="00376316">
              <w:rPr>
                <w:sz w:val="24"/>
                <w:szCs w:val="24"/>
              </w:rPr>
              <w:t>Word count 161</w:t>
            </w:r>
          </w:p>
          <w:p w14:paraId="2A64594F" w14:textId="77777777" w:rsidR="00A41C6F" w:rsidRPr="00376316" w:rsidRDefault="00A41C6F" w:rsidP="00A41C6F">
            <w:pPr>
              <w:rPr>
                <w:sz w:val="24"/>
                <w:szCs w:val="24"/>
              </w:rPr>
            </w:pPr>
          </w:p>
          <w:p w14:paraId="4AC869A8" w14:textId="77777777" w:rsidR="00A41C6F" w:rsidRDefault="00A41C6F" w:rsidP="00A41C6F">
            <w:pPr>
              <w:rPr>
                <w:b/>
                <w:bCs/>
                <w:sz w:val="24"/>
                <w:szCs w:val="24"/>
              </w:rPr>
            </w:pPr>
            <w:r w:rsidRPr="00376316">
              <w:rPr>
                <w:b/>
                <w:bCs/>
                <w:sz w:val="24"/>
                <w:szCs w:val="24"/>
              </w:rPr>
              <w:t>10. Conclusion</w:t>
            </w:r>
          </w:p>
          <w:p w14:paraId="617C1F07" w14:textId="77777777" w:rsidR="00A41C6F" w:rsidRPr="00376316" w:rsidRDefault="00A41C6F" w:rsidP="00A41C6F">
            <w:pPr>
              <w:rPr>
                <w:b/>
                <w:bCs/>
                <w:sz w:val="24"/>
                <w:szCs w:val="24"/>
              </w:rPr>
            </w:pPr>
          </w:p>
          <w:p w14:paraId="058A4127" w14:textId="77777777" w:rsidR="00A41C6F" w:rsidRDefault="00A41C6F" w:rsidP="00A41C6F">
            <w:pPr>
              <w:rPr>
                <w:sz w:val="24"/>
                <w:szCs w:val="24"/>
              </w:rPr>
            </w:pPr>
            <w:r w:rsidRPr="00376316">
              <w:rPr>
                <w:sz w:val="24"/>
                <w:szCs w:val="24"/>
              </w:rPr>
              <w:t>This case illustrates the complexity of safeguarding in modern slavery. Fluctuating capacity, inconsistent disclosures, coercion, re</w:t>
            </w:r>
            <w:r w:rsidRPr="00376316">
              <w:rPr>
                <w:rFonts w:ascii="Cambria Math" w:hAnsi="Cambria Math" w:cs="Cambria Math"/>
                <w:sz w:val="24"/>
                <w:szCs w:val="24"/>
              </w:rPr>
              <w:t>‑</w:t>
            </w:r>
            <w:r w:rsidRPr="00376316">
              <w:rPr>
                <w:sz w:val="24"/>
                <w:szCs w:val="24"/>
              </w:rPr>
              <w:t>trafficking risk, language needs and multi</w:t>
            </w:r>
            <w:r w:rsidRPr="00376316">
              <w:rPr>
                <w:rFonts w:ascii="Cambria Math" w:hAnsi="Cambria Math" w:cs="Cambria Math"/>
                <w:sz w:val="24"/>
                <w:szCs w:val="24"/>
              </w:rPr>
              <w:t>‑</w:t>
            </w:r>
            <w:r w:rsidRPr="00376316">
              <w:rPr>
                <w:sz w:val="24"/>
                <w:szCs w:val="24"/>
              </w:rPr>
              <w:t xml:space="preserve">agency coordination intersected repeatedly. Wales provides a robust legal framework, yet professionals must continually balance safety with the right to private life under Article 8, especially where capacity is present and support is declined. The role of the social worker is therefore to sustain engagement, uphold rights, explain options clearly and keep routes to safety open, even when risk cannot be eliminated. Criminal exploitation often sits within coercive control patterns and “disposability” dynamics which complicate disclosure and safety planning (Stark, 2007; Bales, 2012). </w:t>
            </w:r>
          </w:p>
          <w:p w14:paraId="5243B0FE" w14:textId="77777777" w:rsidR="00A41C6F" w:rsidRPr="00376316" w:rsidRDefault="00A41C6F" w:rsidP="00A41C6F">
            <w:pPr>
              <w:rPr>
                <w:sz w:val="24"/>
                <w:szCs w:val="24"/>
              </w:rPr>
            </w:pPr>
          </w:p>
          <w:p w14:paraId="23F236F5" w14:textId="77777777" w:rsidR="00A41C6F" w:rsidRDefault="00A41C6F" w:rsidP="00A41C6F">
            <w:pPr>
              <w:rPr>
                <w:sz w:val="24"/>
                <w:szCs w:val="24"/>
              </w:rPr>
            </w:pPr>
            <w:r w:rsidRPr="00376316">
              <w:rPr>
                <w:sz w:val="24"/>
                <w:szCs w:val="24"/>
              </w:rPr>
              <w:t>My practice has grown through this case. I learned that I cannot create safety for someone who has capacity and chooses differently, and that proportional, least restrictive planning must be explained and recorded openly. I learned how to sit with uncertainty without becoming passive, how to channel frustration and anger into reflection, and how supervision and MDT working protect against holding risk alone. As Adult1 now expresses a wish to move closer to his mother with the same landlord, the ordinary residence transfer brings fresh questions about continuity of support and how different systems respond. I take from this that progress is usually slow and relational, dignity and language shape how people experience our involvement and its collaborative clarity, emotional honesty and rights based (Reynaert et al., 2022; Asenjo Palma and Verity, 2025) reasoning that keep the work safe for the person and sustainable for me as a practitioner. For Wales</w:t>
            </w:r>
            <w:r w:rsidRPr="00376316">
              <w:rPr>
                <w:rFonts w:ascii="Cambria Math" w:hAnsi="Cambria Math" w:cs="Cambria Math"/>
                <w:sz w:val="24"/>
                <w:szCs w:val="24"/>
              </w:rPr>
              <w:t>‑</w:t>
            </w:r>
            <w:r w:rsidRPr="00376316">
              <w:rPr>
                <w:sz w:val="24"/>
                <w:szCs w:val="24"/>
              </w:rPr>
              <w:t>specific practice development, recent scholarship synthesises how devolved law, language rights and co</w:t>
            </w:r>
            <w:r w:rsidRPr="00376316">
              <w:rPr>
                <w:rFonts w:ascii="Cambria Math" w:hAnsi="Cambria Math" w:cs="Cambria Math"/>
                <w:sz w:val="24"/>
                <w:szCs w:val="24"/>
              </w:rPr>
              <w:t>‑</w:t>
            </w:r>
            <w:r w:rsidRPr="00376316">
              <w:rPr>
                <w:sz w:val="24"/>
                <w:szCs w:val="24"/>
              </w:rPr>
              <w:t>production shape day</w:t>
            </w:r>
            <w:r w:rsidRPr="00376316">
              <w:rPr>
                <w:rFonts w:ascii="Cambria Math" w:hAnsi="Cambria Math" w:cs="Cambria Math"/>
                <w:sz w:val="24"/>
                <w:szCs w:val="24"/>
              </w:rPr>
              <w:t>‑</w:t>
            </w:r>
            <w:r w:rsidRPr="00376316">
              <w:rPr>
                <w:sz w:val="24"/>
                <w:szCs w:val="24"/>
              </w:rPr>
              <w:t>to</w:t>
            </w:r>
            <w:r w:rsidRPr="00376316">
              <w:rPr>
                <w:rFonts w:ascii="Cambria Math" w:hAnsi="Cambria Math" w:cs="Cambria Math"/>
                <w:sz w:val="24"/>
                <w:szCs w:val="24"/>
              </w:rPr>
              <w:t>‑</w:t>
            </w:r>
            <w:r w:rsidRPr="00376316">
              <w:rPr>
                <w:sz w:val="24"/>
                <w:szCs w:val="24"/>
              </w:rPr>
              <w:t xml:space="preserve">day social work (Livingston, Redcliffe and Aziz, 2023; Open University, 2016). </w:t>
            </w:r>
          </w:p>
          <w:p w14:paraId="351CD831" w14:textId="77777777" w:rsidR="00A41C6F" w:rsidRPr="00376316" w:rsidRDefault="00A41C6F" w:rsidP="00A41C6F">
            <w:pPr>
              <w:rPr>
                <w:sz w:val="24"/>
                <w:szCs w:val="24"/>
              </w:rPr>
            </w:pPr>
          </w:p>
          <w:p w14:paraId="1E331AEA" w14:textId="77777777" w:rsidR="00A41C6F" w:rsidRDefault="00A41C6F" w:rsidP="00A41C6F">
            <w:pPr>
              <w:rPr>
                <w:sz w:val="24"/>
                <w:szCs w:val="24"/>
              </w:rPr>
            </w:pPr>
            <w:r w:rsidRPr="00376316">
              <w:rPr>
                <w:sz w:val="24"/>
                <w:szCs w:val="24"/>
              </w:rPr>
              <w:t>Word count 280</w:t>
            </w:r>
          </w:p>
          <w:p w14:paraId="15694693" w14:textId="77777777" w:rsidR="00A41C6F" w:rsidRPr="00376316" w:rsidRDefault="00A41C6F" w:rsidP="00A41C6F">
            <w:pPr>
              <w:rPr>
                <w:sz w:val="24"/>
                <w:szCs w:val="24"/>
              </w:rPr>
            </w:pPr>
          </w:p>
          <w:p w14:paraId="299C488B" w14:textId="77777777" w:rsidR="00A41C6F" w:rsidRPr="00376316" w:rsidRDefault="00A41C6F" w:rsidP="00A41C6F">
            <w:pPr>
              <w:rPr>
                <w:sz w:val="24"/>
                <w:szCs w:val="24"/>
              </w:rPr>
            </w:pPr>
            <w:r w:rsidRPr="00376316">
              <w:rPr>
                <w:sz w:val="24"/>
                <w:szCs w:val="24"/>
              </w:rPr>
              <w:t>Final word count 4374</w:t>
            </w:r>
          </w:p>
          <w:p w14:paraId="6B97C58D" w14:textId="77777777" w:rsidR="00A41C6F" w:rsidRPr="00376316" w:rsidRDefault="00A41C6F" w:rsidP="00A41C6F">
            <w:pPr>
              <w:rPr>
                <w:sz w:val="24"/>
                <w:szCs w:val="24"/>
              </w:rPr>
            </w:pPr>
          </w:p>
          <w:p w14:paraId="12DC2F24" w14:textId="24094196" w:rsidR="00D3203C" w:rsidRPr="000F2445" w:rsidRDefault="00D3203C" w:rsidP="00FF7EBB">
            <w:pPr>
              <w:jc w:val="both"/>
              <w:rPr>
                <w:iCs/>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174890"/>
    <w:multiLevelType w:val="hybridMultilevel"/>
    <w:tmpl w:val="D9E6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1"/>
  </w:num>
  <w:num w:numId="53" w16cid:durableId="435172075">
    <w:abstractNumId w:val="2"/>
  </w:num>
  <w:num w:numId="54" w16cid:durableId="2122263377">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3A4"/>
    <w:rsid w:val="0002759A"/>
    <w:rsid w:val="00027B1F"/>
    <w:rsid w:val="0003088B"/>
    <w:rsid w:val="000325D9"/>
    <w:rsid w:val="000372B2"/>
    <w:rsid w:val="0004079F"/>
    <w:rsid w:val="00043543"/>
    <w:rsid w:val="00045B87"/>
    <w:rsid w:val="00045C07"/>
    <w:rsid w:val="00045C40"/>
    <w:rsid w:val="00046861"/>
    <w:rsid w:val="00054A07"/>
    <w:rsid w:val="000555B2"/>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7DB"/>
    <w:rsid w:val="000C378F"/>
    <w:rsid w:val="000C6892"/>
    <w:rsid w:val="000C6FFE"/>
    <w:rsid w:val="000D0BB6"/>
    <w:rsid w:val="000D2ED2"/>
    <w:rsid w:val="000D6653"/>
    <w:rsid w:val="000E0D51"/>
    <w:rsid w:val="000E26B0"/>
    <w:rsid w:val="000E37C2"/>
    <w:rsid w:val="000E38C3"/>
    <w:rsid w:val="000F1599"/>
    <w:rsid w:val="000F1769"/>
    <w:rsid w:val="000F1A97"/>
    <w:rsid w:val="000F2445"/>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30"/>
    <w:rsid w:val="004046F0"/>
    <w:rsid w:val="0040668F"/>
    <w:rsid w:val="00411EF7"/>
    <w:rsid w:val="0041225F"/>
    <w:rsid w:val="00412677"/>
    <w:rsid w:val="00425160"/>
    <w:rsid w:val="0043027B"/>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5247"/>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63D"/>
    <w:rsid w:val="00682334"/>
    <w:rsid w:val="00684732"/>
    <w:rsid w:val="00684B16"/>
    <w:rsid w:val="00687016"/>
    <w:rsid w:val="006872A0"/>
    <w:rsid w:val="0069625A"/>
    <w:rsid w:val="00696A88"/>
    <w:rsid w:val="00696F65"/>
    <w:rsid w:val="00697572"/>
    <w:rsid w:val="006A2A46"/>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A00"/>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2A6"/>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624"/>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1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C6F"/>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EEF"/>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4C6"/>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1B6"/>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0F2445"/>
    <w:pPr>
      <w:overflowPunct/>
      <w:autoSpaceDE/>
      <w:autoSpaceDN/>
      <w:adjustRightInd/>
      <w:spacing w:after="200" w:line="276" w:lineRule="auto"/>
      <w:ind w:left="720"/>
      <w:contextualSpacing/>
      <w:textAlignment w:val="auto"/>
    </w:pPr>
    <w:rPr>
      <w:rFonts w:ascii="Calibri" w:eastAsia="Calibri" w:hAnsi="Calibri" w:cstheme="minorBid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4578</Words>
  <Characters>29558</Characters>
  <Application>Microsoft Office Word</Application>
  <DocSecurity>0</DocSecurity>
  <Lines>246</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Vaughan</cp:lastModifiedBy>
  <cp:revision>4</cp:revision>
  <cp:lastPrinted>2020-02-11T19:20:00Z</cp:lastPrinted>
  <dcterms:created xsi:type="dcterms:W3CDTF">2026-02-08T20:54:00Z</dcterms:created>
  <dcterms:modified xsi:type="dcterms:W3CDTF">2026-02-13T17:30:00Z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