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Text"/>
        <w:spacing w:line="360" w:lineRule="auto"/>
        <w:rPr>
          <w:rFonts w:ascii="Arial" w:cs="Arial" w:hAnsi="Arial" w:eastAsia="Arial"/>
        </w:rPr>
      </w:pPr>
      <w:r>
        <w:rPr>
          <w:rFonts w:ascii="Arial" w:hAnsi="Arial"/>
          <w:rtl w:val="0"/>
          <w:lang w:val="en-US"/>
        </w:rPr>
        <w:t xml:space="preserve">Critically analyse the strategies for promoting inclusivity in a given UK curriculum.  </w:t>
      </w:r>
    </w:p>
    <w:p>
      <w:pPr>
        <w:pStyle w:val="Body Text"/>
        <w:spacing w:line="360" w:lineRule="auto"/>
        <w:rPr>
          <w:rFonts w:ascii="Arial" w:cs="Arial" w:hAnsi="Arial" w:eastAsia="Arial"/>
        </w:rPr>
      </w:pPr>
    </w:p>
    <w:p>
      <w:pPr>
        <w:pStyle w:val="List Paragraph"/>
        <w:bidi w:val="0"/>
        <w:spacing w:after="160" w:line="360" w:lineRule="auto"/>
        <w:ind w:left="0" w:right="0" w:firstLine="0"/>
        <w:jc w:val="left"/>
        <w:rPr>
          <w:rFonts w:ascii="Arial" w:cs="Arial" w:hAnsi="Arial" w:eastAsia="Arial"/>
          <w:sz w:val="24"/>
          <w:szCs w:val="24"/>
          <w:rtl w:val="0"/>
        </w:rPr>
      </w:pPr>
      <w:r>
        <w:rPr>
          <w:rFonts w:ascii="Arial" w:hAnsi="Arial"/>
          <w:sz w:val="24"/>
          <w:szCs w:val="24"/>
          <w:rtl w:val="0"/>
          <w:lang w:val="en-US"/>
        </w:rPr>
        <w:t xml:space="preserve">According to the United Nations Convention on the Rights of the Child (UNCRC) every child has the right to an education on a basis of equal opportunity and must be accessible to all children </w:t>
      </w:r>
      <w:r>
        <w:rPr>
          <w:rFonts w:ascii="Arial" w:hAnsi="Arial"/>
          <w:sz w:val="24"/>
          <w:szCs w:val="24"/>
          <w:rtl w:val="0"/>
          <w:lang w:val="en-US"/>
        </w:rPr>
        <w:t>(Convention on the Rights of the Child, 1989)</w:t>
      </w:r>
      <w:r>
        <w:rPr>
          <w:rFonts w:ascii="Arial" w:hAnsi="Arial"/>
          <w:sz w:val="24"/>
          <w:szCs w:val="24"/>
          <w:rtl w:val="0"/>
          <w:lang w:val="en-US"/>
        </w:rPr>
        <w:t xml:space="preserve">. In 1992, the introduction of the UNCRC in the UK set a high pretence so that all children were able to understand their rights to an education and a safe environment. The UK Government is responsible for all </w:t>
      </w:r>
      <w:r>
        <w:rPr>
          <w:rFonts w:ascii="Arial" w:hAnsi="Arial" w:hint="default"/>
          <w:sz w:val="24"/>
          <w:szCs w:val="24"/>
          <w:rtl w:val="0"/>
          <w:lang w:val="en-US"/>
        </w:rPr>
        <w:t>‘</w:t>
      </w:r>
      <w:r>
        <w:rPr>
          <w:rFonts w:ascii="Arial" w:hAnsi="Arial"/>
          <w:sz w:val="24"/>
          <w:szCs w:val="24"/>
          <w:rtl w:val="0"/>
          <w:lang w:val="en-US"/>
        </w:rPr>
        <w:t>coordination</w:t>
      </w:r>
      <w:r>
        <w:rPr>
          <w:rFonts w:ascii="Arial" w:hAnsi="Arial" w:hint="default"/>
          <w:sz w:val="24"/>
          <w:szCs w:val="24"/>
          <w:rtl w:val="0"/>
          <w:lang w:val="en-US"/>
        </w:rPr>
        <w:t xml:space="preserve">’ </w:t>
      </w:r>
      <w:r>
        <w:rPr>
          <w:rFonts w:ascii="Arial" w:hAnsi="Arial"/>
          <w:sz w:val="24"/>
          <w:szCs w:val="24"/>
          <w:rtl w:val="0"/>
          <w:lang w:val="en-US"/>
        </w:rPr>
        <w:t xml:space="preserve">of the UNCRC across the UK and work collaboratively with the devolved administrations of Wales, Scotland and Northern Ireland </w:t>
      </w:r>
      <w:r>
        <w:rPr>
          <w:rFonts w:ascii="Arial" w:hAnsi="Arial"/>
          <w:sz w:val="24"/>
          <w:szCs w:val="24"/>
          <w:rtl w:val="0"/>
          <w:lang w:val="en-US"/>
        </w:rPr>
        <w:t>(Department for children, schools and families, 2009)</w:t>
      </w:r>
      <w:r>
        <w:rPr>
          <w:rFonts w:ascii="Arial" w:hAnsi="Arial"/>
          <w:sz w:val="24"/>
          <w:szCs w:val="24"/>
          <w:rtl w:val="0"/>
          <w:lang w:val="en-US"/>
        </w:rPr>
        <w:t>. One of the key priorities of the UNCRC is enhancing strategies to raise educational attainment  and reduce educational exclusion for all children, especially those who might face disadvantages. The most recent framework developed to assist with inclusion and overcome educational exclusion within the UK is the introduction of the Equality Act (2010) which legally protects citizens from discrimination within society. In terms of educational inclusion the legislation states that the school must not discriminate against a pupil by depriving an education or educational benefit or service as well as excluding the pupil from the school (Equality Act, 2010 p.55). Despite this legislation, there are still cases of some pupils still being excluded from an education that is rightfully theirs. This essay will analyse how the primary level national curriculum in England applies strategies to promote inclusion whilst also discussing how the strategies can be implemented in order to prevent exclusion for disadvantaged pupils. The strategies analysed will primarily be of those that can be adopted suitably into Key Stage 1 (KS1) and Key Stage 2 (KS2) classrooms whilst also encompassing primary pupils with autism spectrum disorder (ASD), additional learning needs (ALN), special educational needs (SEN) and english as an additional language (EAL).</w:t>
      </w:r>
    </w:p>
    <w:p>
      <w:pPr>
        <w:pStyle w:val="List Paragraph"/>
        <w:bidi w:val="0"/>
        <w:spacing w:after="160" w:line="360" w:lineRule="auto"/>
        <w:ind w:left="0" w:right="0" w:firstLine="0"/>
        <w:jc w:val="left"/>
        <w:rPr>
          <w:rFonts w:ascii="Arial" w:cs="Arial" w:hAnsi="Arial" w:eastAsia="Arial"/>
          <w:sz w:val="24"/>
          <w:szCs w:val="24"/>
          <w:rtl w:val="0"/>
        </w:rPr>
      </w:pPr>
      <w:r>
        <w:rPr>
          <w:rFonts w:ascii="Arial" w:hAnsi="Arial"/>
          <w:sz w:val="24"/>
          <w:szCs w:val="24"/>
          <w:rtl w:val="0"/>
          <w:lang w:val="en-US"/>
        </w:rPr>
        <w:t xml:space="preserve">The formation of a national curriculum is set out by the societal values of individual countries, the framework is structured around the aims and values that society wish to pass on to children and young people </w:t>
      </w:r>
      <w:r>
        <w:rPr>
          <w:rFonts w:ascii="Arial" w:hAnsi="Arial"/>
          <w:sz w:val="24"/>
          <w:szCs w:val="24"/>
          <w:rtl w:val="0"/>
          <w:lang w:val="en-US"/>
        </w:rPr>
        <w:t>(House of Commons, 2009)</w:t>
      </w:r>
      <w:r>
        <w:rPr>
          <w:rFonts w:ascii="Arial" w:hAnsi="Arial"/>
          <w:sz w:val="24"/>
          <w:szCs w:val="24"/>
          <w:rtl w:val="0"/>
          <w:lang w:val="en-US"/>
        </w:rPr>
        <w:t>. England</w:t>
      </w:r>
      <w:r>
        <w:rPr>
          <w:rFonts w:ascii="Arial" w:hAnsi="Arial" w:hint="default"/>
          <w:sz w:val="24"/>
          <w:szCs w:val="24"/>
          <w:rtl w:val="0"/>
          <w:lang w:val="en-US"/>
        </w:rPr>
        <w:t>’</w:t>
      </w:r>
      <w:r>
        <w:rPr>
          <w:rFonts w:ascii="Arial" w:hAnsi="Arial"/>
          <w:sz w:val="24"/>
          <w:szCs w:val="24"/>
          <w:rtl w:val="0"/>
          <w:lang w:val="en-US"/>
        </w:rPr>
        <w:t xml:space="preserve">s National Curriculum was established over twenty years ago and has endured multiple attempts of reformation in terms of its format and content. The curriculum has remained considerately prescriptive and somewhat traditional considering that the society surrounding the curriculum is continuously advancing. Richardson and Wood (2000) state that every curriculum is influenced by societies cultural norms and should also respect national cultural, ethnic and religious diversity. This develops a perspective as to how the national curriculum is formed around common values, but the development of technology and access to the internet allows individuals to explore life outside of their comfort zones and allows them to explore the world at their fingertips.   </w:t>
      </w:r>
    </w:p>
    <w:p>
      <w:pPr>
        <w:pStyle w:val="List Paragraph"/>
        <w:bidi w:val="0"/>
        <w:spacing w:after="160" w:line="360" w:lineRule="auto"/>
        <w:ind w:left="0" w:right="0" w:firstLine="0"/>
        <w:jc w:val="left"/>
        <w:rPr>
          <w:rFonts w:ascii="Arial" w:cs="Arial" w:hAnsi="Arial" w:eastAsia="Arial"/>
          <w:sz w:val="24"/>
          <w:szCs w:val="24"/>
          <w:rtl w:val="0"/>
        </w:rPr>
      </w:pPr>
      <w:r>
        <w:rPr>
          <w:rFonts w:ascii="Arial" w:hAnsi="Arial"/>
          <w:sz w:val="24"/>
          <w:szCs w:val="24"/>
          <w:rtl w:val="0"/>
          <w:lang w:val="en-US"/>
        </w:rPr>
        <w:t xml:space="preserve">Digital technology has become widely recognised as a part of every day life and has significant impacts of many aspects of society and education. The World Summit on the Information Society (2010) states that Information and communications technology (ICT) can provide access to what has previously been considered inaccessible information for individuals with disabilities and also can aid disadvantaged children with the skills to overcome barriers that promote social exclusion. </w:t>
      </w:r>
      <w:r>
        <w:rPr>
          <w:rFonts w:ascii="Arial" w:hAnsi="Arial"/>
          <w:sz w:val="24"/>
          <w:szCs w:val="24"/>
          <w:rtl w:val="0"/>
          <w:lang w:val="en-US"/>
        </w:rPr>
        <w:t>The UK, like the rest of the world, is becoming more and more diverse and although there are strategies in place in establishments to avoid exclusion of minorities there are certain barriers that can be more difficult to overcome.  Some circumstances of pupils attending mainstream primary schools in England allow them to befall certain vulnerabilities as th</w:t>
      </w:r>
      <w:r>
        <w:rPr>
          <w:rFonts w:ascii="Arial" w:hAnsi="Arial"/>
          <w:sz w:val="24"/>
          <w:szCs w:val="24"/>
          <w:rtl w:val="0"/>
          <w:lang w:val="en-US"/>
        </w:rPr>
        <w:t xml:space="preserve">e language spoken may not be their first language. This can set learners at a linguistic disadvantage that can impact their learning. Sharma &amp; Mahapatra (2008) state that </w:t>
      </w:r>
      <w:r>
        <w:rPr>
          <w:rFonts w:ascii="Arial" w:hAnsi="Arial" w:hint="default"/>
          <w:sz w:val="24"/>
          <w:szCs w:val="24"/>
          <w:rtl w:val="0"/>
          <w:lang w:val="en-US"/>
        </w:rPr>
        <w:t>‘</w:t>
      </w:r>
      <w:r>
        <w:rPr>
          <w:rFonts w:ascii="Arial" w:hAnsi="Arial"/>
          <w:sz w:val="24"/>
          <w:szCs w:val="24"/>
          <w:rtl w:val="0"/>
          <w:lang w:val="en-US"/>
        </w:rPr>
        <w:t>s</w:t>
      </w:r>
      <w:r>
        <w:rPr>
          <w:rFonts w:ascii="Arial" w:hAnsi="Arial"/>
          <w:sz w:val="24"/>
          <w:szCs w:val="24"/>
          <w:rtl w:val="0"/>
          <w:lang w:val="en-US"/>
        </w:rPr>
        <w:t>econd language learners are particularly subject to low expectations and discrimination</w:t>
      </w:r>
      <w:r>
        <w:rPr>
          <w:rFonts w:ascii="Arial" w:hAnsi="Arial" w:hint="default"/>
          <w:sz w:val="24"/>
          <w:szCs w:val="24"/>
          <w:rtl w:val="0"/>
          <w:lang w:val="en-US"/>
        </w:rPr>
        <w:t xml:space="preserve">’ </w:t>
      </w:r>
      <w:r>
        <w:rPr>
          <w:rFonts w:ascii="Arial" w:hAnsi="Arial"/>
          <w:sz w:val="24"/>
          <w:szCs w:val="24"/>
          <w:rtl w:val="0"/>
          <w:lang w:val="en-US"/>
        </w:rPr>
        <w:t>(p.300)</w:t>
      </w:r>
      <w:r>
        <w:rPr>
          <w:rFonts w:ascii="Arial" w:hAnsi="Arial"/>
          <w:sz w:val="24"/>
          <w:szCs w:val="24"/>
          <w:rtl w:val="0"/>
          <w:lang w:val="en-US"/>
        </w:rPr>
        <w:t xml:space="preserve">. </w:t>
      </w:r>
    </w:p>
    <w:p>
      <w:pPr>
        <w:pStyle w:val="List Paragraph"/>
        <w:bidi w:val="0"/>
        <w:spacing w:after="160" w:line="360" w:lineRule="auto"/>
        <w:ind w:left="0" w:right="0" w:firstLine="0"/>
        <w:jc w:val="left"/>
        <w:rPr>
          <w:rFonts w:ascii="Arial" w:cs="Arial" w:hAnsi="Arial" w:eastAsia="Arial"/>
          <w:sz w:val="24"/>
          <w:szCs w:val="24"/>
          <w:rtl w:val="0"/>
        </w:rPr>
      </w:pPr>
      <w:r>
        <w:rPr>
          <w:rFonts w:ascii="Arial" w:hAnsi="Arial"/>
          <w:sz w:val="24"/>
          <w:szCs w:val="24"/>
          <w:rtl w:val="0"/>
          <w:lang w:val="en-US"/>
        </w:rPr>
        <w:t xml:space="preserve">Access to the internet allows for visual information of all corners of the world to become a regular part of the curriculum if desired. According to Cheminais (2006) ICT is indispensable when regarding the education of children with (EAL) as visual cues allow the pupils to engage in exploration whilst understanding the lesson objective. Article 4.1 of the national curriculum framework states that teachers have </w:t>
      </w:r>
      <w:r>
        <w:rPr>
          <w:rFonts w:ascii="Arial" w:hAnsi="Arial" w:hint="default"/>
          <w:sz w:val="24"/>
          <w:szCs w:val="24"/>
          <w:rtl w:val="0"/>
          <w:lang w:val="en-US"/>
        </w:rPr>
        <w:t>‘</w:t>
      </w:r>
      <w:r>
        <w:rPr>
          <w:rFonts w:ascii="Arial" w:hAnsi="Arial"/>
          <w:sz w:val="24"/>
          <w:szCs w:val="24"/>
          <w:rtl w:val="0"/>
          <w:lang w:val="en-US"/>
        </w:rPr>
        <w:t>a greater obligation</w:t>
      </w:r>
      <w:r>
        <w:rPr>
          <w:rFonts w:ascii="Arial" w:hAnsi="Arial" w:hint="default"/>
          <w:sz w:val="24"/>
          <w:szCs w:val="24"/>
          <w:rtl w:val="0"/>
          <w:lang w:val="en-US"/>
        </w:rPr>
        <w:t xml:space="preserve">’ </w:t>
      </w:r>
      <w:r>
        <w:rPr>
          <w:rFonts w:ascii="Arial" w:hAnsi="Arial"/>
          <w:sz w:val="24"/>
          <w:szCs w:val="24"/>
          <w:rtl w:val="0"/>
          <w:lang w:val="en-US"/>
        </w:rPr>
        <w:t>to plan lessons for pupils who come from disadvantaged backgrounds as they do planning lessons for children of higher attainability (</w:t>
      </w:r>
      <w:r>
        <w:rPr>
          <w:rFonts w:ascii="Arial" w:hAnsi="Arial"/>
          <w:sz w:val="24"/>
          <w:szCs w:val="24"/>
          <w:rtl w:val="0"/>
          <w:lang w:val="en-US"/>
        </w:rPr>
        <w:t>Department for Education, 2014</w:t>
      </w:r>
      <w:r>
        <w:rPr>
          <w:rFonts w:ascii="Arial" w:hAnsi="Arial"/>
          <w:sz w:val="24"/>
          <w:szCs w:val="24"/>
          <w:rtl w:val="0"/>
          <w:lang w:val="en-US"/>
        </w:rPr>
        <w:t xml:space="preserve">).  Arguably, when engaging in digital learning strategies such as learning how to use a search engine the national curriculum is promoting literacy for the pupils and also equipping the pupils with knowledge of how to problem solve in a multimedia format. Potter &amp; Darbyshire (2005) state that there is a certain level of digital competence that is expected of pupils by the end of KS2 before they enter secondary education and that by implementing digital strategies in the classroom pupils are being equipped with problem solving skills that aid them in their independent learning. They also state that by engaging with ICT at primary level pupils develop </w:t>
      </w:r>
      <w:r>
        <w:rPr>
          <w:rFonts w:ascii="Arial" w:hAnsi="Arial" w:hint="default"/>
          <w:sz w:val="24"/>
          <w:szCs w:val="24"/>
          <w:rtl w:val="0"/>
          <w:lang w:val="en-US"/>
        </w:rPr>
        <w:t>‘</w:t>
      </w:r>
      <w:r>
        <w:rPr>
          <w:rFonts w:ascii="Arial" w:hAnsi="Arial"/>
          <w:sz w:val="24"/>
          <w:szCs w:val="24"/>
          <w:rtl w:val="0"/>
          <w:lang w:val="en-US"/>
        </w:rPr>
        <w:t>an understanding of the world</w:t>
      </w:r>
      <w:r>
        <w:rPr>
          <w:rFonts w:ascii="Arial" w:hAnsi="Arial" w:hint="default"/>
          <w:sz w:val="24"/>
          <w:szCs w:val="24"/>
          <w:rtl w:val="0"/>
          <w:lang w:val="en-US"/>
        </w:rPr>
        <w:t xml:space="preserve">’ </w:t>
      </w:r>
      <w:r>
        <w:rPr>
          <w:rFonts w:ascii="Arial" w:hAnsi="Arial"/>
          <w:sz w:val="24"/>
          <w:szCs w:val="24"/>
          <w:rtl w:val="0"/>
          <w:lang w:val="en-US"/>
        </w:rPr>
        <w:t xml:space="preserve">(p.13) which is inclusive of all pupils and has the ability to aid pupils understanding of one and other. </w:t>
      </w:r>
    </w:p>
    <w:p>
      <w:pPr>
        <w:pStyle w:val="List Paragraph"/>
        <w:bidi w:val="0"/>
        <w:spacing w:after="160" w:line="360" w:lineRule="auto"/>
        <w:ind w:left="0" w:right="0" w:firstLine="0"/>
        <w:jc w:val="left"/>
        <w:rPr>
          <w:rFonts w:ascii="Arial" w:cs="Arial" w:hAnsi="Arial" w:eastAsia="Arial"/>
          <w:sz w:val="24"/>
          <w:szCs w:val="24"/>
          <w:rtl w:val="0"/>
        </w:rPr>
      </w:pPr>
      <w:r>
        <w:rPr>
          <w:rFonts w:ascii="Arial" w:hAnsi="Arial"/>
          <w:sz w:val="24"/>
          <w:szCs w:val="24"/>
          <w:rtl w:val="0"/>
          <w:lang w:val="en-US"/>
        </w:rPr>
        <w:t xml:space="preserve">Taking these statements into account, it is clear that forming strategies to promote an inclusive curriculum is crucial to the education of all children at a national level. According to the </w:t>
      </w:r>
      <w:r>
        <w:rPr>
          <w:rFonts w:ascii="Arial" w:hAnsi="Arial"/>
          <w:sz w:val="24"/>
          <w:szCs w:val="24"/>
          <w:rtl w:val="0"/>
          <w:lang w:val="en-US"/>
        </w:rPr>
        <w:t>Department for Education</w:t>
      </w:r>
      <w:r>
        <w:rPr>
          <w:rFonts w:ascii="Arial" w:hAnsi="Arial"/>
          <w:sz w:val="24"/>
          <w:szCs w:val="24"/>
          <w:rtl w:val="0"/>
          <w:lang w:val="en-US"/>
        </w:rPr>
        <w:t xml:space="preserve"> (</w:t>
      </w:r>
      <w:r>
        <w:rPr>
          <w:rFonts w:ascii="Arial" w:hAnsi="Arial"/>
          <w:sz w:val="24"/>
          <w:szCs w:val="24"/>
          <w:rtl w:val="0"/>
          <w:lang w:val="en-US"/>
        </w:rPr>
        <w:t>2013)</w:t>
      </w:r>
      <w:r>
        <w:rPr>
          <w:rFonts w:ascii="Arial" w:hAnsi="Arial"/>
          <w:sz w:val="24"/>
          <w:szCs w:val="24"/>
          <w:rtl w:val="0"/>
          <w:lang w:val="en-US"/>
        </w:rPr>
        <w:t xml:space="preserve"> every state funded primary school curriculum should promote each child's individual development whilst setting appropriate educational expectations to encompass children of all abilities. The curriculum framework is aimed to be inclusive of children of all advantage and disadvantages. It is important to consider to create an inclusive environment strategies must be in place to support eh educational development of higher ability and gifted children, not only of the children who require extra support. </w:t>
      </w:r>
    </w:p>
    <w:p>
      <w:pPr>
        <w:pStyle w:val="List Paragraph"/>
        <w:bidi w:val="0"/>
        <w:spacing w:after="160" w:line="360" w:lineRule="auto"/>
        <w:ind w:left="0" w:right="0" w:firstLine="0"/>
        <w:jc w:val="left"/>
        <w:rPr>
          <w:rFonts w:ascii="Arial" w:cs="Arial" w:hAnsi="Arial" w:eastAsia="Arial"/>
          <w:sz w:val="24"/>
          <w:szCs w:val="24"/>
          <w:rtl w:val="0"/>
        </w:rPr>
      </w:pPr>
      <w:r>
        <w:rPr>
          <w:rFonts w:ascii="Arial" w:hAnsi="Arial"/>
          <w:sz w:val="24"/>
          <w:szCs w:val="24"/>
          <w:rtl w:val="0"/>
          <w:lang w:val="en-US"/>
        </w:rPr>
        <w:t>Although there are many strategies in place to promote inclusion within the English primary national curriculum, there are other barriers that also need to be overcome in order to gain successful implementation. When considering inclusive education, issues may arise regarding the accessibility of the resources and learning environment. As previously mentioned, the Disability Discrimination Act (DDA) (</w:t>
      </w:r>
      <w:r>
        <w:rPr>
          <w:rFonts w:ascii="Arial" w:hAnsi="Arial"/>
          <w:sz w:val="24"/>
          <w:szCs w:val="24"/>
          <w:rtl w:val="0"/>
          <w:lang w:val="en-US"/>
        </w:rPr>
        <w:t>The Equality and Human Rights Commission, 1995)</w:t>
      </w:r>
      <w:r>
        <w:rPr>
          <w:rFonts w:ascii="Arial" w:hAnsi="Arial"/>
          <w:sz w:val="24"/>
          <w:szCs w:val="24"/>
          <w:rtl w:val="0"/>
          <w:lang w:val="en-US"/>
        </w:rPr>
        <w:t xml:space="preserve"> outlaws any form of discrimination by schools and educational authorities against disabled pupils in their schooling. This regards the pupils personal, educational and social development as well their physical access to resources within these establishments. Since it</w:t>
      </w:r>
      <w:r>
        <w:rPr>
          <w:rFonts w:ascii="Arial" w:hAnsi="Arial" w:hint="default"/>
          <w:sz w:val="24"/>
          <w:szCs w:val="24"/>
          <w:rtl w:val="0"/>
          <w:lang w:val="en-US"/>
        </w:rPr>
        <w:t>’</w:t>
      </w:r>
      <w:r>
        <w:rPr>
          <w:rFonts w:ascii="Arial" w:hAnsi="Arial"/>
          <w:sz w:val="24"/>
          <w:szCs w:val="24"/>
          <w:rtl w:val="0"/>
          <w:lang w:val="en-US"/>
        </w:rPr>
        <w:t xml:space="preserve">s repeal and replacement by the Equality Act, the values of both are shared in the same opinion of the rights of the child. The Convention on the Rights of Persons with Disabilities (CRPD), which was approved in the UK in 2009, declares that schools are to accommodate the individual requirements of a pupil with a disability </w:t>
      </w:r>
      <w:r>
        <w:rPr>
          <w:rFonts w:ascii="Arial" w:hAnsi="Arial"/>
          <w:sz w:val="24"/>
          <w:szCs w:val="24"/>
          <w:rtl w:val="0"/>
          <w:lang w:val="en-US"/>
        </w:rPr>
        <w:t>(United Nations, 2009)</w:t>
      </w:r>
      <w:r>
        <w:rPr>
          <w:rFonts w:ascii="Arial" w:hAnsi="Arial"/>
          <w:sz w:val="24"/>
          <w:szCs w:val="24"/>
          <w:rtl w:val="0"/>
          <w:lang w:val="en-US"/>
        </w:rPr>
        <w:t xml:space="preserve">. It also states that </w:t>
      </w:r>
      <w:r>
        <w:rPr>
          <w:rFonts w:ascii="Arial" w:hAnsi="Arial" w:hint="default"/>
          <w:sz w:val="24"/>
          <w:szCs w:val="24"/>
          <w:rtl w:val="0"/>
          <w:lang w:val="en-US"/>
        </w:rPr>
        <w:t>‘</w:t>
      </w:r>
      <w:r>
        <w:rPr>
          <w:rFonts w:ascii="Arial" w:hAnsi="Arial"/>
          <w:sz w:val="24"/>
          <w:szCs w:val="24"/>
          <w:rtl w:val="0"/>
          <w:lang w:val="en-US"/>
        </w:rPr>
        <w:t>individualised support measures should be provided in environments</w:t>
      </w:r>
      <w:r>
        <w:rPr>
          <w:rFonts w:ascii="Arial" w:hAnsi="Arial" w:hint="default"/>
          <w:sz w:val="24"/>
          <w:szCs w:val="24"/>
          <w:rtl w:val="0"/>
          <w:lang w:val="en-US"/>
        </w:rPr>
        <w:t xml:space="preserve">’ </w:t>
      </w:r>
      <w:r>
        <w:rPr>
          <w:rFonts w:ascii="Arial" w:hAnsi="Arial"/>
          <w:sz w:val="24"/>
          <w:szCs w:val="24"/>
          <w:rtl w:val="0"/>
          <w:lang w:val="en-US"/>
        </w:rPr>
        <w:t>that fully facilitate academic and social development in order to obtain full inclusion. In terms of environment, there are many barriers that pupils may face that can be disabling. The lack of access to valuable resources can hinder a child</w:t>
      </w:r>
      <w:r>
        <w:rPr>
          <w:rFonts w:ascii="Arial" w:hAnsi="Arial" w:hint="default"/>
          <w:sz w:val="24"/>
          <w:szCs w:val="24"/>
          <w:rtl w:val="0"/>
          <w:lang w:val="en-US"/>
        </w:rPr>
        <w:t>’</w:t>
      </w:r>
      <w:r>
        <w:rPr>
          <w:rFonts w:ascii="Arial" w:hAnsi="Arial"/>
          <w:sz w:val="24"/>
          <w:szCs w:val="24"/>
          <w:rtl w:val="0"/>
          <w:lang w:val="en-US"/>
        </w:rPr>
        <w:t xml:space="preserve">s education greatly and can lead to disruptive behaviour and even exclusion. A recent survey by the National Autism Society </w:t>
      </w:r>
      <w:r>
        <w:rPr>
          <w:rFonts w:ascii="Arial" w:hAnsi="Arial"/>
          <w:sz w:val="24"/>
          <w:szCs w:val="24"/>
          <w:rtl w:val="0"/>
          <w:lang w:val="en-US"/>
        </w:rPr>
        <w:t>(Autism.org.uk, 2017)</w:t>
      </w:r>
      <w:r>
        <w:rPr>
          <w:rFonts w:ascii="Arial" w:hAnsi="Arial"/>
          <w:sz w:val="24"/>
          <w:szCs w:val="24"/>
          <w:rtl w:val="0"/>
          <w:lang w:val="en-US"/>
        </w:rPr>
        <w:t xml:space="preserve"> found that one in five pupils with autism (ASD) within compulsory education have been excluded from their mainstream school. Turnbull et al (2007 cited Westwood 2007 p.25) states that children with autism remain a challenge to </w:t>
      </w:r>
      <w:r>
        <w:rPr>
          <w:rFonts w:ascii="Arial" w:hAnsi="Arial" w:hint="default"/>
          <w:sz w:val="24"/>
          <w:szCs w:val="24"/>
          <w:rtl w:val="0"/>
          <w:lang w:val="en-US"/>
        </w:rPr>
        <w:t>‘</w:t>
      </w:r>
      <w:r>
        <w:rPr>
          <w:rFonts w:ascii="Arial" w:hAnsi="Arial"/>
          <w:sz w:val="24"/>
          <w:szCs w:val="24"/>
          <w:rtl w:val="0"/>
          <w:lang w:val="en-US"/>
        </w:rPr>
        <w:t>place successfully within a mainstream classroom</w:t>
      </w:r>
      <w:r>
        <w:rPr>
          <w:rFonts w:ascii="Arial" w:hAnsi="Arial" w:hint="default"/>
          <w:sz w:val="24"/>
          <w:szCs w:val="24"/>
          <w:rtl w:val="0"/>
          <w:lang w:val="en-US"/>
        </w:rPr>
        <w:t>’</w:t>
      </w:r>
      <w:r>
        <w:rPr>
          <w:rFonts w:ascii="Arial" w:hAnsi="Arial"/>
          <w:sz w:val="24"/>
          <w:szCs w:val="24"/>
          <w:rtl w:val="0"/>
          <w:lang w:val="en-US"/>
        </w:rPr>
        <w:t xml:space="preserve">. With the number of pupils with ASD attending mainstream education rising (Keen &amp; Ward 2004) and the number of assessments for young children increasing it is critical to take action in the implementation of the strategies that can provide inclusion. </w:t>
      </w:r>
    </w:p>
    <w:p>
      <w:pPr>
        <w:pStyle w:val="List Paragraph"/>
        <w:bidi w:val="0"/>
        <w:spacing w:after="160" w:line="360" w:lineRule="auto"/>
        <w:ind w:left="0" w:right="0" w:firstLine="0"/>
        <w:jc w:val="left"/>
        <w:rPr>
          <w:rFonts w:ascii="Arial" w:cs="Arial" w:hAnsi="Arial" w:eastAsia="Arial"/>
          <w:sz w:val="24"/>
          <w:szCs w:val="24"/>
          <w:rtl w:val="0"/>
        </w:rPr>
      </w:pPr>
      <w:r>
        <w:rPr>
          <w:rFonts w:ascii="Arial" w:hAnsi="Arial"/>
          <w:sz w:val="24"/>
          <w:szCs w:val="24"/>
          <w:rtl w:val="0"/>
          <w:lang w:val="en-US"/>
        </w:rPr>
        <w:t xml:space="preserve">Although government policy states that all schools should provide equal opportunity for learning for each individual, with lack of adequate research and instruction this can sometimes fall short. As children in key stages one and two develop their learning through kinaesthetic learning, this can be beneficial to children with SEN and ASD as it requires physical movement and sensory activity which according to the Treatment and Education of Autistic and related Communications handicapped Children (TEACCH) is detrimental to developing interpersonal and communication skills </w:t>
      </w:r>
      <w:r>
        <w:rPr>
          <w:rFonts w:ascii="Arial" w:hAnsi="Arial"/>
          <w:sz w:val="24"/>
          <w:szCs w:val="24"/>
          <w:rtl w:val="0"/>
          <w:lang w:val="en-US"/>
        </w:rPr>
        <w:t>(Department for Education, 1998)</w:t>
      </w:r>
      <w:r>
        <w:rPr>
          <w:rFonts w:ascii="Arial" w:hAnsi="Arial"/>
          <w:sz w:val="24"/>
          <w:szCs w:val="24"/>
          <w:rtl w:val="0"/>
          <w:lang w:val="en-US"/>
        </w:rPr>
        <w:t xml:space="preserve">. Whilst providing experiences that can combine play and learning in primary education it is beneficial to all pupils within the class and enables inclusive individual development. The TEACCH programme identifies the barriers within the classroom environment faced by children with ASD and implement training for staff in strategies that can assist all pupils with their development. A case study was implemented by Dyson at al (2004)  that reviewed the attainment and achievements of inclusive primary schools throughout England and found that the highest average point score of KS2 pupils succeeding in their studies derived from a school that provided ASD specially resourced provision (p.54). This further displays that by implementing ASD friendly strategies in the primary classroom that we can fully support inclusion and overcome the educational barriers inclusively of all children and not the few. </w:t>
      </w:r>
    </w:p>
    <w:p>
      <w:pPr>
        <w:pStyle w:val="List Paragraph"/>
        <w:bidi w:val="0"/>
        <w:spacing w:after="160" w:line="360" w:lineRule="auto"/>
        <w:ind w:left="0" w:right="0" w:firstLine="0"/>
        <w:jc w:val="left"/>
        <w:rPr>
          <w:rFonts w:ascii="Arial" w:cs="Arial" w:hAnsi="Arial" w:eastAsia="Arial"/>
          <w:sz w:val="24"/>
          <w:szCs w:val="24"/>
          <w:rtl w:val="0"/>
        </w:rPr>
      </w:pPr>
      <w:r>
        <w:rPr>
          <w:rFonts w:ascii="Arial" w:hAnsi="Arial"/>
          <w:sz w:val="24"/>
          <w:szCs w:val="24"/>
          <w:rtl w:val="0"/>
          <w:lang w:val="en-US"/>
        </w:rPr>
        <w:t>By displaying visual aids that allow the pupils to physically engage with their organisation it can be beneficial to all but especially inclusive of students who may display</w:t>
      </w:r>
      <w:r>
        <w:rPr>
          <w:rFonts w:ascii="Arial" w:hAnsi="Arial"/>
          <w:sz w:val="24"/>
          <w:szCs w:val="24"/>
          <w:rtl w:val="0"/>
          <w:lang w:val="en-US"/>
        </w:rPr>
        <w:t xml:space="preserve"> </w:t>
      </w:r>
      <w:r>
        <w:rPr>
          <w:rFonts w:ascii="Arial" w:hAnsi="Arial" w:hint="default"/>
          <w:sz w:val="24"/>
          <w:szCs w:val="24"/>
          <w:rtl w:val="0"/>
          <w:lang w:val="en-US"/>
        </w:rPr>
        <w:t>‘</w:t>
      </w:r>
      <w:r>
        <w:rPr>
          <w:rFonts w:ascii="Arial" w:hAnsi="Arial"/>
          <w:sz w:val="24"/>
          <w:szCs w:val="24"/>
          <w:rtl w:val="0"/>
          <w:lang w:val="en-US"/>
        </w:rPr>
        <w:t>difficulties with auditory</w:t>
      </w:r>
      <w:r>
        <w:rPr>
          <w:rFonts w:ascii="Arial" w:hAnsi="Arial"/>
          <w:sz w:val="24"/>
          <w:szCs w:val="24"/>
          <w:rtl w:val="0"/>
          <w:lang w:val="en-US"/>
        </w:rPr>
        <w:t xml:space="preserve"> </w:t>
      </w:r>
      <w:r>
        <w:rPr>
          <w:rFonts w:ascii="Arial" w:hAnsi="Arial"/>
          <w:sz w:val="24"/>
          <w:szCs w:val="24"/>
          <w:rtl w:val="0"/>
          <w:lang w:val="en-US"/>
        </w:rPr>
        <w:t>processing and making transitions from one activity or topic to another</w:t>
      </w:r>
      <w:r>
        <w:rPr>
          <w:rFonts w:ascii="Arial" w:hAnsi="Arial" w:hint="default"/>
          <w:sz w:val="24"/>
          <w:szCs w:val="24"/>
          <w:rtl w:val="0"/>
          <w:lang w:val="en-US"/>
        </w:rPr>
        <w:t xml:space="preserve">’ </w:t>
      </w:r>
      <w:r>
        <w:rPr>
          <w:rFonts w:ascii="Arial" w:hAnsi="Arial"/>
          <w:sz w:val="24"/>
          <w:szCs w:val="24"/>
          <w:rtl w:val="0"/>
          <w:lang w:val="en-US"/>
        </w:rPr>
        <w:t xml:space="preserve">(p.81). </w:t>
      </w:r>
      <w:r>
        <w:rPr>
          <w:rFonts w:ascii="Arial" w:hAnsi="Arial"/>
          <w:sz w:val="24"/>
          <w:szCs w:val="24"/>
          <w:rtl w:val="0"/>
          <w:lang w:val="en-US"/>
        </w:rPr>
        <w:t>By establishing this similar daily activities as well as displaying visual aids such as timetables and utilising the whiteboard, children in key stages one and two are able to develop a routine that assists the pupils with ASD.</w:t>
      </w:r>
      <w:r>
        <w:rPr>
          <w:rFonts w:ascii="Arial" w:hAnsi="Arial"/>
          <w:sz w:val="24"/>
          <w:szCs w:val="24"/>
          <w:rtl w:val="0"/>
          <w:lang w:val="en-US"/>
        </w:rPr>
        <w:t xml:space="preserve"> Kalyva (2011) states that </w:t>
      </w:r>
      <w:r>
        <w:rPr>
          <w:rFonts w:ascii="Arial" w:hAnsi="Arial"/>
          <w:sz w:val="24"/>
          <w:szCs w:val="24"/>
          <w:rtl w:val="0"/>
          <w:lang w:val="en-US"/>
        </w:rPr>
        <w:t xml:space="preserve">when dealing with a child with ASD that intervention should not </w:t>
      </w:r>
      <w:r>
        <w:rPr>
          <w:rFonts w:ascii="Arial" w:hAnsi="Arial"/>
          <w:sz w:val="24"/>
          <w:szCs w:val="24"/>
          <w:rtl w:val="0"/>
          <w:lang w:val="en-US"/>
        </w:rPr>
        <w:t>consider</w:t>
      </w:r>
      <w:r>
        <w:rPr>
          <w:rFonts w:ascii="Arial" w:hAnsi="Arial"/>
          <w:sz w:val="24"/>
          <w:szCs w:val="24"/>
          <w:rtl w:val="0"/>
          <w:lang w:val="en-US"/>
        </w:rPr>
        <w:t xml:space="preserve"> altering the students behaviour but consider the need of adapting the environment in order to suit the child (Kalyva</w:t>
      </w:r>
      <w:r>
        <w:rPr>
          <w:rFonts w:ascii="Arial" w:hAnsi="Arial"/>
          <w:sz w:val="24"/>
          <w:szCs w:val="24"/>
          <w:rtl w:val="0"/>
          <w:lang w:val="en-US"/>
        </w:rPr>
        <w:t>, 2011</w:t>
      </w:r>
      <w:r>
        <w:rPr>
          <w:rFonts w:ascii="Arial" w:hAnsi="Arial"/>
          <w:sz w:val="24"/>
          <w:szCs w:val="24"/>
          <w:rtl w:val="0"/>
          <w:lang w:val="en-US"/>
        </w:rPr>
        <w:t>).</w:t>
      </w:r>
      <w:r>
        <w:rPr>
          <w:rFonts w:ascii="Arial" w:hAnsi="Arial"/>
          <w:sz w:val="24"/>
          <w:szCs w:val="24"/>
          <w:rtl w:val="0"/>
          <w:lang w:val="en-US"/>
        </w:rPr>
        <w:t xml:space="preserve"> This strategy also allows for some individual needs to be met without the need for additional resources which is considered one of the pillars of successful inclusion within the National Curriculum Framework document (</w:t>
      </w:r>
      <w:r>
        <w:rPr>
          <w:rFonts w:ascii="Arial" w:hAnsi="Arial"/>
          <w:sz w:val="24"/>
          <w:szCs w:val="24"/>
          <w:rtl w:val="0"/>
          <w:lang w:val="en-US"/>
        </w:rPr>
        <w:t xml:space="preserve">Department for Education </w:t>
      </w:r>
      <w:r>
        <w:rPr>
          <w:rFonts w:ascii="Arial" w:hAnsi="Arial"/>
          <w:sz w:val="24"/>
          <w:szCs w:val="24"/>
          <w:rtl w:val="0"/>
          <w:lang w:val="en-US"/>
        </w:rPr>
        <w:t>2013, p.8).</w:t>
      </w:r>
    </w:p>
    <w:p>
      <w:pPr>
        <w:pStyle w:val="List Paragraph"/>
        <w:bidi w:val="0"/>
        <w:spacing w:after="160" w:line="360" w:lineRule="auto"/>
        <w:ind w:left="0" w:right="0" w:firstLine="0"/>
        <w:jc w:val="left"/>
        <w:rPr>
          <w:rFonts w:ascii="Arial" w:cs="Arial" w:hAnsi="Arial" w:eastAsia="Arial"/>
          <w:sz w:val="24"/>
          <w:szCs w:val="24"/>
          <w:rtl w:val="0"/>
        </w:rPr>
      </w:pPr>
      <w:r>
        <w:rPr>
          <w:rFonts w:ascii="Arial" w:hAnsi="Arial"/>
          <w:sz w:val="24"/>
          <w:szCs w:val="24"/>
          <w:rtl w:val="0"/>
          <w:lang w:val="en-US"/>
        </w:rPr>
        <w:t xml:space="preserve">The most valuable resource any educational establishment can offer children in the hopes of promoting inclusion is staff that are efficiently trained and able to appropriately support the pupils learning within the national curriculum. Children of all abilities and circumstance can overcome educational, social and emotional barriers that hinder their learning with extra assistance by utilising support staff. Although this is the case for many children mentioned previous with ALN, SEN and ASD, trained support staff are also detrimental to the learning of children who have suffered unfortunate circumstance. Inclusion within the classroom can sometimes be considered to be SEN centred, but the Equality Act (2010) states that all children of all circumstances have the right to an inclusive education and should not be subject to prejudice or discrimination (Department for Education 2014). This legislation refers to children of all intellectual and physical ability, ethnicity, cultural background and circumstance. This is an essential article within the legislation as children who are excluded and discriminated are considered to be subjected to an unsafe environment that condones physical, mental and vocal abuse. </w:t>
      </w:r>
    </w:p>
    <w:p>
      <w:pPr>
        <w:pStyle w:val="List Paragraph"/>
        <w:bidi w:val="0"/>
        <w:spacing w:after="160" w:line="360" w:lineRule="auto"/>
        <w:ind w:left="0" w:right="0" w:firstLine="0"/>
        <w:jc w:val="left"/>
        <w:rPr>
          <w:rFonts w:ascii="Arial" w:cs="Arial" w:hAnsi="Arial" w:eastAsia="Arial"/>
          <w:sz w:val="24"/>
          <w:szCs w:val="24"/>
          <w:rtl w:val="0"/>
        </w:rPr>
      </w:pPr>
      <w:r>
        <w:rPr>
          <w:rFonts w:ascii="Arial" w:hAnsi="Arial"/>
          <w:sz w:val="24"/>
          <w:szCs w:val="24"/>
          <w:rtl w:val="0"/>
          <w:lang w:val="en-US"/>
        </w:rPr>
        <w:t xml:space="preserve">Although direct racism can occur in any primary educational setting there can also be </w:t>
      </w:r>
      <w:r>
        <w:rPr>
          <w:rFonts w:ascii="Arial" w:hAnsi="Arial" w:hint="default"/>
          <w:sz w:val="24"/>
          <w:szCs w:val="24"/>
          <w:rtl w:val="0"/>
          <w:lang w:val="en-US"/>
        </w:rPr>
        <w:t>‘</w:t>
      </w:r>
      <w:r>
        <w:rPr>
          <w:rFonts w:ascii="Arial" w:hAnsi="Arial"/>
          <w:sz w:val="24"/>
          <w:szCs w:val="24"/>
          <w:rtl w:val="0"/>
          <w:lang w:val="en-US"/>
        </w:rPr>
        <w:t>accidental</w:t>
      </w:r>
      <w:r>
        <w:rPr>
          <w:rFonts w:ascii="Arial" w:hAnsi="Arial" w:hint="default"/>
          <w:sz w:val="24"/>
          <w:szCs w:val="24"/>
          <w:rtl w:val="0"/>
          <w:lang w:val="en-US"/>
        </w:rPr>
        <w:t xml:space="preserve">’ </w:t>
      </w:r>
      <w:r>
        <w:rPr>
          <w:rFonts w:ascii="Arial" w:hAnsi="Arial"/>
          <w:sz w:val="24"/>
          <w:szCs w:val="24"/>
          <w:rtl w:val="0"/>
          <w:lang w:val="en-US"/>
        </w:rPr>
        <w:t xml:space="preserve">or indirect racism within these educational environments that accidentally ostracise some learners from their environment. Cole </w:t>
      </w:r>
      <w:r>
        <w:rPr>
          <w:rFonts w:ascii="Arial" w:hAnsi="Arial"/>
          <w:sz w:val="24"/>
          <w:szCs w:val="24"/>
          <w:rtl w:val="0"/>
          <w:lang w:val="en-US"/>
        </w:rPr>
        <w:t>(2012)</w:t>
      </w:r>
      <w:r>
        <w:rPr>
          <w:rFonts w:ascii="Arial" w:hAnsi="Arial"/>
          <w:sz w:val="24"/>
          <w:szCs w:val="24"/>
          <w:rtl w:val="0"/>
          <w:lang w:val="en-US"/>
        </w:rPr>
        <w:t xml:space="preserve"> states that racism is a learned behaviour, and </w:t>
      </w:r>
      <w:r>
        <w:rPr>
          <w:rFonts w:ascii="Arial" w:hAnsi="Arial" w:hint="default"/>
          <w:sz w:val="24"/>
          <w:szCs w:val="24"/>
          <w:rtl w:val="0"/>
          <w:lang w:val="en-US"/>
        </w:rPr>
        <w:t>‘</w:t>
      </w:r>
      <w:r>
        <w:rPr>
          <w:rFonts w:ascii="Arial" w:hAnsi="Arial"/>
          <w:sz w:val="24"/>
          <w:szCs w:val="24"/>
          <w:rtl w:val="0"/>
          <w:lang w:val="en-US"/>
        </w:rPr>
        <w:t>stereotyping and stratifications of ethnic groups are problematic</w:t>
      </w:r>
      <w:r>
        <w:rPr>
          <w:rFonts w:ascii="Arial" w:hAnsi="Arial" w:hint="default"/>
          <w:sz w:val="24"/>
          <w:szCs w:val="24"/>
          <w:rtl w:val="0"/>
          <w:lang w:val="en-US"/>
        </w:rPr>
        <w:t xml:space="preserve">’ </w:t>
      </w:r>
      <w:r>
        <w:rPr>
          <w:rFonts w:ascii="Arial" w:hAnsi="Arial"/>
          <w:sz w:val="24"/>
          <w:szCs w:val="24"/>
          <w:rtl w:val="0"/>
          <w:lang w:val="en-US"/>
        </w:rPr>
        <w:t xml:space="preserve">(p.50) within the classroom and can very easily occur when inclusive environmental strategies are overlooked. In order to execute inclusion within the national curriculum it needs to be promoted throughout the school to combat any negative connotations that disadvantaged pupils might unfairly and </w:t>
      </w:r>
      <w:r>
        <w:rPr>
          <w:rFonts w:ascii="Arial" w:hAnsi="Arial" w:hint="default"/>
          <w:sz w:val="24"/>
          <w:szCs w:val="24"/>
          <w:rtl w:val="0"/>
          <w:lang w:val="en-US"/>
        </w:rPr>
        <w:t>‘</w:t>
      </w:r>
      <w:r>
        <w:rPr>
          <w:rFonts w:ascii="Arial" w:hAnsi="Arial"/>
          <w:sz w:val="24"/>
          <w:szCs w:val="24"/>
          <w:rtl w:val="0"/>
          <w:lang w:val="en-US"/>
        </w:rPr>
        <w:t>stereotypically</w:t>
      </w:r>
      <w:r>
        <w:rPr>
          <w:rFonts w:ascii="Arial" w:hAnsi="Arial" w:hint="default"/>
          <w:sz w:val="24"/>
          <w:szCs w:val="24"/>
          <w:rtl w:val="0"/>
          <w:lang w:val="en-US"/>
        </w:rPr>
        <w:t xml:space="preserve">’ </w:t>
      </w:r>
      <w:r>
        <w:rPr>
          <w:rFonts w:ascii="Arial" w:hAnsi="Arial"/>
          <w:sz w:val="24"/>
          <w:szCs w:val="24"/>
          <w:rtl w:val="0"/>
          <w:lang w:val="en-US"/>
        </w:rPr>
        <w:t xml:space="preserve">represent. Despite the legislation being in place it is the schools policies that determine successful implementation of inclusion. Whitney and Smith (1993; reported in DFE 1994 cited Cox 2000) stated that children of primary school are most likely to experience discrimination or a form of bullying from peers if they </w:t>
      </w:r>
      <w:r>
        <w:rPr>
          <w:rFonts w:ascii="Arial" w:hAnsi="Arial" w:hint="default"/>
          <w:sz w:val="24"/>
          <w:szCs w:val="24"/>
          <w:rtl w:val="0"/>
          <w:lang w:val="en-US"/>
        </w:rPr>
        <w:t>‘</w:t>
      </w:r>
      <w:r>
        <w:rPr>
          <w:rFonts w:ascii="Arial" w:hAnsi="Arial"/>
          <w:sz w:val="24"/>
          <w:szCs w:val="24"/>
          <w:rtl w:val="0"/>
          <w:lang w:val="en-US"/>
        </w:rPr>
        <w:t>belong to a different ethnic or racial group</w:t>
      </w:r>
      <w:r>
        <w:rPr>
          <w:rFonts w:ascii="Arial" w:hAnsi="Arial" w:hint="default"/>
          <w:sz w:val="24"/>
          <w:szCs w:val="24"/>
          <w:rtl w:val="0"/>
          <w:lang w:val="en-US"/>
        </w:rPr>
        <w:t xml:space="preserve">’ </w:t>
      </w:r>
      <w:r>
        <w:rPr>
          <w:rFonts w:ascii="Arial" w:hAnsi="Arial"/>
          <w:sz w:val="24"/>
          <w:szCs w:val="24"/>
          <w:rtl w:val="0"/>
          <w:lang w:val="en-US"/>
        </w:rPr>
        <w:t xml:space="preserve">or are </w:t>
      </w:r>
      <w:r>
        <w:rPr>
          <w:rFonts w:ascii="Arial" w:hAnsi="Arial" w:hint="default"/>
          <w:sz w:val="24"/>
          <w:szCs w:val="24"/>
          <w:rtl w:val="0"/>
          <w:lang w:val="en-US"/>
        </w:rPr>
        <w:t>‘</w:t>
      </w:r>
      <w:r>
        <w:rPr>
          <w:rFonts w:ascii="Arial" w:hAnsi="Arial"/>
          <w:sz w:val="24"/>
          <w:szCs w:val="24"/>
          <w:rtl w:val="0"/>
          <w:lang w:val="en-US"/>
        </w:rPr>
        <w:t>different in some obvious respect from the majority</w:t>
      </w:r>
      <w:r>
        <w:rPr>
          <w:rFonts w:ascii="Arial" w:hAnsi="Arial" w:hint="default"/>
          <w:sz w:val="24"/>
          <w:szCs w:val="24"/>
          <w:rtl w:val="0"/>
          <w:lang w:val="en-US"/>
        </w:rPr>
        <w:t xml:space="preserve">’ </w:t>
      </w:r>
      <w:r>
        <w:rPr>
          <w:rFonts w:ascii="Arial" w:hAnsi="Arial"/>
          <w:sz w:val="24"/>
          <w:szCs w:val="24"/>
          <w:rtl w:val="0"/>
          <w:lang w:val="en-US"/>
        </w:rPr>
        <w:t>(p.201). The policies held in every institution will support that there are inclusive strategies in place to prevent learners falling victim to racial abuse.</w:t>
      </w:r>
    </w:p>
    <w:p>
      <w:pPr>
        <w:pStyle w:val="List Paragraph"/>
        <w:bidi w:val="0"/>
        <w:spacing w:after="160" w:line="360" w:lineRule="auto"/>
        <w:ind w:left="0" w:right="0" w:firstLine="0"/>
        <w:jc w:val="left"/>
        <w:rPr>
          <w:rFonts w:ascii="Arial" w:cs="Arial" w:hAnsi="Arial" w:eastAsia="Arial"/>
          <w:sz w:val="24"/>
          <w:szCs w:val="24"/>
          <w:rtl w:val="0"/>
        </w:rPr>
      </w:pPr>
      <w:r>
        <w:rPr>
          <w:rFonts w:ascii="Arial" w:hAnsi="Arial"/>
          <w:sz w:val="24"/>
          <w:szCs w:val="24"/>
          <w:rtl w:val="0"/>
          <w:lang w:val="en-US"/>
        </w:rPr>
        <w:t xml:space="preserve">The national curriculum takes advantage of the strategies that encompass globalisation into the curriculum, developing a whole school approach to combating exclusion by race and ethnicity. </w:t>
      </w:r>
      <w:r>
        <w:rPr>
          <w:rFonts w:ascii="Arial" w:hAnsi="Arial"/>
          <w:sz w:val="24"/>
          <w:szCs w:val="24"/>
          <w:rtl w:val="0"/>
          <w:lang w:val="en-US"/>
        </w:rPr>
        <w:t>Alexander</w:t>
      </w:r>
      <w:r>
        <w:rPr>
          <w:rFonts w:ascii="Arial" w:hAnsi="Arial"/>
          <w:sz w:val="24"/>
          <w:szCs w:val="24"/>
          <w:rtl w:val="0"/>
          <w:lang w:val="en-US"/>
        </w:rPr>
        <w:t xml:space="preserve"> (</w:t>
      </w:r>
      <w:r>
        <w:rPr>
          <w:rFonts w:ascii="Arial" w:hAnsi="Arial"/>
          <w:sz w:val="24"/>
          <w:szCs w:val="24"/>
          <w:rtl w:val="0"/>
          <w:lang w:val="en-US"/>
        </w:rPr>
        <w:t>2010</w:t>
      </w:r>
      <w:r>
        <w:rPr>
          <w:rFonts w:ascii="Arial" w:hAnsi="Arial"/>
          <w:sz w:val="24"/>
          <w:szCs w:val="24"/>
          <w:rtl w:val="0"/>
          <w:lang w:val="en-US"/>
        </w:rPr>
        <w:t xml:space="preserve"> p.</w:t>
      </w:r>
      <w:r>
        <w:rPr>
          <w:rFonts w:ascii="Arial" w:hAnsi="Arial"/>
          <w:sz w:val="24"/>
          <w:szCs w:val="24"/>
          <w:rtl w:val="0"/>
          <w:lang w:val="en-US"/>
        </w:rPr>
        <w:t>15</w:t>
      </w:r>
      <w:r>
        <w:rPr>
          <w:rFonts w:ascii="Arial" w:hAnsi="Arial"/>
          <w:sz w:val="24"/>
          <w:szCs w:val="24"/>
          <w:rtl w:val="0"/>
          <w:lang w:val="en-US"/>
        </w:rPr>
        <w:t xml:space="preserve"> cited Bourn, Hunt, Blum &amp; Lawson, 2016) states that this is the digital age where globalisation provides an opportunity to educate children on the basic human rights of others in order to avoid oppressing the learners themselves who identify with other cultures. As a society we are interconnected, as mentioned previously young children are expected to begin developing their digital literacy from KS1, the primary curriculum allows for learners to also gain understanding of their own and other cultures and their peers whilst equipping them with analytical skills. In order to promote and focus on inclusion rather than exclusion, strategies that promote the learners empowerment and self-representation are introduced to the school as a whole. By providing positive representations of individuals of all ethnicities, religeons, disabilities, gender, race and background we are allowing for children to feel empowered by their environment whilst broadening their interpersonal and social skills of their peers (Swain &amp; French ???? cited Fulton ????). Other inclusive strategies within the curriculum directly is that of teachers planning lessons and acquiring resources that included the identities of minority children and encouraging positive enquiry to promote pride and empowerment (Cole 2012).</w:t>
      </w:r>
    </w:p>
    <w:p>
      <w:pPr>
        <w:pStyle w:val="List Paragraph"/>
        <w:bidi w:val="0"/>
        <w:spacing w:after="160" w:line="360" w:lineRule="auto"/>
        <w:ind w:left="0" w:right="0" w:firstLine="0"/>
        <w:jc w:val="left"/>
        <w:rPr>
          <w:rFonts w:ascii="Arial" w:cs="Arial" w:hAnsi="Arial" w:eastAsia="Arial"/>
          <w:sz w:val="24"/>
          <w:szCs w:val="24"/>
          <w:rtl w:val="0"/>
        </w:rPr>
      </w:pPr>
      <w:r>
        <w:rPr>
          <w:rFonts w:ascii="Arial" w:hAnsi="Arial"/>
          <w:sz w:val="24"/>
          <w:szCs w:val="24"/>
          <w:rtl w:val="0"/>
          <w:lang w:val="en-US"/>
        </w:rPr>
        <w:t>There have been many changes in how teachers also approach the subject of inclusion, Carrier (1990 cited Vlachou 1997) states that during the 1990</w:t>
      </w:r>
      <w:r>
        <w:rPr>
          <w:rFonts w:ascii="Arial" w:hAnsi="Arial" w:hint="default"/>
          <w:sz w:val="24"/>
          <w:szCs w:val="24"/>
          <w:rtl w:val="0"/>
          <w:lang w:val="en-US"/>
        </w:rPr>
        <w:t>’</w:t>
      </w:r>
      <w:r>
        <w:rPr>
          <w:rFonts w:ascii="Arial" w:hAnsi="Arial"/>
          <w:sz w:val="24"/>
          <w:szCs w:val="24"/>
          <w:rtl w:val="0"/>
          <w:lang w:val="en-US"/>
        </w:rPr>
        <w:t xml:space="preserve">s many teachers made </w:t>
      </w:r>
      <w:r>
        <w:rPr>
          <w:rFonts w:ascii="Arial" w:hAnsi="Arial" w:hint="default"/>
          <w:sz w:val="24"/>
          <w:szCs w:val="24"/>
          <w:rtl w:val="0"/>
          <w:lang w:val="en-US"/>
        </w:rPr>
        <w:t>‘</w:t>
      </w:r>
      <w:r>
        <w:rPr>
          <w:rFonts w:ascii="Arial" w:hAnsi="Arial"/>
          <w:sz w:val="24"/>
          <w:szCs w:val="24"/>
          <w:rtl w:val="0"/>
          <w:lang w:val="en-US"/>
        </w:rPr>
        <w:t>strong associations between learning difficulties</w:t>
      </w:r>
      <w:r>
        <w:rPr>
          <w:rFonts w:ascii="Arial" w:hAnsi="Arial" w:hint="default"/>
          <w:sz w:val="24"/>
          <w:szCs w:val="24"/>
          <w:rtl w:val="0"/>
          <w:lang w:val="en-US"/>
        </w:rPr>
        <w:t xml:space="preserve">’ </w:t>
      </w:r>
      <w:r>
        <w:rPr>
          <w:rFonts w:ascii="Arial" w:hAnsi="Arial"/>
          <w:sz w:val="24"/>
          <w:szCs w:val="24"/>
          <w:rtl w:val="0"/>
          <w:lang w:val="en-US"/>
        </w:rPr>
        <w:t xml:space="preserve">and uncontrolled violent behaviour (p.91). In some circumstances children with ALN, SEN, ASD or EAL might demonstrate behaviour that arises may be perceived as aggressive when in reality they are demonstrating feelings of exclusion and lack of understanding. The UNRD enables inclusion within the classroom as it provided a legislation that states the right of the child to have </w:t>
      </w:r>
      <w:r>
        <w:rPr>
          <w:rFonts w:ascii="Arial" w:hAnsi="Arial" w:hint="default"/>
          <w:sz w:val="24"/>
          <w:szCs w:val="24"/>
          <w:rtl w:val="0"/>
          <w:lang w:val="en-US"/>
        </w:rPr>
        <w:t>‘</w:t>
      </w:r>
      <w:r>
        <w:rPr>
          <w:rFonts w:ascii="Arial" w:hAnsi="Arial"/>
          <w:sz w:val="24"/>
          <w:szCs w:val="24"/>
          <w:rtl w:val="0"/>
          <w:lang w:val="en-US"/>
        </w:rPr>
        <w:t>reasonable adjustments</w:t>
      </w:r>
      <w:r>
        <w:rPr>
          <w:rFonts w:ascii="Arial" w:hAnsi="Arial" w:hint="default"/>
          <w:sz w:val="24"/>
          <w:szCs w:val="24"/>
          <w:rtl w:val="0"/>
          <w:lang w:val="en-US"/>
        </w:rPr>
        <w:t xml:space="preserve">’ </w:t>
      </w:r>
      <w:r>
        <w:rPr>
          <w:rFonts w:ascii="Arial" w:hAnsi="Arial"/>
          <w:sz w:val="24"/>
          <w:szCs w:val="24"/>
          <w:rtl w:val="0"/>
          <w:lang w:val="en-US"/>
        </w:rPr>
        <w:t xml:space="preserve">made within the classrooms such as specialist teachers, support staff or equipment. The strategies implemented in modern day education to promote inclusivity are centred around the teachers training prior and during their career. Teachers are trained to use a wide variety of approaches when implementing the national curriculum, particularly at primary level where in KS1 and 2 there are much more sensory based approaches which are effective for children with communication and interaction difficulties </w:t>
      </w:r>
      <w:r>
        <w:rPr>
          <w:rFonts w:ascii="Arial" w:hAnsi="Arial"/>
          <w:sz w:val="24"/>
          <w:szCs w:val="24"/>
          <w:rtl w:val="0"/>
          <w:lang w:val="en-US"/>
        </w:rPr>
        <w:t>(Department for Education, 1998)</w:t>
      </w:r>
      <w:r>
        <w:rPr>
          <w:rFonts w:ascii="Arial" w:hAnsi="Arial"/>
          <w:sz w:val="24"/>
          <w:szCs w:val="24"/>
          <w:rtl w:val="0"/>
          <w:lang w:val="en-US"/>
        </w:rPr>
        <w:t xml:space="preserve">. </w:t>
      </w:r>
    </w:p>
    <w:p>
      <w:pPr>
        <w:pStyle w:val="List Paragraph"/>
        <w:bidi w:val="0"/>
        <w:spacing w:after="160" w:line="360" w:lineRule="auto"/>
        <w:ind w:left="0" w:right="0" w:firstLine="0"/>
        <w:jc w:val="left"/>
        <w:rPr>
          <w:rFonts w:ascii="Arial" w:cs="Arial" w:hAnsi="Arial" w:eastAsia="Arial"/>
          <w:sz w:val="24"/>
          <w:szCs w:val="24"/>
          <w:rtl w:val="0"/>
        </w:rPr>
      </w:pPr>
      <w:r>
        <w:rPr>
          <w:rFonts w:ascii="Arial" w:hAnsi="Arial"/>
          <w:sz w:val="24"/>
          <w:szCs w:val="24"/>
          <w:rtl w:val="0"/>
          <w:lang w:val="en-US"/>
        </w:rPr>
        <w:t>Teachers are able to diversify their approaches and draw upon different strengths of children when efficient planning takes place. Bunch (</w:t>
      </w:r>
      <w:r>
        <w:rPr>
          <w:rFonts w:ascii="Arial" w:hAnsi="Arial"/>
          <w:sz w:val="24"/>
          <w:szCs w:val="24"/>
          <w:rtl w:val="0"/>
          <w:lang w:val="en-US"/>
        </w:rPr>
        <w:t>2002</w:t>
      </w:r>
      <w:r>
        <w:rPr>
          <w:rFonts w:ascii="Arial" w:hAnsi="Arial"/>
          <w:sz w:val="24"/>
          <w:szCs w:val="24"/>
          <w:rtl w:val="0"/>
          <w:lang w:val="en-US"/>
        </w:rPr>
        <w:t>)</w:t>
      </w:r>
      <w:r>
        <w:rPr>
          <w:rFonts w:ascii="Arial" w:hAnsi="Arial"/>
          <w:sz w:val="24"/>
          <w:szCs w:val="24"/>
          <w:rtl w:val="0"/>
          <w:lang w:val="en-US"/>
        </w:rPr>
        <w:t xml:space="preserve"> inclusion how to book toronto- </w:t>
      </w:r>
      <w:r>
        <w:rPr>
          <w:rFonts w:ascii="Arial" w:hAnsi="Arial"/>
          <w:sz w:val="24"/>
          <w:szCs w:val="24"/>
          <w:rtl w:val="0"/>
          <w:lang w:val="en-US"/>
        </w:rPr>
        <w:t xml:space="preserve"> states that the most inclusive way to implement a curriculum is to begin with a main learning objective as a whole class approach, then to examine the learning that will takes place and consider the different learning styles. Once accessibility is considered of the information or resources then the teacher may organise pupil learning into groups. The support staff are then utilised in order to help certain groups meet the same learning objective but perhaps using different or multiple resources and engaging in a separate level or literacy and numeracy development. An example of good practice by teachers is creating a dialogue with the learners carers and families, by forming a partnership based upon the mediating and negotiating with pupils families it is easier to gain an indepth understanding of the childs individual educational needs and then strategies can be applied to aid the learner in overcoming their educational barriers. </w:t>
      </w:r>
    </w:p>
    <w:p>
      <w:pPr>
        <w:pStyle w:val="List Paragraph"/>
        <w:bidi w:val="0"/>
        <w:spacing w:after="160" w:line="360" w:lineRule="auto"/>
        <w:ind w:left="0" w:right="0" w:firstLine="0"/>
        <w:jc w:val="left"/>
        <w:rPr>
          <w:rFonts w:ascii="Arial" w:cs="Arial" w:hAnsi="Arial" w:eastAsia="Arial"/>
          <w:sz w:val="24"/>
          <w:szCs w:val="24"/>
          <w:rtl w:val="0"/>
        </w:rPr>
      </w:pPr>
      <w:r>
        <w:rPr>
          <w:rFonts w:ascii="Arial" w:hAnsi="Arial"/>
          <w:sz w:val="24"/>
          <w:szCs w:val="24"/>
          <w:rtl w:val="0"/>
          <w:lang w:val="en-US"/>
        </w:rPr>
        <w:t xml:space="preserve">It is evident from this essay that there has been much research carried out by practitioners and educational psychologists in order to combat the educational barriers that face disadvantaged children within KS1 &amp; KS2 classrooms. The </w:t>
      </w:r>
    </w:p>
    <w:p>
      <w:pPr>
        <w:pStyle w:val="List Paragraph"/>
        <w:bidi w:val="0"/>
        <w:spacing w:after="160" w:line="360" w:lineRule="auto"/>
        <w:ind w:left="0" w:right="0" w:firstLine="0"/>
        <w:jc w:val="left"/>
        <w:rPr>
          <w:rFonts w:ascii="Arial" w:cs="Arial" w:hAnsi="Arial" w:eastAsia="Arial"/>
          <w:sz w:val="24"/>
          <w:szCs w:val="24"/>
          <w:rtl w:val="0"/>
        </w:rPr>
      </w:pPr>
      <w:r>
        <w:rPr>
          <w:rFonts w:ascii="Arial" w:hAnsi="Arial"/>
          <w:sz w:val="24"/>
          <w:szCs w:val="24"/>
          <w:rtl w:val="0"/>
          <w:lang w:val="en-US"/>
        </w:rPr>
        <w:t>In order to build a society that offers equal opportunities for all individuals there must be successful and flawless implementation of inclusion strategies within classrooms that can support children of all excluded groups as expected within the relevant framework. There are many strategies that are readily available and can be implemented as a whole school, classroom or individual approach in order to support learners of all abilities, race, gender, ethnicities and cultural background to overcome their educational barriers and succeed in the primary national curriculum.</w:t>
      </w:r>
    </w:p>
    <w:p>
      <w:pPr>
        <w:pStyle w:val="Body"/>
        <w:bidi w:val="0"/>
        <w:spacing w:after="264"/>
        <w:ind w:left="0" w:right="0" w:firstLine="0"/>
        <w:jc w:val="left"/>
        <w:rPr>
          <w:rFonts w:ascii="Cambria" w:cs="Cambria" w:hAnsi="Cambria" w:eastAsia="Cambria"/>
          <w:sz w:val="24"/>
          <w:szCs w:val="24"/>
          <w:u w:color="000000"/>
          <w:rtl w:val="0"/>
        </w:rPr>
      </w:pPr>
      <w:r>
        <w:rPr>
          <w:rFonts w:ascii="Cambria" w:cs="Cambria" w:hAnsi="Cambria" w:eastAsia="Cambria"/>
          <w:sz w:val="24"/>
          <w:szCs w:val="24"/>
          <w:u w:color="000000"/>
          <w:rtl w:val="0"/>
          <w:lang w:val="en-US"/>
        </w:rPr>
        <w:t>References</w:t>
      </w:r>
    </w:p>
    <w:p>
      <w:pPr>
        <w:pStyle w:val="Body"/>
        <w:bidi w:val="0"/>
        <w:spacing w:after="336"/>
        <w:ind w:left="0" w:right="0" w:firstLine="0"/>
        <w:jc w:val="left"/>
        <w:rPr>
          <w:rFonts w:ascii="Cambria" w:cs="Cambria" w:hAnsi="Cambria" w:eastAsia="Cambria"/>
          <w:sz w:val="24"/>
          <w:szCs w:val="24"/>
          <w:u w:color="000000"/>
          <w:rtl w:val="0"/>
        </w:rPr>
      </w:pPr>
      <w:r>
        <w:rPr>
          <w:rFonts w:ascii="Cambria" w:cs="Cambria" w:hAnsi="Cambria" w:eastAsia="Cambria"/>
          <w:sz w:val="24"/>
          <w:szCs w:val="24"/>
          <w:u w:color="000000"/>
          <w:rtl w:val="0"/>
        </w:rPr>
        <w:t xml:space="preserve">Autism.org.uk. (2017). </w:t>
      </w:r>
      <w:r>
        <w:rPr>
          <w:rFonts w:ascii="Cambria" w:cs="Cambria" w:hAnsi="Cambria" w:eastAsia="Cambria"/>
          <w:i w:val="1"/>
          <w:iCs w:val="1"/>
          <w:sz w:val="24"/>
          <w:szCs w:val="24"/>
          <w:u w:color="000000"/>
          <w:rtl w:val="0"/>
          <w:lang w:val="en-US"/>
        </w:rPr>
        <w:t>National Autistic Society - statistics</w:t>
      </w:r>
      <w:r>
        <w:rPr>
          <w:rFonts w:ascii="Cambria" w:cs="Cambria" w:hAnsi="Cambria" w:eastAsia="Cambria"/>
          <w:sz w:val="24"/>
          <w:szCs w:val="24"/>
          <w:u w:color="000000"/>
          <w:rtl w:val="0"/>
          <w:lang w:val="en-US"/>
        </w:rPr>
        <w:t>. [online] Available at: http://www.autism.org.uk/about/what-is/myths-facts-stats.aspx [Accessed 1 Dec. 2017].</w:t>
      </w:r>
    </w:p>
    <w:p>
      <w:pPr>
        <w:pStyle w:val="Body"/>
        <w:bidi w:val="0"/>
        <w:spacing w:after="336"/>
        <w:ind w:left="0" w:right="0" w:firstLine="0"/>
        <w:jc w:val="left"/>
        <w:rPr>
          <w:rFonts w:ascii="Cambria" w:cs="Cambria" w:hAnsi="Cambria" w:eastAsia="Cambria"/>
          <w:sz w:val="24"/>
          <w:szCs w:val="24"/>
          <w:u w:color="000000"/>
          <w:rtl w:val="0"/>
        </w:rPr>
      </w:pPr>
      <w:r>
        <w:rPr>
          <w:rFonts w:ascii="Cambria" w:cs="Cambria" w:hAnsi="Cambria" w:eastAsia="Cambria"/>
          <w:sz w:val="24"/>
          <w:szCs w:val="24"/>
          <w:u w:color="000000"/>
          <w:rtl w:val="0"/>
        </w:rPr>
        <w:t xml:space="preserve">Cheminais, R. (2006). </w:t>
      </w:r>
      <w:r>
        <w:rPr>
          <w:rFonts w:ascii="Cambria" w:cs="Cambria" w:hAnsi="Cambria" w:eastAsia="Cambria"/>
          <w:i w:val="1"/>
          <w:iCs w:val="1"/>
          <w:sz w:val="24"/>
          <w:szCs w:val="24"/>
          <w:u w:color="000000"/>
          <w:rtl w:val="0"/>
          <w:lang w:val="en-US"/>
        </w:rPr>
        <w:t>Every child matters</w:t>
      </w:r>
      <w:r>
        <w:rPr>
          <w:rFonts w:ascii="Cambria" w:cs="Cambria" w:hAnsi="Cambria" w:eastAsia="Cambria"/>
          <w:sz w:val="24"/>
          <w:szCs w:val="24"/>
          <w:u w:color="000000"/>
          <w:rtl w:val="0"/>
          <w:lang w:val="en-US"/>
        </w:rPr>
        <w:t>. 1st ed. Oxon: Routledge.</w:t>
      </w:r>
    </w:p>
    <w:p>
      <w:pPr>
        <w:pStyle w:val="Body"/>
        <w:bidi w:val="0"/>
        <w:spacing w:after="336"/>
        <w:ind w:left="0" w:right="0" w:firstLine="0"/>
        <w:jc w:val="left"/>
        <w:rPr>
          <w:rFonts w:ascii="Cambria" w:cs="Cambria" w:hAnsi="Cambria" w:eastAsia="Cambria"/>
          <w:sz w:val="24"/>
          <w:szCs w:val="24"/>
          <w:u w:color="000000"/>
          <w:rtl w:val="0"/>
        </w:rPr>
      </w:pPr>
      <w:r>
        <w:rPr>
          <w:rFonts w:ascii="Cambria" w:cs="Cambria" w:hAnsi="Cambria" w:eastAsia="Cambria"/>
          <w:sz w:val="24"/>
          <w:szCs w:val="24"/>
          <w:u w:color="000000"/>
          <w:rtl w:val="0"/>
          <w:lang w:val="en-US"/>
        </w:rPr>
        <w:t xml:space="preserve">Cole, M. ed., (2012). </w:t>
      </w:r>
      <w:r>
        <w:rPr>
          <w:rFonts w:ascii="Cambria" w:cs="Cambria" w:hAnsi="Cambria" w:eastAsia="Cambria"/>
          <w:i w:val="1"/>
          <w:iCs w:val="1"/>
          <w:sz w:val="24"/>
          <w:szCs w:val="24"/>
          <w:u w:color="000000"/>
          <w:rtl w:val="0"/>
          <w:lang w:val="en-US"/>
        </w:rPr>
        <w:t>Education, Equality and Human Rights</w:t>
      </w:r>
      <w:r>
        <w:rPr>
          <w:rFonts w:ascii="Cambria" w:cs="Cambria" w:hAnsi="Cambria" w:eastAsia="Cambria"/>
          <w:sz w:val="24"/>
          <w:szCs w:val="24"/>
          <w:u w:color="000000"/>
          <w:rtl w:val="0"/>
          <w:lang w:val="en-US"/>
        </w:rPr>
        <w:t>. 3rd ed. London: Routledge.</w:t>
      </w:r>
    </w:p>
    <w:p>
      <w:pPr>
        <w:pStyle w:val="Body"/>
        <w:bidi w:val="0"/>
        <w:spacing w:after="336"/>
        <w:ind w:left="0" w:right="0" w:firstLine="0"/>
        <w:jc w:val="left"/>
        <w:rPr>
          <w:rFonts w:ascii="Cambria" w:cs="Cambria" w:hAnsi="Cambria" w:eastAsia="Cambria"/>
          <w:sz w:val="24"/>
          <w:szCs w:val="24"/>
          <w:u w:color="000000"/>
          <w:rtl w:val="0"/>
        </w:rPr>
      </w:pPr>
      <w:r>
        <w:rPr>
          <w:rFonts w:ascii="Cambria" w:cs="Cambria" w:hAnsi="Cambria" w:eastAsia="Cambria"/>
          <w:sz w:val="24"/>
          <w:szCs w:val="24"/>
          <w:u w:color="000000"/>
          <w:rtl w:val="0"/>
          <w:lang w:val="en-US"/>
        </w:rPr>
        <w:t>Convention on the Rights of the Child. (1989). [ebook] UNICEF, pp.8-11. Available at: http://www.unicef.org.uk/wp-content/uploads/2010/05/UNCRC_PRESS200910web.pdf [Accessed 1 Dec. 2017].</w:t>
      </w:r>
    </w:p>
    <w:p>
      <w:pPr>
        <w:pStyle w:val="Body"/>
        <w:bidi w:val="0"/>
        <w:spacing w:after="336"/>
        <w:ind w:left="0" w:right="0" w:firstLine="0"/>
        <w:jc w:val="left"/>
        <w:rPr>
          <w:rFonts w:ascii="Cambria" w:cs="Cambria" w:hAnsi="Cambria" w:eastAsia="Cambria"/>
          <w:sz w:val="24"/>
          <w:szCs w:val="24"/>
          <w:u w:color="000000"/>
          <w:rtl w:val="0"/>
        </w:rPr>
      </w:pPr>
      <w:r>
        <w:rPr>
          <w:rFonts w:ascii="Cambria" w:cs="Cambria" w:hAnsi="Cambria" w:eastAsia="Cambria"/>
          <w:sz w:val="24"/>
          <w:szCs w:val="24"/>
          <w:u w:color="000000"/>
          <w:rtl w:val="0"/>
          <w:lang w:val="en-US"/>
        </w:rPr>
        <w:t xml:space="preserve">Cox, T. ed., (2000). </w:t>
      </w:r>
      <w:r>
        <w:rPr>
          <w:rFonts w:ascii="Cambria" w:cs="Cambria" w:hAnsi="Cambria" w:eastAsia="Cambria"/>
          <w:i w:val="1"/>
          <w:iCs w:val="1"/>
          <w:sz w:val="24"/>
          <w:szCs w:val="24"/>
          <w:u w:color="000000"/>
          <w:rtl w:val="0"/>
          <w:lang w:val="en-US"/>
        </w:rPr>
        <w:t>Combating Educational Disadvantage</w:t>
      </w:r>
      <w:r>
        <w:rPr>
          <w:rFonts w:ascii="Cambria" w:cs="Cambria" w:hAnsi="Cambria" w:eastAsia="Cambria"/>
          <w:sz w:val="24"/>
          <w:szCs w:val="24"/>
          <w:u w:color="000000"/>
          <w:rtl w:val="0"/>
          <w:lang w:val="en-US"/>
        </w:rPr>
        <w:t>. 1st ed. London: Falmer Press.</w:t>
      </w:r>
    </w:p>
    <w:p>
      <w:pPr>
        <w:pStyle w:val="Body"/>
        <w:bidi w:val="0"/>
        <w:spacing w:after="336"/>
        <w:ind w:left="0" w:right="0" w:firstLine="0"/>
        <w:jc w:val="left"/>
        <w:rPr>
          <w:rFonts w:ascii="Cambria" w:cs="Cambria" w:hAnsi="Cambria" w:eastAsia="Cambria"/>
          <w:sz w:val="24"/>
          <w:szCs w:val="24"/>
          <w:u w:color="000000"/>
          <w:rtl w:val="0"/>
        </w:rPr>
      </w:pPr>
      <w:r>
        <w:rPr>
          <w:rFonts w:ascii="Cambria" w:cs="Cambria" w:hAnsi="Cambria" w:eastAsia="Cambria"/>
          <w:sz w:val="24"/>
          <w:szCs w:val="24"/>
          <w:u w:color="000000"/>
          <w:rtl w:val="0"/>
          <w:lang w:val="en-US"/>
        </w:rPr>
        <w:t xml:space="preserve">Department for children, schools and families (2009). </w:t>
      </w:r>
      <w:r>
        <w:rPr>
          <w:rFonts w:ascii="Cambria" w:cs="Cambria" w:hAnsi="Cambria" w:eastAsia="Cambria"/>
          <w:i w:val="1"/>
          <w:iCs w:val="1"/>
          <w:sz w:val="24"/>
          <w:szCs w:val="24"/>
          <w:u w:color="000000"/>
          <w:rtl w:val="0"/>
          <w:lang w:val="en-US"/>
        </w:rPr>
        <w:t>United Nations Convention on the Rights of the Child: Priorities for action</w:t>
      </w:r>
      <w:r>
        <w:rPr>
          <w:rFonts w:ascii="Cambria" w:cs="Cambria" w:hAnsi="Cambria" w:eastAsia="Cambria"/>
          <w:sz w:val="24"/>
          <w:szCs w:val="24"/>
          <w:u w:color="000000"/>
          <w:rtl w:val="0"/>
          <w:lang w:val="en-US"/>
        </w:rPr>
        <w:t>. Nottingham: Department for Children, Schools and Families Publications.</w:t>
      </w:r>
    </w:p>
    <w:p>
      <w:pPr>
        <w:pStyle w:val="Body"/>
        <w:bidi w:val="0"/>
        <w:spacing w:after="336"/>
        <w:ind w:left="0" w:right="0" w:firstLine="0"/>
        <w:jc w:val="left"/>
        <w:rPr>
          <w:rFonts w:ascii="Cambria" w:cs="Cambria" w:hAnsi="Cambria" w:eastAsia="Cambria"/>
          <w:sz w:val="24"/>
          <w:szCs w:val="24"/>
          <w:u w:color="000000"/>
          <w:rtl w:val="0"/>
        </w:rPr>
      </w:pPr>
      <w:r>
        <w:rPr>
          <w:rFonts w:ascii="Cambria" w:cs="Cambria" w:hAnsi="Cambria" w:eastAsia="Cambria"/>
          <w:sz w:val="24"/>
          <w:szCs w:val="24"/>
          <w:u w:color="000000"/>
          <w:rtl w:val="0"/>
          <w:lang w:val="en-US"/>
        </w:rPr>
        <w:t xml:space="preserve">Department for Education (1998). </w:t>
      </w:r>
      <w:r>
        <w:rPr>
          <w:rFonts w:ascii="Cambria" w:cs="Cambria" w:hAnsi="Cambria" w:eastAsia="Cambria"/>
          <w:i w:val="1"/>
          <w:iCs w:val="1"/>
          <w:sz w:val="24"/>
          <w:szCs w:val="24"/>
          <w:u w:color="000000"/>
          <w:rtl w:val="0"/>
          <w:lang w:val="en-US"/>
        </w:rPr>
        <w:t>Educational Interventions for Children With Autism: A Literature Review of Recent And Current Research</w:t>
      </w:r>
      <w:r>
        <w:rPr>
          <w:rFonts w:ascii="Cambria" w:cs="Cambria" w:hAnsi="Cambria" w:eastAsia="Cambria"/>
          <w:sz w:val="24"/>
          <w:szCs w:val="24"/>
          <w:u w:color="000000"/>
          <w:rtl w:val="0"/>
          <w:lang w:val="en-US"/>
        </w:rPr>
        <w:t>. [online] Norwich: The Stationery Office. Available at: http://dera.ioe.ac.uk/15770/1/RR77.pdf [Accessed 30 Nov. 2017].</w:t>
      </w:r>
    </w:p>
    <w:p>
      <w:pPr>
        <w:pStyle w:val="Body"/>
        <w:bidi w:val="0"/>
        <w:spacing w:after="336"/>
        <w:ind w:left="0" w:right="0" w:firstLine="0"/>
        <w:jc w:val="left"/>
        <w:rPr>
          <w:rFonts w:ascii="Cambria" w:cs="Cambria" w:hAnsi="Cambria" w:eastAsia="Cambria"/>
          <w:sz w:val="24"/>
          <w:szCs w:val="24"/>
          <w:u w:color="000000"/>
          <w:rtl w:val="0"/>
        </w:rPr>
      </w:pPr>
      <w:r>
        <w:rPr>
          <w:rFonts w:ascii="Cambria" w:cs="Cambria" w:hAnsi="Cambria" w:eastAsia="Cambria"/>
          <w:sz w:val="24"/>
          <w:szCs w:val="24"/>
          <w:u w:color="000000"/>
          <w:rtl w:val="0"/>
          <w:lang w:val="en-US"/>
        </w:rPr>
        <w:t xml:space="preserve">Department for Education (2013). </w:t>
      </w:r>
      <w:r>
        <w:rPr>
          <w:rFonts w:ascii="Cambria" w:cs="Cambria" w:hAnsi="Cambria" w:eastAsia="Cambria"/>
          <w:i w:val="1"/>
          <w:iCs w:val="1"/>
          <w:sz w:val="24"/>
          <w:szCs w:val="24"/>
          <w:u w:color="000000"/>
          <w:rtl w:val="0"/>
          <w:lang w:val="en-US"/>
        </w:rPr>
        <w:t>The national curriculum in England Key stages 1 and 2 framework document</w:t>
      </w:r>
      <w:r>
        <w:rPr>
          <w:rFonts w:ascii="Cambria" w:cs="Cambria" w:hAnsi="Cambria" w:eastAsia="Cambria"/>
          <w:sz w:val="24"/>
          <w:szCs w:val="24"/>
          <w:u w:color="000000"/>
          <w:rtl w:val="0"/>
          <w:lang w:val="en-US"/>
        </w:rPr>
        <w:t>. department for Education.</w:t>
      </w:r>
    </w:p>
    <w:p>
      <w:pPr>
        <w:pStyle w:val="Body"/>
        <w:bidi w:val="0"/>
        <w:spacing w:after="336"/>
        <w:ind w:left="0" w:right="0" w:firstLine="0"/>
        <w:jc w:val="left"/>
        <w:rPr>
          <w:rFonts w:ascii="Cambria" w:cs="Cambria" w:hAnsi="Cambria" w:eastAsia="Cambria"/>
          <w:sz w:val="24"/>
          <w:szCs w:val="24"/>
          <w:u w:color="000000"/>
          <w:rtl w:val="0"/>
        </w:rPr>
      </w:pPr>
      <w:r>
        <w:rPr>
          <w:rFonts w:ascii="Cambria" w:cs="Cambria" w:hAnsi="Cambria" w:eastAsia="Cambria"/>
          <w:sz w:val="24"/>
          <w:szCs w:val="24"/>
          <w:u w:color="000000"/>
          <w:rtl w:val="0"/>
          <w:lang w:val="en-US"/>
        </w:rPr>
        <w:t xml:space="preserve">Department for Education (2014). </w:t>
      </w:r>
      <w:r>
        <w:rPr>
          <w:rFonts w:ascii="Cambria" w:cs="Cambria" w:hAnsi="Cambria" w:eastAsia="Cambria"/>
          <w:i w:val="1"/>
          <w:iCs w:val="1"/>
          <w:sz w:val="24"/>
          <w:szCs w:val="24"/>
          <w:u w:color="000000"/>
          <w:rtl w:val="0"/>
          <w:lang w:val="en-US"/>
        </w:rPr>
        <w:t>National curriculum in England: framework for key stages 1 to 4</w:t>
      </w:r>
      <w:r>
        <w:rPr>
          <w:rFonts w:ascii="Cambria" w:cs="Cambria" w:hAnsi="Cambria" w:eastAsia="Cambria"/>
          <w:sz w:val="24"/>
          <w:szCs w:val="24"/>
          <w:u w:color="000000"/>
          <w:rtl w:val="0"/>
          <w:lang w:val="en-US"/>
        </w:rPr>
        <w:t>. Department for Education, p.9.</w:t>
      </w:r>
    </w:p>
    <w:p>
      <w:pPr>
        <w:pStyle w:val="Body"/>
        <w:bidi w:val="0"/>
        <w:spacing w:after="336"/>
        <w:ind w:left="0" w:right="0" w:firstLine="0"/>
        <w:jc w:val="left"/>
        <w:rPr>
          <w:rFonts w:ascii="Cambria" w:cs="Cambria" w:hAnsi="Cambria" w:eastAsia="Cambria"/>
          <w:sz w:val="24"/>
          <w:szCs w:val="24"/>
          <w:u w:color="000000"/>
          <w:rtl w:val="0"/>
        </w:rPr>
      </w:pPr>
      <w:r>
        <w:rPr>
          <w:rFonts w:ascii="Cambria" w:cs="Cambria" w:hAnsi="Cambria" w:eastAsia="Cambria"/>
          <w:sz w:val="24"/>
          <w:szCs w:val="24"/>
          <w:u w:color="000000"/>
          <w:rtl w:val="0"/>
          <w:lang w:val="en-US"/>
        </w:rPr>
        <w:t xml:space="preserve">Dyson, A., Farrell, P., Polat, F., Hutcheson, G. and Gallannaugh, F. (2004). </w:t>
      </w:r>
      <w:r>
        <w:rPr>
          <w:rFonts w:ascii="Cambria" w:cs="Cambria" w:hAnsi="Cambria" w:eastAsia="Cambria"/>
          <w:i w:val="1"/>
          <w:iCs w:val="1"/>
          <w:sz w:val="24"/>
          <w:szCs w:val="24"/>
          <w:u w:color="000000"/>
          <w:rtl w:val="0"/>
          <w:lang w:val="en-US"/>
        </w:rPr>
        <w:t>Inclusion and Pupil Achievement</w:t>
      </w:r>
      <w:r>
        <w:rPr>
          <w:rFonts w:ascii="Cambria" w:cs="Cambria" w:hAnsi="Cambria" w:eastAsia="Cambria"/>
          <w:sz w:val="24"/>
          <w:szCs w:val="24"/>
          <w:u w:color="000000"/>
          <w:rtl w:val="0"/>
          <w:lang w:val="en-US"/>
        </w:rPr>
        <w:t>. [ebook] Newcastle: University of Newcastle. Available at: http://webarchive.nationalarchives.gov.uk/20130402121316/https://www.education.gov.uk/publications/eOrderingDownload/RR578.pdf [Accessed 1 Dec. 2017].</w:t>
      </w:r>
    </w:p>
    <w:p>
      <w:pPr>
        <w:pStyle w:val="Body"/>
        <w:bidi w:val="0"/>
        <w:spacing w:after="336"/>
        <w:ind w:left="0" w:right="0" w:firstLine="0"/>
        <w:jc w:val="left"/>
        <w:rPr>
          <w:rFonts w:ascii="Cambria" w:cs="Cambria" w:hAnsi="Cambria" w:eastAsia="Cambria"/>
          <w:sz w:val="24"/>
          <w:szCs w:val="24"/>
          <w:u w:color="000000"/>
          <w:rtl w:val="0"/>
        </w:rPr>
      </w:pPr>
      <w:r>
        <w:rPr>
          <w:rFonts w:ascii="Cambria" w:cs="Cambria" w:hAnsi="Cambria" w:eastAsia="Cambria"/>
          <w:sz w:val="24"/>
          <w:szCs w:val="24"/>
          <w:u w:color="000000"/>
          <w:rtl w:val="0"/>
          <w:lang w:val="en-US"/>
        </w:rPr>
        <w:t>Equality Act 2010. (2010). The Stationery Office Limited.</w:t>
      </w:r>
    </w:p>
    <w:p>
      <w:pPr>
        <w:pStyle w:val="Body"/>
        <w:bidi w:val="0"/>
        <w:spacing w:after="336"/>
        <w:ind w:left="0" w:right="0" w:firstLine="0"/>
        <w:jc w:val="left"/>
        <w:rPr>
          <w:rFonts w:ascii="Cambria" w:cs="Cambria" w:hAnsi="Cambria" w:eastAsia="Cambria"/>
          <w:sz w:val="24"/>
          <w:szCs w:val="24"/>
          <w:u w:color="000000"/>
          <w:rtl w:val="0"/>
        </w:rPr>
      </w:pPr>
      <w:r>
        <w:rPr>
          <w:rFonts w:ascii="Cambria" w:cs="Cambria" w:hAnsi="Cambria" w:eastAsia="Cambria"/>
          <w:sz w:val="24"/>
          <w:szCs w:val="24"/>
          <w:u w:color="000000"/>
          <w:rtl w:val="0"/>
          <w:lang w:val="en-US"/>
        </w:rPr>
        <w:t xml:space="preserve">House of Commons (2009). </w:t>
      </w:r>
      <w:r>
        <w:rPr>
          <w:rFonts w:ascii="Cambria" w:cs="Cambria" w:hAnsi="Cambria" w:eastAsia="Cambria"/>
          <w:i w:val="1"/>
          <w:iCs w:val="1"/>
          <w:sz w:val="24"/>
          <w:szCs w:val="24"/>
          <w:u w:color="000000"/>
          <w:rtl w:val="0"/>
          <w:lang w:val="en-US"/>
        </w:rPr>
        <w:t>National Curriculum: Fourth Report of Session 2008</w:t>
      </w:r>
      <w:r>
        <w:rPr>
          <w:rFonts w:ascii="Cambria" w:cs="Cambria" w:hAnsi="Cambria" w:eastAsia="Cambria" w:hint="default"/>
          <w:i w:val="1"/>
          <w:iCs w:val="1"/>
          <w:sz w:val="24"/>
          <w:szCs w:val="24"/>
          <w:u w:color="000000"/>
          <w:rtl w:val="0"/>
          <w:lang w:val="en-US"/>
        </w:rPr>
        <w:t>–</w:t>
      </w:r>
      <w:r>
        <w:rPr>
          <w:rFonts w:ascii="Cambria" w:cs="Cambria" w:hAnsi="Cambria" w:eastAsia="Cambria"/>
          <w:i w:val="1"/>
          <w:iCs w:val="1"/>
          <w:sz w:val="24"/>
          <w:szCs w:val="24"/>
          <w:u w:color="000000"/>
          <w:rtl w:val="0"/>
        </w:rPr>
        <w:t>09</w:t>
      </w:r>
      <w:r>
        <w:rPr>
          <w:rFonts w:ascii="Cambria" w:cs="Cambria" w:hAnsi="Cambria" w:eastAsia="Cambria"/>
          <w:sz w:val="24"/>
          <w:szCs w:val="24"/>
          <w:u w:color="000000"/>
          <w:rtl w:val="0"/>
          <w:lang w:val="en-US"/>
        </w:rPr>
        <w:t>. London: The Stationery Office Limited.</w:t>
      </w:r>
    </w:p>
    <w:p>
      <w:pPr>
        <w:pStyle w:val="Body"/>
        <w:bidi w:val="0"/>
        <w:spacing w:after="336"/>
        <w:ind w:left="0" w:right="0" w:firstLine="0"/>
        <w:jc w:val="left"/>
        <w:rPr>
          <w:rFonts w:ascii="Cambria" w:cs="Cambria" w:hAnsi="Cambria" w:eastAsia="Cambria"/>
          <w:sz w:val="24"/>
          <w:szCs w:val="24"/>
          <w:u w:color="000000"/>
          <w:rtl w:val="0"/>
        </w:rPr>
      </w:pPr>
      <w:r>
        <w:rPr>
          <w:rFonts w:ascii="Cambria" w:cs="Cambria" w:hAnsi="Cambria" w:eastAsia="Cambria"/>
          <w:sz w:val="24"/>
          <w:szCs w:val="24"/>
          <w:u w:color="000000"/>
          <w:rtl w:val="0"/>
        </w:rPr>
        <w:t xml:space="preserve">Kalyva, E. (2011). </w:t>
      </w:r>
      <w:r>
        <w:rPr>
          <w:rFonts w:ascii="Cambria" w:cs="Cambria" w:hAnsi="Cambria" w:eastAsia="Cambria"/>
          <w:i w:val="1"/>
          <w:iCs w:val="1"/>
          <w:sz w:val="24"/>
          <w:szCs w:val="24"/>
          <w:u w:color="000000"/>
          <w:rtl w:val="0"/>
          <w:lang w:val="en-US"/>
        </w:rPr>
        <w:t>Autism: Educational and Therapeutic Approaches</w:t>
      </w:r>
      <w:r>
        <w:rPr>
          <w:rFonts w:ascii="Cambria" w:cs="Cambria" w:hAnsi="Cambria" w:eastAsia="Cambria"/>
          <w:sz w:val="24"/>
          <w:szCs w:val="24"/>
          <w:u w:color="000000"/>
          <w:rtl w:val="0"/>
        </w:rPr>
        <w:t>. London: SAGE.</w:t>
      </w:r>
    </w:p>
    <w:p>
      <w:pPr>
        <w:pStyle w:val="List Paragraph"/>
        <w:bidi w:val="0"/>
        <w:spacing w:after="160" w:line="360" w:lineRule="auto"/>
        <w:ind w:left="0" w:right="0" w:firstLine="0"/>
        <w:jc w:val="left"/>
        <w:rPr>
          <w:rFonts w:ascii="Arial" w:cs="Arial" w:hAnsi="Arial" w:eastAsia="Arial"/>
          <w:sz w:val="24"/>
          <w:szCs w:val="24"/>
          <w:rtl w:val="0"/>
        </w:rPr>
      </w:pPr>
      <w:r>
        <w:rPr>
          <w:rFonts w:ascii="Arial" w:hAnsi="Arial"/>
          <w:sz w:val="24"/>
          <w:szCs w:val="24"/>
          <w:rtl w:val="0"/>
          <w:lang w:val="en-US"/>
        </w:rPr>
        <w:t xml:space="preserve">Keen, D. &amp; Ward, S. (2004) </w:t>
      </w:r>
      <w:r>
        <w:rPr>
          <w:rFonts w:ascii="Arial" w:hAnsi="Arial" w:hint="default"/>
          <w:sz w:val="24"/>
          <w:szCs w:val="24"/>
          <w:rtl w:val="0"/>
          <w:lang w:val="en-US"/>
        </w:rPr>
        <w:t>‘</w:t>
      </w:r>
      <w:r>
        <w:rPr>
          <w:rFonts w:ascii="Arial" w:hAnsi="Arial"/>
          <w:sz w:val="24"/>
          <w:szCs w:val="24"/>
          <w:rtl w:val="0"/>
          <w:lang w:val="en-US"/>
        </w:rPr>
        <w:t>Autistic spectrum disorder:</w:t>
      </w:r>
      <w:r>
        <w:rPr>
          <w:rFonts w:ascii="Arial" w:hAnsi="Arial"/>
          <w:sz w:val="24"/>
          <w:szCs w:val="24"/>
          <w:rtl w:val="0"/>
          <w:lang w:val="en-US"/>
        </w:rPr>
        <w:t xml:space="preserve"> </w:t>
      </w:r>
      <w:r>
        <w:rPr>
          <w:rFonts w:ascii="Arial" w:hAnsi="Arial"/>
          <w:sz w:val="24"/>
          <w:szCs w:val="24"/>
          <w:rtl w:val="0"/>
          <w:lang w:val="en-US"/>
        </w:rPr>
        <w:t>a child population profile.</w:t>
      </w:r>
      <w:r>
        <w:rPr>
          <w:rFonts w:ascii="Arial" w:hAnsi="Arial" w:hint="default"/>
          <w:sz w:val="24"/>
          <w:szCs w:val="24"/>
          <w:rtl w:val="0"/>
          <w:lang w:val="en-US"/>
        </w:rPr>
        <w:t xml:space="preserve">’ </w:t>
      </w:r>
    </w:p>
    <w:p>
      <w:pPr>
        <w:pStyle w:val="Body"/>
        <w:bidi w:val="0"/>
        <w:spacing w:after="336"/>
        <w:ind w:left="0" w:right="0" w:firstLine="0"/>
        <w:jc w:val="left"/>
        <w:rPr>
          <w:rFonts w:ascii="Cambria" w:cs="Cambria" w:hAnsi="Cambria" w:eastAsia="Cambria"/>
          <w:sz w:val="24"/>
          <w:szCs w:val="24"/>
          <w:u w:color="000000"/>
          <w:rtl w:val="0"/>
        </w:rPr>
      </w:pPr>
      <w:r>
        <w:rPr>
          <w:rFonts w:ascii="Cambria" w:cs="Cambria" w:hAnsi="Cambria" w:eastAsia="Cambria"/>
          <w:sz w:val="24"/>
          <w:szCs w:val="24"/>
          <w:u w:color="000000"/>
          <w:rtl w:val="0"/>
          <w:lang w:val="en-US"/>
        </w:rPr>
        <w:t xml:space="preserve">Potter, F. and Darbyshire, C. (2005). </w:t>
      </w:r>
      <w:r>
        <w:rPr>
          <w:rFonts w:ascii="Cambria" w:cs="Cambria" w:hAnsi="Cambria" w:eastAsia="Cambria"/>
          <w:i w:val="1"/>
          <w:iCs w:val="1"/>
          <w:sz w:val="24"/>
          <w:szCs w:val="24"/>
          <w:u w:color="000000"/>
          <w:rtl w:val="0"/>
          <w:lang w:val="en-US"/>
        </w:rPr>
        <w:t>Understanding and Teaching the ICT National Curriculum Primary</w:t>
      </w:r>
      <w:r>
        <w:rPr>
          <w:rFonts w:ascii="Cambria" w:cs="Cambria" w:hAnsi="Cambria" w:eastAsia="Cambria"/>
          <w:sz w:val="24"/>
          <w:szCs w:val="24"/>
          <w:u w:color="000000"/>
          <w:rtl w:val="0"/>
          <w:lang w:val="en-US"/>
        </w:rPr>
        <w:t>. 1st ed. London: David Fulton Publishers, p.13.</w:t>
      </w:r>
    </w:p>
    <w:p>
      <w:pPr>
        <w:pStyle w:val="Body"/>
        <w:bidi w:val="0"/>
        <w:spacing w:after="336"/>
        <w:ind w:left="0" w:right="0" w:firstLine="0"/>
        <w:jc w:val="left"/>
        <w:rPr>
          <w:rFonts w:ascii="Cambria" w:cs="Cambria" w:hAnsi="Cambria" w:eastAsia="Cambria"/>
          <w:sz w:val="24"/>
          <w:szCs w:val="24"/>
          <w:u w:color="000000"/>
          <w:rtl w:val="0"/>
        </w:rPr>
      </w:pPr>
      <w:r>
        <w:rPr>
          <w:rFonts w:ascii="Cambria" w:cs="Cambria" w:hAnsi="Cambria" w:eastAsia="Cambria"/>
          <w:sz w:val="24"/>
          <w:szCs w:val="24"/>
          <w:u w:color="000000"/>
          <w:rtl w:val="0"/>
          <w:lang w:val="en-US"/>
        </w:rPr>
        <w:t xml:space="preserve">Richardson, R. and Wood, A. (2000). </w:t>
      </w:r>
      <w:r>
        <w:rPr>
          <w:rFonts w:ascii="Cambria" w:cs="Cambria" w:hAnsi="Cambria" w:eastAsia="Cambria"/>
          <w:i w:val="1"/>
          <w:iCs w:val="1"/>
          <w:sz w:val="24"/>
          <w:szCs w:val="24"/>
          <w:u w:color="000000"/>
          <w:rtl w:val="0"/>
          <w:lang w:val="en-US"/>
        </w:rPr>
        <w:t>Inclusive Schools, Inclusive Society</w:t>
      </w:r>
      <w:r>
        <w:rPr>
          <w:rFonts w:ascii="Cambria" w:cs="Cambria" w:hAnsi="Cambria" w:eastAsia="Cambria"/>
          <w:sz w:val="24"/>
          <w:szCs w:val="24"/>
          <w:u w:color="000000"/>
          <w:rtl w:val="0"/>
          <w:lang w:val="en-US"/>
        </w:rPr>
        <w:t>. Staffordshire: Trentham Books Limited.</w:t>
      </w:r>
    </w:p>
    <w:p>
      <w:pPr>
        <w:pStyle w:val="Body"/>
        <w:bidi w:val="0"/>
        <w:spacing w:after="336"/>
        <w:ind w:left="0" w:right="0" w:firstLine="0"/>
        <w:jc w:val="left"/>
        <w:rPr>
          <w:rFonts w:ascii="Cambria" w:cs="Cambria" w:hAnsi="Cambria" w:eastAsia="Cambria"/>
          <w:sz w:val="24"/>
          <w:szCs w:val="24"/>
          <w:u w:color="000000"/>
          <w:rtl w:val="0"/>
        </w:rPr>
      </w:pPr>
      <w:r>
        <w:rPr>
          <w:rFonts w:ascii="Cambria" w:cs="Cambria" w:hAnsi="Cambria" w:eastAsia="Cambria"/>
          <w:sz w:val="24"/>
          <w:szCs w:val="24"/>
          <w:u w:color="000000"/>
          <w:rtl w:val="0"/>
          <w:lang w:val="en-US"/>
        </w:rPr>
        <w:t xml:space="preserve">Sharma, K. and Mahapatra, B. (2008). </w:t>
      </w:r>
      <w:r>
        <w:rPr>
          <w:rFonts w:ascii="Cambria" w:cs="Cambria" w:hAnsi="Cambria" w:eastAsia="Cambria"/>
          <w:i w:val="1"/>
          <w:iCs w:val="1"/>
          <w:sz w:val="24"/>
          <w:szCs w:val="24"/>
          <w:u w:color="000000"/>
          <w:rtl w:val="0"/>
          <w:lang w:val="en-US"/>
        </w:rPr>
        <w:t>Emerging Trends in Inclusive Education</w:t>
      </w:r>
      <w:r>
        <w:rPr>
          <w:rFonts w:ascii="Cambria" w:cs="Cambria" w:hAnsi="Cambria" w:eastAsia="Cambria"/>
          <w:sz w:val="24"/>
          <w:szCs w:val="24"/>
          <w:u w:color="000000"/>
          <w:rtl w:val="0"/>
          <w:lang w:val="en-US"/>
        </w:rPr>
        <w:t>. Delhi: IVV Publishing House, p.300.</w:t>
      </w:r>
    </w:p>
    <w:p>
      <w:pPr>
        <w:pStyle w:val="Body"/>
        <w:bidi w:val="0"/>
        <w:spacing w:after="336"/>
        <w:ind w:left="0" w:right="0" w:firstLine="0"/>
        <w:jc w:val="left"/>
        <w:rPr>
          <w:rFonts w:ascii="Cambria" w:cs="Cambria" w:hAnsi="Cambria" w:eastAsia="Cambria"/>
          <w:sz w:val="24"/>
          <w:szCs w:val="24"/>
          <w:u w:color="000000"/>
          <w:rtl w:val="0"/>
        </w:rPr>
      </w:pPr>
      <w:r>
        <w:rPr>
          <w:rFonts w:ascii="Cambria" w:cs="Cambria" w:hAnsi="Cambria" w:eastAsia="Cambria"/>
          <w:sz w:val="24"/>
          <w:szCs w:val="24"/>
          <w:u w:color="000000"/>
          <w:rtl w:val="0"/>
          <w:lang w:val="en-US"/>
        </w:rPr>
        <w:t xml:space="preserve">The Equality and Human Rights Commission (1995). </w:t>
      </w:r>
      <w:r>
        <w:rPr>
          <w:rFonts w:ascii="Cambria" w:cs="Cambria" w:hAnsi="Cambria" w:eastAsia="Cambria"/>
          <w:i w:val="1"/>
          <w:iCs w:val="1"/>
          <w:sz w:val="24"/>
          <w:szCs w:val="24"/>
          <w:u w:color="000000"/>
          <w:rtl w:val="0"/>
          <w:lang w:val="en-US"/>
        </w:rPr>
        <w:t>Disability Discrimination Act</w:t>
      </w:r>
      <w:r>
        <w:rPr>
          <w:rFonts w:ascii="Cambria" w:cs="Cambria" w:hAnsi="Cambria" w:eastAsia="Cambria"/>
          <w:sz w:val="24"/>
          <w:szCs w:val="24"/>
          <w:u w:color="000000"/>
          <w:rtl w:val="0"/>
          <w:lang w:val="en-US"/>
        </w:rPr>
        <w:t>. The Stationery Office.</w:t>
      </w:r>
    </w:p>
    <w:p>
      <w:pPr>
        <w:pStyle w:val="Body"/>
        <w:bidi w:val="0"/>
        <w:spacing w:after="336"/>
        <w:ind w:left="0" w:right="0" w:firstLine="0"/>
        <w:jc w:val="left"/>
        <w:rPr>
          <w:rFonts w:ascii="Cambria" w:cs="Cambria" w:hAnsi="Cambria" w:eastAsia="Cambria"/>
          <w:sz w:val="24"/>
          <w:szCs w:val="24"/>
          <w:u w:color="000000"/>
          <w:rtl w:val="0"/>
        </w:rPr>
      </w:pPr>
      <w:r>
        <w:rPr>
          <w:rFonts w:ascii="Cambria" w:cs="Cambria" w:hAnsi="Cambria" w:eastAsia="Cambria"/>
          <w:sz w:val="24"/>
          <w:szCs w:val="24"/>
          <w:u w:color="000000"/>
          <w:rtl w:val="0"/>
          <w:lang w:val="en-US"/>
        </w:rPr>
        <w:t xml:space="preserve">United Nations (2009). </w:t>
      </w:r>
      <w:r>
        <w:rPr>
          <w:rFonts w:ascii="Cambria" w:cs="Cambria" w:hAnsi="Cambria" w:eastAsia="Cambria"/>
          <w:i w:val="1"/>
          <w:iCs w:val="1"/>
          <w:sz w:val="24"/>
          <w:szCs w:val="24"/>
          <w:u w:color="000000"/>
          <w:rtl w:val="0"/>
        </w:rPr>
        <w:t>CONVENTION ON THE RIGHTS OF PERSONS WITH DISABILITIES</w:t>
      </w:r>
      <w:r>
        <w:rPr>
          <w:rFonts w:ascii="Cambria" w:cs="Cambria" w:hAnsi="Cambria" w:eastAsia="Cambria"/>
          <w:sz w:val="24"/>
          <w:szCs w:val="24"/>
          <w:u w:color="000000"/>
          <w:rtl w:val="0"/>
          <w:lang w:val="en-US"/>
        </w:rPr>
        <w:t>. United Nations.</w:t>
      </w:r>
    </w:p>
    <w:p>
      <w:pPr>
        <w:pStyle w:val="Body"/>
        <w:bidi w:val="0"/>
        <w:spacing w:after="336"/>
        <w:ind w:left="0" w:right="0" w:firstLine="0"/>
        <w:jc w:val="left"/>
        <w:rPr>
          <w:rFonts w:ascii="Cambria" w:cs="Cambria" w:hAnsi="Cambria" w:eastAsia="Cambria"/>
          <w:sz w:val="24"/>
          <w:szCs w:val="24"/>
          <w:u w:color="000000"/>
          <w:rtl w:val="0"/>
        </w:rPr>
      </w:pPr>
      <w:r>
        <w:rPr>
          <w:rFonts w:ascii="Cambria" w:cs="Cambria" w:hAnsi="Cambria" w:eastAsia="Cambria"/>
          <w:sz w:val="24"/>
          <w:szCs w:val="24"/>
          <w:u w:color="000000"/>
          <w:rtl w:val="0"/>
        </w:rPr>
        <w:t xml:space="preserve">Vlachou, A. (1997). </w:t>
      </w:r>
      <w:r>
        <w:rPr>
          <w:rFonts w:ascii="Cambria" w:cs="Cambria" w:hAnsi="Cambria" w:eastAsia="Cambria"/>
          <w:i w:val="1"/>
          <w:iCs w:val="1"/>
          <w:sz w:val="24"/>
          <w:szCs w:val="24"/>
          <w:u w:color="000000"/>
          <w:rtl w:val="0"/>
          <w:lang w:val="en-US"/>
        </w:rPr>
        <w:t>Struggles for inclusive education</w:t>
      </w:r>
      <w:r>
        <w:rPr>
          <w:rFonts w:ascii="Cambria" w:cs="Cambria" w:hAnsi="Cambria" w:eastAsia="Cambria"/>
          <w:sz w:val="24"/>
          <w:szCs w:val="24"/>
          <w:u w:color="000000"/>
          <w:rtl w:val="0"/>
          <w:lang w:val="de-DE"/>
        </w:rPr>
        <w:t>. Buckingham: Open University Press.</w:t>
      </w:r>
    </w:p>
    <w:p>
      <w:pPr>
        <w:pStyle w:val="Body"/>
        <w:bidi w:val="0"/>
        <w:spacing w:after="336"/>
        <w:ind w:left="0" w:right="0" w:firstLine="0"/>
        <w:jc w:val="left"/>
        <w:rPr>
          <w:rFonts w:ascii="Cambria" w:cs="Cambria" w:hAnsi="Cambria" w:eastAsia="Cambria"/>
          <w:sz w:val="24"/>
          <w:szCs w:val="24"/>
          <w:u w:color="000000"/>
          <w:rtl w:val="0"/>
        </w:rPr>
      </w:pPr>
      <w:r>
        <w:rPr>
          <w:rFonts w:ascii="Cambria" w:cs="Cambria" w:hAnsi="Cambria" w:eastAsia="Cambria"/>
          <w:sz w:val="24"/>
          <w:szCs w:val="24"/>
          <w:u w:color="000000"/>
          <w:rtl w:val="0"/>
        </w:rPr>
        <w:t xml:space="preserve">Westwood, P. (2007). </w:t>
      </w:r>
      <w:r>
        <w:rPr>
          <w:rFonts w:ascii="Cambria" w:cs="Cambria" w:hAnsi="Cambria" w:eastAsia="Cambria"/>
          <w:i w:val="1"/>
          <w:iCs w:val="1"/>
          <w:sz w:val="24"/>
          <w:szCs w:val="24"/>
          <w:u w:color="000000"/>
          <w:rtl w:val="0"/>
          <w:lang w:val="en-US"/>
        </w:rPr>
        <w:t>Commonsense Methods for Children with Special Educational Needs</w:t>
      </w:r>
      <w:r>
        <w:rPr>
          <w:rFonts w:ascii="Cambria" w:cs="Cambria" w:hAnsi="Cambria" w:eastAsia="Cambria"/>
          <w:sz w:val="24"/>
          <w:szCs w:val="24"/>
          <w:u w:color="000000"/>
          <w:rtl w:val="0"/>
          <w:lang w:val="en-US"/>
        </w:rPr>
        <w:t>. 5th ed. London: Routledge.</w:t>
      </w:r>
    </w:p>
    <w:p>
      <w:pPr>
        <w:pStyle w:val="List Paragraph"/>
        <w:bidi w:val="0"/>
        <w:spacing w:after="160" w:line="360" w:lineRule="auto"/>
        <w:ind w:left="0" w:right="0" w:firstLine="0"/>
        <w:jc w:val="left"/>
        <w:rPr>
          <w:rtl w:val="0"/>
        </w:rPr>
      </w:pPr>
      <w:r>
        <w:rPr>
          <w:rFonts w:ascii="Arial" w:hAnsi="Arial"/>
          <w:sz w:val="24"/>
          <w:szCs w:val="24"/>
          <w:rtl w:val="0"/>
          <w:lang w:val="en-US"/>
        </w:rPr>
        <w:t>World Summit on the Information Society (2010) Outcomes document. ITU, Geneva,</w:t>
      </w:r>
      <w:r>
        <w:rPr>
          <w:rFonts w:ascii="Arial" w:hAnsi="Arial"/>
          <w:sz w:val="24"/>
          <w:szCs w:val="24"/>
          <w:rtl w:val="0"/>
          <w:lang w:val="en-US"/>
        </w:rPr>
        <w:t xml:space="preserve"> </w:t>
      </w:r>
      <w:r>
        <w:rPr>
          <w:rFonts w:ascii="Arial" w:hAnsi="Arial"/>
          <w:sz w:val="24"/>
          <w:szCs w:val="24"/>
          <w:rtl w:val="0"/>
          <w:lang w:val="en-US"/>
        </w:rPr>
        <w:t xml:space="preserve">Switzerland. </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Calibri">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tabs>
        <w:tab w:val="center" w:pos="4819"/>
        <w:tab w:val="right" w:pos="9638"/>
        <w:tab w:val="clear" w:pos="9020"/>
      </w:tabs>
      <w:jc w:val="left"/>
    </w:pPr>
    <w:r>
      <w:rPr>
        <w:rtl w:val="0"/>
        <w:lang w:val="en-US"/>
      </w:rPr>
      <w:t>P147704</w:t>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lang w:val="en-US"/>
    </w:rPr>
  </w:style>
  <w:style w:type="paragraph" w:styleId="Body Text">
    <w:name w:val="Body Text"/>
    <w:next w:val="Body Text"/>
    <w:pPr>
      <w:keepNext w:val="0"/>
      <w:keepLines w:val="0"/>
      <w:pageBreakBefore w:val="0"/>
      <w:widowControl w:val="1"/>
      <w:shd w:val="clear" w:color="auto" w:fill="auto"/>
      <w:suppressAutoHyphens w:val="0"/>
      <w:bidi w:val="0"/>
      <w:spacing w:before="0" w:after="12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200" w:line="276" w:lineRule="auto"/>
      <w:ind w:left="72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