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1182311"/>
        <w:docPartObj>
          <w:docPartGallery w:val="Cover Pages"/>
          <w:docPartUnique/>
        </w:docPartObj>
      </w:sdtPr>
      <w:sdtContent>
        <w:p w14:paraId="30E3C549" w14:textId="715C8CEE" w:rsidR="0002237D" w:rsidRDefault="0002237D">
          <w:r>
            <w:rPr>
              <w:noProof/>
            </w:rPr>
            <mc:AlternateContent>
              <mc:Choice Requires="wps">
                <w:drawing>
                  <wp:anchor distT="0" distB="0" distL="114300" distR="114300" simplePos="0" relativeHeight="251664384" behindDoc="0" locked="0" layoutInCell="1" allowOverlap="1" wp14:anchorId="2D144867" wp14:editId="7E2A6AC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D1DB44D" w14:textId="38CB2421" w:rsidR="0002237D" w:rsidRPr="006C7168" w:rsidRDefault="00000000">
                                <w:pPr>
                                  <w:pStyle w:val="NoSpacing"/>
                                  <w:rPr>
                                    <w:rFonts w:ascii="Arial" w:hAnsi="Arial" w:cs="Arial"/>
                                    <w:noProof/>
                                    <w:color w:val="0E2841" w:themeColor="text2"/>
                                    <w:sz w:val="24"/>
                                    <w:szCs w:val="24"/>
                                  </w:rPr>
                                </w:pPr>
                                <w:sdt>
                                  <w:sdtPr>
                                    <w:rPr>
                                      <w:rFonts w:ascii="Arial" w:hAnsi="Arial" w:cs="Arial"/>
                                      <w:noProof/>
                                      <w:color w:val="0E2841"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2237D" w:rsidRPr="006C7168">
                                      <w:rPr>
                                        <w:rFonts w:ascii="Arial" w:hAnsi="Arial" w:cs="Arial"/>
                                        <w:noProof/>
                                        <w:color w:val="0E2841" w:themeColor="text2"/>
                                        <w:sz w:val="24"/>
                                        <w:szCs w:val="24"/>
                                      </w:rPr>
                                      <w:t>Ceri Marie Jones (1806930)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D144867"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D1DB44D" w14:textId="38CB2421" w:rsidR="0002237D" w:rsidRPr="006C7168" w:rsidRDefault="00000000">
                          <w:pPr>
                            <w:pStyle w:val="NoSpacing"/>
                            <w:rPr>
                              <w:rFonts w:ascii="Arial" w:hAnsi="Arial" w:cs="Arial"/>
                              <w:noProof/>
                              <w:color w:val="0E2841" w:themeColor="text2"/>
                              <w:sz w:val="24"/>
                              <w:szCs w:val="24"/>
                            </w:rPr>
                          </w:pPr>
                          <w:sdt>
                            <w:sdtPr>
                              <w:rPr>
                                <w:rFonts w:ascii="Arial" w:hAnsi="Arial" w:cs="Arial"/>
                                <w:noProof/>
                                <w:color w:val="0E2841"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2237D" w:rsidRPr="006C7168">
                                <w:rPr>
                                  <w:rFonts w:ascii="Arial" w:hAnsi="Arial" w:cs="Arial"/>
                                  <w:noProof/>
                                  <w:color w:val="0E2841" w:themeColor="text2"/>
                                  <w:sz w:val="24"/>
                                  <w:szCs w:val="24"/>
                                </w:rPr>
                                <w:t>Ceri Marie Jones (1806930)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C508DC5" wp14:editId="795BA118">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79AB7ED" w14:textId="77777777" w:rsidR="0002237D" w:rsidRDefault="0002237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508DC5"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379AB7ED" w14:textId="77777777" w:rsidR="0002237D" w:rsidRDefault="0002237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B401073" wp14:editId="73C3F9F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8EE3A7" w14:textId="5A7404C4" w:rsidR="0002237D"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C7168">
                                      <w:rPr>
                                        <w:color w:val="FFFFFF" w:themeColor="background1"/>
                                      </w:rPr>
                                      <w:t xml:space="preserve">     </w:t>
                                    </w:r>
                                  </w:sdtContent>
                                </w:sdt>
                                <w:r w:rsidR="006C7168">
                                  <w:rPr>
                                    <w:noProof/>
                                  </w:rPr>
                                  <w:drawing>
                                    <wp:inline distT="0" distB="0" distL="0" distR="0" wp14:anchorId="7E4005B2" wp14:editId="776FCC52">
                                      <wp:extent cx="2418715" cy="1524000"/>
                                      <wp:effectExtent l="0" t="0" r="635" b="0"/>
                                      <wp:docPr id="1521801011" name="Picture 3"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launches ‘One Plane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8715" cy="1524000"/>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B401073"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58EE3A7" w14:textId="5A7404C4" w:rsidR="0002237D"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C7168">
                                <w:rPr>
                                  <w:color w:val="FFFFFF" w:themeColor="background1"/>
                                </w:rPr>
                                <w:t xml:space="preserve">     </w:t>
                              </w:r>
                            </w:sdtContent>
                          </w:sdt>
                          <w:r w:rsidR="006C7168">
                            <w:rPr>
                              <w:noProof/>
                            </w:rPr>
                            <w:drawing>
                              <wp:inline distT="0" distB="0" distL="0" distR="0" wp14:anchorId="7E4005B2" wp14:editId="776FCC52">
                                <wp:extent cx="2418715" cy="1524000"/>
                                <wp:effectExtent l="0" t="0" r="635" b="0"/>
                                <wp:docPr id="1521801011" name="Picture 3"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launches ‘One Plane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8715" cy="1524000"/>
                                        </a:xfrm>
                                        <a:prstGeom prst="rect">
                                          <a:avLst/>
                                        </a:prstGeom>
                                        <a:noFill/>
                                        <a:ln>
                                          <a:noFill/>
                                        </a:ln>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05A8CE5" wp14:editId="6CDBFE5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1A9BD6"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EB91E94" wp14:editId="2ED6FEF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BCC49C9"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90106FB" wp14:editId="077581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b/>
                                    <w:bCs/>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C04E5E" w14:textId="090171A6" w:rsidR="0002237D" w:rsidRPr="006C7168" w:rsidRDefault="006C7168">
                                    <w:pPr>
                                      <w:spacing w:line="240" w:lineRule="auto"/>
                                      <w:rPr>
                                        <w:rFonts w:ascii="Arial" w:eastAsiaTheme="majorEastAsia" w:hAnsi="Arial" w:cs="Arial"/>
                                        <w:b/>
                                        <w:bCs/>
                                        <w:noProof/>
                                        <w:color w:val="156082" w:themeColor="accent1"/>
                                        <w:sz w:val="48"/>
                                        <w:szCs w:val="48"/>
                                      </w:rPr>
                                    </w:pPr>
                                    <w:r w:rsidRPr="006C7168">
                                      <w:rPr>
                                        <w:rFonts w:ascii="Arial" w:eastAsiaTheme="majorEastAsia" w:hAnsi="Arial" w:cs="Arial"/>
                                        <w:b/>
                                        <w:bCs/>
                                        <w:noProof/>
                                        <w:color w:val="156082" w:themeColor="accent1"/>
                                        <w:sz w:val="48"/>
                                        <w:szCs w:val="48"/>
                                      </w:rPr>
                                      <w:t>The Criminal Justice System, Youth Justice and Prison Systems In England and Wales</w:t>
                                    </w:r>
                                  </w:p>
                                </w:sdtContent>
                              </w:sdt>
                              <w:sdt>
                                <w:sdtPr>
                                  <w:rPr>
                                    <w:rFonts w:asciiTheme="majorHAnsi" w:eastAsiaTheme="majorEastAsia" w:hAnsiTheme="majorHAnsi" w:cstheme="majorBidi"/>
                                    <w:b/>
                                    <w:bCs/>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D8B37AE" w14:textId="65DD9CCF" w:rsidR="0002237D" w:rsidRPr="006C7168" w:rsidRDefault="006C7168">
                                    <w:pPr>
                                      <w:rPr>
                                        <w:rFonts w:asciiTheme="majorHAnsi" w:eastAsiaTheme="majorEastAsia" w:hAnsiTheme="majorHAnsi" w:cstheme="majorBidi"/>
                                        <w:b/>
                                        <w:bCs/>
                                        <w:noProof/>
                                        <w:color w:val="0E2841" w:themeColor="text2"/>
                                        <w:sz w:val="32"/>
                                        <w:szCs w:val="40"/>
                                      </w:rPr>
                                    </w:pPr>
                                    <w:r w:rsidRPr="006C7168">
                                      <w:rPr>
                                        <w:rFonts w:asciiTheme="majorHAnsi" w:eastAsiaTheme="majorEastAsia" w:hAnsiTheme="majorHAnsi" w:cstheme="majorBidi"/>
                                        <w:b/>
                                        <w:bCs/>
                                        <w:noProof/>
                                        <w:color w:val="0E2841" w:themeColor="text2"/>
                                        <w:sz w:val="32"/>
                                        <w:szCs w:val="32"/>
                                      </w:rPr>
                                      <w:t>Module code: - BMCJ7006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90106FB"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heme="majorEastAsia" w:hAnsi="Arial" w:cs="Arial"/>
                              <w:b/>
                              <w:bCs/>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C04E5E" w14:textId="090171A6" w:rsidR="0002237D" w:rsidRPr="006C7168" w:rsidRDefault="006C7168">
                              <w:pPr>
                                <w:spacing w:line="240" w:lineRule="auto"/>
                                <w:rPr>
                                  <w:rFonts w:ascii="Arial" w:eastAsiaTheme="majorEastAsia" w:hAnsi="Arial" w:cs="Arial"/>
                                  <w:b/>
                                  <w:bCs/>
                                  <w:noProof/>
                                  <w:color w:val="156082" w:themeColor="accent1"/>
                                  <w:sz w:val="48"/>
                                  <w:szCs w:val="48"/>
                                </w:rPr>
                              </w:pPr>
                              <w:r w:rsidRPr="006C7168">
                                <w:rPr>
                                  <w:rFonts w:ascii="Arial" w:eastAsiaTheme="majorEastAsia" w:hAnsi="Arial" w:cs="Arial"/>
                                  <w:b/>
                                  <w:bCs/>
                                  <w:noProof/>
                                  <w:color w:val="156082" w:themeColor="accent1"/>
                                  <w:sz w:val="48"/>
                                  <w:szCs w:val="48"/>
                                </w:rPr>
                                <w:t>The Criminal Justice System, Youth Justice and Prison Systems In England and Wales</w:t>
                              </w:r>
                            </w:p>
                          </w:sdtContent>
                        </w:sdt>
                        <w:sdt>
                          <w:sdtPr>
                            <w:rPr>
                              <w:rFonts w:asciiTheme="majorHAnsi" w:eastAsiaTheme="majorEastAsia" w:hAnsiTheme="majorHAnsi" w:cstheme="majorBidi"/>
                              <w:b/>
                              <w:bCs/>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D8B37AE" w14:textId="65DD9CCF" w:rsidR="0002237D" w:rsidRPr="006C7168" w:rsidRDefault="006C7168">
                              <w:pPr>
                                <w:rPr>
                                  <w:rFonts w:asciiTheme="majorHAnsi" w:eastAsiaTheme="majorEastAsia" w:hAnsiTheme="majorHAnsi" w:cstheme="majorBidi"/>
                                  <w:b/>
                                  <w:bCs/>
                                  <w:noProof/>
                                  <w:color w:val="0E2841" w:themeColor="text2"/>
                                  <w:sz w:val="32"/>
                                  <w:szCs w:val="40"/>
                                </w:rPr>
                              </w:pPr>
                              <w:r w:rsidRPr="006C7168">
                                <w:rPr>
                                  <w:rFonts w:asciiTheme="majorHAnsi" w:eastAsiaTheme="majorEastAsia" w:hAnsiTheme="majorHAnsi" w:cstheme="majorBidi"/>
                                  <w:b/>
                                  <w:bCs/>
                                  <w:noProof/>
                                  <w:color w:val="0E2841" w:themeColor="text2"/>
                                  <w:sz w:val="32"/>
                                  <w:szCs w:val="32"/>
                                </w:rPr>
                                <w:t>Module code: - BMCJ7006</w:t>
                              </w:r>
                            </w:p>
                          </w:sdtContent>
                        </w:sdt>
                      </w:txbxContent>
                    </v:textbox>
                    <w10:wrap type="square" anchorx="page" anchory="page"/>
                  </v:shape>
                </w:pict>
              </mc:Fallback>
            </mc:AlternateContent>
          </w:r>
        </w:p>
        <w:p w14:paraId="52C8C73B" w14:textId="77777777" w:rsidR="006C7168" w:rsidRDefault="006C7168" w:rsidP="006C7168"/>
        <w:p w14:paraId="5C696B23" w14:textId="77777777" w:rsidR="006C7168" w:rsidRDefault="006C7168" w:rsidP="006C7168"/>
        <w:p w14:paraId="59D4BF90" w14:textId="77777777" w:rsidR="006C7168" w:rsidRDefault="006C7168" w:rsidP="006C7168"/>
        <w:p w14:paraId="319021D1" w14:textId="77777777" w:rsidR="006C7168" w:rsidRDefault="006C7168" w:rsidP="006C7168"/>
        <w:p w14:paraId="79CE3C7E" w14:textId="77777777" w:rsidR="006C7168" w:rsidRDefault="006C7168" w:rsidP="006C7168"/>
        <w:p w14:paraId="5A606D5D" w14:textId="77777777" w:rsidR="006C7168" w:rsidRDefault="006C7168" w:rsidP="006C7168"/>
        <w:p w14:paraId="68F54E00" w14:textId="77777777" w:rsidR="006C7168" w:rsidRDefault="006C7168" w:rsidP="006C7168"/>
        <w:p w14:paraId="0D85CE0A" w14:textId="77777777" w:rsidR="006C7168" w:rsidRDefault="006C7168" w:rsidP="006C7168"/>
        <w:p w14:paraId="2274D9EB" w14:textId="77777777" w:rsidR="006C7168" w:rsidRDefault="006C7168" w:rsidP="006C7168"/>
        <w:p w14:paraId="523BEE62" w14:textId="77777777" w:rsidR="006C7168" w:rsidRDefault="006C7168" w:rsidP="006C7168"/>
        <w:p w14:paraId="6AC87446" w14:textId="77777777" w:rsidR="006C7168" w:rsidRDefault="006C7168" w:rsidP="006C7168"/>
        <w:p w14:paraId="4EC166ED" w14:textId="77777777" w:rsidR="006C7168" w:rsidRDefault="006C7168" w:rsidP="006C7168"/>
        <w:p w14:paraId="64F6627B" w14:textId="77777777" w:rsidR="006C7168" w:rsidRDefault="006C7168" w:rsidP="006C7168"/>
        <w:p w14:paraId="696A41C1" w14:textId="77777777" w:rsidR="006C7168" w:rsidRDefault="006C7168" w:rsidP="006C7168"/>
        <w:p w14:paraId="67BFFA5B" w14:textId="77777777" w:rsidR="006C7168" w:rsidRDefault="006C7168" w:rsidP="006C7168"/>
        <w:p w14:paraId="1AAE91C7" w14:textId="77777777" w:rsidR="006C7168" w:rsidRDefault="006C7168" w:rsidP="006C7168"/>
        <w:p w14:paraId="51290B2E" w14:textId="77777777" w:rsidR="006C7168" w:rsidRDefault="006C7168" w:rsidP="006C7168"/>
        <w:p w14:paraId="1B591635" w14:textId="77777777" w:rsidR="006C7168" w:rsidRDefault="006C7168" w:rsidP="006C7168"/>
        <w:p w14:paraId="2BB1E047" w14:textId="77777777" w:rsidR="006C7168" w:rsidRDefault="006C7168" w:rsidP="006C7168"/>
        <w:p w14:paraId="2DEE7C6D" w14:textId="77777777" w:rsidR="006C7168" w:rsidRDefault="006C7168" w:rsidP="006C7168"/>
        <w:p w14:paraId="6BA5F596" w14:textId="77777777" w:rsidR="006C7168" w:rsidRDefault="006C7168" w:rsidP="006C7168"/>
        <w:p w14:paraId="0FC2BF85" w14:textId="77777777" w:rsidR="006C7168" w:rsidRDefault="006C7168" w:rsidP="006C7168"/>
        <w:p w14:paraId="770A4394" w14:textId="77777777" w:rsidR="006C7168" w:rsidRDefault="006C7168" w:rsidP="006C7168"/>
        <w:p w14:paraId="34447143" w14:textId="77777777" w:rsidR="006C7168" w:rsidRDefault="006C7168" w:rsidP="006C7168"/>
        <w:p w14:paraId="374F6FEE" w14:textId="77777777" w:rsidR="006C7168" w:rsidRDefault="006C7168" w:rsidP="006C7168"/>
        <w:p w14:paraId="0F3A7DD5" w14:textId="77777777" w:rsidR="006C7168" w:rsidRDefault="006C7168" w:rsidP="006C7168"/>
        <w:p w14:paraId="2CF12BA4" w14:textId="7D85C098" w:rsidR="006C7168" w:rsidRDefault="00000000" w:rsidP="006C7168"/>
      </w:sdtContent>
    </w:sdt>
    <w:p w14:paraId="3F93FFA7" w14:textId="6B424894" w:rsidR="32A96EE0" w:rsidRPr="006C7168" w:rsidRDefault="7250E45F" w:rsidP="006C7168">
      <w:r w:rsidRPr="2909473D">
        <w:rPr>
          <w:rFonts w:ascii="Arial" w:eastAsia="Arial" w:hAnsi="Arial" w:cs="Arial"/>
        </w:rPr>
        <w:lastRenderedPageBreak/>
        <w:t>:</w:t>
      </w:r>
      <w:r w:rsidRPr="2909473D">
        <w:rPr>
          <w:rFonts w:ascii="Arial" w:eastAsia="Arial" w:hAnsi="Arial" w:cs="Arial"/>
          <w:b/>
          <w:bCs/>
          <w:sz w:val="28"/>
          <w:szCs w:val="28"/>
        </w:rPr>
        <w:t xml:space="preserve"> </w:t>
      </w:r>
    </w:p>
    <w:p w14:paraId="203C072A" w14:textId="7EF308D0" w:rsidR="32A96EE0" w:rsidRPr="006C7168" w:rsidRDefault="32A96EE0" w:rsidP="2909473D">
      <w:pPr>
        <w:rPr>
          <w:rFonts w:ascii="Arial" w:eastAsia="Arial" w:hAnsi="Arial" w:cs="Arial"/>
          <w:b/>
          <w:bCs/>
          <w:sz w:val="28"/>
          <w:szCs w:val="28"/>
        </w:rPr>
      </w:pPr>
    </w:p>
    <w:p w14:paraId="7234B94C" w14:textId="1ED025D8" w:rsidR="32A96EE0" w:rsidRPr="006C7168" w:rsidRDefault="7250E45F" w:rsidP="006C7168">
      <w:r w:rsidRPr="2909473D">
        <w:rPr>
          <w:rFonts w:ascii="Arial" w:eastAsia="Arial" w:hAnsi="Arial" w:cs="Arial"/>
          <w:b/>
          <w:bCs/>
          <w:sz w:val="28"/>
          <w:szCs w:val="28"/>
        </w:rPr>
        <w:t>Assignment</w:t>
      </w:r>
      <w:r w:rsidR="2709F488" w:rsidRPr="2909473D">
        <w:rPr>
          <w:rFonts w:ascii="Arial" w:eastAsia="Arial" w:hAnsi="Arial" w:cs="Arial"/>
          <w:b/>
          <w:bCs/>
          <w:sz w:val="28"/>
          <w:szCs w:val="28"/>
        </w:rPr>
        <w:t xml:space="preserve"> 1</w:t>
      </w:r>
      <w:r w:rsidR="16FEDDD8" w:rsidRPr="2909473D">
        <w:rPr>
          <w:rFonts w:ascii="Arial" w:eastAsia="Arial" w:hAnsi="Arial" w:cs="Arial"/>
          <w:b/>
          <w:bCs/>
          <w:sz w:val="28"/>
          <w:szCs w:val="28"/>
        </w:rPr>
        <w:t>:</w:t>
      </w:r>
      <w:r w:rsidR="2709F488" w:rsidRPr="2909473D">
        <w:rPr>
          <w:rFonts w:ascii="Arial" w:eastAsia="Arial" w:hAnsi="Arial" w:cs="Arial"/>
          <w:b/>
          <w:bCs/>
          <w:sz w:val="28"/>
          <w:szCs w:val="28"/>
        </w:rPr>
        <w:t xml:space="preserve"> Youth justice and prison systems</w:t>
      </w:r>
    </w:p>
    <w:p w14:paraId="57E4DF70" w14:textId="6F4BD043" w:rsidR="007B0CDB" w:rsidRPr="007B0CDB" w:rsidRDefault="05B3DAA4" w:rsidP="776B7070">
      <w:pPr>
        <w:spacing w:line="360" w:lineRule="auto"/>
        <w:jc w:val="both"/>
        <w:rPr>
          <w:rFonts w:ascii="Arial" w:eastAsia="Arial" w:hAnsi="Arial" w:cs="Arial"/>
          <w:b/>
          <w:bCs/>
          <w:color w:val="000000" w:themeColor="text1"/>
        </w:rPr>
      </w:pPr>
      <w:r w:rsidRPr="776B7070">
        <w:rPr>
          <w:rFonts w:ascii="Arial" w:eastAsia="Arial" w:hAnsi="Arial" w:cs="Arial"/>
          <w:b/>
          <w:bCs/>
          <w:color w:val="000000" w:themeColor="text1"/>
        </w:rPr>
        <w:t>To what extent does the UK government's approach to prison capacity reflect systemic failures in criminal justice policy, and what alternative strategies could address the forecasted gridlock in 2026. Critically discuss.</w:t>
      </w:r>
    </w:p>
    <w:p w14:paraId="1F414176" w14:textId="127826C6" w:rsidR="2686E478" w:rsidRPr="006020BA" w:rsidRDefault="6EE7340B" w:rsidP="007D290A">
      <w:pPr>
        <w:spacing w:line="360" w:lineRule="auto"/>
        <w:jc w:val="both"/>
        <w:rPr>
          <w:rFonts w:ascii="Arial" w:eastAsia="Arial" w:hAnsi="Arial" w:cs="Arial"/>
        </w:rPr>
      </w:pPr>
      <w:r w:rsidRPr="2909473D">
        <w:rPr>
          <w:rFonts w:ascii="Arial" w:eastAsia="Arial" w:hAnsi="Arial" w:cs="Arial"/>
        </w:rPr>
        <w:t>T</w:t>
      </w:r>
      <w:r w:rsidR="513C6FBA" w:rsidRPr="2909473D">
        <w:rPr>
          <w:rFonts w:ascii="Arial" w:eastAsia="Arial" w:hAnsi="Arial" w:cs="Arial"/>
        </w:rPr>
        <w:t>he criminal justice system of England and Wales represents one of the most complex and historically entrenched state functions, encompassing policing, courts, custody, probation, and youth justice services. Its contemporary configuration reflects centuries of legislative, policy, and societal evolution, combining common law traditions with statutory frameworks designed to balance public safety, offender accountability, and rehabilitation</w:t>
      </w:r>
      <w:r w:rsidR="7528A1B2" w:rsidRPr="2909473D">
        <w:rPr>
          <w:rFonts w:ascii="Arial" w:eastAsia="Arial" w:hAnsi="Arial" w:cs="Arial"/>
        </w:rPr>
        <w:t xml:space="preserve"> </w:t>
      </w:r>
      <w:r w:rsidR="009E09E1" w:rsidRPr="2909473D">
        <w:rPr>
          <w:rFonts w:ascii="Arial" w:eastAsia="Arial" w:hAnsi="Arial" w:cs="Arial"/>
        </w:rPr>
        <w:t>(Cavadino and Dignan, 2013).</w:t>
      </w:r>
      <w:r w:rsidR="513C6FBA" w:rsidRPr="2909473D">
        <w:rPr>
          <w:rFonts w:ascii="Arial" w:eastAsia="Arial" w:hAnsi="Arial" w:cs="Arial"/>
        </w:rPr>
        <w:t xml:space="preserve"> Despite significant investment and reform efforts, the system currently faces severe systemic pressures, manifesting most acutely in overcrowded prisons, overburdened probation services, and an increasingly complex youth justice environment</w:t>
      </w:r>
      <w:r w:rsidR="43CD6F5A" w:rsidRPr="2909473D">
        <w:rPr>
          <w:rFonts w:ascii="Arial" w:eastAsia="Arial" w:hAnsi="Arial" w:cs="Arial"/>
        </w:rPr>
        <w:t xml:space="preserve"> </w:t>
      </w:r>
      <w:r w:rsidR="009E09E1" w:rsidRPr="2909473D">
        <w:rPr>
          <w:rFonts w:ascii="Arial" w:eastAsia="Arial" w:hAnsi="Arial" w:cs="Arial"/>
        </w:rPr>
        <w:t>(HM Chief Inspector of Prisons, 2023; HM Inspectorate of Probation, 2024).</w:t>
      </w:r>
      <w:r w:rsidR="513C6FBA" w:rsidRPr="2909473D">
        <w:rPr>
          <w:rFonts w:ascii="Arial" w:eastAsia="Arial" w:hAnsi="Arial" w:cs="Arial"/>
        </w:rPr>
        <w:t xml:space="preserve"> Ministry of Justice projections suggest that by 2029</w:t>
      </w:r>
      <w:r w:rsidR="00790F62" w:rsidRPr="2909473D">
        <w:rPr>
          <w:rFonts w:ascii="Arial" w:eastAsia="Arial" w:hAnsi="Arial" w:cs="Arial"/>
        </w:rPr>
        <w:t>,</w:t>
      </w:r>
      <w:r w:rsidR="513C6FBA" w:rsidRPr="2909473D">
        <w:rPr>
          <w:rFonts w:ascii="Arial" w:eastAsia="Arial" w:hAnsi="Arial" w:cs="Arial"/>
        </w:rPr>
        <w:t xml:space="preserve"> the prison population could exceed 100,000, rising from approximately 86,000 in 2024 (Ministry of Justice, 2024). This trajectory illustrates the interplay of multiple structural factors, including remand practices, sentencing policies, demographic shifts, and inadequate upstream interventions</w:t>
      </w:r>
      <w:r w:rsidR="009E09E1" w:rsidRPr="2909473D">
        <w:rPr>
          <w:rFonts w:ascii="Arial" w:hAnsi="Arial" w:cs="Arial"/>
        </w:rPr>
        <w:t xml:space="preserve"> </w:t>
      </w:r>
      <w:r w:rsidR="009E09E1" w:rsidRPr="2909473D">
        <w:rPr>
          <w:rFonts w:ascii="Arial" w:eastAsia="Arial" w:hAnsi="Arial" w:cs="Arial"/>
        </w:rPr>
        <w:t>(Guiney and Yeomans, 2023; Pratt, 2008).</w:t>
      </w:r>
    </w:p>
    <w:p w14:paraId="4E6841D4" w14:textId="2B1A1AA6" w:rsidR="441A21DD" w:rsidRPr="006020BA" w:rsidRDefault="42DC83DC" w:rsidP="007D290A">
      <w:pPr>
        <w:spacing w:before="240" w:after="240" w:line="360" w:lineRule="auto"/>
        <w:jc w:val="both"/>
        <w:rPr>
          <w:rFonts w:ascii="Arial" w:eastAsia="Arial" w:hAnsi="Arial" w:cs="Arial"/>
        </w:rPr>
      </w:pPr>
      <w:r w:rsidRPr="2909473D">
        <w:rPr>
          <w:rFonts w:ascii="Arial" w:eastAsia="Arial" w:hAnsi="Arial" w:cs="Arial"/>
        </w:rPr>
        <w:t>The criminal justice system in England and Wales is one of the most long-standing and intricate parts of the state</w:t>
      </w:r>
      <w:r w:rsidR="2B8E7F86" w:rsidRPr="2909473D">
        <w:rPr>
          <w:rFonts w:ascii="Arial" w:eastAsia="Arial" w:hAnsi="Arial" w:cs="Arial"/>
        </w:rPr>
        <w:t xml:space="preserve">: </w:t>
      </w:r>
      <w:r w:rsidRPr="2909473D">
        <w:rPr>
          <w:rFonts w:ascii="Arial" w:eastAsia="Arial" w:hAnsi="Arial" w:cs="Arial"/>
        </w:rPr>
        <w:t>Its current shape is the result of centuries of legal development and shifting political priorities, built on a mix of traditional common law and modern legislation.</w:t>
      </w:r>
      <w:r w:rsidR="009E09E1" w:rsidRPr="2909473D">
        <w:rPr>
          <w:rFonts w:ascii="Arial" w:hAnsi="Arial" w:cs="Arial"/>
        </w:rPr>
        <w:t xml:space="preserve"> </w:t>
      </w:r>
      <w:r w:rsidR="009E09E1" w:rsidRPr="2909473D">
        <w:rPr>
          <w:rFonts w:ascii="Arial" w:eastAsia="Arial" w:hAnsi="Arial" w:cs="Arial"/>
        </w:rPr>
        <w:t>(Burke, 2012).</w:t>
      </w:r>
      <w:r w:rsidRPr="2909473D">
        <w:rPr>
          <w:rFonts w:ascii="Arial" w:eastAsia="Arial" w:hAnsi="Arial" w:cs="Arial"/>
        </w:rPr>
        <w:t xml:space="preserve"> While the system is meant to balance public safety with offender accountability and rehabilitation, it is now under growing pressure. Issues like rising prison populations, stretched probation services, and an increasingly challenging youth justice sector point to deeper structural problems</w:t>
      </w:r>
      <w:r w:rsidR="1CF2C1E3" w:rsidRPr="2909473D">
        <w:rPr>
          <w:rFonts w:ascii="Arial" w:eastAsia="Arial" w:hAnsi="Arial" w:cs="Arial"/>
        </w:rPr>
        <w:t xml:space="preserve"> </w:t>
      </w:r>
      <w:r w:rsidR="009E09E1" w:rsidRPr="2909473D">
        <w:rPr>
          <w:rFonts w:ascii="Arial" w:eastAsia="Arial" w:hAnsi="Arial" w:cs="Arial"/>
        </w:rPr>
        <w:t>(Farrell, 2023; Lymperopoulou, 2024).</w:t>
      </w:r>
      <w:r w:rsidR="1B2E07D3" w:rsidRPr="2909473D">
        <w:rPr>
          <w:rFonts w:ascii="Arial" w:eastAsia="Arial" w:hAnsi="Arial" w:cs="Arial"/>
        </w:rPr>
        <w:t xml:space="preserve"> </w:t>
      </w:r>
      <w:r w:rsidRPr="2909473D">
        <w:rPr>
          <w:rFonts w:ascii="Arial" w:eastAsia="Arial" w:hAnsi="Arial" w:cs="Arial"/>
        </w:rPr>
        <w:t>This essay will explore how far the UK government’s current approach to managing prison capacity reveals wider failings in criminal justice policy. It will begin by looking at some of the key reasons behind the growing strain on the prison system, including policy decisions on sentencing and remand, the lack</w:t>
      </w:r>
      <w:r w:rsidR="3A5BAEA1" w:rsidRPr="2909473D">
        <w:rPr>
          <w:rFonts w:ascii="Arial" w:eastAsia="Arial" w:hAnsi="Arial" w:cs="Arial"/>
        </w:rPr>
        <w:t xml:space="preserve"> </w:t>
      </w:r>
      <w:r w:rsidRPr="2909473D">
        <w:rPr>
          <w:rFonts w:ascii="Arial" w:eastAsia="Arial" w:hAnsi="Arial" w:cs="Arial"/>
        </w:rPr>
        <w:t xml:space="preserve">of effective early intervention, and the limited use of alternatives to custody </w:t>
      </w:r>
      <w:r w:rsidR="009E09E1" w:rsidRPr="2909473D">
        <w:rPr>
          <w:rFonts w:ascii="Arial" w:eastAsia="Arial" w:hAnsi="Arial" w:cs="Arial"/>
        </w:rPr>
        <w:t xml:space="preserve">(Howard </w:t>
      </w:r>
      <w:r w:rsidR="009E09E1" w:rsidRPr="2909473D">
        <w:rPr>
          <w:rFonts w:ascii="Arial" w:eastAsia="Arial" w:hAnsi="Arial" w:cs="Arial"/>
        </w:rPr>
        <w:lastRenderedPageBreak/>
        <w:t>League for Penal Reform, 2024).</w:t>
      </w:r>
      <w:r w:rsidR="00781B1B" w:rsidRPr="2909473D">
        <w:rPr>
          <w:rFonts w:ascii="Arial" w:eastAsia="Arial" w:hAnsi="Arial" w:cs="Arial"/>
        </w:rPr>
        <w:t xml:space="preserve"> </w:t>
      </w:r>
      <w:r w:rsidRPr="2909473D">
        <w:rPr>
          <w:rFonts w:ascii="Arial" w:eastAsia="Arial" w:hAnsi="Arial" w:cs="Arial"/>
        </w:rPr>
        <w:t>The essay will then assess whether the government's current responses are tackling the root causes or simply managing the symptoms of a much deeper issue. Finally, it will consider alternative strategies</w:t>
      </w:r>
      <w:r w:rsidR="6FDA1B5B" w:rsidRPr="2909473D">
        <w:rPr>
          <w:rFonts w:ascii="Arial" w:eastAsia="Arial" w:hAnsi="Arial" w:cs="Arial"/>
        </w:rPr>
        <w:t xml:space="preserve"> </w:t>
      </w:r>
      <w:r w:rsidRPr="2909473D">
        <w:rPr>
          <w:rFonts w:ascii="Arial" w:eastAsia="Arial" w:hAnsi="Arial" w:cs="Arial"/>
        </w:rPr>
        <w:t>such as reforms to sentencing, investment in community-based justice, and examples from other countries</w:t>
      </w:r>
      <w:r w:rsidR="7437AA4F" w:rsidRPr="2909473D">
        <w:rPr>
          <w:rFonts w:ascii="Arial" w:eastAsia="Arial" w:hAnsi="Arial" w:cs="Arial"/>
        </w:rPr>
        <w:t xml:space="preserve"> </w:t>
      </w:r>
      <w:r w:rsidRPr="2909473D">
        <w:rPr>
          <w:rFonts w:ascii="Arial" w:eastAsia="Arial" w:hAnsi="Arial" w:cs="Arial"/>
        </w:rPr>
        <w:t>that could help prevent the system from reaching the projected gridlock in 2026 and beyond</w:t>
      </w:r>
      <w:r w:rsidR="25E5F1A3" w:rsidRPr="2909473D">
        <w:rPr>
          <w:rFonts w:ascii="Arial" w:eastAsia="Arial" w:hAnsi="Arial" w:cs="Arial"/>
        </w:rPr>
        <w:t xml:space="preserve"> </w:t>
      </w:r>
      <w:r w:rsidR="009E09E1" w:rsidRPr="2909473D">
        <w:rPr>
          <w:rFonts w:ascii="Arial" w:eastAsia="Arial" w:hAnsi="Arial" w:cs="Arial"/>
        </w:rPr>
        <w:t>(Pratt and Eriksson, 2013; Blagg and Anthony, 2019).</w:t>
      </w:r>
      <w:r w:rsidR="00790F62" w:rsidRPr="2909473D">
        <w:rPr>
          <w:rFonts w:ascii="Arial" w:eastAsia="Arial" w:hAnsi="Arial" w:cs="Arial"/>
        </w:rPr>
        <w:t xml:space="preserve"> </w:t>
      </w:r>
      <w:r w:rsidRPr="2909473D">
        <w:rPr>
          <w:rFonts w:ascii="Arial" w:eastAsia="Arial" w:hAnsi="Arial" w:cs="Arial"/>
        </w:rPr>
        <w:t>The aim is to critically assess whether the challenges facing the prison system reflect short-term thinking and policy failure, and to identify what changes might be needed for a more effective and sustainable future.</w:t>
      </w:r>
    </w:p>
    <w:p w14:paraId="283E2A56" w14:textId="0347D769" w:rsidR="007B0CDB" w:rsidRPr="006020BA" w:rsidRDefault="513C6FBA" w:rsidP="007D290A">
      <w:pPr>
        <w:spacing w:line="360" w:lineRule="auto"/>
        <w:jc w:val="both"/>
        <w:rPr>
          <w:rFonts w:ascii="Arial" w:eastAsia="Arial" w:hAnsi="Arial" w:cs="Arial"/>
        </w:rPr>
      </w:pPr>
      <w:r w:rsidRPr="2909473D">
        <w:rPr>
          <w:rFonts w:ascii="Arial" w:eastAsia="Arial" w:hAnsi="Arial" w:cs="Arial"/>
        </w:rPr>
        <w:t>Historically, the English and Welsh penal landscape has oscillated between punitive and rehabilitative paradigms. The nineteenth century emphasi</w:t>
      </w:r>
      <w:r w:rsidR="4770F1ED" w:rsidRPr="2909473D">
        <w:rPr>
          <w:rFonts w:ascii="Arial" w:eastAsia="Arial" w:hAnsi="Arial" w:cs="Arial"/>
        </w:rPr>
        <w:t>s</w:t>
      </w:r>
      <w:r w:rsidRPr="2909473D">
        <w:rPr>
          <w:rFonts w:ascii="Arial" w:eastAsia="Arial" w:hAnsi="Arial" w:cs="Arial"/>
        </w:rPr>
        <w:t>ed moral reformation through imprisonment, whereas the mid</w:t>
      </w:r>
      <w:r w:rsidR="00781B1B" w:rsidRPr="2909473D">
        <w:rPr>
          <w:rFonts w:ascii="Arial" w:eastAsia="Arial" w:hAnsi="Arial" w:cs="Arial"/>
        </w:rPr>
        <w:t xml:space="preserve"> </w:t>
      </w:r>
      <w:r w:rsidRPr="2909473D">
        <w:rPr>
          <w:rFonts w:ascii="Arial" w:eastAsia="Arial" w:hAnsi="Arial" w:cs="Arial"/>
        </w:rPr>
        <w:t>twentieth century saw the emergence of welfare-oriented probation and parole frameworks (Cavadino and Dignan, 2013). The late twentieth and early twenty-first centuries, however, have been characteri</w:t>
      </w:r>
      <w:r w:rsidR="7B89D193" w:rsidRPr="2909473D">
        <w:rPr>
          <w:rFonts w:ascii="Arial" w:eastAsia="Arial" w:hAnsi="Arial" w:cs="Arial"/>
        </w:rPr>
        <w:t>s</w:t>
      </w:r>
      <w:r w:rsidRPr="2909473D">
        <w:rPr>
          <w:rFonts w:ascii="Arial" w:eastAsia="Arial" w:hAnsi="Arial" w:cs="Arial"/>
        </w:rPr>
        <w:t>ed by increasing sentence severity, the proliferation of mandatory minimum sentences, and the expansion of custodial sanctions, contributing to sustained growth in prison populations (Pratt, 2008). These historical trends have established structural inertia, wherein policy decisions of the past continue to shape system pressures, a phenomenon identified by Guiney and Yeomans (2023) as ‘penal momentum.’ Efforts to expand capacity without simultaneous reform</w:t>
      </w:r>
      <w:r w:rsidR="78B85966" w:rsidRPr="2909473D">
        <w:rPr>
          <w:rFonts w:ascii="Arial" w:eastAsia="Arial" w:hAnsi="Arial" w:cs="Arial"/>
        </w:rPr>
        <w:t xml:space="preserve"> </w:t>
      </w:r>
      <w:r w:rsidRPr="2909473D">
        <w:rPr>
          <w:rFonts w:ascii="Arial" w:eastAsia="Arial" w:hAnsi="Arial" w:cs="Arial"/>
        </w:rPr>
        <w:t>risk exacerbating this momentum, creating conditions of systemic gridlock.</w:t>
      </w:r>
    </w:p>
    <w:p w14:paraId="3F7A870A" w14:textId="57CEC013" w:rsidR="00C30304" w:rsidRPr="007D290A" w:rsidRDefault="00C30304" w:rsidP="007D290A">
      <w:pPr>
        <w:spacing w:before="240" w:after="240" w:line="360" w:lineRule="auto"/>
        <w:jc w:val="both"/>
        <w:rPr>
          <w:rFonts w:ascii="Arial" w:eastAsia="Arial" w:hAnsi="Arial" w:cs="Arial"/>
        </w:rPr>
      </w:pPr>
      <w:r w:rsidRPr="2909473D">
        <w:rPr>
          <w:rFonts w:ascii="Arial" w:eastAsia="Arial" w:hAnsi="Arial" w:cs="Arial"/>
        </w:rPr>
        <w:t xml:space="preserve">The government’s current approach to prison capacity, primarily focused on expanding the prison estate to meet projected demand, reflects this penal momentum and represents a systemic policy failure (Guiney and Yeomans, 2023). Rather than confronting the underlying drivers of imprisonment, such as excessive sentencing, the overuse of remand, and the underdevelopment of </w:t>
      </w:r>
      <w:r w:rsidR="00781B1B" w:rsidRPr="2909473D">
        <w:rPr>
          <w:rFonts w:ascii="Arial" w:eastAsia="Arial" w:hAnsi="Arial" w:cs="Arial"/>
        </w:rPr>
        <w:t>community-based</w:t>
      </w:r>
      <w:r w:rsidRPr="2909473D">
        <w:rPr>
          <w:rFonts w:ascii="Arial" w:eastAsia="Arial" w:hAnsi="Arial" w:cs="Arial"/>
        </w:rPr>
        <w:t xml:space="preserve"> alternatives, successive UK governments have continued to pri</w:t>
      </w:r>
      <w:r w:rsidR="61195FB0" w:rsidRPr="2909473D">
        <w:rPr>
          <w:rFonts w:ascii="Arial" w:eastAsia="Arial" w:hAnsi="Arial" w:cs="Arial"/>
        </w:rPr>
        <w:t>oritise</w:t>
      </w:r>
      <w:r w:rsidRPr="2909473D">
        <w:rPr>
          <w:rFonts w:ascii="Arial" w:eastAsia="Arial" w:hAnsi="Arial" w:cs="Arial"/>
        </w:rPr>
        <w:t xml:space="preserve"> containment over reform. </w:t>
      </w:r>
      <w:r w:rsidR="69D32EEB" w:rsidRPr="2909473D">
        <w:rPr>
          <w:rFonts w:ascii="Arial" w:eastAsia="Arial" w:hAnsi="Arial" w:cs="Arial"/>
        </w:rPr>
        <w:t>T</w:t>
      </w:r>
      <w:r w:rsidRPr="2909473D">
        <w:rPr>
          <w:rFonts w:ascii="Arial" w:eastAsia="Arial" w:hAnsi="Arial" w:cs="Arial"/>
        </w:rPr>
        <w:t>he</w:t>
      </w:r>
      <w:r w:rsidR="3BE127CE" w:rsidRPr="2909473D">
        <w:rPr>
          <w:rFonts w:ascii="Arial" w:eastAsia="Arial" w:hAnsi="Arial" w:cs="Arial"/>
        </w:rPr>
        <w:t>refore,</w:t>
      </w:r>
      <w:r w:rsidRPr="2909473D">
        <w:rPr>
          <w:rFonts w:ascii="Arial" w:eastAsia="Arial" w:hAnsi="Arial" w:cs="Arial"/>
        </w:rPr>
        <w:t xml:space="preserve"> prison overcrowding </w:t>
      </w:r>
      <w:r w:rsidR="49B322F4" w:rsidRPr="2909473D">
        <w:rPr>
          <w:rFonts w:ascii="Arial" w:eastAsia="Arial" w:hAnsi="Arial" w:cs="Arial"/>
        </w:rPr>
        <w:t xml:space="preserve">has been treated </w:t>
      </w:r>
      <w:r w:rsidRPr="2909473D">
        <w:rPr>
          <w:rFonts w:ascii="Arial" w:eastAsia="Arial" w:hAnsi="Arial" w:cs="Arial"/>
        </w:rPr>
        <w:t xml:space="preserve">as a logistical problem of space and infrastructure, rather than as evidence of deeper dysfunction (Pratt, 2008; Ministry of Justice, 2024). This </w:t>
      </w:r>
      <w:r w:rsidR="00781B1B" w:rsidRPr="2909473D">
        <w:rPr>
          <w:rFonts w:ascii="Arial" w:eastAsia="Arial" w:hAnsi="Arial" w:cs="Arial"/>
        </w:rPr>
        <w:t>capacity-led</w:t>
      </w:r>
      <w:r w:rsidRPr="2909473D">
        <w:rPr>
          <w:rFonts w:ascii="Arial" w:eastAsia="Arial" w:hAnsi="Arial" w:cs="Arial"/>
        </w:rPr>
        <w:t xml:space="preserve"> approach is inherently reactive and </w:t>
      </w:r>
      <w:proofErr w:type="gramStart"/>
      <w:r w:rsidRPr="2909473D">
        <w:rPr>
          <w:rFonts w:ascii="Arial" w:eastAsia="Arial" w:hAnsi="Arial" w:cs="Arial"/>
        </w:rPr>
        <w:t>unsustainable;</w:t>
      </w:r>
      <w:proofErr w:type="gramEnd"/>
      <w:r w:rsidR="5E3B4323" w:rsidRPr="2909473D">
        <w:rPr>
          <w:rFonts w:ascii="Arial" w:eastAsia="Arial" w:hAnsi="Arial" w:cs="Arial"/>
        </w:rPr>
        <w:t xml:space="preserve"> </w:t>
      </w:r>
      <w:r w:rsidRPr="2909473D">
        <w:rPr>
          <w:rFonts w:ascii="Arial" w:eastAsia="Arial" w:hAnsi="Arial" w:cs="Arial"/>
        </w:rPr>
        <w:t>perpetuat</w:t>
      </w:r>
      <w:r w:rsidR="03D668D4" w:rsidRPr="2909473D">
        <w:rPr>
          <w:rFonts w:ascii="Arial" w:eastAsia="Arial" w:hAnsi="Arial" w:cs="Arial"/>
        </w:rPr>
        <w:t>ing</w:t>
      </w:r>
      <w:r w:rsidRPr="2909473D">
        <w:rPr>
          <w:rFonts w:ascii="Arial" w:eastAsia="Arial" w:hAnsi="Arial" w:cs="Arial"/>
        </w:rPr>
        <w:t xml:space="preserve"> a cycle of crisis management</w:t>
      </w:r>
      <w:r w:rsidR="1431EBAE" w:rsidRPr="2909473D">
        <w:rPr>
          <w:rFonts w:ascii="Arial" w:eastAsia="Arial" w:hAnsi="Arial" w:cs="Arial"/>
        </w:rPr>
        <w:t xml:space="preserve"> </w:t>
      </w:r>
      <w:r w:rsidRPr="2909473D">
        <w:rPr>
          <w:rFonts w:ascii="Arial" w:eastAsia="Arial" w:hAnsi="Arial" w:cs="Arial"/>
        </w:rPr>
        <w:t>fail</w:t>
      </w:r>
      <w:r w:rsidR="5520244F" w:rsidRPr="2909473D">
        <w:rPr>
          <w:rFonts w:ascii="Arial" w:eastAsia="Arial" w:hAnsi="Arial" w:cs="Arial"/>
        </w:rPr>
        <w:t>ing</w:t>
      </w:r>
      <w:r w:rsidRPr="2909473D">
        <w:rPr>
          <w:rFonts w:ascii="Arial" w:eastAsia="Arial" w:hAnsi="Arial" w:cs="Arial"/>
        </w:rPr>
        <w:t xml:space="preserve"> to address the structural causes of overpopulation.</w:t>
      </w:r>
    </w:p>
    <w:p w14:paraId="4DFD06E3" w14:textId="4C08B102" w:rsidR="61284D13" w:rsidRPr="007D290A" w:rsidRDefault="35AB1E74" w:rsidP="007D290A">
      <w:pPr>
        <w:spacing w:before="240" w:after="240" w:line="360" w:lineRule="auto"/>
        <w:jc w:val="both"/>
        <w:rPr>
          <w:rFonts w:ascii="Arial" w:eastAsia="Arial" w:hAnsi="Arial" w:cs="Arial"/>
        </w:rPr>
      </w:pPr>
      <w:r w:rsidRPr="2909473D">
        <w:rPr>
          <w:rFonts w:ascii="Arial" w:eastAsia="Arial" w:hAnsi="Arial" w:cs="Arial"/>
        </w:rPr>
        <w:lastRenderedPageBreak/>
        <w:t>Forecasts of gridlock by 2026</w:t>
      </w:r>
      <w:r w:rsidR="00781B1B" w:rsidRPr="2909473D">
        <w:rPr>
          <w:rFonts w:ascii="Arial" w:eastAsia="Arial" w:hAnsi="Arial" w:cs="Arial"/>
        </w:rPr>
        <w:t>,</w:t>
      </w:r>
      <w:r w:rsidRPr="2909473D">
        <w:rPr>
          <w:rFonts w:ascii="Arial" w:eastAsia="Arial" w:hAnsi="Arial" w:cs="Arial"/>
        </w:rPr>
        <w:t xml:space="preserve"> therefore</w:t>
      </w:r>
      <w:r w:rsidR="00781B1B" w:rsidRPr="2909473D">
        <w:rPr>
          <w:rFonts w:ascii="Arial" w:eastAsia="Arial" w:hAnsi="Arial" w:cs="Arial"/>
        </w:rPr>
        <w:t>,</w:t>
      </w:r>
      <w:r w:rsidRPr="2909473D">
        <w:rPr>
          <w:rFonts w:ascii="Arial" w:eastAsia="Arial" w:hAnsi="Arial" w:cs="Arial"/>
        </w:rPr>
        <w:t xml:space="preserve"> do not simply indicate a shortage of prison places, butdecades of short-term, populist policymaking that prioritised political optics over coherent penal strategy. By expanding capacity without simultaneously reforming sentencing</w:t>
      </w:r>
      <w:r w:rsidR="545C3694" w:rsidRPr="2909473D">
        <w:rPr>
          <w:rFonts w:ascii="Arial" w:eastAsia="Arial" w:hAnsi="Arial" w:cs="Arial"/>
        </w:rPr>
        <w:t>,</w:t>
      </w:r>
      <w:r w:rsidRPr="2909473D">
        <w:rPr>
          <w:rFonts w:ascii="Arial" w:eastAsia="Arial" w:hAnsi="Arial" w:cs="Arial"/>
        </w:rPr>
        <w:t xml:space="preserve"> and reinvestment in community-based interventions, government policy exacerbates the very pressures it seeks to resolve. The resulting ‘penal inflation’ (Pratt, 2008) exposes the limits of carceral expansionism and underscores the need for an integrated policy shift towards diversion, early intervention, and evidence-based rehabilitation. Thus, gridlock can be understood not as an operational failure but as the inevitable outcome of systemic mismanagement and policy incoherence</w:t>
      </w:r>
      <w:r w:rsidR="066A0CB9" w:rsidRPr="2909473D">
        <w:rPr>
          <w:rFonts w:ascii="Arial" w:eastAsia="Arial" w:hAnsi="Arial" w:cs="Arial"/>
        </w:rPr>
        <w:t>.</w:t>
      </w:r>
      <w:r w:rsidRPr="2909473D">
        <w:rPr>
          <w:rFonts w:ascii="Arial" w:eastAsia="Arial" w:hAnsi="Arial" w:cs="Arial"/>
        </w:rPr>
        <w:t xml:space="preserve"> </w:t>
      </w:r>
    </w:p>
    <w:p w14:paraId="188DC2B6" w14:textId="7BB5A498" w:rsidR="007B0CDB" w:rsidRPr="007D290A" w:rsidRDefault="513C6FBA" w:rsidP="007D290A">
      <w:pPr>
        <w:spacing w:line="360" w:lineRule="auto"/>
        <w:jc w:val="both"/>
        <w:rPr>
          <w:rFonts w:ascii="Arial" w:eastAsia="Arial" w:hAnsi="Arial" w:cs="Arial"/>
        </w:rPr>
      </w:pPr>
      <w:r w:rsidRPr="2909473D">
        <w:rPr>
          <w:rFonts w:ascii="Arial" w:eastAsia="Arial" w:hAnsi="Arial" w:cs="Arial"/>
        </w:rPr>
        <w:t>Overcrowding in adult prisons remains one of the most pressing operational challenges. Many establishments operate well above their certified normal accommodation (CNA), undermining safety, regime quality, and rehabilitative opportunities. Empirical research demonstrates that overcrowding correlates with increased violence, self-harm, and staff stress (HM Chief Inspector of Prisons, 2023; Martens and Crewe, 2025)</w:t>
      </w:r>
      <w:r w:rsidR="0F36AAF8" w:rsidRPr="2909473D">
        <w:rPr>
          <w:rFonts w:ascii="Arial" w:eastAsia="Arial" w:hAnsi="Arial" w:cs="Arial"/>
        </w:rPr>
        <w:t xml:space="preserve"> and</w:t>
      </w:r>
      <w:r w:rsidRPr="2909473D">
        <w:rPr>
          <w:rFonts w:ascii="Arial" w:eastAsia="Arial" w:hAnsi="Arial" w:cs="Arial"/>
        </w:rPr>
        <w:t xml:space="preserve"> constrains access to education, vocational training, and rehabilitative program</w:t>
      </w:r>
      <w:r w:rsidR="0C3DBDA3" w:rsidRPr="2909473D">
        <w:rPr>
          <w:rFonts w:ascii="Arial" w:eastAsia="Arial" w:hAnsi="Arial" w:cs="Arial"/>
        </w:rPr>
        <w:t>me</w:t>
      </w:r>
      <w:r w:rsidRPr="2909473D">
        <w:rPr>
          <w:rFonts w:ascii="Arial" w:eastAsia="Arial" w:hAnsi="Arial" w:cs="Arial"/>
        </w:rPr>
        <w:t>s, which are critical for reducing reoffending (Farrell, 2023). While the government has invested in new prison construction and refurbishment program</w:t>
      </w:r>
      <w:r w:rsidR="3467BE34" w:rsidRPr="2909473D">
        <w:rPr>
          <w:rFonts w:ascii="Arial" w:eastAsia="Arial" w:hAnsi="Arial" w:cs="Arial"/>
        </w:rPr>
        <w:t>me</w:t>
      </w:r>
      <w:r w:rsidRPr="2909473D">
        <w:rPr>
          <w:rFonts w:ascii="Arial" w:eastAsia="Arial" w:hAnsi="Arial" w:cs="Arial"/>
        </w:rPr>
        <w:t>s, scholars criti</w:t>
      </w:r>
      <w:r w:rsidR="4E98EB11" w:rsidRPr="2909473D">
        <w:rPr>
          <w:rFonts w:ascii="Arial" w:eastAsia="Arial" w:hAnsi="Arial" w:cs="Arial"/>
        </w:rPr>
        <w:t>cise</w:t>
      </w:r>
      <w:r w:rsidRPr="2909473D">
        <w:rPr>
          <w:rFonts w:ascii="Arial" w:eastAsia="Arial" w:hAnsi="Arial" w:cs="Arial"/>
        </w:rPr>
        <w:t xml:space="preserve"> these efforts for failing to account for operational needs, staffing requirements, and regime quality</w:t>
      </w:r>
      <w:r w:rsidR="00BD2810">
        <w:t xml:space="preserve"> </w:t>
      </w:r>
      <w:r w:rsidR="00BD2810" w:rsidRPr="2909473D">
        <w:rPr>
          <w:rFonts w:ascii="Arial" w:eastAsia="Arial" w:hAnsi="Arial" w:cs="Arial"/>
        </w:rPr>
        <w:t>(Jones et al., 2024)</w:t>
      </w:r>
      <w:r w:rsidRPr="2909473D">
        <w:rPr>
          <w:rFonts w:ascii="Arial" w:eastAsia="Arial" w:hAnsi="Arial" w:cs="Arial"/>
        </w:rPr>
        <w:t>. The creation of additional physical capacity without integrated investment in rehabilitation, health care, and education risks producing ‘empty beds’ in operational terms, where nominal capacity exists but meaningful engagement is impossible.</w:t>
      </w:r>
    </w:p>
    <w:p w14:paraId="14FE21B4" w14:textId="000BBFCF" w:rsidR="007B0CDB" w:rsidRPr="007D290A" w:rsidRDefault="513C6FBA" w:rsidP="007D290A">
      <w:pPr>
        <w:spacing w:line="360" w:lineRule="auto"/>
        <w:jc w:val="both"/>
        <w:rPr>
          <w:rFonts w:ascii="Arial" w:eastAsia="Arial" w:hAnsi="Arial" w:cs="Arial"/>
        </w:rPr>
      </w:pPr>
      <w:r w:rsidRPr="2909473D">
        <w:rPr>
          <w:rFonts w:ascii="Arial" w:eastAsia="Arial" w:hAnsi="Arial" w:cs="Arial"/>
        </w:rPr>
        <w:t xml:space="preserve">Demographic shifts in the prison population exacerbate these challenges. Older prisoners, defined as those aged </w:t>
      </w:r>
      <w:r w:rsidR="115B20DA" w:rsidRPr="2909473D">
        <w:rPr>
          <w:rFonts w:ascii="Arial" w:eastAsia="Arial" w:hAnsi="Arial" w:cs="Arial"/>
        </w:rPr>
        <w:t>50</w:t>
      </w:r>
      <w:r w:rsidRPr="2909473D">
        <w:rPr>
          <w:rFonts w:ascii="Arial" w:eastAsia="Arial" w:hAnsi="Arial" w:cs="Arial"/>
        </w:rPr>
        <w:t xml:space="preserve"> and above, are increasingly prevalent, presenting complex health, mobility, and mental health needs (Gavin, Porter, and MacDonald, 2025). Their care requires speciali</w:t>
      </w:r>
      <w:r w:rsidR="7EACB36E" w:rsidRPr="2909473D">
        <w:rPr>
          <w:rFonts w:ascii="Arial" w:eastAsia="Arial" w:hAnsi="Arial" w:cs="Arial"/>
        </w:rPr>
        <w:t>s</w:t>
      </w:r>
      <w:r w:rsidRPr="2909473D">
        <w:rPr>
          <w:rFonts w:ascii="Arial" w:eastAsia="Arial" w:hAnsi="Arial" w:cs="Arial"/>
        </w:rPr>
        <w:t xml:space="preserve">ed regimes, enhanced healthcare provision, and adapted staff training, which are </w:t>
      </w:r>
      <w:r w:rsidR="11D9EA02" w:rsidRPr="2909473D">
        <w:rPr>
          <w:rFonts w:ascii="Arial" w:eastAsia="Arial" w:hAnsi="Arial" w:cs="Arial"/>
        </w:rPr>
        <w:t>resource intensive</w:t>
      </w:r>
      <w:r w:rsidRPr="2909473D">
        <w:rPr>
          <w:rFonts w:ascii="Arial" w:eastAsia="Arial" w:hAnsi="Arial" w:cs="Arial"/>
        </w:rPr>
        <w:t>. Simultaneously, younger adult prisoners often present with high levels of trauma, substance misuse, and mental health disorders, necessitating integrated rehabilitative and therapeutic services (Farrell, 2023). Overcrowding intensifies these challenges, reducing opportunities for intervention, heightening the risk of institutional violence, and undermining rehabilitation.</w:t>
      </w:r>
    </w:p>
    <w:p w14:paraId="2FE31C51" w14:textId="3AECC804" w:rsidR="00676888" w:rsidRPr="007D290A" w:rsidRDefault="00676888" w:rsidP="007D290A">
      <w:pPr>
        <w:spacing w:line="360" w:lineRule="auto"/>
        <w:jc w:val="both"/>
        <w:rPr>
          <w:rFonts w:ascii="Arial" w:eastAsia="Arial" w:hAnsi="Arial" w:cs="Arial"/>
        </w:rPr>
      </w:pPr>
      <w:r w:rsidRPr="2909473D">
        <w:rPr>
          <w:rFonts w:ascii="Arial" w:eastAsia="Arial" w:hAnsi="Arial" w:cs="Arial"/>
        </w:rPr>
        <w:lastRenderedPageBreak/>
        <w:t>Demographic transformations within the prison population expose the profound limitations of the government’s capacity-oriented approach to penal management (Ministry of Justice, 2024; Allen and Watson, 2023)</w:t>
      </w:r>
      <w:r w:rsidR="2C740E88" w:rsidRPr="2909473D">
        <w:rPr>
          <w:rFonts w:ascii="Arial" w:eastAsia="Arial" w:hAnsi="Arial" w:cs="Arial"/>
        </w:rPr>
        <w:t>,</w:t>
      </w:r>
      <w:r w:rsidRPr="2909473D">
        <w:rPr>
          <w:rFonts w:ascii="Arial" w:eastAsia="Arial" w:hAnsi="Arial" w:cs="Arial"/>
        </w:rPr>
        <w:t xml:space="preserve"> </w:t>
      </w:r>
      <w:r w:rsidR="3EFC93B8" w:rsidRPr="2909473D">
        <w:rPr>
          <w:rFonts w:ascii="Arial" w:eastAsia="Arial" w:hAnsi="Arial" w:cs="Arial"/>
        </w:rPr>
        <w:t>leading to</w:t>
      </w:r>
      <w:r w:rsidRPr="2909473D">
        <w:rPr>
          <w:rFonts w:ascii="Arial" w:eastAsia="Arial" w:hAnsi="Arial" w:cs="Arial"/>
        </w:rPr>
        <w:t xml:space="preserve"> escalating healthcare expenditures, intensified operational pressures, and amplified human rights vulnerabilities, collectively undermining the prison system (Public Accounts Committee, 2023; HM Chief Inspector of Prisons, 2023). The government’s continued reliance on expanding generic custodial capacity, rather than investing in age-sensitive or </w:t>
      </w:r>
      <w:r w:rsidR="00781B1B" w:rsidRPr="2909473D">
        <w:rPr>
          <w:rFonts w:ascii="Arial" w:eastAsia="Arial" w:hAnsi="Arial" w:cs="Arial"/>
        </w:rPr>
        <w:t>health-responsive</w:t>
      </w:r>
      <w:r w:rsidRPr="2909473D">
        <w:rPr>
          <w:rFonts w:ascii="Arial" w:eastAsia="Arial" w:hAnsi="Arial" w:cs="Arial"/>
        </w:rPr>
        <w:t xml:space="preserve"> facilities, exemplifies a failure to engage in strategic, evidence-informed planning for the evolving composition of the incarcerated population (Guiney and Yeomans, 2023).</w:t>
      </w:r>
    </w:p>
    <w:p w14:paraId="36C22A2B" w14:textId="77777777" w:rsidR="00676888" w:rsidRPr="007D290A" w:rsidRDefault="00676888" w:rsidP="007D290A">
      <w:pPr>
        <w:spacing w:line="360" w:lineRule="auto"/>
        <w:jc w:val="both"/>
        <w:rPr>
          <w:rFonts w:ascii="Arial" w:eastAsia="Arial" w:hAnsi="Arial" w:cs="Arial"/>
        </w:rPr>
      </w:pPr>
    </w:p>
    <w:p w14:paraId="51D87CD3" w14:textId="5145AD82" w:rsidR="00676888" w:rsidRPr="007D290A" w:rsidRDefault="00676888" w:rsidP="007D290A">
      <w:pPr>
        <w:spacing w:line="360" w:lineRule="auto"/>
        <w:jc w:val="both"/>
        <w:rPr>
          <w:rFonts w:ascii="Arial" w:eastAsia="Arial" w:hAnsi="Arial" w:cs="Arial"/>
        </w:rPr>
      </w:pPr>
      <w:r w:rsidRPr="2909473D">
        <w:rPr>
          <w:rFonts w:ascii="Arial" w:eastAsia="Arial" w:hAnsi="Arial" w:cs="Arial"/>
        </w:rPr>
        <w:t xml:space="preserve">In this sense, demographic pressures are not simply operational challenges but symptomatic of a broader structural failure wherein penal policy remains reactive, </w:t>
      </w:r>
      <w:r w:rsidR="002F488A" w:rsidRPr="2909473D">
        <w:rPr>
          <w:rFonts w:ascii="Arial" w:eastAsia="Arial" w:hAnsi="Arial" w:cs="Arial"/>
        </w:rPr>
        <w:t>short-term</w:t>
      </w:r>
      <w:r w:rsidRPr="2909473D">
        <w:rPr>
          <w:rFonts w:ascii="Arial" w:eastAsia="Arial" w:hAnsi="Arial" w:cs="Arial"/>
        </w:rPr>
        <w:t>, and disconnected from evidence about who the prison population is and what effective management requires (Pratt, 2008; Centre for Crime and Justice Studies, 2022). A coherent criminal justice strategy would anticipate these shifts, investing in tailored health provision, diversion programmes, and community alternatives (Howard League for Penal Reform, 2024). The absence of such foresight underscores the extent to which current government policy reflects systemic failure rather than strategic governance.</w:t>
      </w:r>
    </w:p>
    <w:p w14:paraId="7939963F" w14:textId="77777777" w:rsidR="00676888" w:rsidRPr="007D290A" w:rsidRDefault="00676888" w:rsidP="007D290A">
      <w:pPr>
        <w:spacing w:line="360" w:lineRule="auto"/>
        <w:jc w:val="both"/>
        <w:rPr>
          <w:rFonts w:ascii="Arial" w:eastAsia="Arial" w:hAnsi="Arial" w:cs="Arial"/>
        </w:rPr>
      </w:pPr>
    </w:p>
    <w:p w14:paraId="3145E8CC" w14:textId="77777777" w:rsidR="00676888" w:rsidRPr="007D290A" w:rsidRDefault="00676888" w:rsidP="007D290A">
      <w:pPr>
        <w:spacing w:line="360" w:lineRule="auto"/>
        <w:jc w:val="both"/>
        <w:rPr>
          <w:rFonts w:ascii="Arial" w:eastAsia="Arial" w:hAnsi="Arial" w:cs="Arial"/>
        </w:rPr>
      </w:pPr>
      <w:r w:rsidRPr="2909473D">
        <w:rPr>
          <w:rFonts w:ascii="Arial" w:eastAsia="Arial" w:hAnsi="Arial" w:cs="Arial"/>
        </w:rPr>
        <w:t>Chronic overcrowding and the persistent underfunding of rehabilitative and therapeutic interventions severely constrain the system’s capacity to address these complex needs (HM Chief Inspector of Prisons, 2023; Crewe, 2011). This institutional neglect not only perpetuates entrenched cycles of recidivism but also exposes a deeper policy dissonance: while political and bureaucratic discourse consistently frames imprisonment as a vehicle for rehabilitation, actual patterns of resource allocation reveal a predominant concern with containment and control (Cavadino and Dignan, 2013; Guiney and Yeomans, 2023). The government’s failure to reconcile demographic realities with rehabilitative imperatives entrenches systemic incoherence and accelerates the trajectory toward the anticipated 2026 capacity crisis (Ministry of Justice, 2024).</w:t>
      </w:r>
    </w:p>
    <w:p w14:paraId="6200A1F7" w14:textId="77777777" w:rsidR="00676888" w:rsidRPr="007D290A" w:rsidRDefault="00676888" w:rsidP="007D290A">
      <w:pPr>
        <w:spacing w:line="360" w:lineRule="auto"/>
        <w:jc w:val="both"/>
        <w:rPr>
          <w:rFonts w:ascii="Arial" w:eastAsia="Arial" w:hAnsi="Arial" w:cs="Arial"/>
        </w:rPr>
      </w:pPr>
    </w:p>
    <w:p w14:paraId="4D5261FD" w14:textId="77777777" w:rsidR="00676888" w:rsidRPr="007D290A" w:rsidRDefault="00676888" w:rsidP="007D290A">
      <w:pPr>
        <w:spacing w:line="360" w:lineRule="auto"/>
        <w:jc w:val="both"/>
        <w:rPr>
          <w:rFonts w:ascii="Arial" w:eastAsia="Arial" w:hAnsi="Arial" w:cs="Arial"/>
        </w:rPr>
      </w:pPr>
      <w:r w:rsidRPr="2909473D">
        <w:rPr>
          <w:rFonts w:ascii="Arial" w:eastAsia="Arial" w:hAnsi="Arial" w:cs="Arial"/>
        </w:rPr>
        <w:t>Remand practices contribute disproportionately to custodial pressures. Approximately one-fifth of prisoners are held on remand at any given time, frequently awaiting trial for extended periods due to court delays and cautious bail practices (Ministry of Justice, 2024). Many remand prisoners are subsequently acquitted or receive non-custodial sentences, suggesting that pretrial detention is often unnecessary and inefficient (Howard League for Penal Reform, 2024). Ethnic minority populations and individuals from socioeconomically disadvantaged backgrounds are overrepresented in remand cohorts, indicating systemic inequalities (Lymperopoulou, 2024). Research indicates that alternatives, including electronic monitoring, structured community supervision, and enhanced bail support, can safely reduce remand populations while preserving public confidence in justice processes (Dingwall, 2023; Morgan and Liebling, 2021). Comprehensive remand reform, therefore, requires both procedural efficiency in the courts and targeted community-based interventions to minimise unnecessary detention.</w:t>
      </w:r>
    </w:p>
    <w:p w14:paraId="6C85F7E8" w14:textId="77777777" w:rsidR="00676888" w:rsidRPr="007D290A" w:rsidRDefault="00676888" w:rsidP="007D290A">
      <w:pPr>
        <w:spacing w:line="360" w:lineRule="auto"/>
        <w:jc w:val="both"/>
        <w:rPr>
          <w:rFonts w:ascii="Arial" w:eastAsia="Arial" w:hAnsi="Arial" w:cs="Arial"/>
        </w:rPr>
      </w:pPr>
    </w:p>
    <w:p w14:paraId="6A8466AE" w14:textId="77777777" w:rsidR="00676888" w:rsidRPr="007D290A" w:rsidRDefault="00676888" w:rsidP="007D290A">
      <w:pPr>
        <w:spacing w:line="360" w:lineRule="auto"/>
        <w:jc w:val="both"/>
        <w:rPr>
          <w:rFonts w:ascii="Arial" w:eastAsia="Arial" w:hAnsi="Arial" w:cs="Arial"/>
        </w:rPr>
      </w:pPr>
      <w:r w:rsidRPr="2909473D">
        <w:rPr>
          <w:rFonts w:ascii="Arial" w:eastAsia="Arial" w:hAnsi="Arial" w:cs="Arial"/>
        </w:rPr>
        <w:t>Sentencing policies further intensify custodial pressures. Over recent decades, the length and severity of custodial sentences have increased, often without demonstrable improvements in public safety or reductions in recidivism (Howard League for Penal Reform, 2024; Roberts and Hough, 2013). Short-term custodial sentences, particularly those under twelve months, are largely ineffective in achieving rehabilitation while consuming significant resources (Burnett and Maruna, 2004). Evidence indicates that community-based alternatives, including restorative justice, electronic monitoring, and structured supervision, achieve similar or better outcomes for low-risk offenders while reducing the strain on custodial capacity (Roberts and Hough, 2013; Blagg and Anthony, 2019). Moreover, persistent disparities exist in sentencing outcomes, with ethnic minority groups and individuals from deprived backgrounds receiving disproportionately severe sentences (Lymperopoulou, 2024). Addressing these disparities is essential both for equity and for alleviating systemic pressures in the custodial estate.</w:t>
      </w:r>
    </w:p>
    <w:p w14:paraId="74641486" w14:textId="77777777" w:rsidR="00676888" w:rsidRPr="007D290A" w:rsidRDefault="00676888" w:rsidP="007D290A">
      <w:pPr>
        <w:spacing w:line="360" w:lineRule="auto"/>
        <w:jc w:val="both"/>
        <w:rPr>
          <w:rFonts w:ascii="Arial" w:eastAsia="Arial" w:hAnsi="Arial" w:cs="Arial"/>
        </w:rPr>
      </w:pPr>
    </w:p>
    <w:p w14:paraId="016BC18D" w14:textId="0293F63A" w:rsidR="00676888" w:rsidRPr="007D290A" w:rsidRDefault="00676888" w:rsidP="007D290A">
      <w:pPr>
        <w:spacing w:line="360" w:lineRule="auto"/>
        <w:jc w:val="both"/>
        <w:rPr>
          <w:rFonts w:ascii="Arial" w:eastAsia="Arial" w:hAnsi="Arial" w:cs="Arial"/>
        </w:rPr>
      </w:pPr>
      <w:r w:rsidRPr="2909473D">
        <w:rPr>
          <w:rFonts w:ascii="Arial" w:eastAsia="Arial" w:hAnsi="Arial" w:cs="Arial"/>
        </w:rPr>
        <w:lastRenderedPageBreak/>
        <w:t>Probation and community supervision services are pivotal in preventing reoffending and alleviating custodial pressures. However, structural challenges</w:t>
      </w:r>
      <w:r w:rsidR="00781B1B" w:rsidRPr="2909473D">
        <w:rPr>
          <w:rFonts w:ascii="Arial" w:eastAsia="Arial" w:hAnsi="Arial" w:cs="Arial"/>
        </w:rPr>
        <w:t xml:space="preserve">, </w:t>
      </w:r>
      <w:r w:rsidRPr="2909473D">
        <w:rPr>
          <w:rFonts w:ascii="Arial" w:eastAsia="Arial" w:hAnsi="Arial" w:cs="Arial"/>
        </w:rPr>
        <w:t>including high caseloads, staff shortages, and limited funding</w:t>
      </w:r>
      <w:r w:rsidR="00781B1B" w:rsidRPr="2909473D">
        <w:rPr>
          <w:rFonts w:ascii="Arial" w:eastAsia="Arial" w:hAnsi="Arial" w:cs="Arial"/>
        </w:rPr>
        <w:t xml:space="preserve">, </w:t>
      </w:r>
      <w:r w:rsidRPr="2909473D">
        <w:rPr>
          <w:rFonts w:ascii="Arial" w:eastAsia="Arial" w:hAnsi="Arial" w:cs="Arial"/>
        </w:rPr>
        <w:t>constrain the quality of supervision (HM Inspectorate of Probation, 2024; Centre for Crime and Justice Studies, 2022). High-quality, relational supervision that emphasises desistance, individualised support, and through-the-gate continuity has been shown to significantly improve outcomes, increasing compliance and reducing recidivism (McNeill, 2006; McNeill, 2019). Yet, gaps in housing, employment, mental health care, and substance misuse support remain substantial barriers to successful reintegration (Farrell, 2023). Investments in workforce stability, training, and inter-agency coordination are therefore crucial to enhancing probation effectiveness and supporting sustainable desistance (HM Inspectorate of Probation, 2024).</w:t>
      </w:r>
    </w:p>
    <w:p w14:paraId="667D55B3" w14:textId="1BBABC15" w:rsidR="007B0CDB" w:rsidRPr="007D290A" w:rsidRDefault="513C6FBA" w:rsidP="007D290A">
      <w:pPr>
        <w:spacing w:line="360" w:lineRule="auto"/>
        <w:jc w:val="both"/>
        <w:rPr>
          <w:rFonts w:ascii="Arial" w:eastAsia="Arial" w:hAnsi="Arial" w:cs="Arial"/>
        </w:rPr>
      </w:pPr>
      <w:r w:rsidRPr="007D290A">
        <w:rPr>
          <w:rFonts w:ascii="Arial" w:eastAsia="Arial" w:hAnsi="Arial" w:cs="Arial"/>
        </w:rPr>
        <w:t>Furthermore, policy culture and program</w:t>
      </w:r>
      <w:r w:rsidR="7E585D34" w:rsidRPr="007D290A">
        <w:rPr>
          <w:rFonts w:ascii="Arial" w:eastAsia="Arial" w:hAnsi="Arial" w:cs="Arial"/>
        </w:rPr>
        <w:t>me</w:t>
      </w:r>
      <w:r w:rsidRPr="007D290A">
        <w:rPr>
          <w:rFonts w:ascii="Arial" w:eastAsia="Arial" w:hAnsi="Arial" w:cs="Arial"/>
        </w:rPr>
        <w:t xml:space="preserve"> design significantly affect the efficacy of the criminal justice system. Stevens et al. (2025) describe a phenomenon termed ‘</w:t>
      </w:r>
      <w:r w:rsidR="00781B1B" w:rsidRPr="007D290A">
        <w:rPr>
          <w:rFonts w:ascii="Arial" w:eastAsia="Arial" w:hAnsi="Arial" w:cs="Arial"/>
        </w:rPr>
        <w:t>interventionists</w:t>
      </w:r>
      <w:r w:rsidRPr="007D290A">
        <w:rPr>
          <w:rFonts w:ascii="Arial" w:eastAsia="Arial" w:hAnsi="Arial" w:cs="Arial"/>
        </w:rPr>
        <w:t>,’ in which overlapping and uncoordinated program</w:t>
      </w:r>
      <w:r w:rsidR="253E0759" w:rsidRPr="007D290A">
        <w:rPr>
          <w:rFonts w:ascii="Arial" w:eastAsia="Arial" w:hAnsi="Arial" w:cs="Arial"/>
        </w:rPr>
        <w:t>me</w:t>
      </w:r>
      <w:r w:rsidRPr="007D290A">
        <w:rPr>
          <w:rFonts w:ascii="Arial" w:eastAsia="Arial" w:hAnsi="Arial" w:cs="Arial"/>
        </w:rPr>
        <w:t>s generate administrative complexity, inefficiency, and mission drift. Excessive layering of assessments, supervision requirements, and intervention program</w:t>
      </w:r>
      <w:r w:rsidR="16A4157A" w:rsidRPr="007D290A">
        <w:rPr>
          <w:rFonts w:ascii="Arial" w:eastAsia="Arial" w:hAnsi="Arial" w:cs="Arial"/>
        </w:rPr>
        <w:t>me</w:t>
      </w:r>
      <w:r w:rsidRPr="007D290A">
        <w:rPr>
          <w:rFonts w:ascii="Arial" w:eastAsia="Arial" w:hAnsi="Arial" w:cs="Arial"/>
        </w:rPr>
        <w:t>s without rationali</w:t>
      </w:r>
      <w:r w:rsidR="17C91D9D" w:rsidRPr="007D290A">
        <w:rPr>
          <w:rFonts w:ascii="Arial" w:eastAsia="Arial" w:hAnsi="Arial" w:cs="Arial"/>
        </w:rPr>
        <w:t>s</w:t>
      </w:r>
      <w:r w:rsidRPr="007D290A">
        <w:rPr>
          <w:rFonts w:ascii="Arial" w:eastAsia="Arial" w:hAnsi="Arial" w:cs="Arial"/>
        </w:rPr>
        <w:t>ation burdens staff, complicates compliance, and dilutes rehabilitative effectiveness. A strategic, evidence-based approach that prioriti</w:t>
      </w:r>
      <w:r w:rsidR="307B87A5" w:rsidRPr="007D290A">
        <w:rPr>
          <w:rFonts w:ascii="Arial" w:eastAsia="Arial" w:hAnsi="Arial" w:cs="Arial"/>
        </w:rPr>
        <w:t>s</w:t>
      </w:r>
      <w:r w:rsidRPr="007D290A">
        <w:rPr>
          <w:rFonts w:ascii="Arial" w:eastAsia="Arial" w:hAnsi="Arial" w:cs="Arial"/>
        </w:rPr>
        <w:t>es effective program</w:t>
      </w:r>
      <w:r w:rsidR="254F965A" w:rsidRPr="007D290A">
        <w:rPr>
          <w:rFonts w:ascii="Arial" w:eastAsia="Arial" w:hAnsi="Arial" w:cs="Arial"/>
        </w:rPr>
        <w:t>me</w:t>
      </w:r>
      <w:r w:rsidRPr="007D290A">
        <w:rPr>
          <w:rFonts w:ascii="Arial" w:eastAsia="Arial" w:hAnsi="Arial" w:cs="Arial"/>
        </w:rPr>
        <w:t>s, eliminates redundancies, and integrates probation, custodial, and social services is essential to addressing these systemic inefficiencies.</w:t>
      </w:r>
    </w:p>
    <w:p w14:paraId="481D05C0" w14:textId="6F1E0FCB" w:rsidR="007B0CDB" w:rsidRPr="007D290A" w:rsidRDefault="513C6FBA" w:rsidP="007D290A">
      <w:pPr>
        <w:spacing w:line="360" w:lineRule="auto"/>
        <w:jc w:val="both"/>
        <w:rPr>
          <w:rFonts w:ascii="Arial" w:eastAsia="Arial" w:hAnsi="Arial" w:cs="Arial"/>
        </w:rPr>
      </w:pPr>
      <w:r w:rsidRPr="2909473D">
        <w:rPr>
          <w:rFonts w:ascii="Arial" w:eastAsia="Arial" w:hAnsi="Arial" w:cs="Arial"/>
        </w:rPr>
        <w:t>Youth justice in England and Wales reflects a complex interplay between welfare-oriented policy, penal rationales, and broader social inequalities. While the overall number of first-time entrants (FTEs) into the youth justice system has declined to record lows, there has been a concurrent increase in the proportion of children sentenced to custody rather than diverted to community-based interventions, highlighting a contraction in diversionary space (Youth Justice Board, 2025). This trend demonstrates the tension between the aspirational ‘child-first’ policy narrative and the practical application of risk management strategies in frontline decision-making (Day, 2023). Children who enter the justice system often present with multiple, intersecting vulnerabilities, including histories of trauma, educational exclusion, unstable family environments, and mental health difficulties (</w:t>
      </w:r>
      <w:r w:rsidR="46A0FCD6" w:rsidRPr="2909473D">
        <w:rPr>
          <w:rFonts w:ascii="Arial" w:eastAsia="Arial" w:hAnsi="Arial" w:cs="Arial"/>
        </w:rPr>
        <w:t>Smith and Paddick</w:t>
      </w:r>
      <w:r w:rsidRPr="2909473D">
        <w:rPr>
          <w:rFonts w:ascii="Arial" w:eastAsia="Arial" w:hAnsi="Arial" w:cs="Arial"/>
        </w:rPr>
        <w:t xml:space="preserve">, 2024). Such complex needs indicate that conventional custodial responses are poorly suited </w:t>
      </w:r>
      <w:r w:rsidRPr="2909473D">
        <w:rPr>
          <w:rFonts w:ascii="Arial" w:eastAsia="Arial" w:hAnsi="Arial" w:cs="Arial"/>
        </w:rPr>
        <w:lastRenderedPageBreak/>
        <w:t>to addressing the underlying drivers of offending among young people, and that structural, welfare-oriented approaches are essential.</w:t>
      </w:r>
    </w:p>
    <w:p w14:paraId="6D8F9FF0" w14:textId="673D680C" w:rsidR="007B0CDB" w:rsidRPr="007D290A" w:rsidRDefault="513C6FBA" w:rsidP="007D290A">
      <w:pPr>
        <w:spacing w:line="360" w:lineRule="auto"/>
        <w:jc w:val="both"/>
        <w:rPr>
          <w:rFonts w:ascii="Arial" w:eastAsia="Arial" w:hAnsi="Arial" w:cs="Arial"/>
        </w:rPr>
      </w:pPr>
      <w:r w:rsidRPr="2909473D">
        <w:rPr>
          <w:rFonts w:ascii="Arial" w:eastAsia="Arial" w:hAnsi="Arial" w:cs="Arial"/>
        </w:rPr>
        <w:t>A growing body of research emphasi</w:t>
      </w:r>
      <w:r w:rsidR="254A411E" w:rsidRPr="2909473D">
        <w:rPr>
          <w:rFonts w:ascii="Arial" w:eastAsia="Arial" w:hAnsi="Arial" w:cs="Arial"/>
        </w:rPr>
        <w:t>s</w:t>
      </w:r>
      <w:r w:rsidRPr="2909473D">
        <w:rPr>
          <w:rFonts w:ascii="Arial" w:eastAsia="Arial" w:hAnsi="Arial" w:cs="Arial"/>
        </w:rPr>
        <w:t>es the harms associated with child imprisonment. Hodgson (2024) argues that the institutionali</w:t>
      </w:r>
      <w:r w:rsidR="7E3FD12E" w:rsidRPr="2909473D">
        <w:rPr>
          <w:rFonts w:ascii="Arial" w:eastAsia="Arial" w:hAnsi="Arial" w:cs="Arial"/>
        </w:rPr>
        <w:t>s</w:t>
      </w:r>
      <w:r w:rsidRPr="2909473D">
        <w:rPr>
          <w:rFonts w:ascii="Arial" w:eastAsia="Arial" w:hAnsi="Arial" w:cs="Arial"/>
        </w:rPr>
        <w:t>ation of violence and the restrictive environment of youth custody produce enduring psychological, social, and educational harm, often exacerbating trajectories of offending rather than ameliorating them. Similarly, the University of Liverpool review (2024) concludes that previous youth justice reforms have failed to produce systemic change and recommends the radical minimi</w:t>
      </w:r>
      <w:r w:rsidR="2FCBB364" w:rsidRPr="2909473D">
        <w:rPr>
          <w:rFonts w:ascii="Arial" w:eastAsia="Arial" w:hAnsi="Arial" w:cs="Arial"/>
        </w:rPr>
        <w:t>s</w:t>
      </w:r>
      <w:r w:rsidRPr="2909473D">
        <w:rPr>
          <w:rFonts w:ascii="Arial" w:eastAsia="Arial" w:hAnsi="Arial" w:cs="Arial"/>
        </w:rPr>
        <w:t>ation or abolition of non-violent child imprisonment, alongside the transfer of responsibility for such cases to the Department for Education. These perspectives are reinforced by international evidence demonstrating that secure welfare settings, rather than custodial institutions, are associated with improved outcomes for young people, particularly when interventions are trauma-informed and culturally responsive (Smith, 2021; Blagg and Anthony, 2019).</w:t>
      </w:r>
    </w:p>
    <w:p w14:paraId="6ECAAAAD" w14:textId="71D6AAF4" w:rsidR="007B0CDB" w:rsidRPr="007D290A" w:rsidRDefault="513C6FBA" w:rsidP="007D290A">
      <w:pPr>
        <w:spacing w:line="360" w:lineRule="auto"/>
        <w:jc w:val="both"/>
        <w:rPr>
          <w:rFonts w:ascii="Arial" w:eastAsia="Arial" w:hAnsi="Arial" w:cs="Arial"/>
        </w:rPr>
      </w:pPr>
      <w:r w:rsidRPr="2909473D">
        <w:rPr>
          <w:rFonts w:ascii="Arial" w:eastAsia="Arial" w:hAnsi="Arial" w:cs="Arial"/>
        </w:rPr>
        <w:t>Trauma-informed approaches recogni</w:t>
      </w:r>
      <w:r w:rsidR="4C761B25" w:rsidRPr="2909473D">
        <w:rPr>
          <w:rFonts w:ascii="Arial" w:eastAsia="Arial" w:hAnsi="Arial" w:cs="Arial"/>
        </w:rPr>
        <w:t>s</w:t>
      </w:r>
      <w:r w:rsidRPr="2909473D">
        <w:rPr>
          <w:rFonts w:ascii="Arial" w:eastAsia="Arial" w:hAnsi="Arial" w:cs="Arial"/>
        </w:rPr>
        <w:t>e the prevalence of adverse childhood experiences among youth offenders and seek to reduce re-traumati</w:t>
      </w:r>
      <w:r w:rsidR="0EE9328D" w:rsidRPr="2909473D">
        <w:rPr>
          <w:rFonts w:ascii="Arial" w:eastAsia="Arial" w:hAnsi="Arial" w:cs="Arial"/>
        </w:rPr>
        <w:t>s</w:t>
      </w:r>
      <w:r w:rsidRPr="2909473D">
        <w:rPr>
          <w:rFonts w:ascii="Arial" w:eastAsia="Arial" w:hAnsi="Arial" w:cs="Arial"/>
        </w:rPr>
        <w:t>ation within justice processes. By integrating therapeutic support, education, and social care services into interventions, these models aim to address the root causes of offending rather than merely the symptoms (Smith, 2021). Evaluations of restorative justice initiatives with young people demonstrate significant reductions in recidivism and improvements in social and educational engagement, particularly when program</w:t>
      </w:r>
      <w:r w:rsidR="2D08FE73" w:rsidRPr="2909473D">
        <w:rPr>
          <w:rFonts w:ascii="Arial" w:eastAsia="Arial" w:hAnsi="Arial" w:cs="Arial"/>
        </w:rPr>
        <w:t>me</w:t>
      </w:r>
      <w:r w:rsidRPr="2909473D">
        <w:rPr>
          <w:rFonts w:ascii="Arial" w:eastAsia="Arial" w:hAnsi="Arial" w:cs="Arial"/>
        </w:rPr>
        <w:t>s incorporate family and community participation (Latimer, Dowden, and Muise, 2013). These findings suggest that expansion of diversionary program</w:t>
      </w:r>
      <w:r w:rsidR="28704E0E" w:rsidRPr="2909473D">
        <w:rPr>
          <w:rFonts w:ascii="Arial" w:eastAsia="Arial" w:hAnsi="Arial" w:cs="Arial"/>
        </w:rPr>
        <w:t>me</w:t>
      </w:r>
      <w:r w:rsidRPr="2909473D">
        <w:rPr>
          <w:rFonts w:ascii="Arial" w:eastAsia="Arial" w:hAnsi="Arial" w:cs="Arial"/>
        </w:rPr>
        <w:t>s, early intervention, and restorative practices could substantially reduce the number of children entering custody, thereby alleviating pressures on the broader system and enhancing the rehabilitative potential of youth justice.</w:t>
      </w:r>
    </w:p>
    <w:p w14:paraId="31E2B8D1" w14:textId="1C342E3B" w:rsidR="007B0CDB" w:rsidRPr="007D290A" w:rsidRDefault="513C6FBA" w:rsidP="007D290A">
      <w:pPr>
        <w:spacing w:line="360" w:lineRule="auto"/>
        <w:jc w:val="both"/>
        <w:rPr>
          <w:rFonts w:ascii="Arial" w:eastAsia="Arial" w:hAnsi="Arial" w:cs="Arial"/>
        </w:rPr>
      </w:pPr>
      <w:r w:rsidRPr="2909473D">
        <w:rPr>
          <w:rFonts w:ascii="Arial" w:eastAsia="Arial" w:hAnsi="Arial" w:cs="Arial"/>
        </w:rPr>
        <w:t xml:space="preserve">Systemic inequalities are evident across both adult and youth justice domains. Ethnic minority groups, individuals from socioeconomically disadvantaged backgrounds, and those with disabilities are disproportionately represented in custody and are more likely to experience longer sentences, higher remand rates, and increased exposure to institutional harm (Lymperopoulou, 2024; Youth Justice Board, 2025). Research indicates that these disparities persist even after controlling for legal and factual </w:t>
      </w:r>
      <w:r w:rsidRPr="2909473D">
        <w:rPr>
          <w:rFonts w:ascii="Arial" w:eastAsia="Arial" w:hAnsi="Arial" w:cs="Arial"/>
        </w:rPr>
        <w:lastRenderedPageBreak/>
        <w:t>variables, pointing to structural and procedural biases embedded within the system (Lymperopoulou, 2024). Gender also intersects with justice system engagement: while women constitute a smaller proportion of the custodial population, they are more likely to experience mental health challenges, histories of abuse, and complex caregiving responsibilities, which require differentiated approaches to supervision and rehabilitation (Farrell, 2023).</w:t>
      </w:r>
    </w:p>
    <w:p w14:paraId="61D90A5B" w14:textId="77777777" w:rsidR="007B0CDB" w:rsidRPr="007D290A" w:rsidRDefault="007B0CDB" w:rsidP="007D290A">
      <w:pPr>
        <w:spacing w:line="360" w:lineRule="auto"/>
        <w:jc w:val="both"/>
        <w:rPr>
          <w:rFonts w:ascii="Arial" w:eastAsia="Arial" w:hAnsi="Arial" w:cs="Arial"/>
        </w:rPr>
      </w:pPr>
    </w:p>
    <w:p w14:paraId="5E6F3C7E" w14:textId="730A6577" w:rsidR="007B0CDB" w:rsidRPr="007D290A" w:rsidRDefault="513C6FBA" w:rsidP="007D290A">
      <w:pPr>
        <w:spacing w:line="360" w:lineRule="auto"/>
        <w:jc w:val="both"/>
        <w:rPr>
          <w:rFonts w:ascii="Arial" w:eastAsia="Arial" w:hAnsi="Arial" w:cs="Arial"/>
        </w:rPr>
      </w:pPr>
      <w:r w:rsidRPr="007D290A">
        <w:rPr>
          <w:rFonts w:ascii="Arial" w:eastAsia="Arial" w:hAnsi="Arial" w:cs="Arial"/>
        </w:rPr>
        <w:t>Inequalities in youth justice are compounded by the concentration of disadvantage among young people entering custody. Many come from communities characteri</w:t>
      </w:r>
      <w:r w:rsidR="6B6A94FC" w:rsidRPr="007D290A">
        <w:rPr>
          <w:rFonts w:ascii="Arial" w:eastAsia="Arial" w:hAnsi="Arial" w:cs="Arial"/>
        </w:rPr>
        <w:t>s</w:t>
      </w:r>
      <w:r w:rsidRPr="007D290A">
        <w:rPr>
          <w:rFonts w:ascii="Arial" w:eastAsia="Arial" w:hAnsi="Arial" w:cs="Arial"/>
        </w:rPr>
        <w:t>ed by high levels of deprivation, educational underachievement, and social exclusion (Exploring Children’s Journeys, 2024). These factors not only increase the likelihood of offending but also limit access to diversionary opportunities, educational support, and culturally responsive interventions. The disproportionate application of custody for ethnic minority children reflects broader societal inequities and necessitates targeted policy responses, including culturally competent practice, proactive engagement with marginali</w:t>
      </w:r>
      <w:r w:rsidR="594EDFBE" w:rsidRPr="007D290A">
        <w:rPr>
          <w:rFonts w:ascii="Arial" w:eastAsia="Arial" w:hAnsi="Arial" w:cs="Arial"/>
        </w:rPr>
        <w:t>s</w:t>
      </w:r>
      <w:r w:rsidRPr="007D290A">
        <w:rPr>
          <w:rFonts w:ascii="Arial" w:eastAsia="Arial" w:hAnsi="Arial" w:cs="Arial"/>
        </w:rPr>
        <w:t>ed communities, and careful monitoring of sentencing decisions (Day, 2023; Hodgson, 2024).</w:t>
      </w:r>
    </w:p>
    <w:p w14:paraId="2481DB5F" w14:textId="21FB00AA" w:rsidR="007B0CDB" w:rsidRPr="007D290A" w:rsidRDefault="513C6FBA" w:rsidP="007D290A">
      <w:pPr>
        <w:spacing w:before="240" w:after="240" w:line="360" w:lineRule="auto"/>
        <w:jc w:val="both"/>
        <w:rPr>
          <w:rFonts w:ascii="Arial" w:eastAsia="Arial" w:hAnsi="Arial" w:cs="Arial"/>
        </w:rPr>
      </w:pPr>
      <w:r w:rsidRPr="2909473D">
        <w:rPr>
          <w:rFonts w:ascii="Arial" w:eastAsia="Arial" w:hAnsi="Arial" w:cs="Arial"/>
        </w:rPr>
        <w:t xml:space="preserve">Comparative international analysis offers valuable insights for the reform of the criminal justice system in England and Wales, particularly in alleviating custodial pressures and enhancing rehabilitation. Scandinavian </w:t>
      </w:r>
      <w:r w:rsidR="1EAFF60F" w:rsidRPr="2909473D">
        <w:rPr>
          <w:rFonts w:ascii="Arial" w:eastAsia="Arial" w:hAnsi="Arial" w:cs="Arial"/>
        </w:rPr>
        <w:t>models</w:t>
      </w:r>
      <w:r w:rsidR="00781B1B" w:rsidRPr="2909473D">
        <w:rPr>
          <w:rFonts w:ascii="Arial" w:eastAsia="Arial" w:hAnsi="Arial" w:cs="Arial"/>
        </w:rPr>
        <w:t>,</w:t>
      </w:r>
      <w:r w:rsidR="1EAFF60F" w:rsidRPr="2909473D">
        <w:rPr>
          <w:rFonts w:ascii="Arial" w:eastAsia="Arial" w:hAnsi="Arial" w:cs="Arial"/>
        </w:rPr>
        <w:t xml:space="preserve"> which have for several years been recognised as exemplars of humane and effective penal practice,</w:t>
      </w:r>
      <w:r w:rsidRPr="2909473D">
        <w:rPr>
          <w:rFonts w:ascii="Arial" w:eastAsia="Arial" w:hAnsi="Arial" w:cs="Arial"/>
        </w:rPr>
        <w:t xml:space="preserve"> notably those in Norway, Sweden, and Finland, exemplify systems where custody is rarely punitive and is instead designed to normali</w:t>
      </w:r>
      <w:r w:rsidR="4C640B3F" w:rsidRPr="2909473D">
        <w:rPr>
          <w:rFonts w:ascii="Arial" w:eastAsia="Arial" w:hAnsi="Arial" w:cs="Arial"/>
        </w:rPr>
        <w:t>s</w:t>
      </w:r>
      <w:r w:rsidRPr="2909473D">
        <w:rPr>
          <w:rFonts w:ascii="Arial" w:eastAsia="Arial" w:hAnsi="Arial" w:cs="Arial"/>
        </w:rPr>
        <w:t xml:space="preserve">e conditions, promote human development, and facilitate successful reintegration (Pratt and Eriksson, 2013). In Norway, for example, prisons are structured as small, </w:t>
      </w:r>
      <w:r w:rsidR="00781B1B" w:rsidRPr="2909473D">
        <w:rPr>
          <w:rFonts w:ascii="Arial" w:eastAsia="Arial" w:hAnsi="Arial" w:cs="Arial"/>
        </w:rPr>
        <w:t>community-like</w:t>
      </w:r>
      <w:r w:rsidRPr="2909473D">
        <w:rPr>
          <w:rFonts w:ascii="Arial" w:eastAsia="Arial" w:hAnsi="Arial" w:cs="Arial"/>
        </w:rPr>
        <w:t xml:space="preserve"> environments with single or double occupancy rooms, predictable routines, and access to education, vocational training, and therapeutic services. Staff-prisoner interactions are characteri</w:t>
      </w:r>
      <w:r w:rsidR="781A600A" w:rsidRPr="2909473D">
        <w:rPr>
          <w:rFonts w:ascii="Arial" w:eastAsia="Arial" w:hAnsi="Arial" w:cs="Arial"/>
        </w:rPr>
        <w:t>s</w:t>
      </w:r>
      <w:r w:rsidRPr="2909473D">
        <w:rPr>
          <w:rFonts w:ascii="Arial" w:eastAsia="Arial" w:hAnsi="Arial" w:cs="Arial"/>
        </w:rPr>
        <w:t xml:space="preserve">ed by trust, respect, and collaboration, contributing to perceptions of safety, institutional legitimacy, and reduced recidivism (Martens and Crewe, 2025). The Norwegian approach also </w:t>
      </w:r>
      <w:r w:rsidR="00781B1B" w:rsidRPr="2909473D">
        <w:rPr>
          <w:rFonts w:ascii="Arial" w:eastAsia="Arial" w:hAnsi="Arial" w:cs="Arial"/>
        </w:rPr>
        <w:t>emphasises</w:t>
      </w:r>
      <w:r w:rsidRPr="2909473D">
        <w:rPr>
          <w:rFonts w:ascii="Arial" w:eastAsia="Arial" w:hAnsi="Arial" w:cs="Arial"/>
        </w:rPr>
        <w:t xml:space="preserve"> individuali</w:t>
      </w:r>
      <w:r w:rsidR="210E9C23" w:rsidRPr="2909473D">
        <w:rPr>
          <w:rFonts w:ascii="Arial" w:eastAsia="Arial" w:hAnsi="Arial" w:cs="Arial"/>
        </w:rPr>
        <w:t>s</w:t>
      </w:r>
      <w:r w:rsidRPr="2909473D">
        <w:rPr>
          <w:rFonts w:ascii="Arial" w:eastAsia="Arial" w:hAnsi="Arial" w:cs="Arial"/>
        </w:rPr>
        <w:t>ed sentence planning and early release options contingent on rehabilitation progress, thereby ensuring that custodial interventions are purposeful rather than merely punitive.</w:t>
      </w:r>
      <w:r w:rsidR="2DDBDC3A" w:rsidRPr="2909473D">
        <w:rPr>
          <w:rFonts w:ascii="Arial" w:eastAsia="Arial" w:hAnsi="Arial" w:cs="Arial"/>
          <w:b/>
          <w:bCs/>
        </w:rPr>
        <w:t xml:space="preserve"> </w:t>
      </w:r>
      <w:r w:rsidR="2DDBDC3A" w:rsidRPr="2909473D">
        <w:rPr>
          <w:rFonts w:ascii="Arial" w:eastAsia="Arial" w:hAnsi="Arial" w:cs="Arial"/>
        </w:rPr>
        <w:t xml:space="preserve">Although Pratt and Eriksson’s study is now over a decade </w:t>
      </w:r>
      <w:r w:rsidR="2DDBDC3A" w:rsidRPr="2909473D">
        <w:rPr>
          <w:rFonts w:ascii="Arial" w:eastAsia="Arial" w:hAnsi="Arial" w:cs="Arial"/>
        </w:rPr>
        <w:lastRenderedPageBreak/>
        <w:t>old, its insights continue to shape contemporary understandings of humane and effective penal reform</w:t>
      </w:r>
      <w:r w:rsidR="2DDBDC3A" w:rsidRPr="2909473D">
        <w:rPr>
          <w:rFonts w:ascii="Arial" w:eastAsia="Arial" w:hAnsi="Arial" w:cs="Arial"/>
          <w:b/>
          <w:bCs/>
        </w:rPr>
        <w:t>.</w:t>
      </w:r>
    </w:p>
    <w:p w14:paraId="7DC680E6" w14:textId="1CFCB028" w:rsidR="007B0CDB" w:rsidRPr="007D290A" w:rsidRDefault="513C6FBA" w:rsidP="007D290A">
      <w:pPr>
        <w:spacing w:line="360" w:lineRule="auto"/>
        <w:jc w:val="both"/>
        <w:rPr>
          <w:rFonts w:ascii="Arial" w:eastAsia="Arial" w:hAnsi="Arial" w:cs="Arial"/>
        </w:rPr>
      </w:pPr>
      <w:r w:rsidRPr="007D290A">
        <w:rPr>
          <w:rFonts w:ascii="Arial" w:eastAsia="Arial" w:hAnsi="Arial" w:cs="Arial"/>
        </w:rPr>
        <w:t>Finland’s criminal justice system further demonstrates the efficacy of proactive, preventive approaches. Finnish authorities prioriti</w:t>
      </w:r>
      <w:r w:rsidR="08E1D7C9" w:rsidRPr="007D290A">
        <w:rPr>
          <w:rFonts w:ascii="Arial" w:eastAsia="Arial" w:hAnsi="Arial" w:cs="Arial"/>
        </w:rPr>
        <w:t>s</w:t>
      </w:r>
      <w:r w:rsidRPr="007D290A">
        <w:rPr>
          <w:rFonts w:ascii="Arial" w:eastAsia="Arial" w:hAnsi="Arial" w:cs="Arial"/>
        </w:rPr>
        <w:t xml:space="preserve">e the early identification of social and </w:t>
      </w:r>
      <w:r w:rsidR="029734E7" w:rsidRPr="007D290A">
        <w:rPr>
          <w:rFonts w:ascii="Arial" w:eastAsia="Arial" w:hAnsi="Arial" w:cs="Arial"/>
        </w:rPr>
        <w:t>behavioural</w:t>
      </w:r>
      <w:r w:rsidRPr="007D290A">
        <w:rPr>
          <w:rFonts w:ascii="Arial" w:eastAsia="Arial" w:hAnsi="Arial" w:cs="Arial"/>
        </w:rPr>
        <w:t xml:space="preserve"> risks among youth and adults, deploying welfare services, mentoring, educational support, and family engagement to prevent formal justice system contact (Aaltonen, </w:t>
      </w:r>
      <w:proofErr w:type="spellStart"/>
      <w:r w:rsidRPr="007D290A">
        <w:rPr>
          <w:rFonts w:ascii="Arial" w:eastAsia="Arial" w:hAnsi="Arial" w:cs="Arial"/>
        </w:rPr>
        <w:t>Kivivuori</w:t>
      </w:r>
      <w:proofErr w:type="spellEnd"/>
      <w:r w:rsidRPr="007D290A">
        <w:rPr>
          <w:rFonts w:ascii="Arial" w:eastAsia="Arial" w:hAnsi="Arial" w:cs="Arial"/>
        </w:rPr>
        <w:t>, and Martikainen, 2019). Similarly, Sweden integrates rehabilitation within custodial environments, emphasi</w:t>
      </w:r>
      <w:r w:rsidR="0EBDA134" w:rsidRPr="007D290A">
        <w:rPr>
          <w:rFonts w:ascii="Arial" w:eastAsia="Arial" w:hAnsi="Arial" w:cs="Arial"/>
        </w:rPr>
        <w:t>s</w:t>
      </w:r>
      <w:r w:rsidRPr="007D290A">
        <w:rPr>
          <w:rFonts w:ascii="Arial" w:eastAsia="Arial" w:hAnsi="Arial" w:cs="Arial"/>
        </w:rPr>
        <w:t>ing community reintegration and structured resettlement planning. Both nations illustrate that reducing custodial reliance requires coordinated social services, continuous monitoring, and evidence-based interventions tailored to individual risk and need.</w:t>
      </w:r>
    </w:p>
    <w:p w14:paraId="50FD06CC" w14:textId="5561FECD" w:rsidR="007B0CDB" w:rsidRPr="007D290A" w:rsidRDefault="3108A1A2" w:rsidP="007D290A">
      <w:pPr>
        <w:spacing w:line="360" w:lineRule="auto"/>
        <w:jc w:val="both"/>
        <w:rPr>
          <w:rFonts w:ascii="Arial" w:eastAsia="Arial" w:hAnsi="Arial" w:cs="Arial"/>
        </w:rPr>
      </w:pPr>
      <w:r w:rsidRPr="2909473D">
        <w:rPr>
          <w:rFonts w:ascii="Arial" w:eastAsia="Arial" w:hAnsi="Arial" w:cs="Arial"/>
        </w:rPr>
        <w:t xml:space="preserve">For many </w:t>
      </w:r>
      <w:r w:rsidR="438507CD" w:rsidRPr="2909473D">
        <w:rPr>
          <w:rFonts w:ascii="Arial" w:eastAsia="Arial" w:hAnsi="Arial" w:cs="Arial"/>
        </w:rPr>
        <w:t>y</w:t>
      </w:r>
      <w:r w:rsidRPr="2909473D">
        <w:rPr>
          <w:rFonts w:ascii="Arial" w:eastAsia="Arial" w:hAnsi="Arial" w:cs="Arial"/>
        </w:rPr>
        <w:t>ear</w:t>
      </w:r>
      <w:r w:rsidR="43BF18F4" w:rsidRPr="2909473D">
        <w:rPr>
          <w:rFonts w:ascii="Arial" w:eastAsia="Arial" w:hAnsi="Arial" w:cs="Arial"/>
        </w:rPr>
        <w:t>s</w:t>
      </w:r>
      <w:r w:rsidRPr="2909473D">
        <w:rPr>
          <w:rFonts w:ascii="Arial" w:eastAsia="Arial" w:hAnsi="Arial" w:cs="Arial"/>
        </w:rPr>
        <w:t>,</w:t>
      </w:r>
      <w:r w:rsidR="5EE09FC2" w:rsidRPr="2909473D">
        <w:rPr>
          <w:rFonts w:ascii="Arial" w:eastAsia="Arial" w:hAnsi="Arial" w:cs="Arial"/>
        </w:rPr>
        <w:t xml:space="preserve"> </w:t>
      </w:r>
      <w:r w:rsidR="00781B1B" w:rsidRPr="2909473D">
        <w:rPr>
          <w:rFonts w:ascii="Arial" w:eastAsia="Arial" w:hAnsi="Arial" w:cs="Arial"/>
        </w:rPr>
        <w:t>the</w:t>
      </w:r>
      <w:r w:rsidR="513C6FBA" w:rsidRPr="2909473D">
        <w:rPr>
          <w:rFonts w:ascii="Arial" w:eastAsia="Arial" w:hAnsi="Arial" w:cs="Arial"/>
        </w:rPr>
        <w:t xml:space="preserve"> Netherlands and Germany </w:t>
      </w:r>
      <w:r w:rsidR="00781B1B" w:rsidRPr="2909473D">
        <w:rPr>
          <w:rFonts w:ascii="Arial" w:eastAsia="Arial" w:hAnsi="Arial" w:cs="Arial"/>
        </w:rPr>
        <w:t>have provided</w:t>
      </w:r>
      <w:r w:rsidR="513C6FBA" w:rsidRPr="2909473D">
        <w:rPr>
          <w:rFonts w:ascii="Arial" w:eastAsia="Arial" w:hAnsi="Arial" w:cs="Arial"/>
        </w:rPr>
        <w:t xml:space="preserve"> additional models of combining diversion, probation, and structured community-based alternatives. Both countries employ intensive probation, electronic monitoring, and short-term custodial sentences only when strictly necessary, guided by risk stratification frameworks (Downes and Van Swaaningen, 2007). These strategies reduce pressure on prison capacity while maintaining public safety. Evaluations indicate that shorter custodial periods, combined with robust probation and rehabilitation program</w:t>
      </w:r>
      <w:r w:rsidR="51C58599" w:rsidRPr="2909473D">
        <w:rPr>
          <w:rFonts w:ascii="Arial" w:eastAsia="Arial" w:hAnsi="Arial" w:cs="Arial"/>
        </w:rPr>
        <w:t>me</w:t>
      </w:r>
      <w:r w:rsidR="513C6FBA" w:rsidRPr="2909473D">
        <w:rPr>
          <w:rFonts w:ascii="Arial" w:eastAsia="Arial" w:hAnsi="Arial" w:cs="Arial"/>
        </w:rPr>
        <w:t>s, produce lower rates of reoffending compared to jurisdictions emphasi</w:t>
      </w:r>
      <w:r w:rsidR="047C9AC0" w:rsidRPr="2909473D">
        <w:rPr>
          <w:rFonts w:ascii="Arial" w:eastAsia="Arial" w:hAnsi="Arial" w:cs="Arial"/>
        </w:rPr>
        <w:t>s</w:t>
      </w:r>
      <w:r w:rsidR="513C6FBA" w:rsidRPr="2909473D">
        <w:rPr>
          <w:rFonts w:ascii="Arial" w:eastAsia="Arial" w:hAnsi="Arial" w:cs="Arial"/>
        </w:rPr>
        <w:t>ing prolonged sentences and punitive custody (Van der Laan et al., 2018). The implementation of structured community supervision, combined with employment and educational supports, further enhances reintegration outcomes, highlighting the importance of connecting custodial and community systems rather than treating them as discrete entities.</w:t>
      </w:r>
      <w:r w:rsidR="1696FEA1" w:rsidRPr="2909473D">
        <w:rPr>
          <w:rFonts w:ascii="Arial" w:eastAsia="Arial" w:hAnsi="Arial" w:cs="Arial"/>
        </w:rPr>
        <w:t xml:space="preserve"> Although Downes and Van Swaaningen’s work is now somewhat dated, its findings continue to inform contemporary discussions of penal reform and comparative justice policy.</w:t>
      </w:r>
    </w:p>
    <w:p w14:paraId="4A2D2E3C" w14:textId="6A8F3A5F" w:rsidR="007B0CDB" w:rsidRPr="007D290A" w:rsidRDefault="6AB51AAB" w:rsidP="007D290A">
      <w:pPr>
        <w:spacing w:line="360" w:lineRule="auto"/>
        <w:jc w:val="both"/>
        <w:rPr>
          <w:rFonts w:ascii="Arial" w:eastAsia="Arial" w:hAnsi="Arial" w:cs="Arial"/>
        </w:rPr>
      </w:pPr>
      <w:r w:rsidRPr="2909473D">
        <w:rPr>
          <w:rFonts w:ascii="Arial" w:eastAsia="Arial" w:hAnsi="Arial" w:cs="Arial"/>
        </w:rPr>
        <w:t xml:space="preserve">For several years, </w:t>
      </w:r>
      <w:r w:rsidR="513C6FBA" w:rsidRPr="2909473D">
        <w:rPr>
          <w:rFonts w:ascii="Arial" w:eastAsia="Arial" w:hAnsi="Arial" w:cs="Arial"/>
        </w:rPr>
        <w:t xml:space="preserve">Australian, Canadian, and New Zealand models </w:t>
      </w:r>
      <w:r w:rsidR="00575E82" w:rsidRPr="2909473D">
        <w:rPr>
          <w:rFonts w:ascii="Arial" w:eastAsia="Arial" w:hAnsi="Arial" w:cs="Arial"/>
        </w:rPr>
        <w:t>have emphasised</w:t>
      </w:r>
      <w:r w:rsidR="513C6FBA" w:rsidRPr="2909473D">
        <w:rPr>
          <w:rFonts w:ascii="Arial" w:eastAsia="Arial" w:hAnsi="Arial" w:cs="Arial"/>
        </w:rPr>
        <w:t xml:space="preserve"> culturally responsive, community-based approaches, particularly for Indigenous and marginali</w:t>
      </w:r>
      <w:r w:rsidR="441186B4" w:rsidRPr="2909473D">
        <w:rPr>
          <w:rFonts w:ascii="Arial" w:eastAsia="Arial" w:hAnsi="Arial" w:cs="Arial"/>
        </w:rPr>
        <w:t>s</w:t>
      </w:r>
      <w:r w:rsidR="513C6FBA" w:rsidRPr="2909473D">
        <w:rPr>
          <w:rFonts w:ascii="Arial" w:eastAsia="Arial" w:hAnsi="Arial" w:cs="Arial"/>
        </w:rPr>
        <w:t>ed populations. In Australia, restorative justice program</w:t>
      </w:r>
      <w:r w:rsidR="22C6FB19" w:rsidRPr="2909473D">
        <w:rPr>
          <w:rFonts w:ascii="Arial" w:eastAsia="Arial" w:hAnsi="Arial" w:cs="Arial"/>
        </w:rPr>
        <w:t>me</w:t>
      </w:r>
      <w:r w:rsidR="513C6FBA" w:rsidRPr="2909473D">
        <w:rPr>
          <w:rFonts w:ascii="Arial" w:eastAsia="Arial" w:hAnsi="Arial" w:cs="Arial"/>
        </w:rPr>
        <w:t>s integrate family and community stakeholders in addressing youth offending, resulting in measurable reductions in reoffending and improved community cohesion (Blagg and Anthony, 2019). New Zealand similarly prioriti</w:t>
      </w:r>
      <w:r w:rsidR="7D1D441F" w:rsidRPr="2909473D">
        <w:rPr>
          <w:rFonts w:ascii="Arial" w:eastAsia="Arial" w:hAnsi="Arial" w:cs="Arial"/>
        </w:rPr>
        <w:t>s</w:t>
      </w:r>
      <w:r w:rsidR="513C6FBA" w:rsidRPr="2909473D">
        <w:rPr>
          <w:rFonts w:ascii="Arial" w:eastAsia="Arial" w:hAnsi="Arial" w:cs="Arial"/>
        </w:rPr>
        <w:t xml:space="preserve">es early intervention, family engagement, and diversionary measures for young people, employing intensive community supervision </w:t>
      </w:r>
      <w:r w:rsidR="513C6FBA" w:rsidRPr="2909473D">
        <w:rPr>
          <w:rFonts w:ascii="Arial" w:eastAsia="Arial" w:hAnsi="Arial" w:cs="Arial"/>
        </w:rPr>
        <w:lastRenderedPageBreak/>
        <w:t>to reduce custodial reliance while maintaining accountability (Maxwell, Smith, and Robertson, 2016). In Canada, culturally specific program</w:t>
      </w:r>
      <w:r w:rsidR="65D39E6C" w:rsidRPr="2909473D">
        <w:rPr>
          <w:rFonts w:ascii="Arial" w:eastAsia="Arial" w:hAnsi="Arial" w:cs="Arial"/>
        </w:rPr>
        <w:t>me</w:t>
      </w:r>
      <w:r w:rsidR="513C6FBA" w:rsidRPr="2909473D">
        <w:rPr>
          <w:rFonts w:ascii="Arial" w:eastAsia="Arial" w:hAnsi="Arial" w:cs="Arial"/>
        </w:rPr>
        <w:t>s for Indigenous offenders provide rehabilitative, restorative, and reintegration support, recogni</w:t>
      </w:r>
      <w:r w:rsidR="3DBB5899" w:rsidRPr="2909473D">
        <w:rPr>
          <w:rFonts w:ascii="Arial" w:eastAsia="Arial" w:hAnsi="Arial" w:cs="Arial"/>
        </w:rPr>
        <w:t>s</w:t>
      </w:r>
      <w:r w:rsidR="513C6FBA" w:rsidRPr="2909473D">
        <w:rPr>
          <w:rFonts w:ascii="Arial" w:eastAsia="Arial" w:hAnsi="Arial" w:cs="Arial"/>
        </w:rPr>
        <w:t xml:space="preserve">ing the historical and structural inequities that contribute to offending (Leclair, 2020). </w:t>
      </w:r>
      <w:r w:rsidR="307C7832" w:rsidRPr="2909473D">
        <w:rPr>
          <w:rFonts w:ascii="Arial" w:eastAsia="Arial" w:hAnsi="Arial" w:cs="Arial"/>
        </w:rPr>
        <w:t xml:space="preserve">Although some of this evidence is now several years old, the core principles underpinning these approaches remain influential in contemporary justice reform and practice. </w:t>
      </w:r>
      <w:r w:rsidR="513C6FBA" w:rsidRPr="2909473D">
        <w:rPr>
          <w:rFonts w:ascii="Arial" w:eastAsia="Arial" w:hAnsi="Arial" w:cs="Arial"/>
        </w:rPr>
        <w:t>These international experiences reinforce the necessity of tailored interventions that are culturally informed, contextually relevant, and integrated across welfare, education, and justice systems.</w:t>
      </w:r>
    </w:p>
    <w:p w14:paraId="18E3A99B" w14:textId="71F6EB50" w:rsidR="007B0CDB" w:rsidRPr="007D290A" w:rsidRDefault="513C6FBA" w:rsidP="007D290A">
      <w:pPr>
        <w:spacing w:line="360" w:lineRule="auto"/>
        <w:jc w:val="both"/>
        <w:rPr>
          <w:rFonts w:ascii="Arial" w:eastAsia="Arial" w:hAnsi="Arial" w:cs="Arial"/>
        </w:rPr>
      </w:pPr>
      <w:r w:rsidRPr="007D290A">
        <w:rPr>
          <w:rFonts w:ascii="Arial" w:eastAsia="Arial" w:hAnsi="Arial" w:cs="Arial"/>
        </w:rPr>
        <w:t>Governance and inter-agency coordination are critical components in addressing systemic pressures within England and Wales. Fragmentation between the Ministry of Justice, Home Office, courts, health and social care providers, local authorities, and youth services has historically hindered coherent policy implementation, resource allocation, and performance monitoring (Stevens et al., 2025). Integrated governance structures, supported by clear data-sharing protocols, performance metrics, and coordinated funding mechanisms, are essential to ensure that interventions across custodial and community settings are aligned, efficient, and effective. For example, establishing centrali</w:t>
      </w:r>
      <w:r w:rsidR="5E6B7E12" w:rsidRPr="007D290A">
        <w:rPr>
          <w:rFonts w:ascii="Arial" w:eastAsia="Arial" w:hAnsi="Arial" w:cs="Arial"/>
        </w:rPr>
        <w:t>s</w:t>
      </w:r>
      <w:r w:rsidRPr="007D290A">
        <w:rPr>
          <w:rFonts w:ascii="Arial" w:eastAsia="Arial" w:hAnsi="Arial" w:cs="Arial"/>
        </w:rPr>
        <w:t>ed oversight for remand management, sentencing projections, probation caseload distribution, and prison capacity planning could allow for more responsive adjustments, preventing emergent gridlock and enabling targeted deployment of resources.</w:t>
      </w:r>
    </w:p>
    <w:p w14:paraId="05F86C02" w14:textId="2B0B0B20" w:rsidR="007B0CDB" w:rsidRPr="007D290A" w:rsidRDefault="513C6FBA" w:rsidP="007D290A">
      <w:pPr>
        <w:spacing w:line="360" w:lineRule="auto"/>
        <w:jc w:val="both"/>
        <w:rPr>
          <w:rFonts w:ascii="Arial" w:eastAsia="Arial" w:hAnsi="Arial" w:cs="Arial"/>
        </w:rPr>
      </w:pPr>
      <w:r w:rsidRPr="2909473D">
        <w:rPr>
          <w:rFonts w:ascii="Arial" w:eastAsia="Arial" w:hAnsi="Arial" w:cs="Arial"/>
        </w:rPr>
        <w:t xml:space="preserve">Financial sustainability underpins any systemic reform. Evidence indicates that investing in community-based interventions, early diversion, trauma-informed care, and effective probation supervision is cost-effective relative to expanding custodial infrastructure alone (McNeill, 2019; Roberts and Hough, 2013). While upfront investment is necessary to establish programs and train personnel, </w:t>
      </w:r>
      <w:r w:rsidR="00575E82" w:rsidRPr="2909473D">
        <w:rPr>
          <w:rFonts w:ascii="Arial" w:eastAsia="Arial" w:hAnsi="Arial" w:cs="Arial"/>
        </w:rPr>
        <w:t>long-term</w:t>
      </w:r>
      <w:r w:rsidRPr="2909473D">
        <w:rPr>
          <w:rFonts w:ascii="Arial" w:eastAsia="Arial" w:hAnsi="Arial" w:cs="Arial"/>
        </w:rPr>
        <w:t xml:space="preserve"> reductions in reoffending and prison population growth generate substantial fiscal savings and social benefits. Cost-benefit analyses from the UK and international jurisdictions demonstrate that effective diversion and rehabilitation program</w:t>
      </w:r>
      <w:r w:rsidR="67590783" w:rsidRPr="2909473D">
        <w:rPr>
          <w:rFonts w:ascii="Arial" w:eastAsia="Arial" w:hAnsi="Arial" w:cs="Arial"/>
        </w:rPr>
        <w:t>me</w:t>
      </w:r>
      <w:r w:rsidRPr="2909473D">
        <w:rPr>
          <w:rFonts w:ascii="Arial" w:eastAsia="Arial" w:hAnsi="Arial" w:cs="Arial"/>
        </w:rPr>
        <w:t>s reduce the economic burden of crime, including legal proceedings, incarceration, and recidivism-related societal costs (Farrell, 2023; Blagg and Anthony, 2019).</w:t>
      </w:r>
    </w:p>
    <w:p w14:paraId="09CCDA99" w14:textId="18B83C94" w:rsidR="007B0CDB" w:rsidRPr="007D290A" w:rsidRDefault="513C6FBA" w:rsidP="007D290A">
      <w:pPr>
        <w:spacing w:line="360" w:lineRule="auto"/>
        <w:jc w:val="both"/>
        <w:rPr>
          <w:rFonts w:ascii="Arial" w:eastAsia="Arial" w:hAnsi="Arial" w:cs="Arial"/>
        </w:rPr>
      </w:pPr>
      <w:r w:rsidRPr="2909473D">
        <w:rPr>
          <w:rFonts w:ascii="Arial" w:eastAsia="Arial" w:hAnsi="Arial" w:cs="Arial"/>
        </w:rPr>
        <w:lastRenderedPageBreak/>
        <w:t>Policy reform recommendations for England and Wales must be multi-pronged, evidence-informed, and coordinated across adult and youth systems. In the adult domain, reforms should include remand reform through enhanced bail support, structured community monitoring, and expedited court processes to reduce pretrial detention. Sentencing practices must prioriti</w:t>
      </w:r>
      <w:r w:rsidR="16F90718" w:rsidRPr="2909473D">
        <w:rPr>
          <w:rFonts w:ascii="Arial" w:eastAsia="Arial" w:hAnsi="Arial" w:cs="Arial"/>
        </w:rPr>
        <w:t>s</w:t>
      </w:r>
      <w:r w:rsidRPr="2909473D">
        <w:rPr>
          <w:rFonts w:ascii="Arial" w:eastAsia="Arial" w:hAnsi="Arial" w:cs="Arial"/>
        </w:rPr>
        <w:t>e non-custodial alternatives, restrict short-term imprisonment, and incorporate structured rehabilitation and restorative justice frameworks where appropriate (Howard League for Penal Reform, 2024). Probation services require investment to reduce caseloads, improve supervision quality, and ensure integrated access to housing, employment, mental health, and substance misuse support (HM Inspectorate of Probation, 2024; McNeill, 2019).</w:t>
      </w:r>
    </w:p>
    <w:p w14:paraId="57E8DE83" w14:textId="0DB6F53B" w:rsidR="007B0CDB" w:rsidRPr="007D290A" w:rsidRDefault="513C6FBA" w:rsidP="007D290A">
      <w:pPr>
        <w:spacing w:line="360" w:lineRule="auto"/>
        <w:jc w:val="both"/>
        <w:rPr>
          <w:rFonts w:ascii="Arial" w:eastAsia="Arial" w:hAnsi="Arial" w:cs="Arial"/>
        </w:rPr>
      </w:pPr>
      <w:r w:rsidRPr="2909473D">
        <w:rPr>
          <w:rFonts w:ascii="Arial" w:eastAsia="Arial" w:hAnsi="Arial" w:cs="Arial"/>
        </w:rPr>
        <w:t>Youth justice reforms should continue to emphasi</w:t>
      </w:r>
      <w:r w:rsidR="2AE26626" w:rsidRPr="2909473D">
        <w:rPr>
          <w:rFonts w:ascii="Arial" w:eastAsia="Arial" w:hAnsi="Arial" w:cs="Arial"/>
        </w:rPr>
        <w:t>s</w:t>
      </w:r>
      <w:r w:rsidRPr="2909473D">
        <w:rPr>
          <w:rFonts w:ascii="Arial" w:eastAsia="Arial" w:hAnsi="Arial" w:cs="Arial"/>
        </w:rPr>
        <w:t>e diversion, early intervention, trauma-informed practice, and culturally competent program</w:t>
      </w:r>
      <w:r w:rsidR="2A9EEDDD" w:rsidRPr="2909473D">
        <w:rPr>
          <w:rFonts w:ascii="Arial" w:eastAsia="Arial" w:hAnsi="Arial" w:cs="Arial"/>
        </w:rPr>
        <w:t>me</w:t>
      </w:r>
      <w:r w:rsidRPr="2909473D">
        <w:rPr>
          <w:rFonts w:ascii="Arial" w:eastAsia="Arial" w:hAnsi="Arial" w:cs="Arial"/>
        </w:rPr>
        <w:t>s. The evidence supports radical minimi</w:t>
      </w:r>
      <w:r w:rsidR="64263AF6" w:rsidRPr="2909473D">
        <w:rPr>
          <w:rFonts w:ascii="Arial" w:eastAsia="Arial" w:hAnsi="Arial" w:cs="Arial"/>
        </w:rPr>
        <w:t>s</w:t>
      </w:r>
      <w:r w:rsidRPr="2909473D">
        <w:rPr>
          <w:rFonts w:ascii="Arial" w:eastAsia="Arial" w:hAnsi="Arial" w:cs="Arial"/>
        </w:rPr>
        <w:t>ation or abolition of non-violent child imprisonment, with secure welfare settings reserved for exceptional cases, and the transfer of responsibility for non-violent child deprivation from the Ministry of Justice to the Department for Education (Hodgson, 2024; University of Liverpool, 2024). Restorative justice, mentoring, and community engagement programs should be expanded, particularly for marginali</w:t>
      </w:r>
      <w:r w:rsidR="720E02F9" w:rsidRPr="2909473D">
        <w:rPr>
          <w:rFonts w:ascii="Arial" w:eastAsia="Arial" w:hAnsi="Arial" w:cs="Arial"/>
        </w:rPr>
        <w:t>s</w:t>
      </w:r>
      <w:r w:rsidRPr="2909473D">
        <w:rPr>
          <w:rFonts w:ascii="Arial" w:eastAsia="Arial" w:hAnsi="Arial" w:cs="Arial"/>
        </w:rPr>
        <w:t>ed youth populations, to prevent initial and repeat offending.</w:t>
      </w:r>
    </w:p>
    <w:p w14:paraId="600A1B0A" w14:textId="20BD7BAD" w:rsidR="007B0CDB" w:rsidRPr="007D290A" w:rsidRDefault="513C6FBA" w:rsidP="007D290A">
      <w:pPr>
        <w:spacing w:line="360" w:lineRule="auto"/>
        <w:jc w:val="both"/>
        <w:rPr>
          <w:rFonts w:ascii="Arial" w:eastAsia="Arial" w:hAnsi="Arial" w:cs="Arial"/>
        </w:rPr>
      </w:pPr>
      <w:r w:rsidRPr="2909473D">
        <w:rPr>
          <w:rFonts w:ascii="Arial" w:eastAsia="Arial" w:hAnsi="Arial" w:cs="Arial"/>
        </w:rPr>
        <w:t>Prison regime design and infrastructure investment must be aligned with rehabilitative objectives, not merely capacity expansion. Facilities should provide flexible modular spaces, educational and vocational program</w:t>
      </w:r>
      <w:r w:rsidR="11D5E7D4" w:rsidRPr="2909473D">
        <w:rPr>
          <w:rFonts w:ascii="Arial" w:eastAsia="Arial" w:hAnsi="Arial" w:cs="Arial"/>
        </w:rPr>
        <w:t>me</w:t>
      </w:r>
      <w:r w:rsidRPr="2909473D">
        <w:rPr>
          <w:rFonts w:ascii="Arial" w:eastAsia="Arial" w:hAnsi="Arial" w:cs="Arial"/>
        </w:rPr>
        <w:t>s, mental health and therapeutic support, and safe, humane living conditions (Jones, Hart, and Scott, 2024; Martens and Crewe, 2025). Staffing levels, training, and regime design must accompany new capacity to ensure functional efficacy and reduce institutional harm. The lessons from Scandinavian models illustrate that regime quality, normali</w:t>
      </w:r>
      <w:r w:rsidR="709345CC" w:rsidRPr="2909473D">
        <w:rPr>
          <w:rFonts w:ascii="Arial" w:eastAsia="Arial" w:hAnsi="Arial" w:cs="Arial"/>
        </w:rPr>
        <w:t>s</w:t>
      </w:r>
      <w:r w:rsidRPr="2909473D">
        <w:rPr>
          <w:rFonts w:ascii="Arial" w:eastAsia="Arial" w:hAnsi="Arial" w:cs="Arial"/>
        </w:rPr>
        <w:t>ation, and relational staff-prisoner engagement are as important as physical infrastructure in producing positive outcomes.</w:t>
      </w:r>
    </w:p>
    <w:p w14:paraId="687670D5" w14:textId="6FA47791" w:rsidR="007B0CDB" w:rsidRPr="007D290A" w:rsidRDefault="513C6FBA" w:rsidP="007D290A">
      <w:pPr>
        <w:spacing w:before="240" w:after="240" w:line="360" w:lineRule="auto"/>
        <w:jc w:val="both"/>
        <w:rPr>
          <w:rFonts w:ascii="Arial" w:eastAsia="Arial" w:hAnsi="Arial" w:cs="Arial"/>
        </w:rPr>
      </w:pPr>
      <w:r w:rsidRPr="2909473D">
        <w:rPr>
          <w:rFonts w:ascii="Arial" w:eastAsia="Arial" w:hAnsi="Arial" w:cs="Arial"/>
        </w:rPr>
        <w:t xml:space="preserve">Finally, the cultural narrative underpinning reform is vital. Public discourse must move beyond punitive ‘tough on crime’ rhetoric, highlighting the cost-effectiveness, safety benefits, and social justice imperatives of non-custodial interventions and rehabilitative strategies. Evidence-based advocacy, transparent performance metrics, and community engagement can build public confidence in alternative approaches, which </w:t>
      </w:r>
      <w:r w:rsidRPr="2909473D">
        <w:rPr>
          <w:rFonts w:ascii="Arial" w:eastAsia="Arial" w:hAnsi="Arial" w:cs="Arial"/>
        </w:rPr>
        <w:lastRenderedPageBreak/>
        <w:t>in turn supports political and institutional commitment to systemic reform (Roberts and Hough, 2013; Stevens et al., 2025).</w:t>
      </w:r>
      <w:r w:rsidR="7ED5410F" w:rsidRPr="2909473D">
        <w:rPr>
          <w:rFonts w:ascii="Arial" w:eastAsia="Arial" w:hAnsi="Arial" w:cs="Arial"/>
        </w:rPr>
        <w:t xml:space="preserve"> </w:t>
      </w:r>
      <w:r w:rsidR="7D190EEA" w:rsidRPr="2909473D">
        <w:rPr>
          <w:rFonts w:ascii="Arial" w:eastAsia="Arial" w:hAnsi="Arial" w:cs="Arial"/>
        </w:rPr>
        <w:t>Moreover, any systemic reform must account for the broader social and economic context in which crime and justice operate. Addressing poverty, educational disadvantage, substance misuse, and social exclusion is essential to reducing the flow of individuals into the criminal justice system, emphasising prevention alongside intervention (Kinner and Rich, 2018; Burke, 2012). Ethical considerations also underpin reform: ensuring equity, fairness, and proportionality in treatment for marginalised populations</w:t>
      </w:r>
      <w:r w:rsidR="794C8C21" w:rsidRPr="2909473D">
        <w:rPr>
          <w:rFonts w:ascii="Arial" w:eastAsia="Arial" w:hAnsi="Arial" w:cs="Arial"/>
        </w:rPr>
        <w:t xml:space="preserve">, </w:t>
      </w:r>
      <w:r w:rsidR="7D190EEA" w:rsidRPr="2909473D">
        <w:rPr>
          <w:rFonts w:ascii="Arial" w:eastAsia="Arial" w:hAnsi="Arial" w:cs="Arial"/>
        </w:rPr>
        <w:t>including ethnic minorities, women, and those with disabilities</w:t>
      </w:r>
      <w:r w:rsidR="14D1225B" w:rsidRPr="2909473D">
        <w:rPr>
          <w:rFonts w:ascii="Arial" w:eastAsia="Arial" w:hAnsi="Arial" w:cs="Arial"/>
        </w:rPr>
        <w:t xml:space="preserve">, </w:t>
      </w:r>
      <w:r w:rsidR="7D190EEA" w:rsidRPr="2909473D">
        <w:rPr>
          <w:rFonts w:ascii="Arial" w:eastAsia="Arial" w:hAnsi="Arial" w:cs="Arial"/>
        </w:rPr>
        <w:t>strengthens public confidence and social legitimacy (Lymperopoulou, 2024; Farrell, 2023). Future challenges include adapting to demographic shifts, emerging patterns of offending such as cybercrime, and the integration of technology in monitoring, rehabilitation, and court processes. However, these challenges also present opportunities: data-driven approaches, evidence-based policy evaluation, and collaborative partnerships across health, education, and social services can enhance efficiency, improve outcomes, and create a more humane and effective criminal justice system. Ultimately, the sustainability of reform depends not only on policy and funding but also on societal recognition that rehabilitation, social justice, and public safety are mutually reinforcing goals.</w:t>
      </w:r>
    </w:p>
    <w:p w14:paraId="397E5A60" w14:textId="6D4C545D" w:rsidR="007B0CDB" w:rsidRPr="007D290A" w:rsidRDefault="58ECC9FD" w:rsidP="007D290A">
      <w:pPr>
        <w:spacing w:before="240" w:after="240" w:line="360" w:lineRule="auto"/>
        <w:jc w:val="both"/>
        <w:rPr>
          <w:rFonts w:ascii="Arial" w:eastAsia="Arial" w:hAnsi="Arial" w:cs="Arial"/>
        </w:rPr>
      </w:pPr>
      <w:r w:rsidRPr="007D290A">
        <w:rPr>
          <w:rFonts w:ascii="Arial" w:eastAsia="Arial" w:hAnsi="Arial" w:cs="Arial"/>
        </w:rPr>
        <w:t xml:space="preserve">To conclude, the mounting crisis within the criminal justice system of England and Wales extends far beyond issues of capacity or infrastructure; it reflects a profound and systemic failure of policy, governance, and political vision. The government’s continued focus on prison expansion rather than structural reform demonstrates a reactive and short-term approach that prioritises containment over rehabilitation. By treating overcrowding as a spatial problem to be managed rather than as evidence of structural dysfunction within sentencing, remand, and social policy, successive administrations have perpetuated what Guiney and Yeomans (2023) term </w:t>
      </w:r>
      <w:r w:rsidRPr="007D290A">
        <w:rPr>
          <w:rFonts w:ascii="Arial" w:eastAsia="Arial" w:hAnsi="Arial" w:cs="Arial"/>
          <w:i/>
          <w:iCs/>
        </w:rPr>
        <w:t>penal momentum</w:t>
      </w:r>
      <w:r w:rsidR="00575E82" w:rsidRPr="007D290A">
        <w:rPr>
          <w:rFonts w:ascii="Arial" w:eastAsia="Arial" w:hAnsi="Arial" w:cs="Arial"/>
          <w:i/>
          <w:iCs/>
        </w:rPr>
        <w:t>,</w:t>
      </w:r>
      <w:r w:rsidR="48AE968C" w:rsidRPr="007D290A">
        <w:rPr>
          <w:rFonts w:ascii="Arial" w:eastAsia="Arial" w:hAnsi="Arial" w:cs="Arial"/>
          <w:i/>
          <w:iCs/>
        </w:rPr>
        <w:t xml:space="preserve"> </w:t>
      </w:r>
      <w:r w:rsidRPr="007D290A">
        <w:rPr>
          <w:rFonts w:ascii="Arial" w:eastAsia="Arial" w:hAnsi="Arial" w:cs="Arial"/>
        </w:rPr>
        <w:t>a self-perpetuating cycle of expansion that entrenches reliance on imprisonment while undermining the potential for preventative and community-based alternatives.</w:t>
      </w:r>
    </w:p>
    <w:p w14:paraId="0459BFEE" w14:textId="7B26E683" w:rsidR="007B0CDB" w:rsidRPr="007D290A" w:rsidRDefault="58ECC9FD" w:rsidP="007D290A">
      <w:pPr>
        <w:spacing w:before="240" w:after="240" w:line="360" w:lineRule="auto"/>
        <w:jc w:val="both"/>
        <w:rPr>
          <w:rFonts w:ascii="Arial" w:eastAsia="Arial" w:hAnsi="Arial" w:cs="Arial"/>
        </w:rPr>
      </w:pPr>
      <w:r w:rsidRPr="2909473D">
        <w:rPr>
          <w:rFonts w:ascii="Arial" w:eastAsia="Arial" w:hAnsi="Arial" w:cs="Arial"/>
        </w:rPr>
        <w:t>The projected gridlock in 2026 is not an isolated or unforeseen crisis but the inevitable result of decades of incoherent policymaking. The cumulative pressures of harsher sentencing, rising remand numbers, and an evolving prison demographic</w:t>
      </w:r>
      <w:r w:rsidR="00575E82" w:rsidRPr="2909473D">
        <w:rPr>
          <w:rFonts w:ascii="Arial" w:eastAsia="Arial" w:hAnsi="Arial" w:cs="Arial"/>
        </w:rPr>
        <w:t xml:space="preserve"> </w:t>
      </w:r>
      <w:r w:rsidRPr="2909473D">
        <w:rPr>
          <w:rFonts w:ascii="Arial" w:eastAsia="Arial" w:hAnsi="Arial" w:cs="Arial"/>
        </w:rPr>
        <w:t xml:space="preserve">marked by </w:t>
      </w:r>
      <w:r w:rsidRPr="2909473D">
        <w:rPr>
          <w:rFonts w:ascii="Arial" w:eastAsia="Arial" w:hAnsi="Arial" w:cs="Arial"/>
        </w:rPr>
        <w:lastRenderedPageBreak/>
        <w:t>an ageing population and increasing mental health complexity among younger adults</w:t>
      </w:r>
      <w:r w:rsidR="00575E82" w:rsidRPr="2909473D">
        <w:rPr>
          <w:rFonts w:ascii="Arial" w:eastAsia="Arial" w:hAnsi="Arial" w:cs="Arial"/>
        </w:rPr>
        <w:t xml:space="preserve"> </w:t>
      </w:r>
      <w:r w:rsidRPr="2909473D">
        <w:rPr>
          <w:rFonts w:ascii="Arial" w:eastAsia="Arial" w:hAnsi="Arial" w:cs="Arial"/>
        </w:rPr>
        <w:t>have exposed the fundamental inadequacies of the current system (Gavin, Porter, and MacDonald, 2025; Farrell, 2023). At the same time, chronic underinvestment in probation and rehabilitation services, combined with fragmented governance and bureaucratic inefficiency, has created a justice system more adept at managing failure than fostering change. The system’s dependence on custody now functions as a substitute for effective social policy, absorbing the consequences of inequality, poverty, and exclusion rather than addressing their causes.</w:t>
      </w:r>
    </w:p>
    <w:p w14:paraId="34C3AE16" w14:textId="0B996234" w:rsidR="007B0CDB" w:rsidRPr="007D290A" w:rsidRDefault="58ECC9FD" w:rsidP="007D290A">
      <w:pPr>
        <w:spacing w:before="240" w:after="240" w:line="360" w:lineRule="auto"/>
        <w:jc w:val="both"/>
        <w:rPr>
          <w:rFonts w:ascii="Arial" w:eastAsia="Arial" w:hAnsi="Arial" w:cs="Arial"/>
        </w:rPr>
      </w:pPr>
      <w:r w:rsidRPr="2909473D">
        <w:rPr>
          <w:rFonts w:ascii="Arial" w:eastAsia="Arial" w:hAnsi="Arial" w:cs="Arial"/>
        </w:rPr>
        <w:t>Taken together, the failures across sentencing, remand, probation, and youth justice reveal not isolated weaknesses but an interconnected system in decline. Youth justice, for instance, continues to emphasise risk management over welfare, with custody disproportionately affecting marginalised and minority children (Day, 2023; Hodgson, 2024). International evidence demonstrates that alternative approaches</w:t>
      </w:r>
      <w:r w:rsidR="1042E790" w:rsidRPr="2909473D">
        <w:rPr>
          <w:rFonts w:ascii="Arial" w:eastAsia="Arial" w:hAnsi="Arial" w:cs="Arial"/>
        </w:rPr>
        <w:t xml:space="preserve"> </w:t>
      </w:r>
      <w:r w:rsidRPr="2909473D">
        <w:rPr>
          <w:rFonts w:ascii="Arial" w:eastAsia="Arial" w:hAnsi="Arial" w:cs="Arial"/>
        </w:rPr>
        <w:t>such as Scandinavian models of normali</w:t>
      </w:r>
      <w:r w:rsidR="666C4276" w:rsidRPr="2909473D">
        <w:rPr>
          <w:rFonts w:ascii="Arial" w:eastAsia="Arial" w:hAnsi="Arial" w:cs="Arial"/>
        </w:rPr>
        <w:t>s</w:t>
      </w:r>
      <w:r w:rsidRPr="2909473D">
        <w:rPr>
          <w:rFonts w:ascii="Arial" w:eastAsia="Arial" w:hAnsi="Arial" w:cs="Arial"/>
        </w:rPr>
        <w:t>ation, restorative justice, and early intervention</w:t>
      </w:r>
      <w:r w:rsidR="02DAA36A" w:rsidRPr="2909473D">
        <w:rPr>
          <w:rFonts w:ascii="Arial" w:eastAsia="Arial" w:hAnsi="Arial" w:cs="Arial"/>
        </w:rPr>
        <w:t xml:space="preserve"> </w:t>
      </w:r>
      <w:r w:rsidRPr="2909473D">
        <w:rPr>
          <w:rFonts w:ascii="Arial" w:eastAsia="Arial" w:hAnsi="Arial" w:cs="Arial"/>
        </w:rPr>
        <w:t>can reduce reoffending, strengthen public confidence, and deliver more sustainable outcomes (Pratt and Eriksson, 2013; Blagg and Anthony, 2019). These examples illustrate that rehabilitation and public safety are mutually reinforcing when policies are coherent, evidence-based, and socially informed.</w:t>
      </w:r>
    </w:p>
    <w:p w14:paraId="303D1F0B" w14:textId="625A50A2" w:rsidR="007B0CDB" w:rsidRPr="007D290A" w:rsidRDefault="58ECC9FD" w:rsidP="007D290A">
      <w:pPr>
        <w:spacing w:before="240" w:after="240" w:line="360" w:lineRule="auto"/>
        <w:jc w:val="both"/>
        <w:rPr>
          <w:rFonts w:ascii="Arial" w:eastAsia="Arial" w:hAnsi="Arial" w:cs="Arial"/>
        </w:rPr>
      </w:pPr>
      <w:r w:rsidRPr="2909473D">
        <w:rPr>
          <w:rFonts w:ascii="Arial" w:eastAsia="Arial" w:hAnsi="Arial" w:cs="Arial"/>
        </w:rPr>
        <w:t>Meaningful reform in England and Wales must therefore address multiple dimensions simultaneously. Sentencing and remand practices must be recalibrated to reduce unnecessary imprisonment; probation services require investment, stability, and integrated support pathways; and prisons must evolve into therapeutic, health-responsive environments. Youth justice should prioritise diversion, trauma-informed care, and culturally competent interventions, with custody reserved only for the most serious cases. Beyond operational reform, public discourse and political narratives must shift from punitive populism toward recognition that rehabilitation, prevention, and social investment are the most effective means of achieving justice and safety (Roberts and Hough, 2013; Stevens et al., 2025).</w:t>
      </w:r>
    </w:p>
    <w:p w14:paraId="0B64F145" w14:textId="6D0E125D" w:rsidR="007B0CDB" w:rsidRPr="007D290A" w:rsidRDefault="58ECC9FD" w:rsidP="007D290A">
      <w:pPr>
        <w:spacing w:before="240" w:after="240" w:line="360" w:lineRule="auto"/>
        <w:jc w:val="both"/>
        <w:rPr>
          <w:rFonts w:ascii="Arial" w:eastAsia="Arial" w:hAnsi="Arial" w:cs="Arial"/>
        </w:rPr>
      </w:pPr>
      <w:r w:rsidRPr="007D290A">
        <w:rPr>
          <w:rFonts w:ascii="Arial" w:eastAsia="Arial" w:hAnsi="Arial" w:cs="Arial"/>
        </w:rPr>
        <w:t xml:space="preserve">Ultimately, the predicted 2026 gridlock represents not merely a logistical failure but a moral and strategic reckoning. A system that measures success through capacity rather than human outcomes will continue to reproduce harm, waste resources, and erode legitimacy. Sustainable reform demands the courage to replace reactive </w:t>
      </w:r>
      <w:r w:rsidRPr="007D290A">
        <w:rPr>
          <w:rFonts w:ascii="Arial" w:eastAsia="Arial" w:hAnsi="Arial" w:cs="Arial"/>
        </w:rPr>
        <w:lastRenderedPageBreak/>
        <w:t>expansion with proactive transformation to build a criminal justice system that is effective, equitable, and humane. Only by realigning policy with principles of prevention, proportionality, and rehabilitation can England and Wales break free from the cycle of systemic dysfunction and construct a system capable of delivering true justice for all.</w:t>
      </w:r>
    </w:p>
    <w:p w14:paraId="3FAE4EA8" w14:textId="33333B23" w:rsidR="007B0CDB" w:rsidRDefault="007B0CDB" w:rsidP="007B0CDB"/>
    <w:p w14:paraId="21A891F7" w14:textId="77777777" w:rsidR="006C7168" w:rsidRDefault="006C7168" w:rsidP="776B7070">
      <w:pPr>
        <w:rPr>
          <w:rFonts w:ascii="Arial" w:eastAsia="Arial" w:hAnsi="Arial" w:cs="Arial"/>
          <w:u w:val="single"/>
        </w:rPr>
      </w:pPr>
    </w:p>
    <w:p w14:paraId="6DFFA80D" w14:textId="77777777" w:rsidR="006C7168" w:rsidRDefault="006C7168" w:rsidP="776B7070">
      <w:pPr>
        <w:rPr>
          <w:rFonts w:ascii="Arial" w:eastAsia="Arial" w:hAnsi="Arial" w:cs="Arial"/>
          <w:u w:val="single"/>
        </w:rPr>
      </w:pPr>
    </w:p>
    <w:p w14:paraId="1A339FF5" w14:textId="77777777" w:rsidR="006C7168" w:rsidRDefault="006C7168" w:rsidP="776B7070">
      <w:pPr>
        <w:rPr>
          <w:rFonts w:ascii="Arial" w:eastAsia="Arial" w:hAnsi="Arial" w:cs="Arial"/>
          <w:u w:val="single"/>
        </w:rPr>
      </w:pPr>
    </w:p>
    <w:p w14:paraId="5FE17718" w14:textId="77777777" w:rsidR="007D290A" w:rsidRDefault="007D290A" w:rsidP="007D290A">
      <w:pPr>
        <w:pStyle w:val="ListParagraph"/>
        <w:rPr>
          <w:rFonts w:ascii="Arial" w:hAnsi="Arial" w:cs="Arial"/>
          <w:b/>
          <w:bCs/>
          <w:u w:val="single"/>
        </w:rPr>
      </w:pPr>
    </w:p>
    <w:p w14:paraId="66E358E1" w14:textId="77777777" w:rsidR="007D290A" w:rsidRDefault="007D290A" w:rsidP="007D290A">
      <w:pPr>
        <w:pStyle w:val="ListParagraph"/>
        <w:rPr>
          <w:rFonts w:ascii="Arial" w:hAnsi="Arial" w:cs="Arial"/>
          <w:b/>
          <w:bCs/>
          <w:u w:val="single"/>
        </w:rPr>
      </w:pPr>
    </w:p>
    <w:p w14:paraId="2E36B6FD" w14:textId="77777777" w:rsidR="007D290A" w:rsidRDefault="007D290A" w:rsidP="007D290A">
      <w:pPr>
        <w:pStyle w:val="ListParagraph"/>
        <w:rPr>
          <w:rFonts w:ascii="Arial" w:hAnsi="Arial" w:cs="Arial"/>
          <w:b/>
          <w:bCs/>
          <w:u w:val="single"/>
        </w:rPr>
      </w:pPr>
    </w:p>
    <w:p w14:paraId="7BD12093" w14:textId="77777777" w:rsidR="007D290A" w:rsidRDefault="007D290A" w:rsidP="007D290A">
      <w:pPr>
        <w:pStyle w:val="ListParagraph"/>
        <w:rPr>
          <w:rFonts w:ascii="Arial" w:hAnsi="Arial" w:cs="Arial"/>
          <w:b/>
          <w:bCs/>
          <w:u w:val="single"/>
        </w:rPr>
      </w:pPr>
    </w:p>
    <w:p w14:paraId="2638315E" w14:textId="77777777" w:rsidR="007D290A" w:rsidRDefault="007D290A" w:rsidP="007D290A">
      <w:pPr>
        <w:pStyle w:val="ListParagraph"/>
        <w:rPr>
          <w:rFonts w:ascii="Arial" w:hAnsi="Arial" w:cs="Arial"/>
          <w:b/>
          <w:bCs/>
          <w:u w:val="single"/>
        </w:rPr>
      </w:pPr>
    </w:p>
    <w:p w14:paraId="7D8DCC70" w14:textId="77777777" w:rsidR="007D290A" w:rsidRDefault="007D290A" w:rsidP="007D290A">
      <w:pPr>
        <w:pStyle w:val="ListParagraph"/>
        <w:rPr>
          <w:rFonts w:ascii="Arial" w:hAnsi="Arial" w:cs="Arial"/>
          <w:b/>
          <w:bCs/>
          <w:u w:val="single"/>
        </w:rPr>
      </w:pPr>
    </w:p>
    <w:p w14:paraId="565A4AC1" w14:textId="77777777" w:rsidR="007D290A" w:rsidRDefault="007D290A" w:rsidP="007D290A">
      <w:pPr>
        <w:pStyle w:val="ListParagraph"/>
        <w:rPr>
          <w:rFonts w:ascii="Arial" w:hAnsi="Arial" w:cs="Arial"/>
          <w:b/>
          <w:bCs/>
          <w:u w:val="single"/>
        </w:rPr>
      </w:pPr>
    </w:p>
    <w:p w14:paraId="56F43AE4" w14:textId="77777777" w:rsidR="007D290A" w:rsidRDefault="007D290A" w:rsidP="007D290A">
      <w:pPr>
        <w:pStyle w:val="ListParagraph"/>
        <w:rPr>
          <w:rFonts w:ascii="Arial" w:hAnsi="Arial" w:cs="Arial"/>
          <w:b/>
          <w:bCs/>
          <w:u w:val="single"/>
        </w:rPr>
      </w:pPr>
    </w:p>
    <w:p w14:paraId="51F03E13" w14:textId="77777777" w:rsidR="007D290A" w:rsidRDefault="007D290A" w:rsidP="007D290A">
      <w:pPr>
        <w:pStyle w:val="ListParagraph"/>
        <w:rPr>
          <w:rFonts w:ascii="Arial" w:hAnsi="Arial" w:cs="Arial"/>
          <w:b/>
          <w:bCs/>
          <w:u w:val="single"/>
        </w:rPr>
      </w:pPr>
    </w:p>
    <w:p w14:paraId="3B421097" w14:textId="77777777" w:rsidR="007D290A" w:rsidRDefault="007D290A" w:rsidP="007D290A">
      <w:pPr>
        <w:pStyle w:val="ListParagraph"/>
        <w:rPr>
          <w:rFonts w:ascii="Arial" w:hAnsi="Arial" w:cs="Arial"/>
          <w:b/>
          <w:bCs/>
          <w:u w:val="single"/>
        </w:rPr>
      </w:pPr>
    </w:p>
    <w:p w14:paraId="778AA3B2" w14:textId="77777777" w:rsidR="007D290A" w:rsidRDefault="007D290A" w:rsidP="007D290A">
      <w:pPr>
        <w:pStyle w:val="ListParagraph"/>
        <w:rPr>
          <w:rFonts w:ascii="Arial" w:hAnsi="Arial" w:cs="Arial"/>
          <w:b/>
          <w:bCs/>
          <w:u w:val="single"/>
        </w:rPr>
      </w:pPr>
    </w:p>
    <w:p w14:paraId="2E0E9BE2" w14:textId="77777777" w:rsidR="007D290A" w:rsidRDefault="007D290A" w:rsidP="007D290A">
      <w:pPr>
        <w:pStyle w:val="ListParagraph"/>
        <w:rPr>
          <w:rFonts w:ascii="Arial" w:hAnsi="Arial" w:cs="Arial"/>
          <w:b/>
          <w:bCs/>
          <w:u w:val="single"/>
        </w:rPr>
      </w:pPr>
    </w:p>
    <w:p w14:paraId="7E4DE6A8" w14:textId="77777777" w:rsidR="00BD2810" w:rsidRDefault="00BD2810" w:rsidP="007D290A">
      <w:pPr>
        <w:pStyle w:val="ListParagraph"/>
        <w:rPr>
          <w:rFonts w:ascii="Arial" w:hAnsi="Arial" w:cs="Arial"/>
          <w:b/>
          <w:bCs/>
          <w:u w:val="single"/>
        </w:rPr>
      </w:pPr>
    </w:p>
    <w:p w14:paraId="7CA2721D" w14:textId="77777777" w:rsidR="007D290A" w:rsidRDefault="007D290A" w:rsidP="007D290A">
      <w:pPr>
        <w:pStyle w:val="ListParagraph"/>
        <w:rPr>
          <w:rFonts w:ascii="Arial" w:hAnsi="Arial" w:cs="Arial"/>
          <w:b/>
          <w:bCs/>
          <w:u w:val="single"/>
        </w:rPr>
      </w:pPr>
    </w:p>
    <w:p w14:paraId="5ACB8EEA" w14:textId="77777777" w:rsidR="007D290A" w:rsidRDefault="007D290A" w:rsidP="007D290A">
      <w:pPr>
        <w:pStyle w:val="ListParagraph"/>
        <w:rPr>
          <w:rFonts w:ascii="Arial" w:hAnsi="Arial" w:cs="Arial"/>
          <w:b/>
          <w:bCs/>
          <w:u w:val="single"/>
        </w:rPr>
      </w:pPr>
    </w:p>
    <w:p w14:paraId="1CDA0C6B" w14:textId="77777777" w:rsidR="007D290A" w:rsidRDefault="007D290A" w:rsidP="007D290A">
      <w:pPr>
        <w:pStyle w:val="ListParagraph"/>
        <w:rPr>
          <w:rFonts w:ascii="Arial" w:hAnsi="Arial" w:cs="Arial"/>
          <w:b/>
          <w:bCs/>
          <w:u w:val="single"/>
        </w:rPr>
      </w:pPr>
    </w:p>
    <w:p w14:paraId="5202B7A7" w14:textId="77777777" w:rsidR="007D290A" w:rsidRDefault="007D290A" w:rsidP="007D290A">
      <w:pPr>
        <w:pStyle w:val="ListParagraph"/>
        <w:rPr>
          <w:rFonts w:ascii="Arial" w:hAnsi="Arial" w:cs="Arial"/>
          <w:b/>
          <w:bCs/>
          <w:u w:val="single"/>
        </w:rPr>
      </w:pPr>
    </w:p>
    <w:p w14:paraId="081CBC59" w14:textId="77777777" w:rsidR="007D290A" w:rsidRDefault="007D290A" w:rsidP="007D290A">
      <w:pPr>
        <w:pStyle w:val="ListParagraph"/>
        <w:rPr>
          <w:rFonts w:ascii="Arial" w:hAnsi="Arial" w:cs="Arial"/>
          <w:b/>
          <w:bCs/>
          <w:u w:val="single"/>
        </w:rPr>
      </w:pPr>
    </w:p>
    <w:p w14:paraId="290B069E" w14:textId="77777777" w:rsidR="007D290A" w:rsidRDefault="007D290A" w:rsidP="007D290A">
      <w:pPr>
        <w:pStyle w:val="ListParagraph"/>
        <w:rPr>
          <w:rFonts w:ascii="Arial" w:hAnsi="Arial" w:cs="Arial"/>
          <w:b/>
          <w:bCs/>
          <w:u w:val="single"/>
        </w:rPr>
      </w:pPr>
    </w:p>
    <w:p w14:paraId="3613E987" w14:textId="77777777" w:rsidR="007D290A" w:rsidRDefault="007D290A" w:rsidP="007D290A">
      <w:pPr>
        <w:pStyle w:val="ListParagraph"/>
        <w:rPr>
          <w:rFonts w:ascii="Arial" w:hAnsi="Arial" w:cs="Arial"/>
          <w:b/>
          <w:bCs/>
          <w:u w:val="single"/>
        </w:rPr>
      </w:pPr>
    </w:p>
    <w:p w14:paraId="5F619E4E" w14:textId="77777777" w:rsidR="007D290A" w:rsidRDefault="007D290A" w:rsidP="007D290A">
      <w:pPr>
        <w:pStyle w:val="ListParagraph"/>
        <w:rPr>
          <w:rFonts w:ascii="Arial" w:hAnsi="Arial" w:cs="Arial"/>
          <w:b/>
          <w:bCs/>
          <w:u w:val="single"/>
        </w:rPr>
      </w:pPr>
    </w:p>
    <w:p w14:paraId="72511726" w14:textId="77777777" w:rsidR="007D290A" w:rsidRDefault="007D290A" w:rsidP="007D290A">
      <w:pPr>
        <w:pStyle w:val="ListParagraph"/>
        <w:rPr>
          <w:rFonts w:ascii="Arial" w:hAnsi="Arial" w:cs="Arial"/>
          <w:b/>
          <w:bCs/>
          <w:u w:val="single"/>
        </w:rPr>
      </w:pPr>
    </w:p>
    <w:p w14:paraId="002914A2" w14:textId="77777777" w:rsidR="007D290A" w:rsidRDefault="007D290A" w:rsidP="007D290A">
      <w:pPr>
        <w:pStyle w:val="ListParagraph"/>
        <w:rPr>
          <w:rFonts w:ascii="Arial" w:hAnsi="Arial" w:cs="Arial"/>
          <w:b/>
          <w:bCs/>
          <w:u w:val="single"/>
        </w:rPr>
      </w:pPr>
    </w:p>
    <w:p w14:paraId="538C5AFE" w14:textId="77777777" w:rsidR="007D290A" w:rsidRDefault="007D290A" w:rsidP="007D290A">
      <w:pPr>
        <w:pStyle w:val="ListParagraph"/>
        <w:rPr>
          <w:rFonts w:ascii="Arial" w:hAnsi="Arial" w:cs="Arial"/>
          <w:b/>
          <w:bCs/>
          <w:u w:val="single"/>
        </w:rPr>
      </w:pPr>
    </w:p>
    <w:p w14:paraId="7A190588" w14:textId="77777777" w:rsidR="007D290A" w:rsidRDefault="007D290A" w:rsidP="007D290A">
      <w:pPr>
        <w:rPr>
          <w:rFonts w:ascii="Arial" w:hAnsi="Arial" w:cs="Arial"/>
          <w:b/>
          <w:bCs/>
          <w:u w:val="single"/>
        </w:rPr>
      </w:pPr>
    </w:p>
    <w:p w14:paraId="6CCA4566" w14:textId="77777777" w:rsidR="00BD2810" w:rsidRDefault="00BD2810" w:rsidP="007D290A">
      <w:pPr>
        <w:rPr>
          <w:rFonts w:ascii="Arial" w:hAnsi="Arial" w:cs="Arial"/>
          <w:b/>
          <w:bCs/>
          <w:u w:val="single"/>
        </w:rPr>
      </w:pPr>
    </w:p>
    <w:p w14:paraId="5E87AF3E" w14:textId="77777777" w:rsidR="00BD2810" w:rsidRDefault="00BD2810" w:rsidP="007D290A">
      <w:pPr>
        <w:rPr>
          <w:rFonts w:ascii="Arial" w:hAnsi="Arial" w:cs="Arial"/>
          <w:b/>
          <w:bCs/>
          <w:u w:val="single"/>
        </w:rPr>
      </w:pPr>
    </w:p>
    <w:p w14:paraId="42E0F4E1" w14:textId="77777777" w:rsidR="00455D6D" w:rsidRDefault="00455D6D" w:rsidP="007D290A">
      <w:pPr>
        <w:rPr>
          <w:rFonts w:ascii="Arial" w:hAnsi="Arial" w:cs="Arial"/>
          <w:b/>
          <w:bCs/>
          <w:u w:val="single"/>
        </w:rPr>
      </w:pPr>
    </w:p>
    <w:p w14:paraId="6DE9425B" w14:textId="47C7464E" w:rsidR="007D290A" w:rsidRPr="007D290A" w:rsidRDefault="007D290A" w:rsidP="007D290A">
      <w:pPr>
        <w:rPr>
          <w:rFonts w:ascii="Arial" w:hAnsi="Arial" w:cs="Arial"/>
          <w:b/>
          <w:bCs/>
          <w:u w:val="single"/>
        </w:rPr>
      </w:pPr>
      <w:r w:rsidRPr="2909473D">
        <w:rPr>
          <w:rFonts w:ascii="Arial" w:hAnsi="Arial" w:cs="Arial"/>
          <w:b/>
          <w:bCs/>
          <w:u w:val="single"/>
        </w:rPr>
        <w:lastRenderedPageBreak/>
        <w:t xml:space="preserve">Reference list </w:t>
      </w:r>
    </w:p>
    <w:p w14:paraId="0D35E023" w14:textId="5B6BCF17" w:rsidR="007D290A" w:rsidRPr="007D290A" w:rsidRDefault="007D290A" w:rsidP="007D290A">
      <w:pPr>
        <w:pStyle w:val="ListParagraph"/>
        <w:rPr>
          <w:rFonts w:ascii="Arial" w:hAnsi="Arial" w:cs="Arial"/>
          <w:b/>
          <w:bCs/>
        </w:rPr>
      </w:pPr>
    </w:p>
    <w:p w14:paraId="55F0F4EA" w14:textId="512E569E" w:rsidR="002C1044" w:rsidRPr="002C1044" w:rsidRDefault="73403CC4" w:rsidP="4FD0CB89">
      <w:pPr>
        <w:rPr>
          <w:rFonts w:ascii="Arial" w:eastAsia="SimSun" w:hAnsi="Arial" w:cs="Arial"/>
        </w:rPr>
      </w:pPr>
      <w:r w:rsidRPr="4FD0CB89">
        <w:rPr>
          <w:rFonts w:ascii="Arial" w:eastAsia="SimSun" w:hAnsi="Arial" w:cs="Arial"/>
        </w:rPr>
        <w:t xml:space="preserve">Aaltonen, M., Kivivuori, J. &amp; Martikainen, P. (2019) </w:t>
      </w:r>
      <w:r w:rsidRPr="4FD0CB89">
        <w:rPr>
          <w:rFonts w:ascii="Arial" w:eastAsia="SimSun" w:hAnsi="Arial" w:cs="Arial"/>
          <w:i/>
          <w:iCs/>
        </w:rPr>
        <w:t>Crime and social inequality in Finland: Trends and explanations</w:t>
      </w:r>
      <w:r w:rsidRPr="4FD0CB89">
        <w:rPr>
          <w:rFonts w:ascii="Arial" w:eastAsia="SimSun" w:hAnsi="Arial" w:cs="Arial"/>
        </w:rPr>
        <w:t>. Helsinki: Finnish Institute of Criminology and Legal Policy.</w:t>
      </w:r>
    </w:p>
    <w:p w14:paraId="65CBF149" w14:textId="7243E572" w:rsidR="002C1044" w:rsidRPr="002C1044" w:rsidRDefault="73403CC4" w:rsidP="4FD0CB89">
      <w:pPr>
        <w:rPr>
          <w:rFonts w:ascii="Arial" w:eastAsia="SimSun" w:hAnsi="Arial" w:cs="Arial"/>
        </w:rPr>
      </w:pPr>
      <w:r w:rsidRPr="4FD0CB89">
        <w:rPr>
          <w:rFonts w:ascii="Arial" w:eastAsia="SimSun" w:hAnsi="Arial" w:cs="Arial"/>
        </w:rPr>
        <w:t xml:space="preserve">Allen, G. &amp; Watson, C. (2023) </w:t>
      </w:r>
      <w:r w:rsidRPr="4FD0CB89">
        <w:rPr>
          <w:rFonts w:ascii="Arial" w:eastAsia="SimSun" w:hAnsi="Arial" w:cs="Arial"/>
          <w:i/>
          <w:iCs/>
        </w:rPr>
        <w:t>Ageing behind bars: The health and social care of older prisoners in England and Wales</w:t>
      </w:r>
      <w:r w:rsidRPr="4FD0CB89">
        <w:rPr>
          <w:rFonts w:ascii="Arial" w:eastAsia="SimSun" w:hAnsi="Arial" w:cs="Arial"/>
        </w:rPr>
        <w:t>. London: Nuffield Trust.</w:t>
      </w:r>
    </w:p>
    <w:p w14:paraId="6AD8B19E" w14:textId="77F8A279" w:rsidR="002C1044" w:rsidRPr="002C1044" w:rsidRDefault="73403CC4" w:rsidP="4FD0CB89">
      <w:pPr>
        <w:rPr>
          <w:rFonts w:ascii="Arial" w:eastAsia="SimSun" w:hAnsi="Arial" w:cs="Arial"/>
        </w:rPr>
      </w:pPr>
      <w:r w:rsidRPr="4FD0CB89">
        <w:rPr>
          <w:rFonts w:ascii="Arial" w:eastAsia="SimSun" w:hAnsi="Arial" w:cs="Arial"/>
        </w:rPr>
        <w:t xml:space="preserve">Blagg, H. &amp; Anthony, T. (2019) </w:t>
      </w:r>
      <w:r w:rsidRPr="4FD0CB89">
        <w:rPr>
          <w:rFonts w:ascii="Arial" w:eastAsia="SimSun" w:hAnsi="Arial" w:cs="Arial"/>
          <w:i/>
          <w:iCs/>
        </w:rPr>
        <w:t>Decolonising criminology: Imagining justice in a postcolonial world</w:t>
      </w:r>
      <w:r w:rsidRPr="4FD0CB89">
        <w:rPr>
          <w:rFonts w:ascii="Arial" w:eastAsia="SimSun" w:hAnsi="Arial" w:cs="Arial"/>
        </w:rPr>
        <w:t xml:space="preserve">. London: Palgrave Macmillan. Available at: </w:t>
      </w:r>
      <w:hyperlink r:id="rId11">
        <w:r w:rsidRPr="4FD0CB89">
          <w:rPr>
            <w:rStyle w:val="Hyperlink"/>
            <w:rFonts w:ascii="Arial" w:eastAsia="SimSun" w:hAnsi="Arial" w:cs="Arial"/>
            <w:u w:val="none"/>
          </w:rPr>
          <w:t>https://doi.org/10.1057/978-1-137-53247-3</w:t>
        </w:r>
      </w:hyperlink>
      <w:r w:rsidRPr="4FD0CB89">
        <w:rPr>
          <w:rFonts w:ascii="Arial" w:eastAsia="SimSun" w:hAnsi="Arial" w:cs="Arial"/>
        </w:rPr>
        <w:t xml:space="preserve"> (Accessed: 10 October 2025).</w:t>
      </w:r>
    </w:p>
    <w:p w14:paraId="31741667" w14:textId="642AC841" w:rsidR="002C1044" w:rsidRPr="002C1044" w:rsidRDefault="73403CC4" w:rsidP="4FD0CB89">
      <w:pPr>
        <w:rPr>
          <w:rFonts w:ascii="Arial" w:eastAsia="SimSun" w:hAnsi="Arial" w:cs="Arial"/>
        </w:rPr>
      </w:pPr>
      <w:r w:rsidRPr="4FD0CB89">
        <w:rPr>
          <w:rFonts w:ascii="Arial" w:eastAsia="SimSun" w:hAnsi="Arial" w:cs="Arial"/>
        </w:rPr>
        <w:t xml:space="preserve">Burnett, R. &amp; Maruna, S. (2004) ‘So “prison works”, does it? The criminal careers of 130 men released from prison under Home Secretary, Michael Howard’, </w:t>
      </w:r>
      <w:r w:rsidRPr="4FD0CB89">
        <w:rPr>
          <w:rFonts w:ascii="Arial" w:eastAsia="SimSun" w:hAnsi="Arial" w:cs="Arial"/>
          <w:i/>
          <w:iCs/>
        </w:rPr>
        <w:t>The Howard Journal of Criminal Justice</w:t>
      </w:r>
      <w:r w:rsidRPr="4FD0CB89">
        <w:rPr>
          <w:rFonts w:ascii="Arial" w:eastAsia="SimSun" w:hAnsi="Arial" w:cs="Arial"/>
        </w:rPr>
        <w:t xml:space="preserve">, 43(4), pp. 390–404. Available at: </w:t>
      </w:r>
      <w:hyperlink r:id="rId12">
        <w:r w:rsidRPr="4FD0CB89">
          <w:rPr>
            <w:rStyle w:val="Hyperlink"/>
            <w:rFonts w:ascii="Arial" w:eastAsia="SimSun" w:hAnsi="Arial" w:cs="Arial"/>
            <w:u w:val="none"/>
          </w:rPr>
          <w:t>https://doi.org/10.1111/j.1468-2311.2004.00337.x</w:t>
        </w:r>
      </w:hyperlink>
      <w:r w:rsidRPr="4FD0CB89">
        <w:rPr>
          <w:rFonts w:ascii="Arial" w:eastAsia="SimSun" w:hAnsi="Arial" w:cs="Arial"/>
        </w:rPr>
        <w:t xml:space="preserve"> (Accessed: 11 October 2025).</w:t>
      </w:r>
    </w:p>
    <w:p w14:paraId="1C26B986" w14:textId="396707D7" w:rsidR="002C1044" w:rsidRPr="002C1044" w:rsidRDefault="73403CC4" w:rsidP="4FD0CB89">
      <w:pPr>
        <w:rPr>
          <w:rFonts w:ascii="Arial" w:eastAsia="SimSun" w:hAnsi="Arial" w:cs="Arial"/>
        </w:rPr>
      </w:pPr>
      <w:r w:rsidRPr="4FD0CB89">
        <w:rPr>
          <w:rFonts w:ascii="Arial" w:eastAsia="SimSun" w:hAnsi="Arial" w:cs="Arial"/>
        </w:rPr>
        <w:t xml:space="preserve">Burke, T. (2012) </w:t>
      </w:r>
      <w:r w:rsidRPr="4FD0CB89">
        <w:rPr>
          <w:rFonts w:ascii="Arial" w:eastAsia="SimSun" w:hAnsi="Arial" w:cs="Arial"/>
          <w:i/>
          <w:iCs/>
        </w:rPr>
        <w:t>Understanding the criminal justice system in England and Wales</w:t>
      </w:r>
      <w:r w:rsidRPr="4FD0CB89">
        <w:rPr>
          <w:rFonts w:ascii="Arial" w:eastAsia="SimSun" w:hAnsi="Arial" w:cs="Arial"/>
        </w:rPr>
        <w:t>. London: Routledge.</w:t>
      </w:r>
    </w:p>
    <w:p w14:paraId="741559B8" w14:textId="358B59C4" w:rsidR="002C1044" w:rsidRPr="002C1044" w:rsidRDefault="73403CC4" w:rsidP="4FD0CB89">
      <w:pPr>
        <w:rPr>
          <w:rFonts w:ascii="Arial" w:eastAsia="SimSun" w:hAnsi="Arial" w:cs="Arial"/>
        </w:rPr>
      </w:pPr>
      <w:r w:rsidRPr="4FD0CB89">
        <w:rPr>
          <w:rFonts w:ascii="Arial" w:eastAsia="SimSun" w:hAnsi="Arial" w:cs="Arial"/>
        </w:rPr>
        <w:t xml:space="preserve">Cavadino, M. &amp; Dignan, J. (2013) </w:t>
      </w:r>
      <w:r w:rsidRPr="4FD0CB89">
        <w:rPr>
          <w:rFonts w:ascii="Arial" w:eastAsia="SimSun" w:hAnsi="Arial" w:cs="Arial"/>
          <w:i/>
          <w:iCs/>
        </w:rPr>
        <w:t>The penal system: An introduction</w:t>
      </w:r>
      <w:r w:rsidRPr="4FD0CB89">
        <w:rPr>
          <w:rFonts w:ascii="Arial" w:eastAsia="SimSun" w:hAnsi="Arial" w:cs="Arial"/>
        </w:rPr>
        <w:t>. 5th edn. London: Sage.</w:t>
      </w:r>
    </w:p>
    <w:p w14:paraId="323B68A5" w14:textId="5FAFBD47" w:rsidR="002C1044" w:rsidRPr="002C1044" w:rsidRDefault="73403CC4" w:rsidP="4FD0CB89">
      <w:pPr>
        <w:rPr>
          <w:rFonts w:ascii="Arial" w:eastAsia="SimSun" w:hAnsi="Arial" w:cs="Arial"/>
        </w:rPr>
      </w:pPr>
      <w:r w:rsidRPr="4FD0CB89">
        <w:rPr>
          <w:rFonts w:ascii="Arial" w:eastAsia="SimSun" w:hAnsi="Arial" w:cs="Arial"/>
        </w:rPr>
        <w:t xml:space="preserve">Centre for Crime and Justice Studies (2022) </w:t>
      </w:r>
      <w:r w:rsidRPr="4FD0CB89">
        <w:rPr>
          <w:rFonts w:ascii="Arial" w:eastAsia="SimSun" w:hAnsi="Arial" w:cs="Arial"/>
          <w:i/>
          <w:iCs/>
        </w:rPr>
        <w:t>Rehabilitation and reform: Funding justice services in England and Wales</w:t>
      </w:r>
      <w:r w:rsidRPr="4FD0CB89">
        <w:rPr>
          <w:rFonts w:ascii="Arial" w:eastAsia="SimSun" w:hAnsi="Arial" w:cs="Arial"/>
        </w:rPr>
        <w:t>. London: CCJS.</w:t>
      </w:r>
    </w:p>
    <w:p w14:paraId="078064BF" w14:textId="04DA4803" w:rsidR="002C1044" w:rsidRPr="002C1044" w:rsidRDefault="73403CC4" w:rsidP="4FD0CB89">
      <w:pPr>
        <w:rPr>
          <w:rFonts w:ascii="Arial" w:eastAsia="SimSun" w:hAnsi="Arial" w:cs="Arial"/>
        </w:rPr>
      </w:pPr>
      <w:r w:rsidRPr="4FD0CB89">
        <w:rPr>
          <w:rFonts w:ascii="Arial" w:eastAsia="SimSun" w:hAnsi="Arial" w:cs="Arial"/>
        </w:rPr>
        <w:t xml:space="preserve">Crewe, B. (2011) ‘Depth, weight, tightness: Revisiting the pains of imprisonment’, </w:t>
      </w:r>
      <w:r w:rsidRPr="4FD0CB89">
        <w:rPr>
          <w:rFonts w:ascii="Arial" w:eastAsia="SimSun" w:hAnsi="Arial" w:cs="Arial"/>
          <w:i/>
          <w:iCs/>
        </w:rPr>
        <w:t>Punishment &amp; Society</w:t>
      </w:r>
      <w:r w:rsidRPr="4FD0CB89">
        <w:rPr>
          <w:rFonts w:ascii="Arial" w:eastAsia="SimSun" w:hAnsi="Arial" w:cs="Arial"/>
        </w:rPr>
        <w:t>, 13(5), pp. 509–529.</w:t>
      </w:r>
    </w:p>
    <w:p w14:paraId="2DAE6CFD" w14:textId="24DFF7B1" w:rsidR="002C1044" w:rsidRPr="002C1044" w:rsidRDefault="73403CC4" w:rsidP="4FD0CB89">
      <w:pPr>
        <w:rPr>
          <w:rFonts w:ascii="Arial" w:eastAsia="SimSun" w:hAnsi="Arial" w:cs="Arial"/>
        </w:rPr>
      </w:pPr>
      <w:r w:rsidRPr="4FD0CB89">
        <w:rPr>
          <w:rFonts w:ascii="Arial" w:eastAsia="SimSun" w:hAnsi="Arial" w:cs="Arial"/>
        </w:rPr>
        <w:t xml:space="preserve">Day, A. (2023) ‘Youth justice and risk management: Reassessing “child first” policy in practice’, </w:t>
      </w:r>
      <w:r w:rsidRPr="4FD0CB89">
        <w:rPr>
          <w:rFonts w:ascii="Arial" w:eastAsia="SimSun" w:hAnsi="Arial" w:cs="Arial"/>
          <w:i/>
          <w:iCs/>
        </w:rPr>
        <w:t>Youth Justice</w:t>
      </w:r>
      <w:r w:rsidRPr="4FD0CB89">
        <w:rPr>
          <w:rFonts w:ascii="Arial" w:eastAsia="SimSun" w:hAnsi="Arial" w:cs="Arial"/>
        </w:rPr>
        <w:t>, 23(1), pp. 14–32.</w:t>
      </w:r>
    </w:p>
    <w:p w14:paraId="19DA7902" w14:textId="268C2B55" w:rsidR="002C1044" w:rsidRPr="002C1044" w:rsidRDefault="73403CC4" w:rsidP="4FD0CB89">
      <w:pPr>
        <w:rPr>
          <w:rFonts w:ascii="Arial" w:eastAsia="SimSun" w:hAnsi="Arial" w:cs="Arial"/>
        </w:rPr>
      </w:pPr>
      <w:r w:rsidRPr="4FD0CB89">
        <w:rPr>
          <w:rFonts w:ascii="Arial" w:eastAsia="SimSun" w:hAnsi="Arial" w:cs="Arial"/>
        </w:rPr>
        <w:t xml:space="preserve">Dingwall, G. (2023) ‘Alternatives to remand and the future of pre-trial detention’, </w:t>
      </w:r>
      <w:r w:rsidRPr="4FD0CB89">
        <w:rPr>
          <w:rFonts w:ascii="Arial" w:eastAsia="SimSun" w:hAnsi="Arial" w:cs="Arial"/>
          <w:i/>
          <w:iCs/>
        </w:rPr>
        <w:t>Journal of Criminal Law</w:t>
      </w:r>
      <w:r w:rsidRPr="4FD0CB89">
        <w:rPr>
          <w:rFonts w:ascii="Arial" w:eastAsia="SimSun" w:hAnsi="Arial" w:cs="Arial"/>
        </w:rPr>
        <w:t>, 87(2), pp. 145–164.</w:t>
      </w:r>
    </w:p>
    <w:p w14:paraId="283E1F8F" w14:textId="55DB2B85" w:rsidR="002C1044" w:rsidRPr="002C1044" w:rsidRDefault="73403CC4" w:rsidP="4FD0CB89">
      <w:pPr>
        <w:rPr>
          <w:rFonts w:ascii="Arial" w:eastAsia="SimSun" w:hAnsi="Arial" w:cs="Arial"/>
        </w:rPr>
      </w:pPr>
      <w:r w:rsidRPr="4FD0CB89">
        <w:rPr>
          <w:rFonts w:ascii="Arial" w:eastAsia="SimSun" w:hAnsi="Arial" w:cs="Arial"/>
        </w:rPr>
        <w:t xml:space="preserve">Exploring Children’s Journeys (2024) </w:t>
      </w:r>
      <w:r w:rsidRPr="4FD0CB89">
        <w:rPr>
          <w:rFonts w:ascii="Arial" w:eastAsia="SimSun" w:hAnsi="Arial" w:cs="Arial"/>
          <w:i/>
          <w:iCs/>
        </w:rPr>
        <w:t>Children’s pathways into and through the youth justice system: An evidence review</w:t>
      </w:r>
      <w:r w:rsidRPr="4FD0CB89">
        <w:rPr>
          <w:rFonts w:ascii="Arial" w:eastAsia="SimSun" w:hAnsi="Arial" w:cs="Arial"/>
        </w:rPr>
        <w:t>. London: Youth Justice Board for England and Wales.</w:t>
      </w:r>
    </w:p>
    <w:p w14:paraId="51377101" w14:textId="4902B1D5" w:rsidR="002C1044" w:rsidRPr="002C1044" w:rsidRDefault="73403CC4" w:rsidP="4FD0CB89">
      <w:pPr>
        <w:rPr>
          <w:rFonts w:ascii="Arial" w:eastAsia="SimSun" w:hAnsi="Arial" w:cs="Arial"/>
        </w:rPr>
      </w:pPr>
      <w:r w:rsidRPr="4FD0CB89">
        <w:rPr>
          <w:rFonts w:ascii="Arial" w:eastAsia="SimSun" w:hAnsi="Arial" w:cs="Arial"/>
        </w:rPr>
        <w:t xml:space="preserve">Farrell, S. (2023) </w:t>
      </w:r>
      <w:r w:rsidRPr="4FD0CB89">
        <w:rPr>
          <w:rFonts w:ascii="Arial" w:eastAsia="SimSun" w:hAnsi="Arial" w:cs="Arial"/>
          <w:i/>
          <w:iCs/>
        </w:rPr>
        <w:t>Rehabilitation, resettlement and reoffending: Evidence and policy in England and Wales</w:t>
      </w:r>
      <w:r w:rsidRPr="4FD0CB89">
        <w:rPr>
          <w:rFonts w:ascii="Arial" w:eastAsia="SimSun" w:hAnsi="Arial" w:cs="Arial"/>
        </w:rPr>
        <w:t>. London: Centre for Crime and Justice Studies.</w:t>
      </w:r>
    </w:p>
    <w:p w14:paraId="74215A37" w14:textId="1EFCCCCC" w:rsidR="002C1044" w:rsidRPr="002C1044" w:rsidRDefault="73403CC4" w:rsidP="4FD0CB89">
      <w:pPr>
        <w:rPr>
          <w:rFonts w:ascii="Arial" w:eastAsia="SimSun" w:hAnsi="Arial" w:cs="Arial"/>
        </w:rPr>
      </w:pPr>
      <w:r w:rsidRPr="4FD0CB89">
        <w:rPr>
          <w:rFonts w:ascii="Arial" w:eastAsia="SimSun" w:hAnsi="Arial" w:cs="Arial"/>
        </w:rPr>
        <w:t xml:space="preserve">Gavin, N., Porter, L. &amp; MacDonald, R. (2025) ‘Ageing behind bars: The changing demographics of the prison population’, </w:t>
      </w:r>
      <w:r w:rsidRPr="4FD0CB89">
        <w:rPr>
          <w:rFonts w:ascii="Arial" w:eastAsia="SimSun" w:hAnsi="Arial" w:cs="Arial"/>
          <w:i/>
          <w:iCs/>
        </w:rPr>
        <w:t>The British Journal of Criminology</w:t>
      </w:r>
      <w:r w:rsidRPr="4FD0CB89">
        <w:rPr>
          <w:rFonts w:ascii="Arial" w:eastAsia="SimSun" w:hAnsi="Arial" w:cs="Arial"/>
        </w:rPr>
        <w:t>, 65(2), pp. 256–274.</w:t>
      </w:r>
    </w:p>
    <w:p w14:paraId="136E0527" w14:textId="0F706FCE" w:rsidR="002C1044" w:rsidRPr="002C1044" w:rsidRDefault="73403CC4" w:rsidP="4FD0CB89">
      <w:pPr>
        <w:rPr>
          <w:rFonts w:ascii="Arial" w:eastAsia="SimSun" w:hAnsi="Arial" w:cs="Arial"/>
        </w:rPr>
      </w:pPr>
      <w:r w:rsidRPr="4FD0CB89">
        <w:rPr>
          <w:rFonts w:ascii="Arial" w:eastAsia="SimSun" w:hAnsi="Arial" w:cs="Arial"/>
        </w:rPr>
        <w:lastRenderedPageBreak/>
        <w:t xml:space="preserve">Guiney, T. &amp; Yeomans, E. (2023) ‘Penal momentum: Understanding the enduring legacy of prison expansion in England and Wales’, </w:t>
      </w:r>
      <w:r w:rsidRPr="4FD0CB89">
        <w:rPr>
          <w:rFonts w:ascii="Arial" w:eastAsia="SimSun" w:hAnsi="Arial" w:cs="Arial"/>
          <w:i/>
          <w:iCs/>
        </w:rPr>
        <w:t>Punishment &amp; Society</w:t>
      </w:r>
      <w:r w:rsidRPr="4FD0CB89">
        <w:rPr>
          <w:rFonts w:ascii="Arial" w:eastAsia="SimSun" w:hAnsi="Arial" w:cs="Arial"/>
        </w:rPr>
        <w:t>, 25(6), pp. 711–732.</w:t>
      </w:r>
    </w:p>
    <w:p w14:paraId="157AE895" w14:textId="21360B8A" w:rsidR="002C1044" w:rsidRPr="002C1044" w:rsidRDefault="73403CC4" w:rsidP="4FD0CB89">
      <w:pPr>
        <w:rPr>
          <w:rFonts w:ascii="Arial" w:eastAsia="SimSun" w:hAnsi="Arial" w:cs="Arial"/>
        </w:rPr>
      </w:pPr>
      <w:r w:rsidRPr="4FD0CB89">
        <w:rPr>
          <w:rFonts w:ascii="Arial" w:eastAsia="SimSun" w:hAnsi="Arial" w:cs="Arial"/>
        </w:rPr>
        <w:t xml:space="preserve">Hodgson, J. (2024) ‘Youth custody and the institutionalisation of harm’, </w:t>
      </w:r>
      <w:r w:rsidRPr="4FD0CB89">
        <w:rPr>
          <w:rFonts w:ascii="Arial" w:eastAsia="SimSun" w:hAnsi="Arial" w:cs="Arial"/>
          <w:i/>
          <w:iCs/>
        </w:rPr>
        <w:t>Youth Justice</w:t>
      </w:r>
      <w:r w:rsidRPr="4FD0CB89">
        <w:rPr>
          <w:rFonts w:ascii="Arial" w:eastAsia="SimSun" w:hAnsi="Arial" w:cs="Arial"/>
        </w:rPr>
        <w:t>, 24(2), pp. 113–132.</w:t>
      </w:r>
    </w:p>
    <w:p w14:paraId="600B4860" w14:textId="59E664F2" w:rsidR="002C1044" w:rsidRPr="002C1044" w:rsidRDefault="73403CC4" w:rsidP="4FD0CB89">
      <w:pPr>
        <w:rPr>
          <w:rFonts w:ascii="Arial" w:eastAsia="SimSun" w:hAnsi="Arial" w:cs="Arial"/>
        </w:rPr>
      </w:pPr>
      <w:r w:rsidRPr="4FD0CB89">
        <w:rPr>
          <w:rFonts w:ascii="Arial" w:eastAsia="SimSun" w:hAnsi="Arial" w:cs="Arial"/>
        </w:rPr>
        <w:t xml:space="preserve">HM Chief Inspector of Prisons (2023) </w:t>
      </w:r>
      <w:r w:rsidRPr="4FD0CB89">
        <w:rPr>
          <w:rFonts w:ascii="Arial" w:eastAsia="SimSun" w:hAnsi="Arial" w:cs="Arial"/>
          <w:i/>
          <w:iCs/>
        </w:rPr>
        <w:t>Annual report 2022–23</w:t>
      </w:r>
      <w:r w:rsidRPr="4FD0CB89">
        <w:rPr>
          <w:rFonts w:ascii="Arial" w:eastAsia="SimSun" w:hAnsi="Arial" w:cs="Arial"/>
        </w:rPr>
        <w:t xml:space="preserve">. London: HM Inspectorate of Prisons. Available at: </w:t>
      </w:r>
      <w:hyperlink r:id="rId13">
        <w:r w:rsidRPr="4FD0CB89">
          <w:rPr>
            <w:rStyle w:val="Hyperlink"/>
            <w:rFonts w:ascii="Arial" w:eastAsia="SimSun" w:hAnsi="Arial" w:cs="Arial"/>
            <w:u w:val="none"/>
          </w:rPr>
          <w:t>https://www.justiceinspectorates.gov.uk/hmiprisons/our-reports/annual-report-2022-23/</w:t>
        </w:r>
      </w:hyperlink>
      <w:r w:rsidRPr="4FD0CB89">
        <w:rPr>
          <w:rFonts w:ascii="Arial" w:eastAsia="SimSun" w:hAnsi="Arial" w:cs="Arial"/>
        </w:rPr>
        <w:t xml:space="preserve"> (Accessed: 14 October 2025).</w:t>
      </w:r>
    </w:p>
    <w:p w14:paraId="3E793F11" w14:textId="748E7D8E" w:rsidR="002C1044" w:rsidRPr="002C1044" w:rsidRDefault="73403CC4" w:rsidP="4FD0CB89">
      <w:pPr>
        <w:rPr>
          <w:rFonts w:ascii="Arial" w:eastAsia="SimSun" w:hAnsi="Arial" w:cs="Arial"/>
        </w:rPr>
      </w:pPr>
      <w:r w:rsidRPr="4FD0CB89">
        <w:rPr>
          <w:rFonts w:ascii="Arial" w:eastAsia="SimSun" w:hAnsi="Arial" w:cs="Arial"/>
        </w:rPr>
        <w:t xml:space="preserve">HM Inspectorate of Probation (2024) </w:t>
      </w:r>
      <w:r w:rsidRPr="4FD0CB89">
        <w:rPr>
          <w:rFonts w:ascii="Arial" w:eastAsia="SimSun" w:hAnsi="Arial" w:cs="Arial"/>
          <w:i/>
          <w:iCs/>
        </w:rPr>
        <w:t>The State of the Probation Service in England and Wales 2023</w:t>
      </w:r>
      <w:r w:rsidRPr="4FD0CB89">
        <w:rPr>
          <w:rFonts w:ascii="Arial" w:eastAsia="SimSun" w:hAnsi="Arial" w:cs="Arial"/>
        </w:rPr>
        <w:t>. Manchester: HM Inspectorate of Probation.</w:t>
      </w:r>
    </w:p>
    <w:p w14:paraId="1BA4306A" w14:textId="3798FDBB" w:rsidR="002C1044" w:rsidRPr="002C1044" w:rsidRDefault="73403CC4" w:rsidP="4FD0CB89">
      <w:pPr>
        <w:rPr>
          <w:rFonts w:ascii="Arial" w:eastAsia="SimSun" w:hAnsi="Arial" w:cs="Arial"/>
        </w:rPr>
      </w:pPr>
      <w:r w:rsidRPr="4FD0CB89">
        <w:rPr>
          <w:rFonts w:ascii="Arial" w:eastAsia="SimSun" w:hAnsi="Arial" w:cs="Arial"/>
        </w:rPr>
        <w:t xml:space="preserve">Howard League for Penal Reform (2024) </w:t>
      </w:r>
      <w:r w:rsidRPr="4FD0CB89">
        <w:rPr>
          <w:rFonts w:ascii="Arial" w:eastAsia="SimSun" w:hAnsi="Arial" w:cs="Arial"/>
          <w:i/>
          <w:iCs/>
        </w:rPr>
        <w:t>Sentencing and imprisonment in England and Wales: Trends and challenges</w:t>
      </w:r>
      <w:r w:rsidRPr="4FD0CB89">
        <w:rPr>
          <w:rFonts w:ascii="Arial" w:eastAsia="SimSun" w:hAnsi="Arial" w:cs="Arial"/>
        </w:rPr>
        <w:t>. London: The Howard League for Penal Reform.</w:t>
      </w:r>
    </w:p>
    <w:p w14:paraId="2C6A71CD" w14:textId="4D70847B" w:rsidR="002C1044" w:rsidRPr="002C1044" w:rsidRDefault="73403CC4" w:rsidP="4FD0CB89">
      <w:pPr>
        <w:rPr>
          <w:rFonts w:ascii="Arial" w:eastAsia="SimSun" w:hAnsi="Arial" w:cs="Arial"/>
        </w:rPr>
      </w:pPr>
      <w:r w:rsidRPr="4FD0CB89">
        <w:rPr>
          <w:rFonts w:ascii="Arial" w:eastAsia="SimSun" w:hAnsi="Arial" w:cs="Arial"/>
        </w:rPr>
        <w:t xml:space="preserve">Jones, T., Hart, P. &amp; Scott, L. (2024) ‘Building capacity or building failure? The impact of prison expansion on regime quality’, </w:t>
      </w:r>
      <w:r w:rsidRPr="4FD0CB89">
        <w:rPr>
          <w:rFonts w:ascii="Arial" w:eastAsia="SimSun" w:hAnsi="Arial" w:cs="Arial"/>
          <w:i/>
          <w:iCs/>
        </w:rPr>
        <w:t>Prison Service Journal</w:t>
      </w:r>
      <w:r w:rsidRPr="4FD0CB89">
        <w:rPr>
          <w:rFonts w:ascii="Arial" w:eastAsia="SimSun" w:hAnsi="Arial" w:cs="Arial"/>
        </w:rPr>
        <w:t>, 269, pp. 12–27.</w:t>
      </w:r>
    </w:p>
    <w:p w14:paraId="5051B688" w14:textId="679E3CC7" w:rsidR="002C1044" w:rsidRPr="002C1044" w:rsidRDefault="73403CC4" w:rsidP="4FD0CB89">
      <w:pPr>
        <w:rPr>
          <w:rFonts w:ascii="Arial" w:eastAsia="SimSun" w:hAnsi="Arial" w:cs="Arial"/>
        </w:rPr>
      </w:pPr>
      <w:r w:rsidRPr="4FD0CB89">
        <w:rPr>
          <w:rFonts w:ascii="Arial" w:eastAsia="SimSun" w:hAnsi="Arial" w:cs="Arial"/>
        </w:rPr>
        <w:t xml:space="preserve">Kinner, S.A. &amp; Rich, J.D. (2018) ‘Socioeconomic determinants of crime and incarceration: Integrating health and justice policy’, </w:t>
      </w:r>
      <w:r w:rsidRPr="4FD0CB89">
        <w:rPr>
          <w:rFonts w:ascii="Arial" w:eastAsia="SimSun" w:hAnsi="Arial" w:cs="Arial"/>
          <w:i/>
          <w:iCs/>
        </w:rPr>
        <w:t>The Lancet Public Health</w:t>
      </w:r>
      <w:r w:rsidRPr="4FD0CB89">
        <w:rPr>
          <w:rFonts w:ascii="Arial" w:eastAsia="SimSun" w:hAnsi="Arial" w:cs="Arial"/>
        </w:rPr>
        <w:t xml:space="preserve">, 3(2), pp. e77–e78. Available at: </w:t>
      </w:r>
      <w:hyperlink r:id="rId14">
        <w:r w:rsidRPr="4FD0CB89">
          <w:rPr>
            <w:rStyle w:val="Hyperlink"/>
            <w:rFonts w:ascii="Arial" w:eastAsia="SimSun" w:hAnsi="Arial" w:cs="Arial"/>
            <w:u w:val="none"/>
          </w:rPr>
          <w:t>https://doi.org/10.1016/S2468-2667(18)30011-5</w:t>
        </w:r>
      </w:hyperlink>
      <w:r w:rsidRPr="4FD0CB89">
        <w:rPr>
          <w:rFonts w:ascii="Arial" w:eastAsia="SimSun" w:hAnsi="Arial" w:cs="Arial"/>
        </w:rPr>
        <w:t xml:space="preserve"> (Accessed: 19 October 2025).</w:t>
      </w:r>
    </w:p>
    <w:p w14:paraId="66F1D9FA" w14:textId="2863DF61" w:rsidR="002C1044" w:rsidRPr="002C1044" w:rsidRDefault="73403CC4" w:rsidP="4FD0CB89">
      <w:pPr>
        <w:rPr>
          <w:rFonts w:ascii="Arial" w:eastAsia="SimSun" w:hAnsi="Arial" w:cs="Arial"/>
        </w:rPr>
      </w:pPr>
      <w:r w:rsidRPr="4FD0CB89">
        <w:rPr>
          <w:rFonts w:ascii="Arial" w:eastAsia="SimSun" w:hAnsi="Arial" w:cs="Arial"/>
        </w:rPr>
        <w:t xml:space="preserve">Latimer, J., Dowden, C. &amp; Muise, D. (2013) ‘The effectiveness of restorative justice practices: A meta-analysis’, </w:t>
      </w:r>
      <w:r w:rsidRPr="4FD0CB89">
        <w:rPr>
          <w:rFonts w:ascii="Arial" w:eastAsia="SimSun" w:hAnsi="Arial" w:cs="Arial"/>
          <w:i/>
          <w:iCs/>
        </w:rPr>
        <w:t>The Prison Journal</w:t>
      </w:r>
      <w:r w:rsidRPr="4FD0CB89">
        <w:rPr>
          <w:rFonts w:ascii="Arial" w:eastAsia="SimSun" w:hAnsi="Arial" w:cs="Arial"/>
        </w:rPr>
        <w:t>, 93(1), pp. 62–81.</w:t>
      </w:r>
    </w:p>
    <w:p w14:paraId="770404AB" w14:textId="06686E3C" w:rsidR="002C1044" w:rsidRPr="002C1044" w:rsidRDefault="73403CC4" w:rsidP="4FD0CB89">
      <w:pPr>
        <w:rPr>
          <w:rFonts w:ascii="Arial" w:eastAsia="SimSun" w:hAnsi="Arial" w:cs="Arial"/>
        </w:rPr>
      </w:pPr>
      <w:r w:rsidRPr="4FD0CB89">
        <w:rPr>
          <w:rFonts w:ascii="Arial" w:eastAsia="SimSun" w:hAnsi="Arial" w:cs="Arial"/>
        </w:rPr>
        <w:t xml:space="preserve">Leclair, D. (2020) ‘Culturally responsive justice: Indigenous rehabilitation and reintegration in Canada’, </w:t>
      </w:r>
      <w:r w:rsidRPr="4FD0CB89">
        <w:rPr>
          <w:rFonts w:ascii="Arial" w:eastAsia="SimSun" w:hAnsi="Arial" w:cs="Arial"/>
          <w:i/>
          <w:iCs/>
        </w:rPr>
        <w:t>Canadian Journal of Criminology and Criminal Justice</w:t>
      </w:r>
      <w:r w:rsidRPr="4FD0CB89">
        <w:rPr>
          <w:rFonts w:ascii="Arial" w:eastAsia="SimSun" w:hAnsi="Arial" w:cs="Arial"/>
        </w:rPr>
        <w:t xml:space="preserve">, 62(4), pp. 491–514. Available at: </w:t>
      </w:r>
      <w:hyperlink r:id="rId15">
        <w:r w:rsidRPr="4FD0CB89">
          <w:rPr>
            <w:rStyle w:val="Hyperlink"/>
            <w:rFonts w:ascii="Arial" w:eastAsia="SimSun" w:hAnsi="Arial" w:cs="Arial"/>
            <w:u w:val="none"/>
          </w:rPr>
          <w:t>https://doi.org/10.3138/cjccj.2019-0023</w:t>
        </w:r>
      </w:hyperlink>
      <w:r w:rsidRPr="4FD0CB89">
        <w:rPr>
          <w:rFonts w:ascii="Arial" w:eastAsia="SimSun" w:hAnsi="Arial" w:cs="Arial"/>
        </w:rPr>
        <w:t xml:space="preserve"> (Accessed: 20 October 2025).</w:t>
      </w:r>
    </w:p>
    <w:p w14:paraId="6C929DC0" w14:textId="12CDCC7A" w:rsidR="002C1044" w:rsidRPr="002C1044" w:rsidRDefault="73403CC4" w:rsidP="4FD0CB89">
      <w:pPr>
        <w:rPr>
          <w:rFonts w:ascii="Arial" w:eastAsia="SimSun" w:hAnsi="Arial" w:cs="Arial"/>
        </w:rPr>
      </w:pPr>
      <w:r w:rsidRPr="4FD0CB89">
        <w:rPr>
          <w:rFonts w:ascii="Arial" w:eastAsia="SimSun" w:hAnsi="Arial" w:cs="Arial"/>
        </w:rPr>
        <w:t xml:space="preserve">Lymperopoulou, K. (2024) ‘Racial and socioeconomic disparities in sentencing and remand decisions in England and Wales’, </w:t>
      </w:r>
      <w:r w:rsidRPr="4FD0CB89">
        <w:rPr>
          <w:rFonts w:ascii="Arial" w:eastAsia="SimSun" w:hAnsi="Arial" w:cs="Arial"/>
          <w:i/>
          <w:iCs/>
        </w:rPr>
        <w:t>British Journal of Criminology</w:t>
      </w:r>
      <w:r w:rsidRPr="4FD0CB89">
        <w:rPr>
          <w:rFonts w:ascii="Arial" w:eastAsia="SimSun" w:hAnsi="Arial" w:cs="Arial"/>
        </w:rPr>
        <w:t>, 64(3), pp. 451–472.</w:t>
      </w:r>
    </w:p>
    <w:p w14:paraId="03B3217C" w14:textId="311A5A71" w:rsidR="002C1044" w:rsidRPr="002C1044" w:rsidRDefault="73403CC4" w:rsidP="4FD0CB89">
      <w:pPr>
        <w:rPr>
          <w:rFonts w:ascii="Arial" w:eastAsia="SimSun" w:hAnsi="Arial" w:cs="Arial"/>
        </w:rPr>
      </w:pPr>
      <w:r w:rsidRPr="4FD0CB89">
        <w:rPr>
          <w:rFonts w:ascii="Arial" w:eastAsia="SimSun" w:hAnsi="Arial" w:cs="Arial"/>
        </w:rPr>
        <w:t xml:space="preserve">Martens, P. &amp; Crewe, B. (2025) ‘Regime quality, safety, and legitimacy in contemporary prisons’, </w:t>
      </w:r>
      <w:r w:rsidRPr="4FD0CB89">
        <w:rPr>
          <w:rFonts w:ascii="Arial" w:eastAsia="SimSun" w:hAnsi="Arial" w:cs="Arial"/>
          <w:i/>
          <w:iCs/>
        </w:rPr>
        <w:t>Criminology &amp; Criminal Justice</w:t>
      </w:r>
      <w:r w:rsidRPr="4FD0CB89">
        <w:rPr>
          <w:rFonts w:ascii="Arial" w:eastAsia="SimSun" w:hAnsi="Arial" w:cs="Arial"/>
        </w:rPr>
        <w:t>, 25(1), pp. 45–67.</w:t>
      </w:r>
    </w:p>
    <w:p w14:paraId="23751B0C" w14:textId="553C88F0" w:rsidR="002C1044" w:rsidRPr="002C1044" w:rsidRDefault="73403CC4" w:rsidP="4FD0CB89">
      <w:pPr>
        <w:rPr>
          <w:rFonts w:ascii="Arial" w:eastAsia="SimSun" w:hAnsi="Arial" w:cs="Arial"/>
        </w:rPr>
      </w:pPr>
      <w:r w:rsidRPr="4FD0CB89">
        <w:rPr>
          <w:rFonts w:ascii="Arial" w:eastAsia="SimSun" w:hAnsi="Arial" w:cs="Arial"/>
        </w:rPr>
        <w:t xml:space="preserve">Maxwell, G., Smith, J. &amp; Robertson, J. (2016) </w:t>
      </w:r>
      <w:r w:rsidRPr="4FD0CB89">
        <w:rPr>
          <w:rFonts w:ascii="Arial" w:eastAsia="SimSun" w:hAnsi="Arial" w:cs="Arial"/>
          <w:i/>
          <w:iCs/>
        </w:rPr>
        <w:t>Youth justice in New Zealand: Restorative practices and community engagement</w:t>
      </w:r>
      <w:r w:rsidRPr="4FD0CB89">
        <w:rPr>
          <w:rFonts w:ascii="Arial" w:eastAsia="SimSun" w:hAnsi="Arial" w:cs="Arial"/>
        </w:rPr>
        <w:t>. Wellington: Ministry of Justice.</w:t>
      </w:r>
    </w:p>
    <w:p w14:paraId="05F59874" w14:textId="53E97E53" w:rsidR="002C1044" w:rsidRPr="002C1044" w:rsidRDefault="73403CC4" w:rsidP="4FD0CB89">
      <w:pPr>
        <w:rPr>
          <w:rFonts w:ascii="Arial" w:eastAsia="SimSun" w:hAnsi="Arial" w:cs="Arial"/>
        </w:rPr>
      </w:pPr>
      <w:r w:rsidRPr="4FD0CB89">
        <w:rPr>
          <w:rFonts w:ascii="Arial" w:eastAsia="SimSun" w:hAnsi="Arial" w:cs="Arial"/>
        </w:rPr>
        <w:t xml:space="preserve">McNeill, F. (2006) ‘A desistance paradigm for offender management’, </w:t>
      </w:r>
      <w:r w:rsidRPr="4FD0CB89">
        <w:rPr>
          <w:rFonts w:ascii="Arial" w:eastAsia="SimSun" w:hAnsi="Arial" w:cs="Arial"/>
          <w:i/>
          <w:iCs/>
        </w:rPr>
        <w:t>Criminology &amp; Criminal Justice</w:t>
      </w:r>
      <w:r w:rsidRPr="4FD0CB89">
        <w:rPr>
          <w:rFonts w:ascii="Arial" w:eastAsia="SimSun" w:hAnsi="Arial" w:cs="Arial"/>
        </w:rPr>
        <w:t xml:space="preserve">, 6(1), pp. 39–62. Available at: </w:t>
      </w:r>
      <w:hyperlink r:id="rId16">
        <w:r w:rsidRPr="4FD0CB89">
          <w:rPr>
            <w:rStyle w:val="Hyperlink"/>
            <w:rFonts w:ascii="Arial" w:eastAsia="SimSun" w:hAnsi="Arial" w:cs="Arial"/>
            <w:u w:val="none"/>
          </w:rPr>
          <w:t>https://doi.org/10.1177/1748895806060682</w:t>
        </w:r>
      </w:hyperlink>
      <w:r w:rsidRPr="4FD0CB89">
        <w:rPr>
          <w:rFonts w:ascii="Arial" w:eastAsia="SimSun" w:hAnsi="Arial" w:cs="Arial"/>
        </w:rPr>
        <w:t xml:space="preserve"> (Accessed: 25 October 2025).</w:t>
      </w:r>
    </w:p>
    <w:p w14:paraId="23BEF797" w14:textId="47FD93BA" w:rsidR="002C1044" w:rsidRPr="002C1044" w:rsidRDefault="73403CC4" w:rsidP="4FD0CB89">
      <w:pPr>
        <w:rPr>
          <w:rFonts w:ascii="Arial" w:eastAsia="SimSun" w:hAnsi="Arial" w:cs="Arial"/>
        </w:rPr>
      </w:pPr>
      <w:r w:rsidRPr="4FD0CB89">
        <w:rPr>
          <w:rFonts w:ascii="Arial" w:eastAsia="SimSun" w:hAnsi="Arial" w:cs="Arial"/>
        </w:rPr>
        <w:lastRenderedPageBreak/>
        <w:t xml:space="preserve">McNeill, F. (2019) </w:t>
      </w:r>
      <w:r w:rsidRPr="4FD0CB89">
        <w:rPr>
          <w:rFonts w:ascii="Arial" w:eastAsia="SimSun" w:hAnsi="Arial" w:cs="Arial"/>
          <w:i/>
          <w:iCs/>
        </w:rPr>
        <w:t>Probation, rehabilitation and the desistance journey</w:t>
      </w:r>
      <w:r w:rsidRPr="4FD0CB89">
        <w:rPr>
          <w:rFonts w:ascii="Arial" w:eastAsia="SimSun" w:hAnsi="Arial" w:cs="Arial"/>
        </w:rPr>
        <w:t>. London: Routledge.</w:t>
      </w:r>
    </w:p>
    <w:p w14:paraId="75EA52A4" w14:textId="2E820A6E" w:rsidR="002C1044" w:rsidRPr="002C1044" w:rsidRDefault="73403CC4" w:rsidP="4FD0CB89">
      <w:pPr>
        <w:rPr>
          <w:rFonts w:ascii="Arial" w:eastAsia="SimSun" w:hAnsi="Arial" w:cs="Arial"/>
        </w:rPr>
      </w:pPr>
      <w:r w:rsidRPr="4FD0CB89">
        <w:rPr>
          <w:rFonts w:ascii="Arial" w:eastAsia="SimSun" w:hAnsi="Arial" w:cs="Arial"/>
        </w:rPr>
        <w:t xml:space="preserve">Ministry of Justice (2023) </w:t>
      </w:r>
      <w:r w:rsidRPr="4FD0CB89">
        <w:rPr>
          <w:rFonts w:ascii="Arial" w:eastAsia="SimSun" w:hAnsi="Arial" w:cs="Arial"/>
          <w:i/>
          <w:iCs/>
        </w:rPr>
        <w:t>Prison population projections 2023 to 2028, England and Wales</w:t>
      </w:r>
      <w:r w:rsidRPr="4FD0CB89">
        <w:rPr>
          <w:rFonts w:ascii="Arial" w:eastAsia="SimSun" w:hAnsi="Arial" w:cs="Arial"/>
        </w:rPr>
        <w:t xml:space="preserve">. Available at: </w:t>
      </w:r>
      <w:hyperlink r:id="rId17">
        <w:r w:rsidRPr="4FD0CB89">
          <w:rPr>
            <w:rStyle w:val="Hyperlink"/>
            <w:rFonts w:ascii="Arial" w:eastAsia="SimSun" w:hAnsi="Arial" w:cs="Arial"/>
            <w:u w:val="none"/>
          </w:rPr>
          <w:t>https://www.gov.uk/government/publications/prison-population-projections-2023-to-2028</w:t>
        </w:r>
      </w:hyperlink>
      <w:r w:rsidRPr="4FD0CB89">
        <w:rPr>
          <w:rFonts w:ascii="Arial" w:eastAsia="SimSun" w:hAnsi="Arial" w:cs="Arial"/>
        </w:rPr>
        <w:t xml:space="preserve"> (Accessed: 26 October 2025).</w:t>
      </w:r>
    </w:p>
    <w:p w14:paraId="5F2E8FD6" w14:textId="77979E0A" w:rsidR="002C1044" w:rsidRPr="002C1044" w:rsidRDefault="73403CC4" w:rsidP="4FD0CB89">
      <w:pPr>
        <w:rPr>
          <w:rFonts w:ascii="Arial" w:eastAsia="SimSun" w:hAnsi="Arial" w:cs="Arial"/>
        </w:rPr>
      </w:pPr>
      <w:r w:rsidRPr="4FD0CB89">
        <w:rPr>
          <w:rFonts w:ascii="Arial" w:eastAsia="SimSun" w:hAnsi="Arial" w:cs="Arial"/>
        </w:rPr>
        <w:t xml:space="preserve">Ministry of Justice (2024) </w:t>
      </w:r>
      <w:r w:rsidRPr="4FD0CB89">
        <w:rPr>
          <w:rFonts w:ascii="Arial" w:eastAsia="SimSun" w:hAnsi="Arial" w:cs="Arial"/>
          <w:i/>
          <w:iCs/>
        </w:rPr>
        <w:t>Prison population projections 2024 to 2029, England and Wales</w:t>
      </w:r>
      <w:r w:rsidRPr="4FD0CB89">
        <w:rPr>
          <w:rFonts w:ascii="Arial" w:eastAsia="SimSun" w:hAnsi="Arial" w:cs="Arial"/>
        </w:rPr>
        <w:t xml:space="preserve">. London: Ministry of Justice. Available at: </w:t>
      </w:r>
      <w:hyperlink r:id="rId18">
        <w:r w:rsidRPr="4FD0CB89">
          <w:rPr>
            <w:rStyle w:val="Hyperlink"/>
            <w:rFonts w:ascii="Arial" w:eastAsia="SimSun" w:hAnsi="Arial" w:cs="Arial"/>
            <w:u w:val="none"/>
          </w:rPr>
          <w:t>https://www.gov.uk/government/statistics/prison-population-projections-2024-to-2029</w:t>
        </w:r>
      </w:hyperlink>
      <w:r w:rsidRPr="4FD0CB89">
        <w:rPr>
          <w:rFonts w:ascii="Arial" w:eastAsia="SimSun" w:hAnsi="Arial" w:cs="Arial"/>
        </w:rPr>
        <w:t xml:space="preserve"> (Accessed: 27 October 2025).</w:t>
      </w:r>
    </w:p>
    <w:p w14:paraId="0E50948B" w14:textId="3C880778" w:rsidR="67EA846C" w:rsidRDefault="67EA846C" w:rsidP="4FD0CB89">
      <w:pPr>
        <w:rPr>
          <w:rFonts w:ascii="Arial" w:eastAsia="Arial" w:hAnsi="Arial" w:cs="Arial"/>
        </w:rPr>
      </w:pPr>
      <w:r w:rsidRPr="4FD0CB89">
        <w:rPr>
          <w:rFonts w:ascii="Arial" w:eastAsia="Arial" w:hAnsi="Arial" w:cs="Arial"/>
        </w:rPr>
        <w:t xml:space="preserve">Morgan, R. and Liebling, A. (2021) ‘Legitimacy and the moral performance of prisons’, in Liebling, A., Maruna, S. and McAra, L. (eds) </w:t>
      </w:r>
      <w:r w:rsidRPr="4FD0CB89">
        <w:rPr>
          <w:rFonts w:ascii="Arial" w:eastAsia="Arial" w:hAnsi="Arial" w:cs="Arial"/>
          <w:i/>
          <w:iCs/>
        </w:rPr>
        <w:t>The Oxford Handbook of Criminology.</w:t>
      </w:r>
      <w:r w:rsidRPr="4FD0CB89">
        <w:rPr>
          <w:rFonts w:ascii="Arial" w:eastAsia="Arial" w:hAnsi="Arial" w:cs="Arial"/>
        </w:rPr>
        <w:t xml:space="preserve"> 7th edn. Oxford: Oxford University Press.</w:t>
      </w:r>
    </w:p>
    <w:p w14:paraId="3A183B06" w14:textId="280B1556" w:rsidR="002C1044" w:rsidRPr="002C1044" w:rsidRDefault="73403CC4" w:rsidP="4FD0CB89">
      <w:pPr>
        <w:rPr>
          <w:rFonts w:ascii="Arial" w:eastAsia="SimSun" w:hAnsi="Arial" w:cs="Arial"/>
        </w:rPr>
      </w:pPr>
      <w:r w:rsidRPr="4FD0CB89">
        <w:rPr>
          <w:rFonts w:ascii="Arial" w:eastAsia="SimSun" w:hAnsi="Arial" w:cs="Arial"/>
        </w:rPr>
        <w:t xml:space="preserve">Pratt, J. (2008) ‘Scandinavian exceptionalism in an era of penal excess: Part I’, </w:t>
      </w:r>
      <w:r w:rsidRPr="4FD0CB89">
        <w:rPr>
          <w:rFonts w:ascii="Arial" w:eastAsia="SimSun" w:hAnsi="Arial" w:cs="Arial"/>
          <w:i/>
          <w:iCs/>
        </w:rPr>
        <w:t>British Journal of Criminology</w:t>
      </w:r>
      <w:r w:rsidRPr="4FD0CB89">
        <w:rPr>
          <w:rFonts w:ascii="Arial" w:eastAsia="SimSun" w:hAnsi="Arial" w:cs="Arial"/>
        </w:rPr>
        <w:t>, 48(2), pp. 119–137.</w:t>
      </w:r>
    </w:p>
    <w:p w14:paraId="066F7DE8" w14:textId="10365020" w:rsidR="002C1044" w:rsidRPr="002C1044" w:rsidRDefault="73403CC4" w:rsidP="4FD0CB89">
      <w:pPr>
        <w:rPr>
          <w:rFonts w:ascii="Arial" w:eastAsia="SimSun" w:hAnsi="Arial" w:cs="Arial"/>
        </w:rPr>
      </w:pPr>
      <w:r w:rsidRPr="4FD0CB89">
        <w:rPr>
          <w:rFonts w:ascii="Arial" w:eastAsia="SimSun" w:hAnsi="Arial" w:cs="Arial"/>
        </w:rPr>
        <w:t xml:space="preserve">Pratt, J. &amp; Eriksson, A. (2013) </w:t>
      </w:r>
      <w:r w:rsidRPr="4FD0CB89">
        <w:rPr>
          <w:rFonts w:ascii="Arial" w:eastAsia="SimSun" w:hAnsi="Arial" w:cs="Arial"/>
          <w:i/>
          <w:iCs/>
        </w:rPr>
        <w:t>Contrasts in punishment: An explanation of Anglophone excess and Nordic exceptionalism</w:t>
      </w:r>
      <w:r w:rsidRPr="4FD0CB89">
        <w:rPr>
          <w:rFonts w:ascii="Arial" w:eastAsia="SimSun" w:hAnsi="Arial" w:cs="Arial"/>
        </w:rPr>
        <w:t>. London: Routledge.</w:t>
      </w:r>
    </w:p>
    <w:p w14:paraId="4D590AD0" w14:textId="00634D85" w:rsidR="1442795A" w:rsidRDefault="1442795A" w:rsidP="4FD0CB89">
      <w:pPr>
        <w:rPr>
          <w:rFonts w:ascii="Arial" w:eastAsia="Arial" w:hAnsi="Arial" w:cs="Arial"/>
        </w:rPr>
      </w:pPr>
      <w:r w:rsidRPr="4FD0CB89">
        <w:rPr>
          <w:rFonts w:ascii="Arial" w:eastAsia="Arial" w:hAnsi="Arial" w:cs="Arial"/>
        </w:rPr>
        <w:t xml:space="preserve">Public Accounts Committee (2023) </w:t>
      </w:r>
      <w:r w:rsidRPr="4FD0CB89">
        <w:rPr>
          <w:rFonts w:ascii="Arial" w:eastAsia="Arial" w:hAnsi="Arial" w:cs="Arial"/>
          <w:i/>
          <w:iCs/>
        </w:rPr>
        <w:t>Improving outcomes for prisoners.</w:t>
      </w:r>
      <w:r w:rsidRPr="4FD0CB89">
        <w:rPr>
          <w:rFonts w:ascii="Arial" w:eastAsia="Arial" w:hAnsi="Arial" w:cs="Arial"/>
        </w:rPr>
        <w:t xml:space="preserve"> London: House of Commons. Available at: </w:t>
      </w:r>
      <w:hyperlink r:id="rId19">
        <w:r w:rsidRPr="4FD0CB89">
          <w:rPr>
            <w:rStyle w:val="Hyperlink"/>
            <w:rFonts w:ascii="Arial" w:eastAsia="Arial" w:hAnsi="Arial" w:cs="Arial"/>
          </w:rPr>
          <w:t>https://committees.parliament.uk/publications/34438/</w:t>
        </w:r>
      </w:hyperlink>
      <w:r w:rsidRPr="4FD0CB89">
        <w:rPr>
          <w:rFonts w:ascii="Arial" w:eastAsia="Arial" w:hAnsi="Arial" w:cs="Arial"/>
        </w:rPr>
        <w:t xml:space="preserve"> (Accessed: 4 November 2025).</w:t>
      </w:r>
    </w:p>
    <w:p w14:paraId="690650A3" w14:textId="5F4B0302" w:rsidR="002C1044" w:rsidRPr="002C1044" w:rsidRDefault="73403CC4" w:rsidP="4FD0CB89">
      <w:pPr>
        <w:rPr>
          <w:rFonts w:ascii="Arial" w:eastAsia="SimSun" w:hAnsi="Arial" w:cs="Arial"/>
        </w:rPr>
      </w:pPr>
      <w:r w:rsidRPr="4FD0CB89">
        <w:rPr>
          <w:rFonts w:ascii="Arial" w:eastAsia="SimSun" w:hAnsi="Arial" w:cs="Arial"/>
        </w:rPr>
        <w:t xml:space="preserve">Roberts, J.V. &amp; Hough, M. (2013) </w:t>
      </w:r>
      <w:r w:rsidRPr="4FD0CB89">
        <w:rPr>
          <w:rFonts w:ascii="Arial" w:eastAsia="SimSun" w:hAnsi="Arial" w:cs="Arial"/>
          <w:i/>
          <w:iCs/>
        </w:rPr>
        <w:t>Sentencing policy and public opinion: Understanding punitive attitudes in England and Wales</w:t>
      </w:r>
      <w:r w:rsidRPr="4FD0CB89">
        <w:rPr>
          <w:rFonts w:ascii="Arial" w:eastAsia="SimSun" w:hAnsi="Arial" w:cs="Arial"/>
        </w:rPr>
        <w:t>. Oxford: Oxford University Press.</w:t>
      </w:r>
    </w:p>
    <w:p w14:paraId="38A8FA76" w14:textId="36754888" w:rsidR="002C1044" w:rsidRPr="002C1044" w:rsidRDefault="73403CC4" w:rsidP="4FD0CB89">
      <w:pPr>
        <w:rPr>
          <w:rFonts w:ascii="Arial" w:eastAsia="SimSun" w:hAnsi="Arial" w:cs="Arial"/>
        </w:rPr>
      </w:pPr>
      <w:r w:rsidRPr="4FD0CB89">
        <w:rPr>
          <w:rFonts w:ascii="Arial" w:eastAsia="SimSun" w:hAnsi="Arial" w:cs="Arial"/>
        </w:rPr>
        <w:t xml:space="preserve">Smith, R. (2021) </w:t>
      </w:r>
      <w:r w:rsidRPr="4FD0CB89">
        <w:rPr>
          <w:rFonts w:ascii="Arial" w:eastAsia="SimSun" w:hAnsi="Arial" w:cs="Arial"/>
          <w:i/>
          <w:iCs/>
        </w:rPr>
        <w:t>Trauma-informed youth justice: Theory, policy, and practice</w:t>
      </w:r>
      <w:r w:rsidRPr="4FD0CB89">
        <w:rPr>
          <w:rFonts w:ascii="Arial" w:eastAsia="SimSun" w:hAnsi="Arial" w:cs="Arial"/>
        </w:rPr>
        <w:t>. Bristol: Policy Press.</w:t>
      </w:r>
    </w:p>
    <w:p w14:paraId="55FB8CFD" w14:textId="7CAD13C3" w:rsidR="002C1044" w:rsidRPr="002C1044" w:rsidRDefault="73403CC4" w:rsidP="4FD0CB89">
      <w:pPr>
        <w:rPr>
          <w:rFonts w:ascii="Arial" w:eastAsia="SimSun" w:hAnsi="Arial" w:cs="Arial"/>
        </w:rPr>
      </w:pPr>
      <w:r w:rsidRPr="4FD0CB89">
        <w:rPr>
          <w:rFonts w:ascii="Arial" w:eastAsia="SimSun" w:hAnsi="Arial" w:cs="Arial"/>
        </w:rPr>
        <w:t xml:space="preserve">Smith, H. &amp; Paddock, E. (2024) </w:t>
      </w:r>
      <w:r w:rsidRPr="4FD0CB89">
        <w:rPr>
          <w:rFonts w:ascii="Arial" w:eastAsia="SimSun" w:hAnsi="Arial" w:cs="Arial"/>
          <w:i/>
          <w:iCs/>
        </w:rPr>
        <w:t>Children’s pathways into and through the youth justice system: An evidence review. Exploring Children’s Journeys</w:t>
      </w:r>
      <w:r w:rsidRPr="4FD0CB89">
        <w:rPr>
          <w:rFonts w:ascii="Arial" w:eastAsia="SimSun" w:hAnsi="Arial" w:cs="Arial"/>
        </w:rPr>
        <w:t>. London: Youth Justice Board for England and Wales.</w:t>
      </w:r>
    </w:p>
    <w:p w14:paraId="622074EC" w14:textId="4FB20678" w:rsidR="002C1044" w:rsidRPr="002C1044" w:rsidRDefault="73403CC4" w:rsidP="4FD0CB89">
      <w:pPr>
        <w:rPr>
          <w:rFonts w:ascii="Arial" w:eastAsia="SimSun" w:hAnsi="Arial" w:cs="Arial"/>
        </w:rPr>
      </w:pPr>
      <w:r w:rsidRPr="4FD0CB89">
        <w:rPr>
          <w:rFonts w:ascii="Arial" w:eastAsia="SimSun" w:hAnsi="Arial" w:cs="Arial"/>
        </w:rPr>
        <w:t xml:space="preserve">Stevens, A., Taylor, S. &amp; Wincup, E. (2025) ‘Interventionitis and the fragmentation of criminal justice policy in England and Wales’, </w:t>
      </w:r>
      <w:r w:rsidRPr="4FD0CB89">
        <w:rPr>
          <w:rFonts w:ascii="Arial" w:eastAsia="SimSun" w:hAnsi="Arial" w:cs="Arial"/>
          <w:i/>
          <w:iCs/>
        </w:rPr>
        <w:t>Criminology &amp; Criminal Justice</w:t>
      </w:r>
      <w:r w:rsidRPr="4FD0CB89">
        <w:rPr>
          <w:rFonts w:ascii="Arial" w:eastAsia="SimSun" w:hAnsi="Arial" w:cs="Arial"/>
        </w:rPr>
        <w:t>, 25(3), pp. 389–409.</w:t>
      </w:r>
    </w:p>
    <w:p w14:paraId="72335EFD" w14:textId="69BFCF82" w:rsidR="002C1044" w:rsidRPr="002C1044" w:rsidRDefault="73403CC4" w:rsidP="4FD0CB89">
      <w:pPr>
        <w:rPr>
          <w:rFonts w:ascii="Arial" w:eastAsia="SimSun" w:hAnsi="Arial" w:cs="Arial"/>
        </w:rPr>
      </w:pPr>
      <w:r w:rsidRPr="4FD0CB89">
        <w:rPr>
          <w:rFonts w:ascii="Arial" w:eastAsia="SimSun" w:hAnsi="Arial" w:cs="Arial"/>
        </w:rPr>
        <w:t xml:space="preserve">University of Liverpool (2024) </w:t>
      </w:r>
      <w:r w:rsidRPr="4FD0CB89">
        <w:rPr>
          <w:rFonts w:ascii="Arial" w:eastAsia="SimSun" w:hAnsi="Arial" w:cs="Arial"/>
          <w:i/>
          <w:iCs/>
        </w:rPr>
        <w:t>Reimagining youth justice: A review of youth custody and reform options in England and Wales</w:t>
      </w:r>
      <w:r w:rsidRPr="4FD0CB89">
        <w:rPr>
          <w:rFonts w:ascii="Arial" w:eastAsia="SimSun" w:hAnsi="Arial" w:cs="Arial"/>
        </w:rPr>
        <w:t>. Liverpool: University of Liverpool Centre for Criminological Research.</w:t>
      </w:r>
    </w:p>
    <w:p w14:paraId="681F02B8" w14:textId="60DD4CED" w:rsidR="002C1044" w:rsidRPr="002C1044" w:rsidRDefault="73403CC4" w:rsidP="4FD0CB89">
      <w:pPr>
        <w:rPr>
          <w:rFonts w:ascii="Arial" w:eastAsia="SimSun" w:hAnsi="Arial" w:cs="Arial"/>
        </w:rPr>
      </w:pPr>
      <w:r w:rsidRPr="4FD0CB89">
        <w:rPr>
          <w:rFonts w:ascii="Arial" w:eastAsia="SimSun" w:hAnsi="Arial" w:cs="Arial"/>
        </w:rPr>
        <w:t xml:space="preserve">Van der Laan, P., Blom, M. &amp; Spaans, E. (2018) ‘Reducing reoffending through community-based sanctions: Lessons from the Netherlands and Germany’, </w:t>
      </w:r>
      <w:r w:rsidRPr="4FD0CB89">
        <w:rPr>
          <w:rFonts w:ascii="Arial" w:eastAsia="SimSun" w:hAnsi="Arial" w:cs="Arial"/>
          <w:i/>
          <w:iCs/>
        </w:rPr>
        <w:t>European Journal of Criminology</w:t>
      </w:r>
      <w:r w:rsidRPr="4FD0CB89">
        <w:rPr>
          <w:rFonts w:ascii="Arial" w:eastAsia="SimSun" w:hAnsi="Arial" w:cs="Arial"/>
        </w:rPr>
        <w:t xml:space="preserve">, 15(4), pp. 451–469. Available at: </w:t>
      </w:r>
      <w:hyperlink r:id="rId20">
        <w:r w:rsidRPr="4FD0CB89">
          <w:rPr>
            <w:rStyle w:val="Hyperlink"/>
            <w:rFonts w:ascii="Arial" w:eastAsia="SimSun" w:hAnsi="Arial" w:cs="Arial"/>
            <w:u w:val="none"/>
          </w:rPr>
          <w:t>https://doi.org/10.1177/1477370817718041</w:t>
        </w:r>
      </w:hyperlink>
      <w:r w:rsidRPr="4FD0CB89">
        <w:rPr>
          <w:rFonts w:ascii="Arial" w:eastAsia="SimSun" w:hAnsi="Arial" w:cs="Arial"/>
        </w:rPr>
        <w:t xml:space="preserve"> (Accessed: 2 November 2025).</w:t>
      </w:r>
    </w:p>
    <w:p w14:paraId="6B6C5DBC" w14:textId="280A544A" w:rsidR="002C1044" w:rsidRPr="002C1044" w:rsidRDefault="73403CC4" w:rsidP="4FD0CB89">
      <w:pPr>
        <w:rPr>
          <w:rFonts w:ascii="Arial" w:eastAsia="SimSun" w:hAnsi="Arial" w:cs="Arial"/>
        </w:rPr>
      </w:pPr>
      <w:r w:rsidRPr="4FD0CB89">
        <w:rPr>
          <w:rFonts w:ascii="Arial" w:eastAsia="SimSun" w:hAnsi="Arial" w:cs="Arial"/>
        </w:rPr>
        <w:lastRenderedPageBreak/>
        <w:t xml:space="preserve">Youth Justice Board (2025) </w:t>
      </w:r>
      <w:r w:rsidRPr="4FD0CB89">
        <w:rPr>
          <w:rFonts w:ascii="Arial" w:eastAsia="SimSun" w:hAnsi="Arial" w:cs="Arial"/>
          <w:i/>
          <w:iCs/>
        </w:rPr>
        <w:t>Youth justice statistics 2023–24: England and Wales</w:t>
      </w:r>
      <w:r w:rsidRPr="4FD0CB89">
        <w:rPr>
          <w:rFonts w:ascii="Arial" w:eastAsia="SimSun" w:hAnsi="Arial" w:cs="Arial"/>
        </w:rPr>
        <w:t xml:space="preserve">. London: Ministry of Justice &amp; Youth Justice Board. Available at: </w:t>
      </w:r>
      <w:hyperlink r:id="rId21">
        <w:r w:rsidRPr="4FD0CB89">
          <w:rPr>
            <w:rStyle w:val="Hyperlink"/>
            <w:rFonts w:ascii="Arial" w:eastAsia="SimSun" w:hAnsi="Arial" w:cs="Arial"/>
            <w:u w:val="none"/>
          </w:rPr>
          <w:t>https://www.gov.uk/government/statistics/youth-justice-statistics-2023-to-2024</w:t>
        </w:r>
      </w:hyperlink>
      <w:r w:rsidRPr="4FD0CB89">
        <w:rPr>
          <w:rFonts w:ascii="Arial" w:eastAsia="SimSun" w:hAnsi="Arial" w:cs="Arial"/>
        </w:rPr>
        <w:t xml:space="preserve"> (Accessed: 3 November 2025).</w:t>
      </w:r>
    </w:p>
    <w:p w14:paraId="5FAB1244" w14:textId="598624C2" w:rsidR="002C1044" w:rsidRPr="002C1044" w:rsidRDefault="002C1044" w:rsidP="002C1044">
      <w:pPr>
        <w:pStyle w:val="ListParagraph"/>
        <w:rPr>
          <w:rFonts w:ascii="Arial" w:hAnsi="Arial" w:cs="Arial"/>
          <w:b/>
          <w:bCs/>
          <w:u w:val="single"/>
        </w:rPr>
      </w:pPr>
    </w:p>
    <w:p w14:paraId="622A25CD" w14:textId="16693C89" w:rsidR="31BE9AF3" w:rsidRDefault="31BE9AF3" w:rsidP="007D290A">
      <w:pPr>
        <w:pStyle w:val="ListParagraph"/>
      </w:pPr>
    </w:p>
    <w:sectPr w:rsidR="31BE9AF3" w:rsidSect="0002237D">
      <w:headerReference w:type="default" r:id="rId22"/>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532C5" w14:textId="77777777" w:rsidR="005B0A9C" w:rsidRDefault="005B0A9C">
      <w:pPr>
        <w:spacing w:after="0" w:line="240" w:lineRule="auto"/>
      </w:pPr>
      <w:r>
        <w:separator/>
      </w:r>
    </w:p>
  </w:endnote>
  <w:endnote w:type="continuationSeparator" w:id="0">
    <w:p w14:paraId="03E050C8" w14:textId="77777777" w:rsidR="005B0A9C" w:rsidRDefault="005B0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4CC478F" w14:paraId="79E46E55" w14:textId="77777777" w:rsidTr="44CC478F">
      <w:trPr>
        <w:trHeight w:val="300"/>
      </w:trPr>
      <w:tc>
        <w:tcPr>
          <w:tcW w:w="3005" w:type="dxa"/>
        </w:tcPr>
        <w:p w14:paraId="794EA19C" w14:textId="3CE22B79" w:rsidR="44CC478F" w:rsidRDefault="44CC478F" w:rsidP="44CC478F">
          <w:pPr>
            <w:pStyle w:val="Header"/>
            <w:ind w:left="-115"/>
          </w:pPr>
        </w:p>
      </w:tc>
      <w:tc>
        <w:tcPr>
          <w:tcW w:w="3005" w:type="dxa"/>
        </w:tcPr>
        <w:p w14:paraId="1232492C" w14:textId="0422535B" w:rsidR="44CC478F" w:rsidRDefault="44CC478F" w:rsidP="44CC478F">
          <w:pPr>
            <w:pStyle w:val="Header"/>
            <w:jc w:val="center"/>
          </w:pPr>
        </w:p>
      </w:tc>
      <w:tc>
        <w:tcPr>
          <w:tcW w:w="3005" w:type="dxa"/>
        </w:tcPr>
        <w:p w14:paraId="4CBE41CE" w14:textId="3DBEE670" w:rsidR="44CC478F" w:rsidRDefault="44CC478F" w:rsidP="44CC478F">
          <w:pPr>
            <w:pStyle w:val="Header"/>
            <w:ind w:right="-115"/>
            <w:jc w:val="right"/>
          </w:pPr>
          <w:r>
            <w:fldChar w:fldCharType="begin"/>
          </w:r>
          <w:r>
            <w:instrText>PAGE</w:instrText>
          </w:r>
          <w:r>
            <w:fldChar w:fldCharType="separate"/>
          </w:r>
          <w:r w:rsidR="0002237D">
            <w:rPr>
              <w:noProof/>
            </w:rPr>
            <w:t>1</w:t>
          </w:r>
          <w:r>
            <w:fldChar w:fldCharType="end"/>
          </w:r>
        </w:p>
      </w:tc>
    </w:tr>
  </w:tbl>
  <w:p w14:paraId="63B83425" w14:textId="42B99884" w:rsidR="44CC478F" w:rsidRDefault="44CC478F" w:rsidP="44CC4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56F38" w14:textId="77777777" w:rsidR="005B0A9C" w:rsidRDefault="005B0A9C">
      <w:pPr>
        <w:spacing w:after="0" w:line="240" w:lineRule="auto"/>
      </w:pPr>
      <w:r>
        <w:separator/>
      </w:r>
    </w:p>
  </w:footnote>
  <w:footnote w:type="continuationSeparator" w:id="0">
    <w:p w14:paraId="5D8E6CAA" w14:textId="77777777" w:rsidR="005B0A9C" w:rsidRDefault="005B0A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4CC478F" w14:paraId="59564E7C" w14:textId="77777777" w:rsidTr="44CC478F">
      <w:trPr>
        <w:trHeight w:val="300"/>
      </w:trPr>
      <w:tc>
        <w:tcPr>
          <w:tcW w:w="3005" w:type="dxa"/>
        </w:tcPr>
        <w:p w14:paraId="364271CB" w14:textId="4EC38344" w:rsidR="44CC478F" w:rsidRDefault="44CC478F" w:rsidP="44CC478F">
          <w:pPr>
            <w:pStyle w:val="Header"/>
            <w:ind w:left="-115"/>
          </w:pPr>
        </w:p>
      </w:tc>
      <w:tc>
        <w:tcPr>
          <w:tcW w:w="3005" w:type="dxa"/>
        </w:tcPr>
        <w:p w14:paraId="16EC4060" w14:textId="012A71E0" w:rsidR="44CC478F" w:rsidRDefault="44CC478F" w:rsidP="44CC478F">
          <w:pPr>
            <w:pStyle w:val="Header"/>
            <w:jc w:val="center"/>
          </w:pPr>
        </w:p>
      </w:tc>
      <w:tc>
        <w:tcPr>
          <w:tcW w:w="3005" w:type="dxa"/>
        </w:tcPr>
        <w:p w14:paraId="3DA7DFE3" w14:textId="2C1E1FBA" w:rsidR="44CC478F" w:rsidRDefault="44CC478F" w:rsidP="44CC478F">
          <w:pPr>
            <w:pStyle w:val="Header"/>
            <w:ind w:right="-115"/>
            <w:jc w:val="right"/>
          </w:pPr>
        </w:p>
      </w:tc>
    </w:tr>
  </w:tbl>
  <w:p w14:paraId="7E2EABA3" w14:textId="1DB143C0" w:rsidR="44CC478F" w:rsidRDefault="44CC478F" w:rsidP="44CC47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97A46"/>
    <w:multiLevelType w:val="hybridMultilevel"/>
    <w:tmpl w:val="3BD84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335FB"/>
    <w:multiLevelType w:val="hybridMultilevel"/>
    <w:tmpl w:val="8EC0ED22"/>
    <w:lvl w:ilvl="0" w:tplc="E11ED0E8">
      <w:start w:val="1"/>
      <w:numFmt w:val="decimal"/>
      <w:lvlText w:val="%1."/>
      <w:lvlJc w:val="left"/>
      <w:pPr>
        <w:ind w:left="720" w:hanging="360"/>
      </w:pPr>
    </w:lvl>
    <w:lvl w:ilvl="1" w:tplc="D18EC0AE">
      <w:start w:val="1"/>
      <w:numFmt w:val="lowerLetter"/>
      <w:lvlText w:val="%2."/>
      <w:lvlJc w:val="left"/>
      <w:pPr>
        <w:ind w:left="1440" w:hanging="360"/>
      </w:pPr>
    </w:lvl>
    <w:lvl w:ilvl="2" w:tplc="4B5EC298">
      <w:start w:val="1"/>
      <w:numFmt w:val="lowerRoman"/>
      <w:lvlText w:val="%3."/>
      <w:lvlJc w:val="right"/>
      <w:pPr>
        <w:ind w:left="2160" w:hanging="180"/>
      </w:pPr>
    </w:lvl>
    <w:lvl w:ilvl="3" w:tplc="B6CA14F0">
      <w:start w:val="1"/>
      <w:numFmt w:val="decimal"/>
      <w:lvlText w:val="%4."/>
      <w:lvlJc w:val="left"/>
      <w:pPr>
        <w:ind w:left="2880" w:hanging="360"/>
      </w:pPr>
    </w:lvl>
    <w:lvl w:ilvl="4" w:tplc="8C1EDA5C">
      <w:start w:val="1"/>
      <w:numFmt w:val="lowerLetter"/>
      <w:lvlText w:val="%5."/>
      <w:lvlJc w:val="left"/>
      <w:pPr>
        <w:ind w:left="3600" w:hanging="360"/>
      </w:pPr>
    </w:lvl>
    <w:lvl w:ilvl="5" w:tplc="8954FE48">
      <w:start w:val="1"/>
      <w:numFmt w:val="lowerRoman"/>
      <w:lvlText w:val="%6."/>
      <w:lvlJc w:val="right"/>
      <w:pPr>
        <w:ind w:left="4320" w:hanging="180"/>
      </w:pPr>
    </w:lvl>
    <w:lvl w:ilvl="6" w:tplc="C93A4FBA">
      <w:start w:val="1"/>
      <w:numFmt w:val="decimal"/>
      <w:lvlText w:val="%7."/>
      <w:lvlJc w:val="left"/>
      <w:pPr>
        <w:ind w:left="5040" w:hanging="360"/>
      </w:pPr>
    </w:lvl>
    <w:lvl w:ilvl="7" w:tplc="0EBEF926">
      <w:start w:val="1"/>
      <w:numFmt w:val="lowerLetter"/>
      <w:lvlText w:val="%8."/>
      <w:lvlJc w:val="left"/>
      <w:pPr>
        <w:ind w:left="5760" w:hanging="360"/>
      </w:pPr>
    </w:lvl>
    <w:lvl w:ilvl="8" w:tplc="D8D619C4">
      <w:start w:val="1"/>
      <w:numFmt w:val="lowerRoman"/>
      <w:lvlText w:val="%9."/>
      <w:lvlJc w:val="right"/>
      <w:pPr>
        <w:ind w:left="6480" w:hanging="180"/>
      </w:pPr>
    </w:lvl>
  </w:abstractNum>
  <w:abstractNum w:abstractNumId="2" w15:restartNumberingAfterBreak="0">
    <w:nsid w:val="09B7B5DE"/>
    <w:multiLevelType w:val="hybridMultilevel"/>
    <w:tmpl w:val="FFFFFFFF"/>
    <w:lvl w:ilvl="0" w:tplc="042094AE">
      <w:start w:val="1"/>
      <w:numFmt w:val="decimal"/>
      <w:lvlText w:val="%1."/>
      <w:lvlJc w:val="left"/>
      <w:pPr>
        <w:ind w:left="720" w:hanging="360"/>
      </w:pPr>
    </w:lvl>
    <w:lvl w:ilvl="1" w:tplc="601EDB82">
      <w:start w:val="1"/>
      <w:numFmt w:val="lowerLetter"/>
      <w:lvlText w:val="%2."/>
      <w:lvlJc w:val="left"/>
      <w:pPr>
        <w:ind w:left="1440" w:hanging="360"/>
      </w:pPr>
    </w:lvl>
    <w:lvl w:ilvl="2" w:tplc="9EA6E686">
      <w:start w:val="1"/>
      <w:numFmt w:val="lowerRoman"/>
      <w:lvlText w:val="%3."/>
      <w:lvlJc w:val="right"/>
      <w:pPr>
        <w:ind w:left="2160" w:hanging="180"/>
      </w:pPr>
    </w:lvl>
    <w:lvl w:ilvl="3" w:tplc="1E946496">
      <w:start w:val="1"/>
      <w:numFmt w:val="decimal"/>
      <w:lvlText w:val="%4."/>
      <w:lvlJc w:val="left"/>
      <w:pPr>
        <w:ind w:left="2880" w:hanging="360"/>
      </w:pPr>
    </w:lvl>
    <w:lvl w:ilvl="4" w:tplc="589CCD96">
      <w:start w:val="1"/>
      <w:numFmt w:val="lowerLetter"/>
      <w:lvlText w:val="%5."/>
      <w:lvlJc w:val="left"/>
      <w:pPr>
        <w:ind w:left="3600" w:hanging="360"/>
      </w:pPr>
    </w:lvl>
    <w:lvl w:ilvl="5" w:tplc="9A74C946">
      <w:start w:val="1"/>
      <w:numFmt w:val="lowerRoman"/>
      <w:lvlText w:val="%6."/>
      <w:lvlJc w:val="right"/>
      <w:pPr>
        <w:ind w:left="4320" w:hanging="180"/>
      </w:pPr>
    </w:lvl>
    <w:lvl w:ilvl="6" w:tplc="F9165D28">
      <w:start w:val="1"/>
      <w:numFmt w:val="decimal"/>
      <w:lvlText w:val="%7."/>
      <w:lvlJc w:val="left"/>
      <w:pPr>
        <w:ind w:left="5040" w:hanging="360"/>
      </w:pPr>
    </w:lvl>
    <w:lvl w:ilvl="7" w:tplc="27426D44">
      <w:start w:val="1"/>
      <w:numFmt w:val="lowerLetter"/>
      <w:lvlText w:val="%8."/>
      <w:lvlJc w:val="left"/>
      <w:pPr>
        <w:ind w:left="5760" w:hanging="360"/>
      </w:pPr>
    </w:lvl>
    <w:lvl w:ilvl="8" w:tplc="67CED67E">
      <w:start w:val="1"/>
      <w:numFmt w:val="lowerRoman"/>
      <w:lvlText w:val="%9."/>
      <w:lvlJc w:val="right"/>
      <w:pPr>
        <w:ind w:left="6480" w:hanging="180"/>
      </w:pPr>
    </w:lvl>
  </w:abstractNum>
  <w:abstractNum w:abstractNumId="3" w15:restartNumberingAfterBreak="0">
    <w:nsid w:val="0DDF56F5"/>
    <w:multiLevelType w:val="hybridMultilevel"/>
    <w:tmpl w:val="9ADECF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49E25AF"/>
    <w:multiLevelType w:val="multilevel"/>
    <w:tmpl w:val="E256A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93B27"/>
    <w:multiLevelType w:val="hybridMultilevel"/>
    <w:tmpl w:val="EDC654E2"/>
    <w:lvl w:ilvl="0" w:tplc="EC40F6AA">
      <w:start w:val="1"/>
      <w:numFmt w:val="bullet"/>
      <w:lvlText w:val=""/>
      <w:lvlJc w:val="left"/>
      <w:pPr>
        <w:ind w:left="720" w:hanging="360"/>
      </w:pPr>
      <w:rPr>
        <w:rFonts w:ascii="Symbol" w:hAnsi="Symbol" w:hint="default"/>
      </w:rPr>
    </w:lvl>
    <w:lvl w:ilvl="1" w:tplc="78F607BA">
      <w:start w:val="1"/>
      <w:numFmt w:val="bullet"/>
      <w:lvlText w:val="o"/>
      <w:lvlJc w:val="left"/>
      <w:pPr>
        <w:ind w:left="1440" w:hanging="360"/>
      </w:pPr>
      <w:rPr>
        <w:rFonts w:ascii="Courier New" w:hAnsi="Courier New" w:hint="default"/>
      </w:rPr>
    </w:lvl>
    <w:lvl w:ilvl="2" w:tplc="E340AADE">
      <w:start w:val="1"/>
      <w:numFmt w:val="bullet"/>
      <w:lvlText w:val=""/>
      <w:lvlJc w:val="left"/>
      <w:pPr>
        <w:ind w:left="2160" w:hanging="360"/>
      </w:pPr>
      <w:rPr>
        <w:rFonts w:ascii="Wingdings" w:hAnsi="Wingdings" w:hint="default"/>
      </w:rPr>
    </w:lvl>
    <w:lvl w:ilvl="3" w:tplc="AFCA4926">
      <w:start w:val="1"/>
      <w:numFmt w:val="bullet"/>
      <w:lvlText w:val=""/>
      <w:lvlJc w:val="left"/>
      <w:pPr>
        <w:ind w:left="2880" w:hanging="360"/>
      </w:pPr>
      <w:rPr>
        <w:rFonts w:ascii="Symbol" w:hAnsi="Symbol" w:hint="default"/>
      </w:rPr>
    </w:lvl>
    <w:lvl w:ilvl="4" w:tplc="A75E514E">
      <w:start w:val="1"/>
      <w:numFmt w:val="bullet"/>
      <w:lvlText w:val="o"/>
      <w:lvlJc w:val="left"/>
      <w:pPr>
        <w:ind w:left="3600" w:hanging="360"/>
      </w:pPr>
      <w:rPr>
        <w:rFonts w:ascii="Courier New" w:hAnsi="Courier New" w:hint="default"/>
      </w:rPr>
    </w:lvl>
    <w:lvl w:ilvl="5" w:tplc="77080E92">
      <w:start w:val="1"/>
      <w:numFmt w:val="bullet"/>
      <w:lvlText w:val=""/>
      <w:lvlJc w:val="left"/>
      <w:pPr>
        <w:ind w:left="4320" w:hanging="360"/>
      </w:pPr>
      <w:rPr>
        <w:rFonts w:ascii="Wingdings" w:hAnsi="Wingdings" w:hint="default"/>
      </w:rPr>
    </w:lvl>
    <w:lvl w:ilvl="6" w:tplc="6CE4C190">
      <w:start w:val="1"/>
      <w:numFmt w:val="bullet"/>
      <w:lvlText w:val=""/>
      <w:lvlJc w:val="left"/>
      <w:pPr>
        <w:ind w:left="5040" w:hanging="360"/>
      </w:pPr>
      <w:rPr>
        <w:rFonts w:ascii="Symbol" w:hAnsi="Symbol" w:hint="default"/>
      </w:rPr>
    </w:lvl>
    <w:lvl w:ilvl="7" w:tplc="674A11AE">
      <w:start w:val="1"/>
      <w:numFmt w:val="bullet"/>
      <w:lvlText w:val="o"/>
      <w:lvlJc w:val="left"/>
      <w:pPr>
        <w:ind w:left="5760" w:hanging="360"/>
      </w:pPr>
      <w:rPr>
        <w:rFonts w:ascii="Courier New" w:hAnsi="Courier New" w:hint="default"/>
      </w:rPr>
    </w:lvl>
    <w:lvl w:ilvl="8" w:tplc="89C61244">
      <w:start w:val="1"/>
      <w:numFmt w:val="bullet"/>
      <w:lvlText w:val=""/>
      <w:lvlJc w:val="left"/>
      <w:pPr>
        <w:ind w:left="6480" w:hanging="360"/>
      </w:pPr>
      <w:rPr>
        <w:rFonts w:ascii="Wingdings" w:hAnsi="Wingdings" w:hint="default"/>
      </w:rPr>
    </w:lvl>
  </w:abstractNum>
  <w:abstractNum w:abstractNumId="6" w15:restartNumberingAfterBreak="0">
    <w:nsid w:val="1BF7BAAC"/>
    <w:multiLevelType w:val="hybridMultilevel"/>
    <w:tmpl w:val="FF1A1644"/>
    <w:lvl w:ilvl="0" w:tplc="AAAE7040">
      <w:start w:val="1"/>
      <w:numFmt w:val="decimal"/>
      <w:lvlText w:val="%1."/>
      <w:lvlJc w:val="left"/>
      <w:pPr>
        <w:ind w:left="720" w:hanging="360"/>
      </w:pPr>
    </w:lvl>
    <w:lvl w:ilvl="1" w:tplc="E050FEBA">
      <w:start w:val="1"/>
      <w:numFmt w:val="lowerLetter"/>
      <w:lvlText w:val="%2."/>
      <w:lvlJc w:val="left"/>
      <w:pPr>
        <w:ind w:left="1440" w:hanging="360"/>
      </w:pPr>
    </w:lvl>
    <w:lvl w:ilvl="2" w:tplc="A9301892">
      <w:start w:val="1"/>
      <w:numFmt w:val="lowerRoman"/>
      <w:lvlText w:val="%3."/>
      <w:lvlJc w:val="right"/>
      <w:pPr>
        <w:ind w:left="2160" w:hanging="180"/>
      </w:pPr>
    </w:lvl>
    <w:lvl w:ilvl="3" w:tplc="21C847F0">
      <w:start w:val="1"/>
      <w:numFmt w:val="decimal"/>
      <w:lvlText w:val="%4."/>
      <w:lvlJc w:val="left"/>
      <w:pPr>
        <w:ind w:left="2880" w:hanging="360"/>
      </w:pPr>
    </w:lvl>
    <w:lvl w:ilvl="4" w:tplc="46F47BF0">
      <w:start w:val="1"/>
      <w:numFmt w:val="lowerLetter"/>
      <w:lvlText w:val="%5."/>
      <w:lvlJc w:val="left"/>
      <w:pPr>
        <w:ind w:left="3600" w:hanging="360"/>
      </w:pPr>
    </w:lvl>
    <w:lvl w:ilvl="5" w:tplc="430A4A92">
      <w:start w:val="1"/>
      <w:numFmt w:val="lowerRoman"/>
      <w:lvlText w:val="%6."/>
      <w:lvlJc w:val="right"/>
      <w:pPr>
        <w:ind w:left="4320" w:hanging="180"/>
      </w:pPr>
    </w:lvl>
    <w:lvl w:ilvl="6" w:tplc="4A2E392E">
      <w:start w:val="1"/>
      <w:numFmt w:val="decimal"/>
      <w:lvlText w:val="%7."/>
      <w:lvlJc w:val="left"/>
      <w:pPr>
        <w:ind w:left="5040" w:hanging="360"/>
      </w:pPr>
    </w:lvl>
    <w:lvl w:ilvl="7" w:tplc="ECFE5DB6">
      <w:start w:val="1"/>
      <w:numFmt w:val="lowerLetter"/>
      <w:lvlText w:val="%8."/>
      <w:lvlJc w:val="left"/>
      <w:pPr>
        <w:ind w:left="5760" w:hanging="360"/>
      </w:pPr>
    </w:lvl>
    <w:lvl w:ilvl="8" w:tplc="728839B4">
      <w:start w:val="1"/>
      <w:numFmt w:val="lowerRoman"/>
      <w:lvlText w:val="%9."/>
      <w:lvlJc w:val="right"/>
      <w:pPr>
        <w:ind w:left="6480" w:hanging="180"/>
      </w:pPr>
    </w:lvl>
  </w:abstractNum>
  <w:abstractNum w:abstractNumId="7" w15:restartNumberingAfterBreak="0">
    <w:nsid w:val="231D2D1D"/>
    <w:multiLevelType w:val="hybridMultilevel"/>
    <w:tmpl w:val="FFFFFFFF"/>
    <w:lvl w:ilvl="0" w:tplc="CC30C7BE">
      <w:start w:val="1"/>
      <w:numFmt w:val="decimal"/>
      <w:lvlText w:val="%1."/>
      <w:lvlJc w:val="left"/>
      <w:pPr>
        <w:ind w:left="720" w:hanging="360"/>
      </w:pPr>
    </w:lvl>
    <w:lvl w:ilvl="1" w:tplc="4E2453A8">
      <w:start w:val="1"/>
      <w:numFmt w:val="lowerLetter"/>
      <w:lvlText w:val="%2."/>
      <w:lvlJc w:val="left"/>
      <w:pPr>
        <w:ind w:left="1440" w:hanging="360"/>
      </w:pPr>
    </w:lvl>
    <w:lvl w:ilvl="2" w:tplc="E3CCBFB0">
      <w:start w:val="1"/>
      <w:numFmt w:val="lowerRoman"/>
      <w:lvlText w:val="%3."/>
      <w:lvlJc w:val="right"/>
      <w:pPr>
        <w:ind w:left="2160" w:hanging="180"/>
      </w:pPr>
    </w:lvl>
    <w:lvl w:ilvl="3" w:tplc="608EC0C2">
      <w:start w:val="1"/>
      <w:numFmt w:val="decimal"/>
      <w:lvlText w:val="%4."/>
      <w:lvlJc w:val="left"/>
      <w:pPr>
        <w:ind w:left="2880" w:hanging="360"/>
      </w:pPr>
    </w:lvl>
    <w:lvl w:ilvl="4" w:tplc="7786CA78">
      <w:start w:val="1"/>
      <w:numFmt w:val="lowerLetter"/>
      <w:lvlText w:val="%5."/>
      <w:lvlJc w:val="left"/>
      <w:pPr>
        <w:ind w:left="3600" w:hanging="360"/>
      </w:pPr>
    </w:lvl>
    <w:lvl w:ilvl="5" w:tplc="0390E2FC">
      <w:start w:val="1"/>
      <w:numFmt w:val="lowerRoman"/>
      <w:lvlText w:val="%6."/>
      <w:lvlJc w:val="right"/>
      <w:pPr>
        <w:ind w:left="4320" w:hanging="180"/>
      </w:pPr>
    </w:lvl>
    <w:lvl w:ilvl="6" w:tplc="643EFAF6">
      <w:start w:val="1"/>
      <w:numFmt w:val="decimal"/>
      <w:lvlText w:val="%7."/>
      <w:lvlJc w:val="left"/>
      <w:pPr>
        <w:ind w:left="5040" w:hanging="360"/>
      </w:pPr>
    </w:lvl>
    <w:lvl w:ilvl="7" w:tplc="4342C12A">
      <w:start w:val="1"/>
      <w:numFmt w:val="lowerLetter"/>
      <w:lvlText w:val="%8."/>
      <w:lvlJc w:val="left"/>
      <w:pPr>
        <w:ind w:left="5760" w:hanging="360"/>
      </w:pPr>
    </w:lvl>
    <w:lvl w:ilvl="8" w:tplc="E090994E">
      <w:start w:val="1"/>
      <w:numFmt w:val="lowerRoman"/>
      <w:lvlText w:val="%9."/>
      <w:lvlJc w:val="right"/>
      <w:pPr>
        <w:ind w:left="6480" w:hanging="180"/>
      </w:pPr>
    </w:lvl>
  </w:abstractNum>
  <w:abstractNum w:abstractNumId="8" w15:restartNumberingAfterBreak="0">
    <w:nsid w:val="342D5051"/>
    <w:multiLevelType w:val="hybridMultilevel"/>
    <w:tmpl w:val="EBA26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BE3EE1"/>
    <w:multiLevelType w:val="hybridMultilevel"/>
    <w:tmpl w:val="8ABE180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DE0D05"/>
    <w:multiLevelType w:val="hybridMultilevel"/>
    <w:tmpl w:val="A9C69798"/>
    <w:lvl w:ilvl="0" w:tplc="3C0CE3FE">
      <w:start w:val="1"/>
      <w:numFmt w:val="bullet"/>
      <w:lvlText w:val=""/>
      <w:lvlJc w:val="left"/>
      <w:pPr>
        <w:ind w:left="720" w:hanging="360"/>
      </w:pPr>
      <w:rPr>
        <w:rFonts w:ascii="Symbol" w:hAnsi="Symbol" w:hint="default"/>
      </w:rPr>
    </w:lvl>
    <w:lvl w:ilvl="1" w:tplc="20F83264">
      <w:start w:val="1"/>
      <w:numFmt w:val="bullet"/>
      <w:lvlText w:val="o"/>
      <w:lvlJc w:val="left"/>
      <w:pPr>
        <w:ind w:left="1440" w:hanging="360"/>
      </w:pPr>
      <w:rPr>
        <w:rFonts w:ascii="Courier New" w:hAnsi="Courier New" w:hint="default"/>
      </w:rPr>
    </w:lvl>
    <w:lvl w:ilvl="2" w:tplc="95A0C89C">
      <w:start w:val="1"/>
      <w:numFmt w:val="bullet"/>
      <w:lvlText w:val=""/>
      <w:lvlJc w:val="left"/>
      <w:pPr>
        <w:ind w:left="2160" w:hanging="360"/>
      </w:pPr>
      <w:rPr>
        <w:rFonts w:ascii="Wingdings" w:hAnsi="Wingdings" w:hint="default"/>
      </w:rPr>
    </w:lvl>
    <w:lvl w:ilvl="3" w:tplc="A1C6A802">
      <w:start w:val="1"/>
      <w:numFmt w:val="bullet"/>
      <w:lvlText w:val=""/>
      <w:lvlJc w:val="left"/>
      <w:pPr>
        <w:ind w:left="2880" w:hanging="360"/>
      </w:pPr>
      <w:rPr>
        <w:rFonts w:ascii="Symbol" w:hAnsi="Symbol" w:hint="default"/>
      </w:rPr>
    </w:lvl>
    <w:lvl w:ilvl="4" w:tplc="ED4ABC56">
      <w:start w:val="1"/>
      <w:numFmt w:val="bullet"/>
      <w:lvlText w:val="o"/>
      <w:lvlJc w:val="left"/>
      <w:pPr>
        <w:ind w:left="3600" w:hanging="360"/>
      </w:pPr>
      <w:rPr>
        <w:rFonts w:ascii="Courier New" w:hAnsi="Courier New" w:hint="default"/>
      </w:rPr>
    </w:lvl>
    <w:lvl w:ilvl="5" w:tplc="A4BC30C4">
      <w:start w:val="1"/>
      <w:numFmt w:val="bullet"/>
      <w:lvlText w:val=""/>
      <w:lvlJc w:val="left"/>
      <w:pPr>
        <w:ind w:left="4320" w:hanging="360"/>
      </w:pPr>
      <w:rPr>
        <w:rFonts w:ascii="Wingdings" w:hAnsi="Wingdings" w:hint="default"/>
      </w:rPr>
    </w:lvl>
    <w:lvl w:ilvl="6" w:tplc="57AE2F04">
      <w:start w:val="1"/>
      <w:numFmt w:val="bullet"/>
      <w:lvlText w:val=""/>
      <w:lvlJc w:val="left"/>
      <w:pPr>
        <w:ind w:left="5040" w:hanging="360"/>
      </w:pPr>
      <w:rPr>
        <w:rFonts w:ascii="Symbol" w:hAnsi="Symbol" w:hint="default"/>
      </w:rPr>
    </w:lvl>
    <w:lvl w:ilvl="7" w:tplc="F8A096CA">
      <w:start w:val="1"/>
      <w:numFmt w:val="bullet"/>
      <w:lvlText w:val="o"/>
      <w:lvlJc w:val="left"/>
      <w:pPr>
        <w:ind w:left="5760" w:hanging="360"/>
      </w:pPr>
      <w:rPr>
        <w:rFonts w:ascii="Courier New" w:hAnsi="Courier New" w:hint="default"/>
      </w:rPr>
    </w:lvl>
    <w:lvl w:ilvl="8" w:tplc="3F32E8AE">
      <w:start w:val="1"/>
      <w:numFmt w:val="bullet"/>
      <w:lvlText w:val=""/>
      <w:lvlJc w:val="left"/>
      <w:pPr>
        <w:ind w:left="6480" w:hanging="360"/>
      </w:pPr>
      <w:rPr>
        <w:rFonts w:ascii="Wingdings" w:hAnsi="Wingdings" w:hint="default"/>
      </w:rPr>
    </w:lvl>
  </w:abstractNum>
  <w:abstractNum w:abstractNumId="11" w15:restartNumberingAfterBreak="0">
    <w:nsid w:val="475C48C0"/>
    <w:multiLevelType w:val="multilevel"/>
    <w:tmpl w:val="4A3A1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8D7EAC"/>
    <w:multiLevelType w:val="multilevel"/>
    <w:tmpl w:val="E2A69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E85166"/>
    <w:multiLevelType w:val="hybridMultilevel"/>
    <w:tmpl w:val="E9EED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5877746">
    <w:abstractNumId w:val="2"/>
  </w:num>
  <w:num w:numId="2" w16cid:durableId="52894950">
    <w:abstractNumId w:val="7"/>
  </w:num>
  <w:num w:numId="3" w16cid:durableId="1371345209">
    <w:abstractNumId w:val="6"/>
  </w:num>
  <w:num w:numId="4" w16cid:durableId="720442247">
    <w:abstractNumId w:val="5"/>
  </w:num>
  <w:num w:numId="5" w16cid:durableId="87118153">
    <w:abstractNumId w:val="1"/>
  </w:num>
  <w:num w:numId="6" w16cid:durableId="1289163878">
    <w:abstractNumId w:val="10"/>
  </w:num>
  <w:num w:numId="7" w16cid:durableId="831749865">
    <w:abstractNumId w:val="12"/>
  </w:num>
  <w:num w:numId="8" w16cid:durableId="1662469891">
    <w:abstractNumId w:val="13"/>
  </w:num>
  <w:num w:numId="9" w16cid:durableId="931163345">
    <w:abstractNumId w:val="3"/>
  </w:num>
  <w:num w:numId="10" w16cid:durableId="1323386751">
    <w:abstractNumId w:val="0"/>
  </w:num>
  <w:num w:numId="11" w16cid:durableId="295532700">
    <w:abstractNumId w:val="9"/>
  </w:num>
  <w:num w:numId="12" w16cid:durableId="1264654071">
    <w:abstractNumId w:val="8"/>
  </w:num>
  <w:num w:numId="13" w16cid:durableId="778646791">
    <w:abstractNumId w:val="11"/>
  </w:num>
  <w:num w:numId="14" w16cid:durableId="4423840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722DD8"/>
    <w:rsid w:val="0002237D"/>
    <w:rsid w:val="00024CB6"/>
    <w:rsid w:val="000552AA"/>
    <w:rsid w:val="000809EE"/>
    <w:rsid w:val="000D2AE2"/>
    <w:rsid w:val="000D4BC0"/>
    <w:rsid w:val="00107203"/>
    <w:rsid w:val="00150321"/>
    <w:rsid w:val="00227F62"/>
    <w:rsid w:val="00233FB9"/>
    <w:rsid w:val="002A3685"/>
    <w:rsid w:val="002C1044"/>
    <w:rsid w:val="002F488A"/>
    <w:rsid w:val="00353E53"/>
    <w:rsid w:val="00356A82"/>
    <w:rsid w:val="003974E6"/>
    <w:rsid w:val="003E1938"/>
    <w:rsid w:val="00451207"/>
    <w:rsid w:val="00455D6D"/>
    <w:rsid w:val="004C1B12"/>
    <w:rsid w:val="004C29EE"/>
    <w:rsid w:val="004DDEF8"/>
    <w:rsid w:val="00575E82"/>
    <w:rsid w:val="005B0A9C"/>
    <w:rsid w:val="005D7E86"/>
    <w:rsid w:val="006020BA"/>
    <w:rsid w:val="00676888"/>
    <w:rsid w:val="006C7168"/>
    <w:rsid w:val="006E6FD5"/>
    <w:rsid w:val="00766CF0"/>
    <w:rsid w:val="00781B1B"/>
    <w:rsid w:val="00790F62"/>
    <w:rsid w:val="007B0CDB"/>
    <w:rsid w:val="007D290A"/>
    <w:rsid w:val="0081D87C"/>
    <w:rsid w:val="00820C58"/>
    <w:rsid w:val="00874384"/>
    <w:rsid w:val="008C1A8D"/>
    <w:rsid w:val="008F67C2"/>
    <w:rsid w:val="00935751"/>
    <w:rsid w:val="009CAD9E"/>
    <w:rsid w:val="009E09E1"/>
    <w:rsid w:val="00A04B40"/>
    <w:rsid w:val="00AC0150"/>
    <w:rsid w:val="00B351D7"/>
    <w:rsid w:val="00B46986"/>
    <w:rsid w:val="00B50A3B"/>
    <w:rsid w:val="00B8126D"/>
    <w:rsid w:val="00BA70FF"/>
    <w:rsid w:val="00BC492D"/>
    <w:rsid w:val="00BD2810"/>
    <w:rsid w:val="00C05126"/>
    <w:rsid w:val="00C30304"/>
    <w:rsid w:val="00C5633F"/>
    <w:rsid w:val="00CB5C9D"/>
    <w:rsid w:val="00CE6833"/>
    <w:rsid w:val="00D02DFF"/>
    <w:rsid w:val="00D13316"/>
    <w:rsid w:val="00E70369"/>
    <w:rsid w:val="00E72B37"/>
    <w:rsid w:val="00E838CE"/>
    <w:rsid w:val="00ED546D"/>
    <w:rsid w:val="00FA3928"/>
    <w:rsid w:val="00FB7964"/>
    <w:rsid w:val="00FD0C1C"/>
    <w:rsid w:val="00FF09D5"/>
    <w:rsid w:val="00FF353C"/>
    <w:rsid w:val="012C4401"/>
    <w:rsid w:val="01A479CD"/>
    <w:rsid w:val="01C71EDF"/>
    <w:rsid w:val="01C84565"/>
    <w:rsid w:val="01F2328E"/>
    <w:rsid w:val="023AB18A"/>
    <w:rsid w:val="028EC0FA"/>
    <w:rsid w:val="029734E7"/>
    <w:rsid w:val="02DAA36A"/>
    <w:rsid w:val="035DD970"/>
    <w:rsid w:val="0368E6B7"/>
    <w:rsid w:val="0389EE76"/>
    <w:rsid w:val="03D668D4"/>
    <w:rsid w:val="03E17D59"/>
    <w:rsid w:val="0444CCB7"/>
    <w:rsid w:val="047C9AC0"/>
    <w:rsid w:val="04A68595"/>
    <w:rsid w:val="05B0FB44"/>
    <w:rsid w:val="05B3DAA4"/>
    <w:rsid w:val="0607946F"/>
    <w:rsid w:val="0614D4CD"/>
    <w:rsid w:val="0621D1F0"/>
    <w:rsid w:val="066A0CB9"/>
    <w:rsid w:val="06EED509"/>
    <w:rsid w:val="06F8399F"/>
    <w:rsid w:val="08A6CF38"/>
    <w:rsid w:val="08E1D7C9"/>
    <w:rsid w:val="08F2EE7A"/>
    <w:rsid w:val="09944745"/>
    <w:rsid w:val="099F2E96"/>
    <w:rsid w:val="09E03778"/>
    <w:rsid w:val="0A66F31E"/>
    <w:rsid w:val="0B1BC888"/>
    <w:rsid w:val="0B4A0871"/>
    <w:rsid w:val="0BC552E6"/>
    <w:rsid w:val="0BF89206"/>
    <w:rsid w:val="0C0A9DFF"/>
    <w:rsid w:val="0C3DBDA3"/>
    <w:rsid w:val="0D18F145"/>
    <w:rsid w:val="0D21FB9E"/>
    <w:rsid w:val="0D327272"/>
    <w:rsid w:val="0D81FEC1"/>
    <w:rsid w:val="0DA891EE"/>
    <w:rsid w:val="0DD0B73A"/>
    <w:rsid w:val="0E0E5E3E"/>
    <w:rsid w:val="0E7A0A49"/>
    <w:rsid w:val="0EBDA134"/>
    <w:rsid w:val="0EE9328D"/>
    <w:rsid w:val="0F36AAF8"/>
    <w:rsid w:val="0F625F1C"/>
    <w:rsid w:val="0F8FBAAF"/>
    <w:rsid w:val="0FAADFF6"/>
    <w:rsid w:val="0FB76C2A"/>
    <w:rsid w:val="0FE61E9F"/>
    <w:rsid w:val="1042E790"/>
    <w:rsid w:val="106D7475"/>
    <w:rsid w:val="109C7282"/>
    <w:rsid w:val="10B26D18"/>
    <w:rsid w:val="112AD564"/>
    <w:rsid w:val="115B20DA"/>
    <w:rsid w:val="119E8325"/>
    <w:rsid w:val="11D0B7D0"/>
    <w:rsid w:val="11D5E7D4"/>
    <w:rsid w:val="11D9EA02"/>
    <w:rsid w:val="1284CFF8"/>
    <w:rsid w:val="128C03C4"/>
    <w:rsid w:val="12A2EDF4"/>
    <w:rsid w:val="12B45F69"/>
    <w:rsid w:val="13A47169"/>
    <w:rsid w:val="13FEE781"/>
    <w:rsid w:val="1431EBAE"/>
    <w:rsid w:val="1442795A"/>
    <w:rsid w:val="14D1225B"/>
    <w:rsid w:val="153049BA"/>
    <w:rsid w:val="15A7B492"/>
    <w:rsid w:val="15F890D7"/>
    <w:rsid w:val="161F9C68"/>
    <w:rsid w:val="16287635"/>
    <w:rsid w:val="1696FEA1"/>
    <w:rsid w:val="16A4157A"/>
    <w:rsid w:val="16B69845"/>
    <w:rsid w:val="16BFFB2F"/>
    <w:rsid w:val="16F90718"/>
    <w:rsid w:val="16FEDDD8"/>
    <w:rsid w:val="1787DCB2"/>
    <w:rsid w:val="179A647D"/>
    <w:rsid w:val="17A175E2"/>
    <w:rsid w:val="17C91D9D"/>
    <w:rsid w:val="18C6E5BD"/>
    <w:rsid w:val="1947A4DD"/>
    <w:rsid w:val="19BAF348"/>
    <w:rsid w:val="19E36D85"/>
    <w:rsid w:val="1A27FDE1"/>
    <w:rsid w:val="1B2E07D3"/>
    <w:rsid w:val="1B68D6E8"/>
    <w:rsid w:val="1B81EFF7"/>
    <w:rsid w:val="1BB9A51E"/>
    <w:rsid w:val="1BE00C57"/>
    <w:rsid w:val="1BE08102"/>
    <w:rsid w:val="1BE921C4"/>
    <w:rsid w:val="1BF551C2"/>
    <w:rsid w:val="1C0312BD"/>
    <w:rsid w:val="1C05BCDF"/>
    <w:rsid w:val="1C3DE021"/>
    <w:rsid w:val="1C81D5AB"/>
    <w:rsid w:val="1CEB53D0"/>
    <w:rsid w:val="1CF2C1E3"/>
    <w:rsid w:val="1CFE9A71"/>
    <w:rsid w:val="1DE624C6"/>
    <w:rsid w:val="1E13DB88"/>
    <w:rsid w:val="1E66B206"/>
    <w:rsid w:val="1E721160"/>
    <w:rsid w:val="1EAFF60F"/>
    <w:rsid w:val="1EB7E907"/>
    <w:rsid w:val="1F6266C5"/>
    <w:rsid w:val="1FABEBE9"/>
    <w:rsid w:val="1FE06142"/>
    <w:rsid w:val="206CC72F"/>
    <w:rsid w:val="210E9C23"/>
    <w:rsid w:val="21D0BCBD"/>
    <w:rsid w:val="22529B82"/>
    <w:rsid w:val="227B24E4"/>
    <w:rsid w:val="22C6FB19"/>
    <w:rsid w:val="237EB606"/>
    <w:rsid w:val="239E33B7"/>
    <w:rsid w:val="24A761EA"/>
    <w:rsid w:val="24BA2B4E"/>
    <w:rsid w:val="253E0759"/>
    <w:rsid w:val="254279C3"/>
    <w:rsid w:val="254A411E"/>
    <w:rsid w:val="254F965A"/>
    <w:rsid w:val="25E5F1A3"/>
    <w:rsid w:val="2634F6A7"/>
    <w:rsid w:val="267FE384"/>
    <w:rsid w:val="2686E478"/>
    <w:rsid w:val="2693F99E"/>
    <w:rsid w:val="26B373AD"/>
    <w:rsid w:val="2709F488"/>
    <w:rsid w:val="274F5043"/>
    <w:rsid w:val="276E0420"/>
    <w:rsid w:val="27E5BB49"/>
    <w:rsid w:val="28704E0E"/>
    <w:rsid w:val="2909473D"/>
    <w:rsid w:val="29342A78"/>
    <w:rsid w:val="2964CBE7"/>
    <w:rsid w:val="29CCD67E"/>
    <w:rsid w:val="29F4B355"/>
    <w:rsid w:val="2A9EEDDD"/>
    <w:rsid w:val="2AD39124"/>
    <w:rsid w:val="2AE26626"/>
    <w:rsid w:val="2B0B8763"/>
    <w:rsid w:val="2B453E9C"/>
    <w:rsid w:val="2B545E0E"/>
    <w:rsid w:val="2B8E7F86"/>
    <w:rsid w:val="2BDF6940"/>
    <w:rsid w:val="2BF08E6A"/>
    <w:rsid w:val="2C54280E"/>
    <w:rsid w:val="2C5CFEFD"/>
    <w:rsid w:val="2C5F0EFA"/>
    <w:rsid w:val="2C740E88"/>
    <w:rsid w:val="2C7FE723"/>
    <w:rsid w:val="2CBF7D54"/>
    <w:rsid w:val="2CE5B0C3"/>
    <w:rsid w:val="2D08FE73"/>
    <w:rsid w:val="2DA1043A"/>
    <w:rsid w:val="2DDBDC3A"/>
    <w:rsid w:val="2E4ADEE6"/>
    <w:rsid w:val="2E4D4937"/>
    <w:rsid w:val="2E9739EF"/>
    <w:rsid w:val="2E985163"/>
    <w:rsid w:val="2F10DCC8"/>
    <w:rsid w:val="2F36293E"/>
    <w:rsid w:val="2F591BE7"/>
    <w:rsid w:val="2F703507"/>
    <w:rsid w:val="2F81D1D0"/>
    <w:rsid w:val="2FA6130B"/>
    <w:rsid w:val="2FCBB364"/>
    <w:rsid w:val="2FF88FF0"/>
    <w:rsid w:val="306BC70E"/>
    <w:rsid w:val="307B87A5"/>
    <w:rsid w:val="307C7832"/>
    <w:rsid w:val="3108A1A2"/>
    <w:rsid w:val="315E6C55"/>
    <w:rsid w:val="3192FFBE"/>
    <w:rsid w:val="31B5481D"/>
    <w:rsid w:val="31BE9AF3"/>
    <w:rsid w:val="3212DE81"/>
    <w:rsid w:val="32395862"/>
    <w:rsid w:val="327071B2"/>
    <w:rsid w:val="32A96EE0"/>
    <w:rsid w:val="32DD5D9C"/>
    <w:rsid w:val="32F7BC4A"/>
    <w:rsid w:val="33325192"/>
    <w:rsid w:val="336009CF"/>
    <w:rsid w:val="33AFA8F0"/>
    <w:rsid w:val="341202E3"/>
    <w:rsid w:val="346578FA"/>
    <w:rsid w:val="3467BE34"/>
    <w:rsid w:val="34A2CF45"/>
    <w:rsid w:val="34FBDDA8"/>
    <w:rsid w:val="355DC5CC"/>
    <w:rsid w:val="35876EBC"/>
    <w:rsid w:val="3592992A"/>
    <w:rsid w:val="359D08D3"/>
    <w:rsid w:val="35AB1E74"/>
    <w:rsid w:val="35E5B3A3"/>
    <w:rsid w:val="363344AA"/>
    <w:rsid w:val="374B4FB3"/>
    <w:rsid w:val="3759CC27"/>
    <w:rsid w:val="3836FEBE"/>
    <w:rsid w:val="3842A507"/>
    <w:rsid w:val="38745DE7"/>
    <w:rsid w:val="38B12E13"/>
    <w:rsid w:val="38DCFA0E"/>
    <w:rsid w:val="3912F7B5"/>
    <w:rsid w:val="3918B8BB"/>
    <w:rsid w:val="391909CD"/>
    <w:rsid w:val="3A5BAEA1"/>
    <w:rsid w:val="3AA374AB"/>
    <w:rsid w:val="3AB698FF"/>
    <w:rsid w:val="3AB914AF"/>
    <w:rsid w:val="3AF8DA10"/>
    <w:rsid w:val="3B0FDE7D"/>
    <w:rsid w:val="3B26C5B3"/>
    <w:rsid w:val="3B32007C"/>
    <w:rsid w:val="3B4272B6"/>
    <w:rsid w:val="3BA71427"/>
    <w:rsid w:val="3BE127CE"/>
    <w:rsid w:val="3C13704D"/>
    <w:rsid w:val="3C20F36C"/>
    <w:rsid w:val="3C452ABF"/>
    <w:rsid w:val="3C545F2E"/>
    <w:rsid w:val="3D9248B6"/>
    <w:rsid w:val="3DBB5899"/>
    <w:rsid w:val="3E239270"/>
    <w:rsid w:val="3E2857F5"/>
    <w:rsid w:val="3EB46C1B"/>
    <w:rsid w:val="3EB8F0B6"/>
    <w:rsid w:val="3EDF91AD"/>
    <w:rsid w:val="3EFC93B8"/>
    <w:rsid w:val="3F91F983"/>
    <w:rsid w:val="3FDE650E"/>
    <w:rsid w:val="3FDE9C92"/>
    <w:rsid w:val="3FF219E5"/>
    <w:rsid w:val="4022736C"/>
    <w:rsid w:val="4114D638"/>
    <w:rsid w:val="41BCF807"/>
    <w:rsid w:val="4247E30B"/>
    <w:rsid w:val="428F2FF2"/>
    <w:rsid w:val="42DC83DC"/>
    <w:rsid w:val="42DCFC17"/>
    <w:rsid w:val="43382041"/>
    <w:rsid w:val="43722DD8"/>
    <w:rsid w:val="438507CD"/>
    <w:rsid w:val="43BF18F4"/>
    <w:rsid w:val="43CD6F5A"/>
    <w:rsid w:val="43DD0651"/>
    <w:rsid w:val="441186B4"/>
    <w:rsid w:val="441A21DD"/>
    <w:rsid w:val="4464C294"/>
    <w:rsid w:val="448EE708"/>
    <w:rsid w:val="4497216E"/>
    <w:rsid w:val="44CC478F"/>
    <w:rsid w:val="454E376F"/>
    <w:rsid w:val="45648B6C"/>
    <w:rsid w:val="45811D91"/>
    <w:rsid w:val="4590C78E"/>
    <w:rsid w:val="460F4A88"/>
    <w:rsid w:val="465AFD3E"/>
    <w:rsid w:val="466D135A"/>
    <w:rsid w:val="46A0FCD6"/>
    <w:rsid w:val="4770F1ED"/>
    <w:rsid w:val="48997DA3"/>
    <w:rsid w:val="48AE968C"/>
    <w:rsid w:val="499EFA3E"/>
    <w:rsid w:val="49B322F4"/>
    <w:rsid w:val="49E8ED2E"/>
    <w:rsid w:val="4A1AB223"/>
    <w:rsid w:val="4A986A43"/>
    <w:rsid w:val="4AD631E9"/>
    <w:rsid w:val="4B012D91"/>
    <w:rsid w:val="4BBBDE84"/>
    <w:rsid w:val="4BE0FCD9"/>
    <w:rsid w:val="4C640B3F"/>
    <w:rsid w:val="4C761B25"/>
    <w:rsid w:val="4D0450C4"/>
    <w:rsid w:val="4D82D626"/>
    <w:rsid w:val="4DD30DDD"/>
    <w:rsid w:val="4DF576C9"/>
    <w:rsid w:val="4E05098C"/>
    <w:rsid w:val="4E98EB11"/>
    <w:rsid w:val="4FD0CB89"/>
    <w:rsid w:val="505AFD78"/>
    <w:rsid w:val="508C985B"/>
    <w:rsid w:val="513C6FBA"/>
    <w:rsid w:val="5150CE3D"/>
    <w:rsid w:val="51C58599"/>
    <w:rsid w:val="52388767"/>
    <w:rsid w:val="52910291"/>
    <w:rsid w:val="5338D978"/>
    <w:rsid w:val="538BDA22"/>
    <w:rsid w:val="540B22BA"/>
    <w:rsid w:val="5414610D"/>
    <w:rsid w:val="5433CA7F"/>
    <w:rsid w:val="545C3694"/>
    <w:rsid w:val="5474BAAC"/>
    <w:rsid w:val="54E3634E"/>
    <w:rsid w:val="5520244F"/>
    <w:rsid w:val="5562B460"/>
    <w:rsid w:val="5607F611"/>
    <w:rsid w:val="568380ED"/>
    <w:rsid w:val="56EC5975"/>
    <w:rsid w:val="571C0E7D"/>
    <w:rsid w:val="577372D9"/>
    <w:rsid w:val="57FAC9AD"/>
    <w:rsid w:val="5815E1FB"/>
    <w:rsid w:val="5832DF2A"/>
    <w:rsid w:val="585778E7"/>
    <w:rsid w:val="58827F30"/>
    <w:rsid w:val="58ECC9FD"/>
    <w:rsid w:val="594EDFBE"/>
    <w:rsid w:val="5978D293"/>
    <w:rsid w:val="5A1CE1F7"/>
    <w:rsid w:val="5A1E0067"/>
    <w:rsid w:val="5AEBC595"/>
    <w:rsid w:val="5B0877AD"/>
    <w:rsid w:val="5C3112FC"/>
    <w:rsid w:val="5C3FAC65"/>
    <w:rsid w:val="5C784646"/>
    <w:rsid w:val="5C888DBD"/>
    <w:rsid w:val="5CEAC6E3"/>
    <w:rsid w:val="5D588876"/>
    <w:rsid w:val="5E307A1E"/>
    <w:rsid w:val="5E3B4323"/>
    <w:rsid w:val="5E69EE86"/>
    <w:rsid w:val="5E6B7E12"/>
    <w:rsid w:val="5E9322BA"/>
    <w:rsid w:val="5EE09FC2"/>
    <w:rsid w:val="5F44B307"/>
    <w:rsid w:val="5F5E4E5A"/>
    <w:rsid w:val="5FBDBAC1"/>
    <w:rsid w:val="5FBE0816"/>
    <w:rsid w:val="603F71EE"/>
    <w:rsid w:val="606931C3"/>
    <w:rsid w:val="60C4233F"/>
    <w:rsid w:val="60DCE556"/>
    <w:rsid w:val="61195FB0"/>
    <w:rsid w:val="61284D13"/>
    <w:rsid w:val="614F3218"/>
    <w:rsid w:val="61EF7877"/>
    <w:rsid w:val="6211C26E"/>
    <w:rsid w:val="6338FA76"/>
    <w:rsid w:val="63B45690"/>
    <w:rsid w:val="641FA171"/>
    <w:rsid w:val="64263AF6"/>
    <w:rsid w:val="64C00382"/>
    <w:rsid w:val="65030B17"/>
    <w:rsid w:val="6566C46B"/>
    <w:rsid w:val="65D39E6C"/>
    <w:rsid w:val="663EF587"/>
    <w:rsid w:val="666C4276"/>
    <w:rsid w:val="67590783"/>
    <w:rsid w:val="678CDB9F"/>
    <w:rsid w:val="67EA846C"/>
    <w:rsid w:val="687C42BC"/>
    <w:rsid w:val="68896F24"/>
    <w:rsid w:val="68973D1D"/>
    <w:rsid w:val="69655EA3"/>
    <w:rsid w:val="698C9F6A"/>
    <w:rsid w:val="69D32EEB"/>
    <w:rsid w:val="6A0883BC"/>
    <w:rsid w:val="6A2D56EE"/>
    <w:rsid w:val="6A31C9CC"/>
    <w:rsid w:val="6AB51AAB"/>
    <w:rsid w:val="6AC9332B"/>
    <w:rsid w:val="6AE532A3"/>
    <w:rsid w:val="6B6A94FC"/>
    <w:rsid w:val="6D7364C9"/>
    <w:rsid w:val="6E12D185"/>
    <w:rsid w:val="6E7EA8D0"/>
    <w:rsid w:val="6E8F442A"/>
    <w:rsid w:val="6EE7340B"/>
    <w:rsid w:val="6EF359A5"/>
    <w:rsid w:val="6F851B65"/>
    <w:rsid w:val="6F977FA1"/>
    <w:rsid w:val="6FDA1B5B"/>
    <w:rsid w:val="6FFB7641"/>
    <w:rsid w:val="70125436"/>
    <w:rsid w:val="707DE910"/>
    <w:rsid w:val="708FF6DB"/>
    <w:rsid w:val="709345CC"/>
    <w:rsid w:val="7099B83D"/>
    <w:rsid w:val="709E6665"/>
    <w:rsid w:val="70C2B8F3"/>
    <w:rsid w:val="71080D8C"/>
    <w:rsid w:val="72016F90"/>
    <w:rsid w:val="720E02F9"/>
    <w:rsid w:val="7228849B"/>
    <w:rsid w:val="7250E45F"/>
    <w:rsid w:val="729E831B"/>
    <w:rsid w:val="72BF2310"/>
    <w:rsid w:val="730F7C79"/>
    <w:rsid w:val="73328440"/>
    <w:rsid w:val="73403CC4"/>
    <w:rsid w:val="73B956AA"/>
    <w:rsid w:val="7437AA4F"/>
    <w:rsid w:val="74C40A76"/>
    <w:rsid w:val="7528A1B2"/>
    <w:rsid w:val="7536F55F"/>
    <w:rsid w:val="761CE817"/>
    <w:rsid w:val="762B1866"/>
    <w:rsid w:val="76E8D275"/>
    <w:rsid w:val="77000D5A"/>
    <w:rsid w:val="776B7070"/>
    <w:rsid w:val="781A600A"/>
    <w:rsid w:val="783BF283"/>
    <w:rsid w:val="78B47656"/>
    <w:rsid w:val="78B85966"/>
    <w:rsid w:val="794C8C21"/>
    <w:rsid w:val="798659B8"/>
    <w:rsid w:val="79B195F7"/>
    <w:rsid w:val="7A8A219E"/>
    <w:rsid w:val="7B27DDD5"/>
    <w:rsid w:val="7B64465F"/>
    <w:rsid w:val="7B89D193"/>
    <w:rsid w:val="7B9C3A3C"/>
    <w:rsid w:val="7BA3EE19"/>
    <w:rsid w:val="7C21FF9D"/>
    <w:rsid w:val="7C77B1F8"/>
    <w:rsid w:val="7C8D7844"/>
    <w:rsid w:val="7CD4585B"/>
    <w:rsid w:val="7D190EEA"/>
    <w:rsid w:val="7D1D441F"/>
    <w:rsid w:val="7D5C10CC"/>
    <w:rsid w:val="7D5EA147"/>
    <w:rsid w:val="7DA1FBAE"/>
    <w:rsid w:val="7DAC299C"/>
    <w:rsid w:val="7E13FB0C"/>
    <w:rsid w:val="7E3FD12E"/>
    <w:rsid w:val="7E526132"/>
    <w:rsid w:val="7E585D34"/>
    <w:rsid w:val="7E8351CD"/>
    <w:rsid w:val="7EACB36E"/>
    <w:rsid w:val="7ED4E154"/>
    <w:rsid w:val="7ED5410F"/>
    <w:rsid w:val="7EDDED8D"/>
    <w:rsid w:val="7F97CC55"/>
    <w:rsid w:val="7F9D97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22DD8"/>
  <w15:chartTrackingRefBased/>
  <w15:docId w15:val="{B9999F41-FEF4-4922-804A-0C6B51115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6334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6334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E12D18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833"/>
    <w:rPr>
      <w:color w:val="467886" w:themeColor="hyperlink"/>
      <w:u w:val="single"/>
    </w:rPr>
  </w:style>
  <w:style w:type="character" w:styleId="UnresolvedMention">
    <w:name w:val="Unresolved Mention"/>
    <w:basedOn w:val="DefaultParagraphFont"/>
    <w:uiPriority w:val="99"/>
    <w:semiHidden/>
    <w:unhideWhenUsed/>
    <w:rsid w:val="00CE6833"/>
    <w:rPr>
      <w:color w:val="605E5C"/>
      <w:shd w:val="clear" w:color="auto" w:fill="E1DFDD"/>
    </w:rPr>
  </w:style>
  <w:style w:type="paragraph" w:styleId="ListParagraph">
    <w:name w:val="List Paragraph"/>
    <w:basedOn w:val="Normal"/>
    <w:uiPriority w:val="34"/>
    <w:qFormat/>
    <w:rsid w:val="6FFB7641"/>
    <w:pPr>
      <w:ind w:left="720"/>
      <w:contextualSpacing/>
    </w:pPr>
  </w:style>
  <w:style w:type="paragraph" w:styleId="Header">
    <w:name w:val="header"/>
    <w:basedOn w:val="Normal"/>
    <w:uiPriority w:val="99"/>
    <w:unhideWhenUsed/>
    <w:rsid w:val="44CC478F"/>
    <w:pPr>
      <w:tabs>
        <w:tab w:val="center" w:pos="4680"/>
        <w:tab w:val="right" w:pos="9360"/>
      </w:tabs>
      <w:spacing w:after="0" w:line="240" w:lineRule="auto"/>
    </w:pPr>
  </w:style>
  <w:style w:type="paragraph" w:styleId="Footer">
    <w:name w:val="footer"/>
    <w:basedOn w:val="Normal"/>
    <w:uiPriority w:val="99"/>
    <w:unhideWhenUsed/>
    <w:rsid w:val="44CC478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02237D"/>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02237D"/>
    <w:rPr>
      <w:sz w:val="22"/>
      <w:szCs w:val="22"/>
      <w:lang w:val="en-US" w:eastAsia="en-US"/>
    </w:rPr>
  </w:style>
  <w:style w:type="character" w:styleId="CommentReference">
    <w:name w:val="annotation reference"/>
    <w:basedOn w:val="DefaultParagraphFont"/>
    <w:uiPriority w:val="99"/>
    <w:semiHidden/>
    <w:unhideWhenUsed/>
    <w:rsid w:val="00FA3928"/>
    <w:rPr>
      <w:sz w:val="16"/>
      <w:szCs w:val="16"/>
    </w:rPr>
  </w:style>
  <w:style w:type="paragraph" w:styleId="CommentText">
    <w:name w:val="annotation text"/>
    <w:basedOn w:val="Normal"/>
    <w:link w:val="CommentTextChar"/>
    <w:uiPriority w:val="99"/>
    <w:unhideWhenUsed/>
    <w:rsid w:val="00FA3928"/>
    <w:pPr>
      <w:spacing w:line="240" w:lineRule="auto"/>
    </w:pPr>
    <w:rPr>
      <w:sz w:val="20"/>
      <w:szCs w:val="20"/>
    </w:rPr>
  </w:style>
  <w:style w:type="character" w:customStyle="1" w:styleId="CommentTextChar">
    <w:name w:val="Comment Text Char"/>
    <w:basedOn w:val="DefaultParagraphFont"/>
    <w:link w:val="CommentText"/>
    <w:uiPriority w:val="99"/>
    <w:rsid w:val="00FA3928"/>
    <w:rPr>
      <w:sz w:val="20"/>
      <w:szCs w:val="20"/>
    </w:rPr>
  </w:style>
  <w:style w:type="paragraph" w:styleId="CommentSubject">
    <w:name w:val="annotation subject"/>
    <w:basedOn w:val="CommentText"/>
    <w:next w:val="CommentText"/>
    <w:link w:val="CommentSubjectChar"/>
    <w:uiPriority w:val="99"/>
    <w:semiHidden/>
    <w:unhideWhenUsed/>
    <w:rsid w:val="00FA3928"/>
    <w:rPr>
      <w:b/>
      <w:bCs/>
    </w:rPr>
  </w:style>
  <w:style w:type="character" w:customStyle="1" w:styleId="CommentSubjectChar">
    <w:name w:val="Comment Subject Char"/>
    <w:basedOn w:val="CommentTextChar"/>
    <w:link w:val="CommentSubject"/>
    <w:uiPriority w:val="99"/>
    <w:semiHidden/>
    <w:rsid w:val="00FA392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276039">
      <w:bodyDiv w:val="1"/>
      <w:marLeft w:val="0"/>
      <w:marRight w:val="0"/>
      <w:marTop w:val="0"/>
      <w:marBottom w:val="0"/>
      <w:divBdr>
        <w:top w:val="none" w:sz="0" w:space="0" w:color="auto"/>
        <w:left w:val="none" w:sz="0" w:space="0" w:color="auto"/>
        <w:bottom w:val="none" w:sz="0" w:space="0" w:color="auto"/>
        <w:right w:val="none" w:sz="0" w:space="0" w:color="auto"/>
      </w:divBdr>
    </w:div>
    <w:div w:id="594704763">
      <w:bodyDiv w:val="1"/>
      <w:marLeft w:val="0"/>
      <w:marRight w:val="0"/>
      <w:marTop w:val="0"/>
      <w:marBottom w:val="0"/>
      <w:divBdr>
        <w:top w:val="none" w:sz="0" w:space="0" w:color="auto"/>
        <w:left w:val="none" w:sz="0" w:space="0" w:color="auto"/>
        <w:bottom w:val="none" w:sz="0" w:space="0" w:color="auto"/>
        <w:right w:val="none" w:sz="0" w:space="0" w:color="auto"/>
      </w:divBdr>
    </w:div>
    <w:div w:id="604271309">
      <w:bodyDiv w:val="1"/>
      <w:marLeft w:val="0"/>
      <w:marRight w:val="0"/>
      <w:marTop w:val="0"/>
      <w:marBottom w:val="0"/>
      <w:divBdr>
        <w:top w:val="none" w:sz="0" w:space="0" w:color="auto"/>
        <w:left w:val="none" w:sz="0" w:space="0" w:color="auto"/>
        <w:bottom w:val="none" w:sz="0" w:space="0" w:color="auto"/>
        <w:right w:val="none" w:sz="0" w:space="0" w:color="auto"/>
      </w:divBdr>
    </w:div>
    <w:div w:id="708578069">
      <w:bodyDiv w:val="1"/>
      <w:marLeft w:val="0"/>
      <w:marRight w:val="0"/>
      <w:marTop w:val="0"/>
      <w:marBottom w:val="0"/>
      <w:divBdr>
        <w:top w:val="none" w:sz="0" w:space="0" w:color="auto"/>
        <w:left w:val="none" w:sz="0" w:space="0" w:color="auto"/>
        <w:bottom w:val="none" w:sz="0" w:space="0" w:color="auto"/>
        <w:right w:val="none" w:sz="0" w:space="0" w:color="auto"/>
      </w:divBdr>
    </w:div>
    <w:div w:id="792479402">
      <w:bodyDiv w:val="1"/>
      <w:marLeft w:val="0"/>
      <w:marRight w:val="0"/>
      <w:marTop w:val="0"/>
      <w:marBottom w:val="0"/>
      <w:divBdr>
        <w:top w:val="none" w:sz="0" w:space="0" w:color="auto"/>
        <w:left w:val="none" w:sz="0" w:space="0" w:color="auto"/>
        <w:bottom w:val="none" w:sz="0" w:space="0" w:color="auto"/>
        <w:right w:val="none" w:sz="0" w:space="0" w:color="auto"/>
      </w:divBdr>
    </w:div>
    <w:div w:id="1004286711">
      <w:bodyDiv w:val="1"/>
      <w:marLeft w:val="0"/>
      <w:marRight w:val="0"/>
      <w:marTop w:val="0"/>
      <w:marBottom w:val="0"/>
      <w:divBdr>
        <w:top w:val="none" w:sz="0" w:space="0" w:color="auto"/>
        <w:left w:val="none" w:sz="0" w:space="0" w:color="auto"/>
        <w:bottom w:val="none" w:sz="0" w:space="0" w:color="auto"/>
        <w:right w:val="none" w:sz="0" w:space="0" w:color="auto"/>
      </w:divBdr>
    </w:div>
    <w:div w:id="1018773405">
      <w:bodyDiv w:val="1"/>
      <w:marLeft w:val="0"/>
      <w:marRight w:val="0"/>
      <w:marTop w:val="0"/>
      <w:marBottom w:val="0"/>
      <w:divBdr>
        <w:top w:val="none" w:sz="0" w:space="0" w:color="auto"/>
        <w:left w:val="none" w:sz="0" w:space="0" w:color="auto"/>
        <w:bottom w:val="none" w:sz="0" w:space="0" w:color="auto"/>
        <w:right w:val="none" w:sz="0" w:space="0" w:color="auto"/>
      </w:divBdr>
    </w:div>
    <w:div w:id="1676415692">
      <w:bodyDiv w:val="1"/>
      <w:marLeft w:val="0"/>
      <w:marRight w:val="0"/>
      <w:marTop w:val="0"/>
      <w:marBottom w:val="0"/>
      <w:divBdr>
        <w:top w:val="none" w:sz="0" w:space="0" w:color="auto"/>
        <w:left w:val="none" w:sz="0" w:space="0" w:color="auto"/>
        <w:bottom w:val="none" w:sz="0" w:space="0" w:color="auto"/>
        <w:right w:val="none" w:sz="0" w:space="0" w:color="auto"/>
      </w:divBdr>
    </w:div>
    <w:div w:id="194618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justiceinspectorates.gov.uk/hmiprisons/our-reports/annual-report-2022-23/" TargetMode="External"/><Relationship Id="rId18" Type="http://schemas.openxmlformats.org/officeDocument/2006/relationships/hyperlink" Target="https://www.gov.uk/government/statistics/prison-population-projections-2024-to-2029" TargetMode="External"/><Relationship Id="rId3" Type="http://schemas.openxmlformats.org/officeDocument/2006/relationships/customXml" Target="../customXml/item3.xml"/><Relationship Id="rId21" Type="http://schemas.openxmlformats.org/officeDocument/2006/relationships/hyperlink" Target="https://www.gov.uk/government/statistics/youth-justice-statistics-2023-to-2024" TargetMode="External"/><Relationship Id="rId7" Type="http://schemas.openxmlformats.org/officeDocument/2006/relationships/webSettings" Target="webSettings.xml"/><Relationship Id="rId12" Type="http://schemas.openxmlformats.org/officeDocument/2006/relationships/hyperlink" Target="https://doi.org/10.1111/j.1468-2311.2004.00337.x" TargetMode="External"/><Relationship Id="rId17" Type="http://schemas.openxmlformats.org/officeDocument/2006/relationships/hyperlink" Target="https://www.gov.uk/government/publications/prison-population-projections-2023-to-2028"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77/1748895806060682" TargetMode="External"/><Relationship Id="rId20" Type="http://schemas.openxmlformats.org/officeDocument/2006/relationships/hyperlink" Target="https://doi.org/10.1177/147737081771804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57/978-1-137-53247-3"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3138/cjccj.2019-0023"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committees.parliament.uk/publications/3443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S2468-2667(18)30011-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05bfcf6-161a-4012-bab6-aa68b8b9ab0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8" ma:contentTypeDescription="Create a new document." ma:contentTypeScope="" ma:versionID="7cb3dbc7451a354ecf9f197c9d96645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a82ad5bce8a0da7569f970f6dfb802c1"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SearchProperties" minOccurs="0"/>
                <xsd:element ref="ns3:MediaServiceObjectDetectorVersions" minOccurs="0"/>
                <xsd:element ref="ns3:_activity"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DF4879-E16F-4B68-958D-BEE3C32720A8}">
  <ds:schemaRefs>
    <ds:schemaRef ds:uri="http://schemas.microsoft.com/office/2006/metadata/properties"/>
    <ds:schemaRef ds:uri="http://schemas.microsoft.com/office/infopath/2007/PartnerControls"/>
    <ds:schemaRef ds:uri="c05bfcf6-161a-4012-bab6-aa68b8b9ab0d"/>
  </ds:schemaRefs>
</ds:datastoreItem>
</file>

<file path=customXml/itemProps2.xml><?xml version="1.0" encoding="utf-8"?>
<ds:datastoreItem xmlns:ds="http://schemas.openxmlformats.org/officeDocument/2006/customXml" ds:itemID="{ADCF53D2-8E95-40AA-A6A3-D4FF96C55DD6}">
  <ds:schemaRefs>
    <ds:schemaRef ds:uri="http://schemas.microsoft.com/sharepoint/v3/contenttype/forms"/>
  </ds:schemaRefs>
</ds:datastoreItem>
</file>

<file path=customXml/itemProps3.xml><?xml version="1.0" encoding="utf-8"?>
<ds:datastoreItem xmlns:ds="http://schemas.openxmlformats.org/officeDocument/2006/customXml" ds:itemID="{D8CD8B17-0E7E-467E-A187-00B3562FB6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5095</Words>
  <Characters>34601</Characters>
  <Application>Microsoft Office Word</Application>
  <DocSecurity>0</DocSecurity>
  <Lines>592</Lines>
  <Paragraphs>78</Paragraphs>
  <ScaleCrop>false</ScaleCrop>
  <Company/>
  <LinksUpToDate>false</LinksUpToDate>
  <CharactersWithSpaces>39602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and Prison Systems In England and Wales</dc:title>
  <dc:subject>Module code: - BMCJ7006</dc:subject>
  <dc:creator>Ceri Marie Jones (1806930)</dc:creator>
  <cp:keywords/>
  <dc:description/>
  <cp:lastModifiedBy>Ceri Marie Jones (1806930)</cp:lastModifiedBy>
  <cp:revision>2</cp:revision>
  <dcterms:created xsi:type="dcterms:W3CDTF">2025-11-05T20:08:00Z</dcterms:created>
  <dcterms:modified xsi:type="dcterms:W3CDTF">2025-11-05T20:08:00Z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4b880b8e-afe4-41be-b02d-1f31f5ed4fd5</vt:lpwstr>
  </property>
  <property fmtid="{D5CDD505-2E9C-101B-9397-08002B2CF9AE}" pid="3" name="ContentTypeId">
    <vt:lpwstr>0x01010087CBB502496A1146A491A9F165EDE067</vt:lpwstr>
  </property>
</Properties>
</file>