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5C015" w14:textId="77777777" w:rsidR="00913057" w:rsidRPr="00F947D0" w:rsidRDefault="00913057" w:rsidP="00913057">
      <w:pPr>
        <w:jc w:val="center"/>
        <w:rPr>
          <w:rFonts w:ascii="Arial" w:hAnsi="Arial" w:cs="Arial"/>
          <w:b/>
          <w:bCs/>
          <w:sz w:val="52"/>
          <w:szCs w:val="52"/>
        </w:rPr>
      </w:pPr>
      <w:r w:rsidRPr="00F947D0">
        <w:rPr>
          <w:rFonts w:ascii="Arial" w:hAnsi="Arial" w:cs="Arial"/>
          <w:b/>
          <w:bCs/>
          <w:sz w:val="52"/>
          <w:szCs w:val="52"/>
        </w:rPr>
        <w:t>University of Wales Trinity Saint David</w:t>
      </w:r>
    </w:p>
    <w:p w14:paraId="5016C35D" w14:textId="77777777" w:rsidR="00913057" w:rsidRDefault="00913057" w:rsidP="00913057">
      <w:pPr>
        <w:rPr>
          <w:rFonts w:ascii="Arial" w:hAnsi="Arial" w:cs="Arial"/>
          <w:b/>
          <w:bCs/>
          <w:sz w:val="40"/>
          <w:szCs w:val="40"/>
          <w:u w:val="single"/>
        </w:rPr>
      </w:pPr>
    </w:p>
    <w:p w14:paraId="1451A98B" w14:textId="0839D05B" w:rsidR="00913057" w:rsidRDefault="00913057" w:rsidP="00913057">
      <w:pPr>
        <w:jc w:val="center"/>
        <w:rPr>
          <w:rFonts w:ascii="Arial" w:hAnsi="Arial" w:cs="Arial"/>
          <w:b/>
          <w:bCs/>
          <w:sz w:val="40"/>
          <w:szCs w:val="40"/>
          <w:u w:val="single"/>
        </w:rPr>
      </w:pPr>
      <w:r>
        <w:rPr>
          <w:rFonts w:ascii="Arial" w:hAnsi="Arial" w:cs="Arial"/>
          <w:b/>
          <w:bCs/>
          <w:sz w:val="40"/>
          <w:szCs w:val="40"/>
          <w:u w:val="single"/>
        </w:rPr>
        <w:t>Health, safety and Welfare assignment.</w:t>
      </w:r>
    </w:p>
    <w:p w14:paraId="1BE1FC69" w14:textId="77777777" w:rsidR="00913057" w:rsidRDefault="00913057" w:rsidP="00913057">
      <w:pPr>
        <w:rPr>
          <w:rFonts w:ascii="Arial" w:hAnsi="Arial" w:cs="Arial"/>
          <w:b/>
          <w:bCs/>
          <w:sz w:val="40"/>
          <w:szCs w:val="40"/>
          <w:u w:val="single"/>
        </w:rPr>
      </w:pPr>
    </w:p>
    <w:p w14:paraId="479D037D" w14:textId="77777777" w:rsidR="00913057" w:rsidRDefault="00913057" w:rsidP="00913057">
      <w:pPr>
        <w:jc w:val="center"/>
        <w:rPr>
          <w:rFonts w:ascii="Arial" w:eastAsia="Arial" w:hAnsi="Arial" w:cs="Arial"/>
          <w:sz w:val="32"/>
          <w:szCs w:val="32"/>
        </w:rPr>
      </w:pPr>
    </w:p>
    <w:p w14:paraId="6D9BA6DA" w14:textId="36F2AC8F" w:rsidR="00913057" w:rsidRDefault="00913057" w:rsidP="00913057">
      <w:pPr>
        <w:jc w:val="center"/>
        <w:rPr>
          <w:rFonts w:ascii="Arial" w:eastAsia="Arial" w:hAnsi="Arial" w:cs="Arial"/>
          <w:b/>
          <w:bCs/>
          <w:sz w:val="32"/>
          <w:szCs w:val="32"/>
        </w:rPr>
      </w:pPr>
      <w:r w:rsidRPr="790DDFBD">
        <w:rPr>
          <w:rFonts w:ascii="Arial" w:eastAsia="Arial" w:hAnsi="Arial" w:cs="Arial"/>
          <w:sz w:val="32"/>
          <w:szCs w:val="32"/>
        </w:rPr>
        <w:t xml:space="preserve">Written By: Ethan Perez Naidoo </w:t>
      </w:r>
      <w:r w:rsidRPr="790DDFBD">
        <w:rPr>
          <w:rFonts w:ascii="Arial" w:eastAsia="Arial" w:hAnsi="Arial" w:cs="Arial"/>
          <w:sz w:val="32"/>
          <w:szCs w:val="32"/>
        </w:rPr>
        <w:t>(2501814</w:t>
      </w:r>
      <w:r w:rsidRPr="790DDFBD">
        <w:rPr>
          <w:rFonts w:ascii="Arial" w:eastAsia="Arial" w:hAnsi="Arial" w:cs="Arial"/>
          <w:sz w:val="32"/>
          <w:szCs w:val="32"/>
        </w:rPr>
        <w:t>)</w:t>
      </w:r>
    </w:p>
    <w:p w14:paraId="075CEE3D" w14:textId="77777777" w:rsidR="00913057" w:rsidRDefault="00913057" w:rsidP="00913057">
      <w:pPr>
        <w:jc w:val="center"/>
        <w:rPr>
          <w:rFonts w:ascii="Arial" w:eastAsia="Arial" w:hAnsi="Arial" w:cs="Arial"/>
          <w:sz w:val="32"/>
          <w:szCs w:val="32"/>
        </w:rPr>
      </w:pPr>
      <w:r w:rsidRPr="790DDFBD">
        <w:rPr>
          <w:rFonts w:ascii="Arial" w:eastAsia="Arial" w:hAnsi="Arial" w:cs="Arial"/>
          <w:sz w:val="32"/>
          <w:szCs w:val="32"/>
        </w:rPr>
        <w:t>Course: Quantity Surveying (K241)</w:t>
      </w:r>
    </w:p>
    <w:p w14:paraId="132C4326" w14:textId="6F55CC68" w:rsidR="00913057" w:rsidRPr="004F58C1" w:rsidRDefault="00913057" w:rsidP="00913057">
      <w:pPr>
        <w:jc w:val="center"/>
        <w:rPr>
          <w:rFonts w:ascii="Arial" w:eastAsia="Arial" w:hAnsi="Arial" w:cs="Arial"/>
          <w:b/>
          <w:bCs/>
          <w:sz w:val="32"/>
          <w:szCs w:val="32"/>
        </w:rPr>
      </w:pPr>
      <w:r w:rsidRPr="790DDFBD">
        <w:rPr>
          <w:rFonts w:ascii="Arial" w:eastAsia="Arial" w:hAnsi="Arial" w:cs="Arial"/>
          <w:sz w:val="32"/>
          <w:szCs w:val="32"/>
        </w:rPr>
        <w:t>Module:</w:t>
      </w:r>
      <w:r>
        <w:rPr>
          <w:rFonts w:ascii="Arial" w:eastAsia="Arial" w:hAnsi="Arial" w:cs="Arial"/>
          <w:sz w:val="32"/>
          <w:szCs w:val="32"/>
        </w:rPr>
        <w:t xml:space="preserve"> Health, Safety and Welfare</w:t>
      </w:r>
      <w:r w:rsidRPr="790DDFBD">
        <w:rPr>
          <w:rFonts w:ascii="Arial" w:eastAsia="Arial" w:hAnsi="Arial" w:cs="Arial"/>
          <w:sz w:val="32"/>
          <w:szCs w:val="32"/>
        </w:rPr>
        <w:t xml:space="preserve"> (</w:t>
      </w:r>
      <w:r>
        <w:rPr>
          <w:rFonts w:ascii="Arial" w:eastAsia="Arial" w:hAnsi="Arial" w:cs="Arial"/>
          <w:sz w:val="32"/>
          <w:szCs w:val="32"/>
        </w:rPr>
        <w:t>ACBA4023)</w:t>
      </w:r>
    </w:p>
    <w:p w14:paraId="2418C9FF" w14:textId="14062F26" w:rsidR="00913057" w:rsidRDefault="00913057" w:rsidP="00913057">
      <w:pPr>
        <w:jc w:val="center"/>
        <w:rPr>
          <w:rFonts w:ascii="Arial" w:eastAsia="Arial" w:hAnsi="Arial" w:cs="Arial"/>
          <w:sz w:val="32"/>
          <w:szCs w:val="32"/>
        </w:rPr>
      </w:pPr>
      <w:r w:rsidRPr="790DDFBD">
        <w:rPr>
          <w:rFonts w:ascii="Arial" w:eastAsia="Arial" w:hAnsi="Arial" w:cs="Arial"/>
          <w:sz w:val="32"/>
          <w:szCs w:val="32"/>
        </w:rPr>
        <w:t xml:space="preserve">Lecturer: </w:t>
      </w:r>
      <w:r>
        <w:rPr>
          <w:rFonts w:ascii="Arial" w:eastAsia="Arial" w:hAnsi="Arial" w:cs="Arial"/>
          <w:sz w:val="32"/>
          <w:szCs w:val="32"/>
        </w:rPr>
        <w:t xml:space="preserve">Rhodri Thomas </w:t>
      </w:r>
    </w:p>
    <w:p w14:paraId="264F3B66" w14:textId="7E10AF1A" w:rsidR="00913057" w:rsidRDefault="00913057" w:rsidP="00913057">
      <w:pPr>
        <w:jc w:val="center"/>
        <w:rPr>
          <w:rFonts w:ascii="Arial" w:eastAsia="Arial" w:hAnsi="Arial" w:cs="Arial"/>
          <w:sz w:val="32"/>
          <w:szCs w:val="32"/>
        </w:rPr>
      </w:pPr>
      <w:r w:rsidRPr="790DDFBD">
        <w:rPr>
          <w:rFonts w:ascii="Arial" w:eastAsia="Arial" w:hAnsi="Arial" w:cs="Arial"/>
          <w:sz w:val="32"/>
          <w:szCs w:val="32"/>
        </w:rPr>
        <w:t xml:space="preserve">Due Date: </w:t>
      </w:r>
      <w:r>
        <w:rPr>
          <w:rFonts w:ascii="Arial" w:eastAsia="Arial" w:hAnsi="Arial" w:cs="Arial"/>
          <w:sz w:val="32"/>
          <w:szCs w:val="32"/>
        </w:rPr>
        <w:t>05/05</w:t>
      </w:r>
      <w:r w:rsidRPr="790DDFBD">
        <w:rPr>
          <w:rFonts w:ascii="Arial" w:eastAsia="Arial" w:hAnsi="Arial" w:cs="Arial"/>
          <w:sz w:val="32"/>
          <w:szCs w:val="32"/>
        </w:rPr>
        <w:t>/2025</w:t>
      </w:r>
    </w:p>
    <w:p w14:paraId="48A67E1D" w14:textId="77777777" w:rsidR="00913057" w:rsidRDefault="00913057" w:rsidP="00913057">
      <w:pPr>
        <w:jc w:val="center"/>
        <w:rPr>
          <w:rFonts w:ascii="Arial" w:eastAsia="Arial" w:hAnsi="Arial" w:cs="Arial"/>
          <w:sz w:val="32"/>
          <w:szCs w:val="32"/>
        </w:rPr>
      </w:pPr>
      <w:r>
        <w:rPr>
          <w:rFonts w:ascii="Arial" w:eastAsia="Arial" w:hAnsi="Arial" w:cs="Arial"/>
          <w:sz w:val="32"/>
          <w:szCs w:val="32"/>
        </w:rPr>
        <w:t>Declaration: Throughout the assignment I have not used any Artificial Intelligence to aid me.</w:t>
      </w:r>
    </w:p>
    <w:p w14:paraId="3640F202" w14:textId="77777777" w:rsidR="00913057" w:rsidRDefault="00913057" w:rsidP="00913057">
      <w:pPr>
        <w:rPr>
          <w:rFonts w:ascii="Arial" w:eastAsia="Arial" w:hAnsi="Arial" w:cs="Arial"/>
          <w:sz w:val="32"/>
          <w:szCs w:val="32"/>
        </w:rPr>
      </w:pPr>
      <w:r>
        <w:rPr>
          <w:rFonts w:ascii="Arial" w:eastAsia="Arial" w:hAnsi="Arial" w:cs="Arial"/>
          <w:sz w:val="32"/>
          <w:szCs w:val="32"/>
        </w:rPr>
        <w:br w:type="page"/>
      </w:r>
    </w:p>
    <w:p w14:paraId="4140D5C5" w14:textId="3B1A54D6" w:rsidR="00C73EE9" w:rsidRDefault="00EB737E">
      <w:pPr>
        <w:rPr>
          <w:b/>
          <w:bCs/>
          <w:sz w:val="32"/>
          <w:szCs w:val="32"/>
          <w:u w:val="single"/>
        </w:rPr>
      </w:pPr>
      <w:r>
        <w:rPr>
          <w:b/>
          <w:bCs/>
          <w:sz w:val="32"/>
          <w:szCs w:val="32"/>
          <w:u w:val="single"/>
        </w:rPr>
        <w:lastRenderedPageBreak/>
        <w:t>Considerations of Health and Safety for the Retrofit of Croft Street Block 2</w:t>
      </w:r>
    </w:p>
    <w:p w14:paraId="29C71023" w14:textId="57A66389" w:rsidR="00EB737E" w:rsidRDefault="00DD35A9">
      <w:pPr>
        <w:rPr>
          <w:b/>
          <w:bCs/>
          <w:sz w:val="28"/>
          <w:szCs w:val="28"/>
        </w:rPr>
      </w:pPr>
      <w:r>
        <w:rPr>
          <w:b/>
          <w:bCs/>
          <w:sz w:val="28"/>
          <w:szCs w:val="28"/>
        </w:rPr>
        <w:t>Aim:</w:t>
      </w:r>
    </w:p>
    <w:p w14:paraId="0DD1A660" w14:textId="152F7EF6" w:rsidR="000F4DA2" w:rsidRDefault="000F4DA2">
      <w:r>
        <w:t>This report aims to increase understanding of the health and safety risks associated with construction activities, focusing on the planned refurbishment of Croft Street Block 2, a high-rise residential building in Swanseea. It examines relevant legislation, outlines key legal requirements, and explains how safety regulations can be partially applied to ensure a safe working environment.</w:t>
      </w:r>
    </w:p>
    <w:p w14:paraId="0B1542B3" w14:textId="529C36AA" w:rsidR="000F4DA2" w:rsidRDefault="000F4DA2">
      <w:pPr>
        <w:rPr>
          <w:b/>
          <w:bCs/>
          <w:sz w:val="28"/>
          <w:szCs w:val="28"/>
        </w:rPr>
      </w:pPr>
      <w:r>
        <w:rPr>
          <w:b/>
          <w:bCs/>
          <w:sz w:val="28"/>
          <w:szCs w:val="28"/>
        </w:rPr>
        <w:t>Building safety Act and Building Safety Bill (Wales):</w:t>
      </w:r>
    </w:p>
    <w:p w14:paraId="246850E7" w14:textId="3672933E" w:rsidR="00043591" w:rsidRDefault="00043591" w:rsidP="00043591">
      <w:r w:rsidRPr="00043591">
        <w:t xml:space="preserve">The Building </w:t>
      </w:r>
      <w:r>
        <w:t>S</w:t>
      </w:r>
      <w:r w:rsidRPr="00043591">
        <w:t>afety Act 2022 and the Building Safety Bill (Wales)</w:t>
      </w:r>
      <w:r>
        <w:t xml:space="preserve"> are directly applicable to this project due to the building’s classification as a high-rise residential structure</w:t>
      </w:r>
      <w:r w:rsidRPr="00043591">
        <w:rPr>
          <w:rFonts w:ascii="Times New Roman" w:eastAsia="Times New Roman" w:hAnsi="Times New Roman" w:cs="Times New Roman"/>
          <w:kern w:val="0"/>
          <w:sz w:val="24"/>
          <w:szCs w:val="24"/>
          <w:lang w:eastAsia="en-GB"/>
          <w14:ligatures w14:val="none"/>
        </w:rPr>
        <w:t xml:space="preserve"> </w:t>
      </w:r>
      <w:r w:rsidRPr="00043591">
        <w:t>(“Building Safety (Wales) Bill | Senedd”)</w:t>
      </w:r>
      <w:r>
        <w:t>. These laws were introduced to improve safety standards, particularly following ma</w:t>
      </w:r>
      <w:r w:rsidR="00154EA9">
        <w:t>jor incidents involving building failures, and aim to ensure greater accountability and improved risk management.</w:t>
      </w:r>
    </w:p>
    <w:p w14:paraId="632E5C27" w14:textId="42049136" w:rsidR="00154EA9" w:rsidRDefault="00154EA9" w:rsidP="00154EA9">
      <w:r>
        <w:t>A key feature of these regulations is the introduction of clearly defined duty holder roles</w:t>
      </w:r>
      <w:r w:rsidRPr="00154EA9">
        <w:rPr>
          <w:rFonts w:ascii="Times New Roman" w:eastAsia="Times New Roman" w:hAnsi="Times New Roman" w:cs="Times New Roman"/>
          <w:kern w:val="0"/>
          <w:sz w:val="24"/>
          <w:szCs w:val="24"/>
          <w:lang w:eastAsia="en-GB"/>
          <w14:ligatures w14:val="none"/>
        </w:rPr>
        <w:t xml:space="preserve"> </w:t>
      </w:r>
      <w:r w:rsidRPr="00154EA9">
        <w:t>(“Building Safety (Wales) Bill: The Anticipated next Stage of Welsh Building Safety Reform”)</w:t>
      </w:r>
      <w:r>
        <w:t xml:space="preserve">. For this project, individuals must be assigned responsibility for managing risks associated with installing fire suppression systems, upgrading cladding, and refurbishing internal spaces. This ensures that safety </w:t>
      </w:r>
      <w:r w:rsidR="004E462D">
        <w:t>responsibilities and clearly allocated and monitored.</w:t>
      </w:r>
    </w:p>
    <w:p w14:paraId="73088A51" w14:textId="1100C973" w:rsidR="004E462D" w:rsidRDefault="004E462D" w:rsidP="00154EA9">
      <w:r>
        <w:t>Another important concept is the “golden thread” of information</w:t>
      </w:r>
      <w:r w:rsidRPr="004E462D">
        <w:rPr>
          <w:rFonts w:ascii="Times New Roman" w:eastAsia="Times New Roman" w:hAnsi="Times New Roman" w:cs="Times New Roman"/>
          <w:kern w:val="0"/>
          <w:sz w:val="24"/>
          <w:szCs w:val="24"/>
          <w:lang w:eastAsia="en-GB"/>
          <w14:ligatures w14:val="none"/>
        </w:rPr>
        <w:t xml:space="preserve"> </w:t>
      </w:r>
      <w:r w:rsidRPr="004E462D">
        <w:t>(“Building Safety Programme | GOV.WALES”)</w:t>
      </w:r>
      <w:r>
        <w:t xml:space="preserve">, which requires accurate records to be maintained throughout the </w:t>
      </w:r>
      <w:r w:rsidR="00642DFD">
        <w:t>building’s</w:t>
      </w:r>
      <w:r>
        <w:t xml:space="preserve"> </w:t>
      </w:r>
      <w:r w:rsidR="00642DFD">
        <w:t xml:space="preserve">lifecycle. During the retrofit, this would involve documenting materials used, fire safety </w:t>
      </w:r>
      <w:r w:rsidR="00A4375A">
        <w:t>measures installed, and inspection outcomes. This information is essential for future maintenance and safety management.</w:t>
      </w:r>
    </w:p>
    <w:p w14:paraId="7B728C6E" w14:textId="50AC3470" w:rsidR="0098219F" w:rsidRDefault="0098219F" w:rsidP="00154EA9">
      <w:r>
        <w:t>Fire safety requirements are particularly significant. The installation of sprinkler systems and external cladding must meet strict standards to prevent fire spread. Fore example, cladding materials must be tested and approved, and internal works must maintain fire compartmentation between flats.</w:t>
      </w:r>
    </w:p>
    <w:p w14:paraId="242FF0B0" w14:textId="39C38726" w:rsidR="0098219F" w:rsidRDefault="0098219F" w:rsidP="00154EA9">
      <w:r>
        <w:t>These legislative requirements also influence project planning, as developers must engage with regulatory bodies early and ensure ongoing compliance through inspections and reporting. Non-compliance could lead to serious consequences, including fin</w:t>
      </w:r>
      <w:r w:rsidR="00A51897">
        <w:t>ancial penalties and project delays.</w:t>
      </w:r>
    </w:p>
    <w:p w14:paraId="213DD7E6" w14:textId="6F2D1007" w:rsidR="00A51897" w:rsidRDefault="00A51897" w:rsidP="00154EA9">
      <w:r>
        <w:t>Overall, these laws promote a more preventative approach to building safety, ensuring that risks are addressed throughout the design, construction, and operational phases.</w:t>
      </w:r>
    </w:p>
    <w:p w14:paraId="4ABCD5E5" w14:textId="23A9B962" w:rsidR="00A51897" w:rsidRDefault="00A51897" w:rsidP="00154EA9">
      <w:pPr>
        <w:rPr>
          <w:b/>
          <w:bCs/>
          <w:sz w:val="28"/>
          <w:szCs w:val="28"/>
        </w:rPr>
      </w:pPr>
      <w:r>
        <w:rPr>
          <w:b/>
          <w:bCs/>
          <w:sz w:val="28"/>
          <w:szCs w:val="28"/>
        </w:rPr>
        <w:t>Relevant Health and Safety Legislation and Compliance</w:t>
      </w:r>
    </w:p>
    <w:p w14:paraId="2E79303B" w14:textId="6BCD5A87" w:rsidR="004419F0" w:rsidRDefault="004419F0" w:rsidP="004419F0">
      <w:r>
        <w:t>A number of health and safety laws apply to this construction project. One of the most important is the Health and Safety at Work etc. Act 1974, which requires employers to protect the health, safety and welfare of employees and anyone affected by their work</w:t>
      </w:r>
      <w:r w:rsidRPr="004419F0">
        <w:rPr>
          <w:rFonts w:ascii="Times New Roman" w:eastAsia="Times New Roman" w:hAnsi="Times New Roman" w:cs="Times New Roman"/>
          <w:kern w:val="0"/>
          <w:sz w:val="24"/>
          <w:szCs w:val="24"/>
          <w:lang w:eastAsia="en-GB"/>
          <w14:ligatures w14:val="none"/>
        </w:rPr>
        <w:t xml:space="preserve"> </w:t>
      </w:r>
      <w:r w:rsidRPr="004419F0">
        <w:t>(Health and safety Executive)</w:t>
      </w:r>
      <w:r>
        <w:t xml:space="preserve">. </w:t>
      </w:r>
    </w:p>
    <w:p w14:paraId="4808F91F" w14:textId="44F9E5D5" w:rsidR="004419F0" w:rsidRDefault="004419F0" w:rsidP="004419F0">
      <w:r>
        <w:lastRenderedPageBreak/>
        <w:t>To meet these obligations, managers must implement structured safety systems. This includes carrying out detailed risk assessment, preparing method statements, and ensuring that workers are competent and properly trained. For example, when installing kitchens and bathrooms, hazards such as lifting heavy materials, using tools, and exposure to dust must be carefully controlled.</w:t>
      </w:r>
    </w:p>
    <w:p w14:paraId="6DD67A3F" w14:textId="44F71B83" w:rsidR="003A4FA2" w:rsidRDefault="003A4FA2" w:rsidP="003A4FA2">
      <w:r>
        <w:t>The Working at Height Regulations 2005 is especially relevant due to the external works involved</w:t>
      </w:r>
      <w:r w:rsidRPr="003A4FA2">
        <w:rPr>
          <w:rFonts w:ascii="Times New Roman" w:eastAsia="Times New Roman" w:hAnsi="Times New Roman" w:cs="Times New Roman"/>
          <w:kern w:val="0"/>
          <w:sz w:val="24"/>
          <w:szCs w:val="24"/>
          <w:lang w:eastAsia="en-GB"/>
          <w14:ligatures w14:val="none"/>
        </w:rPr>
        <w:t xml:space="preserve"> </w:t>
      </w:r>
      <w:r w:rsidRPr="003A4FA2">
        <w:t>(admin)</w:t>
      </w:r>
      <w:r>
        <w:t>. Since working at height presents significant risks, appropriate control measures must be in place. Scaffolding must be erected safely and inspected regularly by qualified personnel. Inspections should occur before first use, weekly, and after severe weather conditions. Workers must also receive training and use protective equipment such as harnesses where necessary.</w:t>
      </w:r>
    </w:p>
    <w:p w14:paraId="03A8FDEB" w14:textId="2A2EF345" w:rsidR="003A4FA2" w:rsidRDefault="000646AA" w:rsidP="003A4FA2">
      <w:r>
        <w:t>The Control of Substances Hazardous to Health Regulations 2002 applies where workers may come into contact with harmful substances</w:t>
      </w:r>
      <w:r w:rsidRPr="000646AA">
        <w:rPr>
          <w:rFonts w:ascii="Times New Roman" w:eastAsia="Times New Roman" w:hAnsi="Times New Roman" w:cs="Times New Roman"/>
          <w:kern w:val="0"/>
          <w:sz w:val="24"/>
          <w:szCs w:val="24"/>
          <w:lang w:eastAsia="en-GB"/>
          <w14:ligatures w14:val="none"/>
        </w:rPr>
        <w:t xml:space="preserve"> </w:t>
      </w:r>
      <w:r w:rsidRPr="000646AA">
        <w:t>(HSE)</w:t>
      </w:r>
      <w:r>
        <w:t>. During the refurbishment, this could include dust, adhesives, and sealants. Employers must assess these risks, provide ventilation, and ensure appropriate PPE id used.</w:t>
      </w:r>
    </w:p>
    <w:p w14:paraId="553AE73B" w14:textId="16D2F4B6" w:rsidR="000646AA" w:rsidRDefault="000646AA" w:rsidP="000646AA">
      <w:r>
        <w:t>Manual handling risks are addressed under the Manual Handling Operations Regulations 1992</w:t>
      </w:r>
      <w:r w:rsidRPr="000646AA">
        <w:rPr>
          <w:rFonts w:ascii="Times New Roman" w:eastAsia="Times New Roman" w:hAnsi="Times New Roman" w:cs="Times New Roman"/>
          <w:kern w:val="0"/>
          <w:sz w:val="24"/>
          <w:szCs w:val="24"/>
          <w:lang w:eastAsia="en-GB"/>
          <w14:ligatures w14:val="none"/>
        </w:rPr>
        <w:t xml:space="preserve"> </w:t>
      </w:r>
      <w:r w:rsidRPr="000646AA">
        <w:t>(</w:t>
      </w:r>
      <w:hyperlink r:id="rId7" w:history="1">
        <w:r w:rsidRPr="007259DA">
          <w:rPr>
            <w:rStyle w:val="Hyperlink"/>
          </w:rPr>
          <w:t>femi@caringforcare.co.uk</w:t>
        </w:r>
      </w:hyperlink>
      <w:r w:rsidRPr="000646AA">
        <w:t>)</w:t>
      </w:r>
      <w:r>
        <w:t xml:space="preserve">. Tasks such as lifting kitchen units or bathroom fittings can lead to injuries if not managed correctly. To reduce these risks, managers </w:t>
      </w:r>
      <w:r w:rsidR="00D026F4">
        <w:t>should provide lifting aids, train workers, and redesign tasks where possible.</w:t>
      </w:r>
    </w:p>
    <w:p w14:paraId="50B4C32D" w14:textId="4617A33A" w:rsidR="00820504" w:rsidRDefault="00820504" w:rsidP="000646AA">
      <w:r>
        <w:t xml:space="preserve">The Provision and Use of Work Equipment regulations 1998 ensure that all equipment used on site is safe and suitable </w:t>
      </w:r>
      <w:r w:rsidRPr="003A4FA2">
        <w:t>(admin)</w:t>
      </w:r>
      <w:r>
        <w:t>. Tools must be maintained regularly and only operated by trained individuals.</w:t>
      </w:r>
    </w:p>
    <w:p w14:paraId="3436BB31" w14:textId="00A80316" w:rsidR="00820504" w:rsidRDefault="00820504" w:rsidP="000646AA">
      <w:r>
        <w:t xml:space="preserve">Welfare facilities are also a legal requirement under the Construction Regulation 2025 </w:t>
      </w:r>
      <w:r w:rsidRPr="000646AA">
        <w:t>(HSE)</w:t>
      </w:r>
      <w:r>
        <w:t>.</w:t>
      </w:r>
      <w:r w:rsidR="00E612D3">
        <w:t xml:space="preserve"> Workers must have access to clean toilets, washing facilities, rest areas, and drinking water. These provisions support both health and productivity.</w:t>
      </w:r>
    </w:p>
    <w:p w14:paraId="1BF51F3E" w14:textId="6A9AE3C7" w:rsidR="00E612D3" w:rsidRDefault="00E612D3" w:rsidP="000646AA">
      <w:r>
        <w:t>Traffic management is another important consideration, particularly in a residential setting. Safe systems must be introduced to separate vehicles and pedestrians, supported by clear signage and planned delivery schedules to minimise disruption.</w:t>
      </w:r>
    </w:p>
    <w:p w14:paraId="3DA8EED8" w14:textId="2EA489BE" w:rsidR="00E612D3" w:rsidRDefault="00E612D3" w:rsidP="000646AA">
      <w:r>
        <w:t>Training is essential to ensure compliance. Workers should hold appropriate certifications such CSCS cards, ongoing training should be provided through toolbox talks and site inductions. These measures help ensure that all personnel understand the risks and how to work safely.</w:t>
      </w:r>
    </w:p>
    <w:p w14:paraId="6E19E7C8" w14:textId="1A768E04" w:rsidR="00E612D3" w:rsidRDefault="00E612D3" w:rsidP="000646AA">
      <w:r>
        <w:t>In summary, effective compliance relies on planning. Training, supervision, and continuous monitoring of safety practices.</w:t>
      </w:r>
    </w:p>
    <w:p w14:paraId="27B17C37" w14:textId="75198F30" w:rsidR="00E612D3" w:rsidRDefault="00E612D3" w:rsidP="000646AA">
      <w:pPr>
        <w:rPr>
          <w:b/>
          <w:bCs/>
          <w:sz w:val="28"/>
          <w:szCs w:val="28"/>
        </w:rPr>
      </w:pPr>
      <w:r>
        <w:rPr>
          <w:b/>
          <w:bCs/>
          <w:sz w:val="28"/>
          <w:szCs w:val="28"/>
        </w:rPr>
        <w:t>Application of CDM regulations 2015</w:t>
      </w:r>
    </w:p>
    <w:p w14:paraId="23445012" w14:textId="0781DD03" w:rsidR="002027B6" w:rsidRDefault="00A22405" w:rsidP="000646AA">
      <w:r>
        <w:t>The Construction (Design and Management) regulations 2015 provide a structured approach to managing health and safety throughout construction projects. These regulations are particularly important for a complex retrofit such as Croft Street Block 2, where risks must be carefully controlled due to the high-rise environment and the presence of residents.</w:t>
      </w:r>
    </w:p>
    <w:p w14:paraId="0AD7FD69" w14:textId="78C3F4A0" w:rsidR="00A22405" w:rsidRDefault="00A22405" w:rsidP="000646AA">
      <w:r>
        <w:t xml:space="preserve">Under CDM, specific duty holders must be appointed, including the client, principal designer, and </w:t>
      </w:r>
      <w:r w:rsidR="00DB6E78">
        <w:t xml:space="preserve">principal </w:t>
      </w:r>
      <w:r>
        <w:t xml:space="preserve">contractor. Each role carries defined responsibilities. The client must ensure sufficient time, funding, and resources are allocated to manage health and safety effectively. The principal designer, and principal contractor. Each role carries defined responsibilities. The </w:t>
      </w:r>
      <w:r>
        <w:lastRenderedPageBreak/>
        <w:t xml:space="preserve">client must ensure sufficient time, funding, and resources are allocated to manage health and </w:t>
      </w:r>
      <w:r w:rsidR="00834A52">
        <w:t>safety</w:t>
      </w:r>
      <w:r>
        <w:t xml:space="preserve"> effectively. The principal designer is responsible for identifying, eliminating, or reducing risks during the design stage, while the principal contractor manages on-site safety and ensures that work is carried out in accordance with safe systems.</w:t>
      </w:r>
    </w:p>
    <w:p w14:paraId="766F6F17" w14:textId="6E92F685" w:rsidR="00834A52" w:rsidRDefault="00834A52" w:rsidP="000646AA">
      <w:r>
        <w:t>A requirement is the preparation of a Construction Phase Plan (CPP) before work begins. This document outlines how health and safety will be managed throughout the project. For example, the CPP would include site rules, emergency procedures, and control measures such as exclusion zones during cladding installation to protect workers and residents from falling materials.</w:t>
      </w:r>
    </w:p>
    <w:p w14:paraId="31757E35" w14:textId="6BE87461" w:rsidR="00834A52" w:rsidRDefault="00834A52" w:rsidP="000646AA">
      <w:r>
        <w:t>A central principle of CDM is the early identification and reduction of risks through design. The principal designer must consider how construction methods and materials can reduce hazards. For instance, specifying prefabricated cladding panels can reduce the amount of time workers spend at height, while choosing lighter materials for kitchens and bathrooms can minimise manual handling risks.</w:t>
      </w:r>
    </w:p>
    <w:p w14:paraId="32BAFB37" w14:textId="312A4762" w:rsidR="00834A52" w:rsidRDefault="00834A52" w:rsidP="000646AA">
      <w:r>
        <w:t xml:space="preserve">In addition, Risk Assessments and Method Statements (RAMS) must be developed for all key </w:t>
      </w:r>
      <w:r w:rsidR="009A0B65">
        <w:t>activities</w:t>
      </w:r>
      <w:r>
        <w:t xml:space="preserve">. These documents explain how tasks will be carried out safely. For example, when installing file sprinkler systems inside occupied flats, RAMS should address hazards such as </w:t>
      </w:r>
      <w:r w:rsidR="009A0B65">
        <w:t>confined</w:t>
      </w:r>
      <w:r>
        <w:t xml:space="preserve"> working spaces, potential water damage, and interaction with resident. Control </w:t>
      </w:r>
      <w:r w:rsidR="009A0B65">
        <w:t>measures</w:t>
      </w:r>
      <w:r>
        <w:t xml:space="preserve"> may include isolating work, scheduling tasks carefully, and using dust suppression methods.</w:t>
      </w:r>
    </w:p>
    <w:p w14:paraId="542B238F" w14:textId="0352F2D9" w:rsidR="009A0B65" w:rsidRDefault="009A0B65" w:rsidP="000646AA">
      <w:r>
        <w:t>Because this project involves an occupied residential building, protecting residents and the public is a critical consideration. Contractors must implement measures to prevent harm to non-workers. This includes establishing secure work zones, using clear signage, and controlling access to hazardous area. For example, ground-level exclusion zones should be used during external cladding works to prevent injury from falling debris. Communication with residents, such as advance notices and regular updates, is also essential to ensure awareness of ongoing risks.</w:t>
      </w:r>
    </w:p>
    <w:p w14:paraId="1660F0BB" w14:textId="1F915613" w:rsidR="009A0B65" w:rsidRDefault="009A0B65" w:rsidP="000646AA">
      <w:r>
        <w:t xml:space="preserve">Coordination between different contractors and trades is another </w:t>
      </w:r>
      <w:r w:rsidR="00DB6E78">
        <w:t>important</w:t>
      </w:r>
      <w:r>
        <w:t xml:space="preserve"> aspect of CDM compliance. Multiple activities, such as plumbing, electrical work, and cladding installation, may </w:t>
      </w:r>
      <w:r w:rsidR="00DB6E78">
        <w:t>occur</w:t>
      </w:r>
      <w:r>
        <w:t xml:space="preserve"> simultaneously. The principal contractor must plan sequence work carefully to avoid overcrowding and conflicting operations. For example, separating internal refurbishment works from external façade works can reduce congestion and improve overall site safety. Regular coordination meetings and clear communication channels help ensure that all parties are working safely and efficiently. </w:t>
      </w:r>
    </w:p>
    <w:p w14:paraId="46FE6147" w14:textId="31628220" w:rsidR="009A0B65" w:rsidRDefault="001F287F" w:rsidP="000646AA">
      <w:r>
        <w:t xml:space="preserve">Monitoring </w:t>
      </w:r>
      <w:r w:rsidR="00DB6E78">
        <w:t>supervisions</w:t>
      </w:r>
      <w:r>
        <w:t xml:space="preserve"> are essential to ensure that safety procedures are followed. Site managers should carry out regular inspections to identify hazards and confirm that control measures are effective. For example, scaffolding used </w:t>
      </w:r>
      <w:proofErr w:type="spellStart"/>
      <w:r>
        <w:t>foor</w:t>
      </w:r>
      <w:proofErr w:type="spellEnd"/>
      <w:r>
        <w:t xml:space="preserve"> cladding installation must be checked frequently to ensure it remains stable and compliant. Any defects must be reported and corrected immediately before work continues.</w:t>
      </w:r>
    </w:p>
    <w:p w14:paraId="59B83E24" w14:textId="1C610AF4" w:rsidR="001F287F" w:rsidRDefault="001F287F" w:rsidP="000646AA">
      <w:r>
        <w:t>The provision of adequate welfare facilities is also a requirement under CDM. Workers must have access to clean and well-maintained facilities, including toilets, handwashing stations, rest areas, and drinking water. These provisions are essential for maintaining worker health, wellbeing, and productivity.</w:t>
      </w:r>
    </w:p>
    <w:p w14:paraId="31901CD1" w14:textId="2FEF476A" w:rsidR="001F287F" w:rsidRDefault="001F287F" w:rsidP="000646AA">
      <w:r>
        <w:lastRenderedPageBreak/>
        <w:t xml:space="preserve">Emergency planning must be clearly defined within the Construction Phase Plan. Procedures should be in place for incidents such as fire, accidents, or structural hazards. In a high-rise building, this is particularly important, as evaluation routes may be </w:t>
      </w:r>
      <w:r w:rsidR="00DB6E78">
        <w:t>limited</w:t>
      </w:r>
      <w:r>
        <w:t>. Emergency exits must be clearly marker and kept free from obstruction, and workers should receive training on emergency procedures. Regular drills can help ensure that everyone on-site is prepared to respond effectively.</w:t>
      </w:r>
    </w:p>
    <w:p w14:paraId="4D23A517" w14:textId="04902A14" w:rsidR="001F287F" w:rsidRDefault="001F287F" w:rsidP="000646AA">
      <w:r>
        <w:t xml:space="preserve">Ensuring worker competence and training is another key requirement. All workers must have the appropriate skills, knowledge, and experience to carry out their tasks safely. This includes holding relevant qualifications, such as CSCS cards, and receiving site-specific inductions and ongoing training through toolbox talks. Effective supervision ensures that safely standards </w:t>
      </w:r>
      <w:r w:rsidR="00DB6E78">
        <w:t>are consistently maintained.</w:t>
      </w:r>
    </w:p>
    <w:p w14:paraId="1CE6A0EF" w14:textId="42DB209E" w:rsidR="00DB6E78" w:rsidRDefault="00DB6E78" w:rsidP="000646AA">
      <w:r>
        <w:t>Finally, at the completion of the project, a Health and Safety file must be prepared and handed over to the client. This document contains important information about the building, including details of installed systems, materials used, and any remaining risks. For Croft Street Block 2, this would include information on the fire sprinkler system, cladding materials, and maintenance requirements. This ensures that future work on the building can be carried out safely.</w:t>
      </w:r>
    </w:p>
    <w:p w14:paraId="657D9983" w14:textId="71057A98" w:rsidR="00DB6E78" w:rsidRDefault="00DB6E78" w:rsidP="000646AA">
      <w:r>
        <w:t>Overall, the application of CDM regulations to this project ensures that health and safety is considered at every stage, from design through to completion. By focusing on planning, coordination, and risk reduction, the project can be delivered in a way that protects both workers and residents while maintaining legal compliance.</w:t>
      </w:r>
    </w:p>
    <w:p w14:paraId="3FDC956C" w14:textId="77777777" w:rsidR="00834A52" w:rsidRDefault="00834A52" w:rsidP="000646AA"/>
    <w:p w14:paraId="611FF054" w14:textId="77777777" w:rsidR="00A22405" w:rsidRDefault="00A22405" w:rsidP="000646AA"/>
    <w:p w14:paraId="6CFDC143" w14:textId="209F25B1" w:rsidR="002027B6" w:rsidRPr="002027B6" w:rsidRDefault="002027B6" w:rsidP="000646AA">
      <w:pPr>
        <w:rPr>
          <w:b/>
          <w:bCs/>
          <w:u w:val="single"/>
        </w:rPr>
      </w:pPr>
      <w:r w:rsidRPr="002027B6">
        <w:rPr>
          <w:b/>
          <w:bCs/>
          <w:u w:val="single"/>
        </w:rPr>
        <w:t>Conclusion</w:t>
      </w:r>
    </w:p>
    <w:p w14:paraId="085CFB51" w14:textId="5189EDC1" w:rsidR="002027B6" w:rsidRDefault="002027B6" w:rsidP="000646AA">
      <w:r>
        <w:t>The refurbishment of Croft Street Block 2 involves significant health and safety challenges due to the complexity and scale of the work. The Building Safety Act and Building Safety (Wales) Bill introduce stricter requirements for managing building safety, particularly in high-rise structures.</w:t>
      </w:r>
    </w:p>
    <w:p w14:paraId="5A5E571C" w14:textId="4E2BC5E2" w:rsidR="002027B6" w:rsidRDefault="002027B6" w:rsidP="000646AA">
      <w:r>
        <w:t xml:space="preserve">Compliance with health and safety legislation requires </w:t>
      </w:r>
      <w:proofErr w:type="spellStart"/>
      <w:r>
        <w:t>cafeful</w:t>
      </w:r>
      <w:proofErr w:type="spellEnd"/>
      <w:r>
        <w:t xml:space="preserve"> planning, effective training, and strong management systems. The CDM Regulations provide a clear framework for managing risks throughout the project lifecycle, emphasising collaboration and prevention.</w:t>
      </w:r>
    </w:p>
    <w:p w14:paraId="17FC61E3" w14:textId="6031CC74" w:rsidR="002027B6" w:rsidRPr="00E612D3" w:rsidRDefault="002027B6" w:rsidP="000646AA">
      <w:r>
        <w:t>By applying these principles, the project can be completed safely, protecting both workers and residents while ensuring legal compliance.</w:t>
      </w:r>
    </w:p>
    <w:p w14:paraId="5886AAAF" w14:textId="77777777" w:rsidR="00364A1B" w:rsidRDefault="00364A1B" w:rsidP="000646AA">
      <w:pPr>
        <w:rPr>
          <w:b/>
          <w:bCs/>
          <w:sz w:val="28"/>
          <w:szCs w:val="28"/>
          <w:u w:val="single"/>
        </w:rPr>
      </w:pPr>
    </w:p>
    <w:p w14:paraId="08443659" w14:textId="77777777" w:rsidR="00364A1B" w:rsidRDefault="00364A1B" w:rsidP="000646AA">
      <w:pPr>
        <w:rPr>
          <w:b/>
          <w:bCs/>
          <w:sz w:val="28"/>
          <w:szCs w:val="28"/>
          <w:u w:val="single"/>
        </w:rPr>
      </w:pPr>
    </w:p>
    <w:p w14:paraId="742164D8" w14:textId="77777777" w:rsidR="00364A1B" w:rsidRDefault="00364A1B" w:rsidP="000646AA">
      <w:pPr>
        <w:rPr>
          <w:b/>
          <w:bCs/>
          <w:sz w:val="28"/>
          <w:szCs w:val="28"/>
          <w:u w:val="single"/>
        </w:rPr>
      </w:pPr>
    </w:p>
    <w:p w14:paraId="24850622" w14:textId="77777777" w:rsidR="00364A1B" w:rsidRDefault="00364A1B" w:rsidP="000646AA">
      <w:pPr>
        <w:rPr>
          <w:b/>
          <w:bCs/>
          <w:sz w:val="28"/>
          <w:szCs w:val="28"/>
          <w:u w:val="single"/>
        </w:rPr>
      </w:pPr>
    </w:p>
    <w:p w14:paraId="71432492" w14:textId="77777777" w:rsidR="00364A1B" w:rsidRDefault="00364A1B" w:rsidP="000646AA">
      <w:pPr>
        <w:rPr>
          <w:b/>
          <w:bCs/>
          <w:sz w:val="28"/>
          <w:szCs w:val="28"/>
          <w:u w:val="single"/>
        </w:rPr>
      </w:pPr>
    </w:p>
    <w:p w14:paraId="7FE8F7E4" w14:textId="77777777" w:rsidR="00364A1B" w:rsidRDefault="00364A1B" w:rsidP="000646AA">
      <w:pPr>
        <w:rPr>
          <w:b/>
          <w:bCs/>
          <w:sz w:val="28"/>
          <w:szCs w:val="28"/>
          <w:u w:val="single"/>
        </w:rPr>
      </w:pPr>
    </w:p>
    <w:p w14:paraId="7B5F3FF1" w14:textId="37DEF850" w:rsidR="00E612D3" w:rsidRDefault="00DB6E78" w:rsidP="000646AA">
      <w:pPr>
        <w:rPr>
          <w:b/>
          <w:bCs/>
          <w:sz w:val="28"/>
          <w:szCs w:val="28"/>
          <w:u w:val="single"/>
        </w:rPr>
      </w:pPr>
      <w:r w:rsidRPr="00DB6E78">
        <w:rPr>
          <w:b/>
          <w:bCs/>
          <w:sz w:val="28"/>
          <w:szCs w:val="28"/>
          <w:u w:val="single"/>
        </w:rPr>
        <w:lastRenderedPageBreak/>
        <w:t xml:space="preserve">Glossary </w:t>
      </w:r>
    </w:p>
    <w:p w14:paraId="7A12354E" w14:textId="46EFA8B0" w:rsidR="00DB6E78" w:rsidRDefault="00DB6E78" w:rsidP="000646AA">
      <w:r w:rsidRPr="00DB6E78">
        <w:t>CDM</w:t>
      </w:r>
      <w:r>
        <w:t xml:space="preserve"> (Construction Design Management Regulations)</w:t>
      </w:r>
    </w:p>
    <w:p w14:paraId="0499A4F2" w14:textId="622718E3" w:rsidR="00AC00D9" w:rsidRDefault="00AC00D9" w:rsidP="00AC00D9">
      <w:pPr>
        <w:pStyle w:val="ListParagraph"/>
        <w:numPr>
          <w:ilvl w:val="0"/>
          <w:numId w:val="3"/>
        </w:numPr>
      </w:pPr>
      <w:r>
        <w:t>UK regulations that set out the roles and responsibilities for managing health and safety on construction projects from design to completion.</w:t>
      </w:r>
    </w:p>
    <w:p w14:paraId="464636F4" w14:textId="26A17EF0" w:rsidR="00AC00D9" w:rsidRDefault="00AC00D9" w:rsidP="00AC00D9">
      <w:r>
        <w:t>CPP (Construction Phase Plan)</w:t>
      </w:r>
    </w:p>
    <w:p w14:paraId="4903F759" w14:textId="08A9FE4B" w:rsidR="00AC00D9" w:rsidRDefault="00AC00D9" w:rsidP="00AC00D9">
      <w:pPr>
        <w:pStyle w:val="ListParagraph"/>
        <w:numPr>
          <w:ilvl w:val="0"/>
          <w:numId w:val="3"/>
        </w:numPr>
      </w:pPr>
      <w:r>
        <w:t>A document prepared by the principal contractor outlining health and safety risks will be managed during the construction phase.</w:t>
      </w:r>
    </w:p>
    <w:p w14:paraId="52565369" w14:textId="483C6102" w:rsidR="00AC00D9" w:rsidRDefault="00AC00D9" w:rsidP="00AC00D9">
      <w:r>
        <w:t>RAMS (Risk Assessments and Method Statements)</w:t>
      </w:r>
    </w:p>
    <w:p w14:paraId="0B844F82" w14:textId="329C643C" w:rsidR="00AC00D9" w:rsidRDefault="00AC00D9" w:rsidP="00AC00D9">
      <w:pPr>
        <w:pStyle w:val="ListParagraph"/>
        <w:numPr>
          <w:ilvl w:val="0"/>
          <w:numId w:val="3"/>
        </w:numPr>
      </w:pPr>
      <w:r>
        <w:t>Documents that identify potential hazards and explain how work activities will be carried out safely.</w:t>
      </w:r>
    </w:p>
    <w:p w14:paraId="7DC82774" w14:textId="320D931B" w:rsidR="00AC00D9" w:rsidRDefault="00AC00D9" w:rsidP="00AC00D9">
      <w:r>
        <w:t>PPE (Personal Protective Equipment)</w:t>
      </w:r>
    </w:p>
    <w:p w14:paraId="4B71C9CA" w14:textId="0601E725" w:rsidR="00AC00D9" w:rsidRDefault="00AC00D9" w:rsidP="00AC00D9">
      <w:pPr>
        <w:pStyle w:val="ListParagraph"/>
        <w:numPr>
          <w:ilvl w:val="0"/>
          <w:numId w:val="3"/>
        </w:numPr>
      </w:pPr>
      <w:r>
        <w:t>Protective clothing and equipment such as helmets, gloves, and high-visibility clothing used to reduce risk of injury.</w:t>
      </w:r>
    </w:p>
    <w:p w14:paraId="1FBFF31E" w14:textId="2A5C693F" w:rsidR="00AC00D9" w:rsidRDefault="00AC00D9" w:rsidP="00AC00D9">
      <w:r>
        <w:t xml:space="preserve">COSHH (Control of Substances Hazardous to Health) </w:t>
      </w:r>
    </w:p>
    <w:p w14:paraId="7ACF0E2C" w14:textId="1B7396D4" w:rsidR="00AC00D9" w:rsidRDefault="00AC00D9" w:rsidP="00AC00D9">
      <w:pPr>
        <w:pStyle w:val="ListParagraph"/>
        <w:numPr>
          <w:ilvl w:val="0"/>
          <w:numId w:val="3"/>
        </w:numPr>
      </w:pPr>
      <w:r>
        <w:t>Regulations that require employers to control substances that can harm workers’ health.</w:t>
      </w:r>
    </w:p>
    <w:p w14:paraId="11E7000D" w14:textId="382DE623" w:rsidR="00AC00D9" w:rsidRDefault="00AC00D9" w:rsidP="00AC00D9">
      <w:r>
        <w:t>CSCS (Construction Skills Certification Scheme)</w:t>
      </w:r>
    </w:p>
    <w:p w14:paraId="5D154655" w14:textId="7D7F738D" w:rsidR="00AC00D9" w:rsidRDefault="00AC00D9" w:rsidP="00AC00D9">
      <w:pPr>
        <w:pStyle w:val="ListParagraph"/>
        <w:numPr>
          <w:ilvl w:val="0"/>
          <w:numId w:val="3"/>
        </w:numPr>
      </w:pPr>
      <w:r>
        <w:t>A certification scheme that proves workers have the required training and qualification for construction work.</w:t>
      </w:r>
    </w:p>
    <w:p w14:paraId="355692B6" w14:textId="407D02FB" w:rsidR="00AC00D9" w:rsidRDefault="00AC00D9" w:rsidP="00AC00D9">
      <w:r>
        <w:t>Principal Designer (PD)</w:t>
      </w:r>
    </w:p>
    <w:p w14:paraId="79AD5269" w14:textId="02330A70" w:rsidR="00364A1B" w:rsidRDefault="00364A1B" w:rsidP="00364A1B">
      <w:pPr>
        <w:pStyle w:val="ListParagraph"/>
        <w:numPr>
          <w:ilvl w:val="0"/>
          <w:numId w:val="3"/>
        </w:numPr>
      </w:pPr>
      <w:r>
        <w:t>The person or organisation responsible for planning, managing and coordinating health and safety during the design stage.</w:t>
      </w:r>
    </w:p>
    <w:p w14:paraId="62A53C42" w14:textId="1093A32A" w:rsidR="00AC00D9" w:rsidRDefault="00AC00D9" w:rsidP="00AC00D9">
      <w:r>
        <w:t>Principal Contractor (PC)</w:t>
      </w:r>
    </w:p>
    <w:p w14:paraId="682ABE6D" w14:textId="6305F90D" w:rsidR="00AC00D9" w:rsidRDefault="00364A1B" w:rsidP="00AC00D9">
      <w:pPr>
        <w:pStyle w:val="ListParagraph"/>
        <w:numPr>
          <w:ilvl w:val="0"/>
          <w:numId w:val="3"/>
        </w:numPr>
      </w:pPr>
      <w:r>
        <w:t>The contractor responsible for managing health and safety during the construction phase.</w:t>
      </w:r>
    </w:p>
    <w:p w14:paraId="3477EFE7" w14:textId="783B3BFE" w:rsidR="00364A1B" w:rsidRDefault="00364A1B" w:rsidP="00AC00D9">
      <w:r>
        <w:t>Client (CDM Role)</w:t>
      </w:r>
    </w:p>
    <w:p w14:paraId="53F6B06F" w14:textId="040E9AEB" w:rsidR="00364A1B" w:rsidRDefault="00364A1B" w:rsidP="00AC00D9">
      <w:pPr>
        <w:pStyle w:val="ListParagraph"/>
        <w:numPr>
          <w:ilvl w:val="0"/>
          <w:numId w:val="3"/>
        </w:numPr>
      </w:pPr>
      <w:r>
        <w:t>The organisation or individual commissioning the construction project, responsible for ensuring adequate resources and competent personnel are in place.</w:t>
      </w:r>
    </w:p>
    <w:p w14:paraId="3BE75669" w14:textId="1222968F" w:rsidR="00364A1B" w:rsidRDefault="00AC00D9" w:rsidP="00AC00D9">
      <w:r>
        <w:t xml:space="preserve">Duty Holder </w:t>
      </w:r>
    </w:p>
    <w:p w14:paraId="098DC374" w14:textId="04BE6DEE" w:rsidR="00AC00D9" w:rsidRDefault="00364A1B" w:rsidP="00AC00D9">
      <w:pPr>
        <w:pStyle w:val="ListParagraph"/>
        <w:numPr>
          <w:ilvl w:val="0"/>
          <w:numId w:val="3"/>
        </w:numPr>
      </w:pPr>
      <w:r>
        <w:t>Any individual or organisation with legal responsibility for health and safety under construction legislation</w:t>
      </w:r>
    </w:p>
    <w:p w14:paraId="4A1C2281" w14:textId="654CB6EA" w:rsidR="00AC00D9" w:rsidRDefault="00AC00D9" w:rsidP="00AC00D9">
      <w:r>
        <w:t>Golden Thread</w:t>
      </w:r>
    </w:p>
    <w:p w14:paraId="473DAC35" w14:textId="30F32BD0" w:rsidR="00AC00D9" w:rsidRDefault="00364A1B" w:rsidP="00AC00D9">
      <w:pPr>
        <w:pStyle w:val="ListParagraph"/>
        <w:numPr>
          <w:ilvl w:val="0"/>
          <w:numId w:val="3"/>
        </w:numPr>
      </w:pPr>
      <w:r>
        <w:t>A digital record of building information that is kept accurate and updated throughout the building’s lifecycle to ensure safety.</w:t>
      </w:r>
    </w:p>
    <w:p w14:paraId="179C21EA" w14:textId="7B6B84BE" w:rsidR="00364A1B" w:rsidRDefault="00364A1B" w:rsidP="00AC00D9">
      <w:r>
        <w:lastRenderedPageBreak/>
        <w:t>Building Safety Regulator (BSR)</w:t>
      </w:r>
    </w:p>
    <w:p w14:paraId="62A256EB" w14:textId="14DF72B9" w:rsidR="00364A1B" w:rsidRDefault="00364A1B" w:rsidP="00364A1B">
      <w:pPr>
        <w:pStyle w:val="ListParagraph"/>
        <w:numPr>
          <w:ilvl w:val="0"/>
          <w:numId w:val="3"/>
        </w:numPr>
      </w:pPr>
      <w:r>
        <w:t>The regulatory body responsible for overseeing the safety and performance of high-risk buildings in the UK</w:t>
      </w:r>
    </w:p>
    <w:p w14:paraId="769115F5" w14:textId="765435AD" w:rsidR="00364A1B" w:rsidRDefault="00364A1B" w:rsidP="00AC00D9">
      <w:r>
        <w:t xml:space="preserve">Safety Case Report </w:t>
      </w:r>
    </w:p>
    <w:p w14:paraId="27C90A31" w14:textId="754EEB71" w:rsidR="00364A1B" w:rsidRDefault="00364A1B" w:rsidP="00364A1B">
      <w:pPr>
        <w:pStyle w:val="ListParagraph"/>
        <w:numPr>
          <w:ilvl w:val="0"/>
          <w:numId w:val="3"/>
        </w:numPr>
      </w:pPr>
      <w:r>
        <w:t>A document required for high-risk buildings demonstrating how safety risks, particularly fire and structural risks, are being managed.</w:t>
      </w:r>
    </w:p>
    <w:p w14:paraId="12CF64AF" w14:textId="3956477F" w:rsidR="00364A1B" w:rsidRDefault="00364A1B" w:rsidP="00364A1B">
      <w:r>
        <w:t xml:space="preserve">Working at Height </w:t>
      </w:r>
    </w:p>
    <w:p w14:paraId="5DEECBAD" w14:textId="1ADB9E4A" w:rsidR="00364A1B" w:rsidRDefault="00364A1B" w:rsidP="00364A1B">
      <w:pPr>
        <w:pStyle w:val="ListParagraph"/>
        <w:numPr>
          <w:ilvl w:val="0"/>
          <w:numId w:val="3"/>
        </w:numPr>
      </w:pPr>
      <w:r>
        <w:t>Any work where there is a risk of falling that could cause injury, requiring control measures such as scaffolding, guardrails, or fall arrest systems</w:t>
      </w:r>
    </w:p>
    <w:p w14:paraId="0F15310F" w14:textId="3F59E41E" w:rsidR="00AC00D9" w:rsidRDefault="00AC00D9" w:rsidP="00AC00D9">
      <w:r>
        <w:t>Scaffolding Inspection</w:t>
      </w:r>
    </w:p>
    <w:p w14:paraId="3D6A5580" w14:textId="3D54B561" w:rsidR="00AC00D9" w:rsidRDefault="00364A1B" w:rsidP="00AC00D9">
      <w:pPr>
        <w:pStyle w:val="ListParagraph"/>
        <w:numPr>
          <w:ilvl w:val="0"/>
          <w:numId w:val="3"/>
        </w:numPr>
      </w:pPr>
      <w:r>
        <w:t>A formal check carried out by a competent person to ensure scaffolding is safe to use, typically required before use and at regular intervals.</w:t>
      </w:r>
    </w:p>
    <w:p w14:paraId="03E843AC" w14:textId="409AD162" w:rsidR="00AC00D9" w:rsidRDefault="00AC00D9" w:rsidP="00AC00D9">
      <w:r>
        <w:t>Manual Handling</w:t>
      </w:r>
    </w:p>
    <w:p w14:paraId="7B47E317" w14:textId="0C4F9563" w:rsidR="00364A1B" w:rsidRDefault="00364A1B" w:rsidP="00364A1B">
      <w:pPr>
        <w:pStyle w:val="ListParagraph"/>
        <w:numPr>
          <w:ilvl w:val="0"/>
          <w:numId w:val="3"/>
        </w:numPr>
      </w:pPr>
      <w:r>
        <w:t>The process of lifting, carrying, or moving items by hand, which can pose injury risks if not managed properly.</w:t>
      </w:r>
    </w:p>
    <w:p w14:paraId="0091903E" w14:textId="47879086" w:rsidR="00AC00D9" w:rsidRDefault="00AC00D9" w:rsidP="00AC00D9">
      <w:r>
        <w:t>Working at Height</w:t>
      </w:r>
    </w:p>
    <w:p w14:paraId="446608A4" w14:textId="52779845" w:rsidR="00AC00D9" w:rsidRDefault="00364A1B" w:rsidP="00AC00D9">
      <w:pPr>
        <w:pStyle w:val="ListParagraph"/>
        <w:numPr>
          <w:ilvl w:val="0"/>
          <w:numId w:val="3"/>
        </w:numPr>
      </w:pPr>
      <w:r>
        <w:t>Any work where a person could fall and be injured, requiring specific safety controls such as guardrails or harnesses.</w:t>
      </w:r>
    </w:p>
    <w:p w14:paraId="09EE91B0" w14:textId="0CFDB89F" w:rsidR="00AC00D9" w:rsidRDefault="00AC00D9" w:rsidP="00AC00D9">
      <w:r>
        <w:t xml:space="preserve">Welfare Facilities </w:t>
      </w:r>
    </w:p>
    <w:p w14:paraId="11EF0711" w14:textId="27556647" w:rsidR="00364A1B" w:rsidRDefault="00364A1B" w:rsidP="00364A1B">
      <w:pPr>
        <w:pStyle w:val="ListParagraph"/>
        <w:numPr>
          <w:ilvl w:val="0"/>
          <w:numId w:val="3"/>
        </w:numPr>
      </w:pPr>
      <w:r>
        <w:t>Basic amenities provided on-site, including toilets, washing facilities, rest area, and drinking water.</w:t>
      </w:r>
    </w:p>
    <w:p w14:paraId="548301AD" w14:textId="499866E3" w:rsidR="00CD3CAC" w:rsidRDefault="002E628D" w:rsidP="00CD3CAC">
      <w:r>
        <w:t>Fire Compartmentation</w:t>
      </w:r>
    </w:p>
    <w:p w14:paraId="1ED566B9" w14:textId="0F9C3B2D" w:rsidR="00CC71DA" w:rsidRDefault="00CC71DA" w:rsidP="00CC71DA">
      <w:pPr>
        <w:pStyle w:val="ListParagraph"/>
        <w:numPr>
          <w:ilvl w:val="0"/>
          <w:numId w:val="3"/>
        </w:numPr>
      </w:pPr>
      <w:r>
        <w:t>A fire safety measure that involves dividing a building into sections to prevent the spread of fire and smoke.</w:t>
      </w:r>
    </w:p>
    <w:p w14:paraId="566DD97B" w14:textId="1C786A08" w:rsidR="002E628D" w:rsidRDefault="002E628D" w:rsidP="00CD3CAC">
      <w:r>
        <w:t xml:space="preserve">Cladding System </w:t>
      </w:r>
    </w:p>
    <w:p w14:paraId="750A6FFD" w14:textId="2CBC195D" w:rsidR="00CC71DA" w:rsidRDefault="00CC71DA" w:rsidP="00CC71DA">
      <w:pPr>
        <w:pStyle w:val="ListParagraph"/>
        <w:numPr>
          <w:ilvl w:val="0"/>
          <w:numId w:val="3"/>
        </w:numPr>
      </w:pPr>
      <w:r>
        <w:t>External materials applied to improve insulation, weather resistance, and appearance, which must meet fire safety standards.</w:t>
      </w:r>
    </w:p>
    <w:p w14:paraId="567B04E0" w14:textId="7F25D6A8" w:rsidR="002E628D" w:rsidRDefault="002E628D" w:rsidP="00CD3CAC">
      <w:r>
        <w:t>Traffic Management Plan</w:t>
      </w:r>
    </w:p>
    <w:p w14:paraId="0FB2B624" w14:textId="7E9E574B" w:rsidR="00CC71DA" w:rsidRDefault="00771A97" w:rsidP="00CC71DA">
      <w:pPr>
        <w:pStyle w:val="ListParagraph"/>
        <w:numPr>
          <w:ilvl w:val="0"/>
          <w:numId w:val="3"/>
        </w:numPr>
      </w:pPr>
      <w:r>
        <w:t>A system used to control the movement of vehicles and pedestrians on-site to reduce the risk of accidents.</w:t>
      </w:r>
    </w:p>
    <w:p w14:paraId="0DB1ACDD" w14:textId="660661E3" w:rsidR="002E628D" w:rsidRDefault="002E628D" w:rsidP="00CD3CAC">
      <w:r>
        <w:t>Method Statement</w:t>
      </w:r>
    </w:p>
    <w:p w14:paraId="4678FAA9" w14:textId="5FE76911" w:rsidR="00771A97" w:rsidRDefault="00771A97" w:rsidP="00771A97">
      <w:pPr>
        <w:pStyle w:val="ListParagraph"/>
        <w:numPr>
          <w:ilvl w:val="0"/>
          <w:numId w:val="3"/>
        </w:numPr>
      </w:pPr>
      <w:r>
        <w:t>A step-by-step</w:t>
      </w:r>
      <w:r w:rsidR="004608C0">
        <w:t xml:space="preserve"> description of how a task will be carried out safely, often included within RAMS</w:t>
      </w:r>
    </w:p>
    <w:p w14:paraId="37CE4933" w14:textId="77777777" w:rsidR="00956ACD" w:rsidRDefault="00956ACD" w:rsidP="00CD3CAC"/>
    <w:p w14:paraId="20E5E32C" w14:textId="18D4D3CE" w:rsidR="002E628D" w:rsidRDefault="002E628D" w:rsidP="00CD3CAC">
      <w:r>
        <w:lastRenderedPageBreak/>
        <w:t>Compete</w:t>
      </w:r>
      <w:r w:rsidR="00CC71DA">
        <w:t>nt Person</w:t>
      </w:r>
    </w:p>
    <w:p w14:paraId="0C0F4D83" w14:textId="43871A2F" w:rsidR="00956ACD" w:rsidRDefault="00956ACD" w:rsidP="00956ACD">
      <w:pPr>
        <w:pStyle w:val="ListParagraph"/>
        <w:numPr>
          <w:ilvl w:val="0"/>
          <w:numId w:val="3"/>
        </w:numPr>
      </w:pPr>
      <w:r>
        <w:t>An individual with the necessary skills, knowledge, training, and experience to carry out a task safely.</w:t>
      </w:r>
    </w:p>
    <w:p w14:paraId="35D1C0AF" w14:textId="77777777" w:rsidR="004608C0" w:rsidRDefault="004608C0" w:rsidP="00CD3CAC"/>
    <w:p w14:paraId="751B541A" w14:textId="77777777" w:rsidR="00364A1B" w:rsidRDefault="00364A1B">
      <w:pPr>
        <w:rPr>
          <w:b/>
          <w:bCs/>
        </w:rPr>
      </w:pPr>
    </w:p>
    <w:p w14:paraId="6F94E586" w14:textId="12417B13" w:rsidR="00043591" w:rsidRDefault="00043591">
      <w:pPr>
        <w:rPr>
          <w:b/>
          <w:bCs/>
        </w:rPr>
      </w:pPr>
      <w:r w:rsidRPr="00043591">
        <w:rPr>
          <w:b/>
          <w:bCs/>
        </w:rPr>
        <w:t>Bibliography:</w:t>
      </w:r>
    </w:p>
    <w:p w14:paraId="041BAD0B" w14:textId="2EF757FB" w:rsidR="00290ECA" w:rsidRPr="00290ECA" w:rsidRDefault="00290ECA" w:rsidP="00290ECA">
      <w:pPr>
        <w:pStyle w:val="ListParagraph"/>
        <w:numPr>
          <w:ilvl w:val="0"/>
          <w:numId w:val="1"/>
        </w:numPr>
      </w:pPr>
      <w:r w:rsidRPr="00290ECA">
        <w:t xml:space="preserve">admin. “Health and Safety Toolkit | Health &amp; Safety Adviser.” </w:t>
      </w:r>
      <w:r w:rsidRPr="00290ECA">
        <w:rPr>
          <w:i/>
          <w:iCs/>
        </w:rPr>
        <w:t>Health &amp; Safety Adviser - Email Capture</w:t>
      </w:r>
      <w:r w:rsidRPr="00290ECA">
        <w:t xml:space="preserve">, 9 Apr. 2025, </w:t>
      </w:r>
      <w:hyperlink r:id="rId8" w:history="1">
        <w:r w:rsidRPr="007259DA">
          <w:rPr>
            <w:rStyle w:val="Hyperlink"/>
          </w:rPr>
          <w:t>www.safety-adviser.co.uk/lead/ed/working-at-height-regulations-</w:t>
        </w:r>
      </w:hyperlink>
      <w:r>
        <w:t xml:space="preserve"> </w:t>
      </w:r>
      <w:r w:rsidRPr="00290ECA">
        <w:t>2005/?affiliate=SEM_AGO_HSA_BNG_AGO_WAH2005_X&amp;msclkid=8e5aeb6702331ceb1f6a829d049b1da2. Accessed 5 May 2026.</w:t>
      </w:r>
    </w:p>
    <w:p w14:paraId="61ADA4BA" w14:textId="2433D53F" w:rsidR="00AC0563" w:rsidRDefault="00AC0563" w:rsidP="00AC0563">
      <w:pPr>
        <w:pStyle w:val="NormalWeb"/>
        <w:numPr>
          <w:ilvl w:val="0"/>
          <w:numId w:val="1"/>
        </w:numPr>
        <w:spacing w:before="0" w:beforeAutospacing="0" w:after="0" w:afterAutospacing="0" w:line="480" w:lineRule="auto"/>
      </w:pPr>
      <w:r>
        <w:t xml:space="preserve">“Building Safety (Wales) Bill | Senedd.” </w:t>
      </w:r>
      <w:r>
        <w:rPr>
          <w:i/>
          <w:iCs/>
        </w:rPr>
        <w:t>Senedd.wales</w:t>
      </w:r>
      <w:r>
        <w:t xml:space="preserve">, 7 July 2025, </w:t>
      </w:r>
      <w:hyperlink r:id="rId9" w:history="1">
        <w:r w:rsidR="00FD3C75" w:rsidRPr="007259DA">
          <w:rPr>
            <w:rStyle w:val="Hyperlink"/>
          </w:rPr>
          <w:t>www.</w:t>
        </w:r>
        <w:r w:rsidR="00FD3C75" w:rsidRPr="007259DA">
          <w:rPr>
            <w:rStyle w:val="Hyperlink"/>
          </w:rPr>
          <w:t>business.senedd.wales/mgIssueHistoryHome.aspx?IId=4614</w:t>
        </w:r>
        <w:r w:rsidR="00FD3C75" w:rsidRPr="007259DA">
          <w:rPr>
            <w:rStyle w:val="Hyperlink"/>
          </w:rPr>
          <w:t>1</w:t>
        </w:r>
      </w:hyperlink>
      <w:r w:rsidR="00FD3C75">
        <w:t xml:space="preserve"> </w:t>
      </w:r>
      <w:r>
        <w:t>.</w:t>
      </w:r>
    </w:p>
    <w:p w14:paraId="681A098C" w14:textId="71F40BAF" w:rsidR="00FD3C75" w:rsidRDefault="00FD3C75" w:rsidP="00FD3C75">
      <w:pPr>
        <w:pStyle w:val="NormalWeb"/>
        <w:numPr>
          <w:ilvl w:val="0"/>
          <w:numId w:val="1"/>
        </w:numPr>
        <w:spacing w:before="0" w:beforeAutospacing="0" w:after="0" w:afterAutospacing="0" w:line="480" w:lineRule="auto"/>
      </w:pPr>
      <w:r>
        <w:t xml:space="preserve">“Building Safety (Wales) Bill: The Anticipated next Stage of Welsh Building Safety Reform.” </w:t>
      </w:r>
      <w:proofErr w:type="spellStart"/>
      <w:r>
        <w:rPr>
          <w:i/>
          <w:iCs/>
        </w:rPr>
        <w:t>Cms.law</w:t>
      </w:r>
      <w:proofErr w:type="spellEnd"/>
      <w:r>
        <w:t xml:space="preserve">, CMS </w:t>
      </w:r>
      <w:proofErr w:type="spellStart"/>
      <w:r>
        <w:t>Law.Tax</w:t>
      </w:r>
      <w:proofErr w:type="spellEnd"/>
      <w:r>
        <w:t xml:space="preserve">, 2026, </w:t>
      </w:r>
      <w:hyperlink r:id="rId10" w:history="1">
        <w:r w:rsidR="00D922F9" w:rsidRPr="007259DA">
          <w:rPr>
            <w:rStyle w:val="Hyperlink"/>
          </w:rPr>
          <w:t>www.</w:t>
        </w:r>
        <w:r w:rsidR="00D922F9" w:rsidRPr="007259DA">
          <w:rPr>
            <w:rStyle w:val="Hyperlink"/>
          </w:rPr>
          <w:t>cms.law/en/gbr/legal-updates/building-safety-wales-bill-the-anticipated-next-stage-of-welsh-building-safety-reform</w:t>
        </w:r>
      </w:hyperlink>
      <w:r w:rsidR="00D922F9">
        <w:t xml:space="preserve"> </w:t>
      </w:r>
      <w:r>
        <w:t>. Accessed 5 May 2026.</w:t>
      </w:r>
    </w:p>
    <w:p w14:paraId="562E180D" w14:textId="5CB469C3" w:rsidR="00D922F9" w:rsidRDefault="00D922F9" w:rsidP="00D922F9">
      <w:pPr>
        <w:pStyle w:val="NormalWeb"/>
        <w:numPr>
          <w:ilvl w:val="0"/>
          <w:numId w:val="1"/>
        </w:numPr>
        <w:spacing w:before="0" w:beforeAutospacing="0" w:after="0" w:afterAutospacing="0" w:line="480" w:lineRule="auto"/>
      </w:pPr>
      <w:r>
        <w:t xml:space="preserve">“Building Safety Programme | GOV.WALES.” </w:t>
      </w:r>
      <w:r>
        <w:rPr>
          <w:i/>
          <w:iCs/>
        </w:rPr>
        <w:t>GOV.WALES</w:t>
      </w:r>
      <w:r>
        <w:t xml:space="preserve">, 23 Oct. 2025, </w:t>
      </w:r>
      <w:hyperlink r:id="rId11" w:history="1">
        <w:r w:rsidRPr="007259DA">
          <w:rPr>
            <w:rStyle w:val="Hyperlink"/>
          </w:rPr>
          <w:t>www.gov.wales/building-safety-programme</w:t>
        </w:r>
      </w:hyperlink>
      <w:r>
        <w:t xml:space="preserve"> </w:t>
      </w:r>
      <w:r>
        <w:t>.</w:t>
      </w:r>
    </w:p>
    <w:p w14:paraId="673FE09E" w14:textId="7CF26288" w:rsidR="00B75F54" w:rsidRDefault="00B75F54" w:rsidP="00B75F54">
      <w:pPr>
        <w:pStyle w:val="NormalWeb"/>
        <w:numPr>
          <w:ilvl w:val="0"/>
          <w:numId w:val="1"/>
        </w:numPr>
        <w:spacing w:before="0" w:beforeAutospacing="0" w:after="0" w:afterAutospacing="0" w:line="480" w:lineRule="auto"/>
      </w:pPr>
      <w:r>
        <w:t xml:space="preserve">femi@caringforcare.co.uk. “Manual Handling Operations Regulations.” </w:t>
      </w:r>
      <w:r>
        <w:rPr>
          <w:i/>
          <w:iCs/>
        </w:rPr>
        <w:t>Caring for Care</w:t>
      </w:r>
      <w:r>
        <w:t>, 25 Feb. 2025,</w:t>
      </w:r>
      <w:r w:rsidR="00CB272A">
        <w:t xml:space="preserve"> </w:t>
      </w:r>
      <w:hyperlink r:id="rId12" w:history="1">
        <w:r w:rsidR="00CB272A" w:rsidRPr="007259DA">
          <w:rPr>
            <w:rStyle w:val="Hyperlink"/>
          </w:rPr>
          <w:t>www.</w:t>
        </w:r>
        <w:r w:rsidR="00CB272A" w:rsidRPr="007259DA">
          <w:rPr>
            <w:rStyle w:val="Hyperlink"/>
          </w:rPr>
          <w:t>caringforcare.co.uk/mhor/</w:t>
        </w:r>
      </w:hyperlink>
      <w:r w:rsidR="00CB272A">
        <w:t xml:space="preserve"> </w:t>
      </w:r>
      <w:r>
        <w:t>.</w:t>
      </w:r>
    </w:p>
    <w:p w14:paraId="76AA92F9" w14:textId="50071419" w:rsidR="00FA6928" w:rsidRDefault="00FA6928" w:rsidP="00FA6928">
      <w:pPr>
        <w:pStyle w:val="NormalWeb"/>
        <w:numPr>
          <w:ilvl w:val="0"/>
          <w:numId w:val="1"/>
        </w:numPr>
        <w:spacing w:before="0" w:beforeAutospacing="0" w:after="0" w:afterAutospacing="0" w:line="480" w:lineRule="auto"/>
      </w:pPr>
      <w:r>
        <w:t xml:space="preserve">Health and safety Executive. “Health and Safety at Work Act 1974.” </w:t>
      </w:r>
      <w:r>
        <w:rPr>
          <w:i/>
          <w:iCs/>
        </w:rPr>
        <w:t>Hse.gov.uk</w:t>
      </w:r>
      <w:r>
        <w:t xml:space="preserve">, Health and Safety Executive, 2024, </w:t>
      </w:r>
      <w:hyperlink r:id="rId13" w:history="1">
        <w:r w:rsidRPr="007259DA">
          <w:rPr>
            <w:rStyle w:val="Hyperlink"/>
          </w:rPr>
          <w:t>www.hse.gov.uk/legislation/hswa.htm</w:t>
        </w:r>
      </w:hyperlink>
      <w:r>
        <w:t xml:space="preserve"> </w:t>
      </w:r>
      <w:r>
        <w:t>.</w:t>
      </w:r>
    </w:p>
    <w:p w14:paraId="5161938D" w14:textId="25AD0D93" w:rsidR="00C70EA4" w:rsidRDefault="00C70EA4" w:rsidP="00C70EA4">
      <w:pPr>
        <w:pStyle w:val="NormalWeb"/>
        <w:numPr>
          <w:ilvl w:val="0"/>
          <w:numId w:val="1"/>
        </w:numPr>
        <w:spacing w:before="0" w:beforeAutospacing="0" w:after="0" w:afterAutospacing="0" w:line="480" w:lineRule="auto"/>
      </w:pPr>
      <w:r>
        <w:t xml:space="preserve">HSE. “Control of Substances Hazardous to Health (COSHH) - Health and Safety Topics in Cleaning.” </w:t>
      </w:r>
      <w:r>
        <w:rPr>
          <w:i/>
          <w:iCs/>
        </w:rPr>
        <w:t>Hse.gov.uk</w:t>
      </w:r>
      <w:r>
        <w:t xml:space="preserve">, 2024, </w:t>
      </w:r>
      <w:hyperlink r:id="rId14" w:history="1">
        <w:r w:rsidRPr="007259DA">
          <w:rPr>
            <w:rStyle w:val="Hyperlink"/>
          </w:rPr>
          <w:t>www.hse.gov.uk/cleaning/topics/coshh.htm</w:t>
        </w:r>
      </w:hyperlink>
      <w:r>
        <w:t xml:space="preserve"> </w:t>
      </w:r>
      <w:r>
        <w:t>.</w:t>
      </w:r>
    </w:p>
    <w:p w14:paraId="0C406228" w14:textId="77777777" w:rsidR="00043591" w:rsidRPr="00043591" w:rsidRDefault="00043591" w:rsidP="00C70EA4">
      <w:pPr>
        <w:pStyle w:val="ListParagraph"/>
      </w:pPr>
    </w:p>
    <w:sectPr w:rsidR="00043591" w:rsidRPr="0004359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57821" w14:textId="77777777" w:rsidR="00B45955" w:rsidRDefault="00B45955" w:rsidP="00043591">
      <w:pPr>
        <w:spacing w:after="0" w:line="240" w:lineRule="auto"/>
      </w:pPr>
      <w:r>
        <w:separator/>
      </w:r>
    </w:p>
  </w:endnote>
  <w:endnote w:type="continuationSeparator" w:id="0">
    <w:p w14:paraId="1873146A" w14:textId="77777777" w:rsidR="00B45955" w:rsidRDefault="00B45955" w:rsidP="00043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AFD3" w14:textId="77777777" w:rsidR="00043591" w:rsidRDefault="00043591">
    <w:pPr>
      <w:pStyle w:val="Footer"/>
    </w:pPr>
  </w:p>
  <w:p w14:paraId="6C561C37" w14:textId="77777777" w:rsidR="00043591" w:rsidRDefault="00043591">
    <w:pPr>
      <w:pStyle w:val="Footer"/>
    </w:pPr>
  </w:p>
  <w:p w14:paraId="1A9E746B" w14:textId="77777777" w:rsidR="00043591" w:rsidRDefault="00043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218A5" w14:textId="77777777" w:rsidR="00B45955" w:rsidRDefault="00B45955" w:rsidP="00043591">
      <w:pPr>
        <w:spacing w:after="0" w:line="240" w:lineRule="auto"/>
      </w:pPr>
      <w:r>
        <w:separator/>
      </w:r>
    </w:p>
  </w:footnote>
  <w:footnote w:type="continuationSeparator" w:id="0">
    <w:p w14:paraId="4607084B" w14:textId="77777777" w:rsidR="00B45955" w:rsidRDefault="00B45955" w:rsidP="00043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01332"/>
    <w:multiLevelType w:val="hybridMultilevel"/>
    <w:tmpl w:val="B3206E5E"/>
    <w:lvl w:ilvl="0" w:tplc="BA8C0E1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A55BF"/>
    <w:multiLevelType w:val="hybridMultilevel"/>
    <w:tmpl w:val="F9A60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536CC7"/>
    <w:multiLevelType w:val="hybridMultilevel"/>
    <w:tmpl w:val="D8A00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6702676">
    <w:abstractNumId w:val="2"/>
  </w:num>
  <w:num w:numId="2" w16cid:durableId="1699159033">
    <w:abstractNumId w:val="0"/>
  </w:num>
  <w:num w:numId="3" w16cid:durableId="1589117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57"/>
    <w:rsid w:val="00043591"/>
    <w:rsid w:val="000646AA"/>
    <w:rsid w:val="000F4DA2"/>
    <w:rsid w:val="00154EA9"/>
    <w:rsid w:val="001740CF"/>
    <w:rsid w:val="001F287F"/>
    <w:rsid w:val="002027B6"/>
    <w:rsid w:val="00281A5E"/>
    <w:rsid w:val="00290ECA"/>
    <w:rsid w:val="002E628D"/>
    <w:rsid w:val="00364A1B"/>
    <w:rsid w:val="003A4FA2"/>
    <w:rsid w:val="00432064"/>
    <w:rsid w:val="004419F0"/>
    <w:rsid w:val="004608C0"/>
    <w:rsid w:val="004E462D"/>
    <w:rsid w:val="004F4A4C"/>
    <w:rsid w:val="00642DFD"/>
    <w:rsid w:val="00771A97"/>
    <w:rsid w:val="00820504"/>
    <w:rsid w:val="00834A52"/>
    <w:rsid w:val="00913057"/>
    <w:rsid w:val="00956ACD"/>
    <w:rsid w:val="0098219F"/>
    <w:rsid w:val="009A0B65"/>
    <w:rsid w:val="00A22405"/>
    <w:rsid w:val="00A4375A"/>
    <w:rsid w:val="00A51897"/>
    <w:rsid w:val="00AC00D9"/>
    <w:rsid w:val="00AC0563"/>
    <w:rsid w:val="00AD574D"/>
    <w:rsid w:val="00B45955"/>
    <w:rsid w:val="00B75F54"/>
    <w:rsid w:val="00C70EA4"/>
    <w:rsid w:val="00C73EE9"/>
    <w:rsid w:val="00CB272A"/>
    <w:rsid w:val="00CC71DA"/>
    <w:rsid w:val="00CD3CAC"/>
    <w:rsid w:val="00D026F4"/>
    <w:rsid w:val="00D922F9"/>
    <w:rsid w:val="00DB6E78"/>
    <w:rsid w:val="00DD35A9"/>
    <w:rsid w:val="00E612D3"/>
    <w:rsid w:val="00EB737E"/>
    <w:rsid w:val="00EE2407"/>
    <w:rsid w:val="00FA6928"/>
    <w:rsid w:val="00FD3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8AE7"/>
  <w15:chartTrackingRefBased/>
  <w15:docId w15:val="{F16A524D-FE09-40DB-BD5D-8EFFC8D20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057"/>
  </w:style>
  <w:style w:type="paragraph" w:styleId="Heading1">
    <w:name w:val="heading 1"/>
    <w:basedOn w:val="Normal"/>
    <w:next w:val="Normal"/>
    <w:link w:val="Heading1Char"/>
    <w:uiPriority w:val="9"/>
    <w:qFormat/>
    <w:rsid w:val="00913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0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0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0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0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0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0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0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0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0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0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057"/>
    <w:rPr>
      <w:rFonts w:eastAsiaTheme="majorEastAsia" w:cstheme="majorBidi"/>
      <w:color w:val="272727" w:themeColor="text1" w:themeTint="D8"/>
    </w:rPr>
  </w:style>
  <w:style w:type="paragraph" w:styleId="Title">
    <w:name w:val="Title"/>
    <w:basedOn w:val="Normal"/>
    <w:next w:val="Normal"/>
    <w:link w:val="TitleChar"/>
    <w:uiPriority w:val="10"/>
    <w:qFormat/>
    <w:rsid w:val="00913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057"/>
    <w:pPr>
      <w:spacing w:before="160"/>
      <w:jc w:val="center"/>
    </w:pPr>
    <w:rPr>
      <w:i/>
      <w:iCs/>
      <w:color w:val="404040" w:themeColor="text1" w:themeTint="BF"/>
    </w:rPr>
  </w:style>
  <w:style w:type="character" w:customStyle="1" w:styleId="QuoteChar">
    <w:name w:val="Quote Char"/>
    <w:basedOn w:val="DefaultParagraphFont"/>
    <w:link w:val="Quote"/>
    <w:uiPriority w:val="29"/>
    <w:rsid w:val="00913057"/>
    <w:rPr>
      <w:i/>
      <w:iCs/>
      <w:color w:val="404040" w:themeColor="text1" w:themeTint="BF"/>
    </w:rPr>
  </w:style>
  <w:style w:type="paragraph" w:styleId="ListParagraph">
    <w:name w:val="List Paragraph"/>
    <w:basedOn w:val="Normal"/>
    <w:uiPriority w:val="34"/>
    <w:qFormat/>
    <w:rsid w:val="00913057"/>
    <w:pPr>
      <w:ind w:left="720"/>
      <w:contextualSpacing/>
    </w:pPr>
  </w:style>
  <w:style w:type="character" w:styleId="IntenseEmphasis">
    <w:name w:val="Intense Emphasis"/>
    <w:basedOn w:val="DefaultParagraphFont"/>
    <w:uiPriority w:val="21"/>
    <w:qFormat/>
    <w:rsid w:val="00913057"/>
    <w:rPr>
      <w:i/>
      <w:iCs/>
      <w:color w:val="0F4761" w:themeColor="accent1" w:themeShade="BF"/>
    </w:rPr>
  </w:style>
  <w:style w:type="paragraph" w:styleId="IntenseQuote">
    <w:name w:val="Intense Quote"/>
    <w:basedOn w:val="Normal"/>
    <w:next w:val="Normal"/>
    <w:link w:val="IntenseQuoteChar"/>
    <w:uiPriority w:val="30"/>
    <w:qFormat/>
    <w:rsid w:val="00913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057"/>
    <w:rPr>
      <w:i/>
      <w:iCs/>
      <w:color w:val="0F4761" w:themeColor="accent1" w:themeShade="BF"/>
    </w:rPr>
  </w:style>
  <w:style w:type="character" w:styleId="IntenseReference">
    <w:name w:val="Intense Reference"/>
    <w:basedOn w:val="DefaultParagraphFont"/>
    <w:uiPriority w:val="32"/>
    <w:qFormat/>
    <w:rsid w:val="00913057"/>
    <w:rPr>
      <w:b/>
      <w:bCs/>
      <w:smallCaps/>
      <w:color w:val="0F4761" w:themeColor="accent1" w:themeShade="BF"/>
      <w:spacing w:val="5"/>
    </w:rPr>
  </w:style>
  <w:style w:type="paragraph" w:styleId="Header">
    <w:name w:val="header"/>
    <w:basedOn w:val="Normal"/>
    <w:link w:val="HeaderChar"/>
    <w:uiPriority w:val="99"/>
    <w:unhideWhenUsed/>
    <w:rsid w:val="00043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591"/>
  </w:style>
  <w:style w:type="paragraph" w:styleId="Footer">
    <w:name w:val="footer"/>
    <w:basedOn w:val="Normal"/>
    <w:link w:val="FooterChar"/>
    <w:uiPriority w:val="99"/>
    <w:unhideWhenUsed/>
    <w:rsid w:val="00043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591"/>
  </w:style>
  <w:style w:type="character" w:styleId="Hyperlink">
    <w:name w:val="Hyperlink"/>
    <w:basedOn w:val="DefaultParagraphFont"/>
    <w:uiPriority w:val="99"/>
    <w:unhideWhenUsed/>
    <w:rsid w:val="00043591"/>
    <w:rPr>
      <w:color w:val="467886" w:themeColor="hyperlink"/>
      <w:u w:val="single"/>
    </w:rPr>
  </w:style>
  <w:style w:type="character" w:styleId="UnresolvedMention">
    <w:name w:val="Unresolved Mention"/>
    <w:basedOn w:val="DefaultParagraphFont"/>
    <w:uiPriority w:val="99"/>
    <w:semiHidden/>
    <w:unhideWhenUsed/>
    <w:rsid w:val="00043591"/>
    <w:rPr>
      <w:color w:val="605E5C"/>
      <w:shd w:val="clear" w:color="auto" w:fill="E1DFDD"/>
    </w:rPr>
  </w:style>
  <w:style w:type="paragraph" w:styleId="NormalWeb">
    <w:name w:val="Normal (Web)"/>
    <w:basedOn w:val="Normal"/>
    <w:uiPriority w:val="99"/>
    <w:semiHidden/>
    <w:unhideWhenUsed/>
    <w:rsid w:val="00154E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fety-adviser.co.uk/lead/ed/working-at-height-regulations-" TargetMode="External"/><Relationship Id="rId13" Type="http://schemas.openxmlformats.org/officeDocument/2006/relationships/hyperlink" Target="http://www.hse.gov.uk/legislation/hswa.htm" TargetMode="External"/><Relationship Id="rId3" Type="http://schemas.openxmlformats.org/officeDocument/2006/relationships/settings" Target="settings.xml"/><Relationship Id="rId7" Type="http://schemas.openxmlformats.org/officeDocument/2006/relationships/hyperlink" Target="mailto:femi@caringforcare.co.uk" TargetMode="External"/><Relationship Id="rId12" Type="http://schemas.openxmlformats.org/officeDocument/2006/relationships/hyperlink" Target="http://www.caringforcare.co.uk/mho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wales/building-safety-programm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ms.law/en/gbr/legal-updates/building-safety-wales-bill-the-anticipated-next-stage-of-welsh-building-safety-reform" TargetMode="External"/><Relationship Id="rId4" Type="http://schemas.openxmlformats.org/officeDocument/2006/relationships/webSettings" Target="webSettings.xml"/><Relationship Id="rId9" Type="http://schemas.openxmlformats.org/officeDocument/2006/relationships/hyperlink" Target="http://www.business.senedd.wales/mgIssueHistoryHome.aspx?IId=46141" TargetMode="External"/><Relationship Id="rId14" Type="http://schemas.openxmlformats.org/officeDocument/2006/relationships/hyperlink" Target="http://www.hse.gov.uk/cleaning/topics/cosh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8</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Perez Naidoo</dc:creator>
  <cp:keywords/>
  <dc:description/>
  <cp:lastModifiedBy>Ethan Perez Naidoo</cp:lastModifiedBy>
  <cp:revision>18</cp:revision>
  <dcterms:created xsi:type="dcterms:W3CDTF">2026-05-04T08:58:00Z</dcterms:created>
  <dcterms:modified xsi:type="dcterms:W3CDTF">2026-05-05T21:17:00Z</dcterms:modified>
</cp:coreProperties>
</file>