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A45721">
        <w:tc>
          <w:tcPr>
            <w:tcW w:w="10910" w:type="dxa"/>
          </w:tcPr>
          <w:p w14:paraId="02F8EE88" w14:textId="2768FD7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45721" w:rsidRPr="00A45721">
              <w:rPr>
                <w:rFonts w:ascii="Times New Roman" w:hAnsi="Times New Roman" w:cs="Times New Roman"/>
                <w:b/>
                <w:color w:val="auto"/>
                <w:sz w:val="48"/>
              </w:rPr>
              <w:t xml:space="preserve">Roxanne Owen-Williams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A6CACB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45721">
              <w:rPr>
                <w:rFonts w:ascii="Times New Roman" w:hAnsi="Times New Roman" w:cs="Times New Roman"/>
                <w:b/>
                <w:color w:val="auto"/>
                <w:sz w:val="48"/>
              </w:rPr>
              <w:t xml:space="preserve"> </w:t>
            </w:r>
            <w:hyperlink r:id="rId11" w:history="1">
              <w:r w:rsidR="00090535" w:rsidRPr="008D1D70">
                <w:rPr>
                  <w:rStyle w:val="Hyperlink"/>
                  <w:rFonts w:ascii="Times New Roman" w:hAnsi="Times New Roman" w:cs="Times New Roman"/>
                  <w:b/>
                  <w:sz w:val="48"/>
                </w:rPr>
                <w:t>roxy_581@msn.com</w:t>
              </w:r>
            </w:hyperlink>
            <w:r w:rsidR="00090535">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DC3101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45721">
              <w:rPr>
                <w:rFonts w:ascii="Times New Roman" w:hAnsi="Times New Roman" w:cs="Times New Roman"/>
                <w:b/>
                <w:color w:val="auto"/>
                <w:sz w:val="48"/>
              </w:rPr>
              <w:t xml:space="preserve"> </w:t>
            </w:r>
            <w:r w:rsidR="00A45721" w:rsidRPr="00A45721">
              <w:rPr>
                <w:rFonts w:ascii="Times New Roman" w:hAnsi="Times New Roman" w:cs="Times New Roman"/>
                <w:b/>
                <w:color w:val="auto"/>
                <w:sz w:val="48"/>
              </w:rPr>
              <w:t>2522656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381F7288" w14:textId="77777777" w:rsidR="004347F3"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3B690C30" w14:textId="77777777" w:rsidR="004347F3" w:rsidRDefault="004347F3" w:rsidP="00FF7EBB">
            <w:pPr>
              <w:jc w:val="both"/>
              <w:rPr>
                <w:sz w:val="24"/>
                <w:szCs w:val="24"/>
              </w:rPr>
            </w:pPr>
          </w:p>
          <w:p w14:paraId="688ED2F4" w14:textId="0AB8A308" w:rsidR="004347F3" w:rsidRPr="004347F3" w:rsidRDefault="004347F3" w:rsidP="004347F3">
            <w:pPr>
              <w:jc w:val="both"/>
              <w:rPr>
                <w:sz w:val="24"/>
                <w:szCs w:val="24"/>
              </w:rPr>
            </w:pPr>
            <w:r w:rsidRPr="004347F3">
              <w:rPr>
                <w:i/>
                <w:sz w:val="24"/>
                <w:szCs w:val="24"/>
              </w:rPr>
              <w:t>500 words</w:t>
            </w:r>
            <w:r w:rsidRPr="004347F3">
              <w:rPr>
                <w:sz w:val="24"/>
                <w:szCs w:val="24"/>
              </w:rPr>
              <w:t xml:space="preserve"> (+/- 10%: include your actual word count at the end of each section).</w:t>
            </w:r>
          </w:p>
          <w:p w14:paraId="17A49383" w14:textId="4A3FD2D3" w:rsidR="008B28E7" w:rsidRDefault="008B28E7" w:rsidP="00FF7EBB">
            <w:pPr>
              <w:jc w:val="both"/>
              <w:rPr>
                <w:sz w:val="24"/>
                <w:szCs w:val="24"/>
              </w:rPr>
            </w:pPr>
          </w:p>
          <w:p w14:paraId="0E633487" w14:textId="77777777" w:rsidR="004502D5" w:rsidRDefault="004502D5" w:rsidP="004502D5">
            <w:pPr>
              <w:jc w:val="both"/>
              <w:rPr>
                <w:b/>
                <w:bCs/>
                <w:sz w:val="24"/>
                <w:szCs w:val="24"/>
                <w:lang w:val="cy-GB"/>
              </w:rPr>
            </w:pPr>
          </w:p>
          <w:p w14:paraId="1319ADB0" w14:textId="569E8595" w:rsidR="004D2035" w:rsidRPr="004D2035" w:rsidRDefault="004D2035" w:rsidP="003B7481">
            <w:pPr>
              <w:spacing w:line="360" w:lineRule="auto"/>
              <w:rPr>
                <w:sz w:val="24"/>
                <w:szCs w:val="24"/>
              </w:rPr>
            </w:pPr>
            <w:r>
              <w:rPr>
                <w:sz w:val="24"/>
                <w:szCs w:val="24"/>
              </w:rPr>
              <w:t>I</w:t>
            </w:r>
            <w:r w:rsidRPr="004D2035">
              <w:rPr>
                <w:sz w:val="24"/>
                <w:szCs w:val="24"/>
              </w:rPr>
              <w:t>n Wales, adult safeguarding is underpinned by the Social Services and Well-being (Wales) Act 2014 (SSWBA). Part 7 places a duty on local authorities and partner agencies to safeguard adults who are experiencing, or are at risk of, abuse or neglect and who are unable to protect themselves because of their care and support needs (SSWBA, 2014). The Act provides the primary legislative framework for adult safeguarding and promotes a person-centred, strengths-based approach that places the individual's wishes, feelings and outcomes at the centre of decision-making (Wales Safeguarding Procedures, 2026).</w:t>
            </w:r>
          </w:p>
          <w:p w14:paraId="5B28E6CB" w14:textId="3825D8AF" w:rsidR="004D2035" w:rsidRPr="004D2035" w:rsidRDefault="004D2035" w:rsidP="003B7481">
            <w:pPr>
              <w:spacing w:line="360" w:lineRule="auto"/>
              <w:rPr>
                <w:sz w:val="24"/>
                <w:szCs w:val="24"/>
              </w:rPr>
            </w:pPr>
            <w:r w:rsidRPr="004D2035">
              <w:rPr>
                <w:sz w:val="24"/>
                <w:szCs w:val="24"/>
              </w:rPr>
              <w:t>Section 126 of the SSWBA (2014) defines an adult at risk as a person who is experiencing, or is at risk of, abuse or neglect, has needs for care and support, and is unable to protect themselves because of those needs. The Act also introduced Adult Protection and Support Orders (APSOs), which enable authorised officers to gain access to and speak privately with an adult where there are concerns, they may be experiencing abuse or coercion (SSWBA, 2014).</w:t>
            </w:r>
          </w:p>
          <w:p w14:paraId="4B2AD9E1" w14:textId="77777777" w:rsidR="004D2035" w:rsidRPr="004D2035" w:rsidRDefault="004D2035" w:rsidP="003B7481">
            <w:pPr>
              <w:spacing w:line="360" w:lineRule="auto"/>
              <w:rPr>
                <w:sz w:val="24"/>
                <w:szCs w:val="24"/>
              </w:rPr>
            </w:pPr>
          </w:p>
          <w:p w14:paraId="72AF2A76" w14:textId="39958B74" w:rsidR="004D2035" w:rsidRPr="004D2035" w:rsidRDefault="004D2035" w:rsidP="003B7481">
            <w:pPr>
              <w:spacing w:line="360" w:lineRule="auto"/>
              <w:rPr>
                <w:sz w:val="24"/>
                <w:szCs w:val="24"/>
              </w:rPr>
            </w:pPr>
            <w:r w:rsidRPr="004D2035">
              <w:rPr>
                <w:sz w:val="24"/>
                <w:szCs w:val="24"/>
              </w:rPr>
              <w:t xml:space="preserve">National policy guidance is provided through Working Together to Safeguard People (Welsh Government, 2016) and the Wales Safeguarding Procedures (2026). These outline how </w:t>
            </w:r>
            <w:r w:rsidRPr="004D2035">
              <w:rPr>
                <w:sz w:val="24"/>
                <w:szCs w:val="24"/>
              </w:rPr>
              <w:lastRenderedPageBreak/>
              <w:t>agencies should identify, report and respond to safeguarding concerns, promote information sharing and ensure effective multi-agency working.</w:t>
            </w:r>
          </w:p>
          <w:p w14:paraId="0ECE8439" w14:textId="3913AAB9" w:rsidR="004D2035" w:rsidRDefault="004D2035" w:rsidP="003B7481">
            <w:pPr>
              <w:spacing w:line="360" w:lineRule="auto"/>
              <w:rPr>
                <w:sz w:val="24"/>
                <w:szCs w:val="24"/>
              </w:rPr>
            </w:pPr>
            <w:r w:rsidRPr="004D2035">
              <w:rPr>
                <w:sz w:val="24"/>
                <w:szCs w:val="24"/>
              </w:rPr>
              <w:t>At a local level, Regional Safeguarding Boards are responsible for coordinating safeguarding arrangements and developing procedures that reflect national legislation and guidance. Organisational safeguarding policies provide clear processes for recognising, reporting, recording and escalating concerns, ensuring practitioners respond consistently and lawfully (Wales Safeguarding Procedures, 2026).</w:t>
            </w:r>
          </w:p>
          <w:p w14:paraId="3002DF6F" w14:textId="3990ECA2" w:rsidR="004D2035" w:rsidRPr="004D2035" w:rsidRDefault="004D2035" w:rsidP="003B7481">
            <w:pPr>
              <w:spacing w:line="360" w:lineRule="auto"/>
              <w:rPr>
                <w:sz w:val="24"/>
                <w:szCs w:val="24"/>
              </w:rPr>
            </w:pPr>
            <w:r w:rsidRPr="004D2035">
              <w:rPr>
                <w:sz w:val="24"/>
                <w:szCs w:val="24"/>
              </w:rPr>
              <w:t>Within organisations, safeguarding procedures provide staff with clear guidance on recognising, reporting, recording and escalating concerns about adults at risk. Policies set out responsibilities for responding to disclosures, completing safeguarding referrals, information sharing, risk management and record keeping. These procedures support accountability, ensure legal compliance and promote a consistent, timely response to safeguarding concerns.</w:t>
            </w:r>
          </w:p>
          <w:p w14:paraId="33F31128" w14:textId="77777777" w:rsidR="004D2035" w:rsidRPr="004D2035" w:rsidRDefault="004D2035" w:rsidP="003B7481">
            <w:pPr>
              <w:spacing w:line="360" w:lineRule="auto"/>
              <w:rPr>
                <w:sz w:val="24"/>
                <w:szCs w:val="24"/>
              </w:rPr>
            </w:pPr>
          </w:p>
          <w:p w14:paraId="0EE5F304" w14:textId="77777777" w:rsidR="004D2035" w:rsidRPr="004D2035" w:rsidRDefault="004D2035" w:rsidP="003B7481">
            <w:pPr>
              <w:spacing w:line="360" w:lineRule="auto"/>
              <w:rPr>
                <w:sz w:val="24"/>
                <w:szCs w:val="24"/>
              </w:rPr>
            </w:pPr>
            <w:r w:rsidRPr="004D2035">
              <w:rPr>
                <w:sz w:val="24"/>
                <w:szCs w:val="24"/>
              </w:rPr>
              <w:t>The Mental Capacity Act 2005 is also relevant to safeguarding adults. It provides the legal framework for assessing capacity and making best-interest decisions when an individual lacks capacity, while presuming capacity and supporting adults to make their own decisions wherever possible. The Human Rights Act 1998 underpins safeguarding practice by protecting rights such as dignity, liberty and private and family life, while the Equality Act 2010 promotes anti-discriminatory practice and equal access to protection and support.</w:t>
            </w:r>
          </w:p>
          <w:p w14:paraId="26A89EDF" w14:textId="77777777" w:rsidR="004D2035" w:rsidRPr="004D2035" w:rsidRDefault="004D2035" w:rsidP="003B7481">
            <w:pPr>
              <w:spacing w:line="360" w:lineRule="auto"/>
              <w:rPr>
                <w:sz w:val="24"/>
                <w:szCs w:val="24"/>
              </w:rPr>
            </w:pPr>
          </w:p>
          <w:p w14:paraId="10ECC5D9" w14:textId="2DE39041" w:rsidR="004D2035" w:rsidRPr="004D2035" w:rsidRDefault="004D2035" w:rsidP="003B7481">
            <w:pPr>
              <w:spacing w:line="360" w:lineRule="auto"/>
              <w:rPr>
                <w:sz w:val="24"/>
                <w:szCs w:val="24"/>
              </w:rPr>
            </w:pPr>
            <w:r w:rsidRPr="004D2035">
              <w:rPr>
                <w:sz w:val="24"/>
                <w:szCs w:val="24"/>
              </w:rPr>
              <w:t>Adult safeguarding relies on effective multi-agency working between social care, health, police and other partner agencies. Practitioners must follow national, local and organisational procedures for information sharing, risk assessment, recording and decision-making to ensure adults at risk are protected while their rights and autonomy are respected. Overall, the legislative, policy and procedural framework in Wales aims to balance protection from harm with the principles of wellbeing, empowerment and person-centred practice that underpin the SSWBA (2014).</w:t>
            </w:r>
          </w:p>
          <w:p w14:paraId="42C35228" w14:textId="77777777" w:rsidR="004D2035" w:rsidRDefault="004D2035" w:rsidP="004502D5">
            <w:pPr>
              <w:jc w:val="both"/>
              <w:rPr>
                <w:b/>
                <w:bCs/>
                <w:sz w:val="24"/>
                <w:szCs w:val="24"/>
                <w:lang w:val="cy-GB"/>
              </w:rPr>
            </w:pPr>
          </w:p>
          <w:p w14:paraId="17F349B4" w14:textId="7C419CBB" w:rsidR="00B944C7" w:rsidRDefault="00B944C7" w:rsidP="00FF7EBB">
            <w:pPr>
              <w:jc w:val="both"/>
              <w:rPr>
                <w:sz w:val="24"/>
                <w:szCs w:val="24"/>
              </w:rPr>
            </w:pPr>
            <w:r w:rsidRPr="007808EC">
              <w:rPr>
                <w:sz w:val="24"/>
                <w:szCs w:val="24"/>
              </w:rPr>
              <w:t xml:space="preserve">Word count: </w:t>
            </w:r>
            <w:r w:rsidR="004D2035" w:rsidRPr="007808EC">
              <w:rPr>
                <w:sz w:val="24"/>
                <w:szCs w:val="24"/>
              </w:rPr>
              <w:t>458</w:t>
            </w:r>
          </w:p>
          <w:p w14:paraId="774095BD" w14:textId="77777777" w:rsidR="00FC0334" w:rsidRPr="006108C9" w:rsidRDefault="00FC0334" w:rsidP="00FF7EBB">
            <w:pPr>
              <w:jc w:val="both"/>
              <w:rPr>
                <w:sz w:val="24"/>
                <w:szCs w:val="24"/>
              </w:rPr>
            </w:pPr>
          </w:p>
          <w:p w14:paraId="03BD6D93" w14:textId="56AD433A" w:rsidR="007A628F" w:rsidRPr="008B28E7" w:rsidRDefault="007A628F" w:rsidP="004347F3">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E91B82C" w14:textId="77777777" w:rsidR="00123D2E" w:rsidRPr="00EB695F" w:rsidRDefault="00123D2E" w:rsidP="00FC0334">
            <w:pPr>
              <w:jc w:val="both"/>
              <w:rPr>
                <w:b/>
                <w:sz w:val="24"/>
                <w:szCs w:val="24"/>
              </w:rPr>
            </w:pP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10EC693" w14:textId="77777777" w:rsidR="00123D2E" w:rsidRDefault="00123D2E" w:rsidP="00FC0334">
            <w:pPr>
              <w:jc w:val="both"/>
              <w:rPr>
                <w:sz w:val="24"/>
                <w:szCs w:val="24"/>
              </w:rPr>
            </w:pPr>
          </w:p>
          <w:p w14:paraId="5B5C8A48" w14:textId="541A236B" w:rsidR="00123D2E" w:rsidRDefault="00123D2E" w:rsidP="00FC0334">
            <w:pPr>
              <w:jc w:val="both"/>
              <w:rPr>
                <w:sz w:val="24"/>
                <w:szCs w:val="24"/>
              </w:rPr>
            </w:pPr>
            <w:r w:rsidRPr="00B67F92">
              <w:rPr>
                <w:i/>
                <w:iCs/>
                <w:sz w:val="24"/>
                <w:szCs w:val="24"/>
              </w:rPr>
              <w:t>400 words</w:t>
            </w:r>
            <w:r w:rsidRPr="00123D2E">
              <w:rPr>
                <w:sz w:val="24"/>
                <w:szCs w:val="24"/>
              </w:rPr>
              <w:t xml:space="preserve"> (+/- 10%: include your actual word count at the end of each section).</w:t>
            </w:r>
          </w:p>
          <w:p w14:paraId="3E0DDA50" w14:textId="77777777" w:rsidR="00123D2E" w:rsidRDefault="00123D2E" w:rsidP="00FC0334">
            <w:pPr>
              <w:jc w:val="both"/>
              <w:rPr>
                <w:sz w:val="24"/>
                <w:szCs w:val="24"/>
              </w:rPr>
            </w:pPr>
          </w:p>
          <w:p w14:paraId="4CABE426" w14:textId="77777777" w:rsidR="00FC0334" w:rsidRPr="00C85DD8" w:rsidRDefault="00FC0334" w:rsidP="00FC0334">
            <w:pPr>
              <w:jc w:val="both"/>
              <w:rPr>
                <w:sz w:val="24"/>
                <w:szCs w:val="24"/>
              </w:rPr>
            </w:pPr>
          </w:p>
          <w:p w14:paraId="4AF0E26F" w14:textId="68AB35AF" w:rsidR="002C3BEE" w:rsidRPr="002C3BEE" w:rsidRDefault="002C3BEE" w:rsidP="002C3BEE">
            <w:pPr>
              <w:spacing w:line="360" w:lineRule="auto"/>
              <w:rPr>
                <w:sz w:val="24"/>
                <w:szCs w:val="24"/>
              </w:rPr>
            </w:pPr>
            <w:r w:rsidRPr="002C3BEE">
              <w:rPr>
                <w:sz w:val="24"/>
                <w:szCs w:val="24"/>
              </w:rPr>
              <w:t>Both</w:t>
            </w:r>
            <w:r w:rsidR="00DE6F96">
              <w:t xml:space="preserve"> </w:t>
            </w:r>
            <w:r w:rsidR="00DE6F96" w:rsidRPr="00DE6F96">
              <w:rPr>
                <w:sz w:val="24"/>
                <w:szCs w:val="24"/>
              </w:rPr>
              <w:t>adult and child safeguarding</w:t>
            </w:r>
            <w:r w:rsidR="00DE6F96" w:rsidRPr="00DE6F96">
              <w:rPr>
                <w:sz w:val="24"/>
                <w:szCs w:val="24"/>
              </w:rPr>
              <w:t xml:space="preserve"> </w:t>
            </w:r>
            <w:r w:rsidRPr="002C3BEE">
              <w:rPr>
                <w:sz w:val="24"/>
                <w:szCs w:val="24"/>
              </w:rPr>
              <w:t>aim to protect individuals from abuse, neglect and exploitation and require effective assessment, information sharing and multi-agency working. In both are</w:t>
            </w:r>
            <w:r w:rsidR="00BA7AAF">
              <w:rPr>
                <w:sz w:val="24"/>
                <w:szCs w:val="24"/>
              </w:rPr>
              <w:t>as</w:t>
            </w:r>
            <w:r w:rsidRPr="002C3BEE">
              <w:rPr>
                <w:sz w:val="24"/>
                <w:szCs w:val="24"/>
              </w:rPr>
              <w:t>, social workers have a responsibility to identify risks, assess needs and work collaboratively with partner agencies to promote safety and wellbeing. Both approaches are underpinned by legislation, policies and procedures that seek to protect</w:t>
            </w:r>
            <w:r w:rsidR="00BA7AAF">
              <w:rPr>
                <w:sz w:val="24"/>
                <w:szCs w:val="24"/>
              </w:rPr>
              <w:t xml:space="preserve"> vulnerable people</w:t>
            </w:r>
            <w:r w:rsidRPr="002C3BEE">
              <w:rPr>
                <w:sz w:val="24"/>
                <w:szCs w:val="24"/>
              </w:rPr>
              <w:t xml:space="preserve"> from harm while receiving appropriate support (Wales Safeguarding Procedures, 2026).</w:t>
            </w:r>
          </w:p>
          <w:p w14:paraId="1EA7B8DD" w14:textId="3CAD4F05" w:rsidR="002C3BEE" w:rsidRDefault="002C3BEE" w:rsidP="002C3BEE">
            <w:pPr>
              <w:spacing w:line="360" w:lineRule="auto"/>
              <w:rPr>
                <w:sz w:val="24"/>
                <w:szCs w:val="24"/>
              </w:rPr>
            </w:pPr>
            <w:r w:rsidRPr="002C3BEE">
              <w:rPr>
                <w:sz w:val="24"/>
                <w:szCs w:val="24"/>
              </w:rPr>
              <w:t>However, the most significant difference is the balance between protection and individual autonomy. In child safeguarding, the welfare of the child is paramount. Children are regarded as vulnerable and professionals have a duty to intervene where significant harm is identified or suspected. Practitioners may need to make decisions that override a child's wishes, or those of their parents, where</w:t>
            </w:r>
            <w:r w:rsidR="00864100">
              <w:rPr>
                <w:sz w:val="24"/>
                <w:szCs w:val="24"/>
              </w:rPr>
              <w:t xml:space="preserve"> it’s </w:t>
            </w:r>
            <w:r w:rsidRPr="002C3BEE">
              <w:rPr>
                <w:sz w:val="24"/>
                <w:szCs w:val="24"/>
              </w:rPr>
              <w:t>necessary to safeguard the child. Consequently, child safeguarding practice often focuses on parental capacity, family functioning and environmental factors affecting a child's development and wellbeing (Children Act 1989).</w:t>
            </w:r>
          </w:p>
          <w:p w14:paraId="178A2581" w14:textId="77777777" w:rsidR="002C3BEE" w:rsidRPr="002C3BEE" w:rsidRDefault="002C3BEE" w:rsidP="002C3BEE">
            <w:pPr>
              <w:spacing w:line="360" w:lineRule="auto"/>
              <w:rPr>
                <w:sz w:val="24"/>
                <w:szCs w:val="24"/>
              </w:rPr>
            </w:pPr>
          </w:p>
          <w:p w14:paraId="236BBBBF" w14:textId="544270D0" w:rsidR="002C3BEE" w:rsidRPr="002C3BEE" w:rsidRDefault="002C3BEE" w:rsidP="002C3BEE">
            <w:pPr>
              <w:spacing w:line="360" w:lineRule="auto"/>
              <w:rPr>
                <w:sz w:val="24"/>
                <w:szCs w:val="24"/>
              </w:rPr>
            </w:pPr>
            <w:r w:rsidRPr="002C3BEE">
              <w:rPr>
                <w:sz w:val="24"/>
                <w:szCs w:val="24"/>
              </w:rPr>
              <w:t xml:space="preserve">In contrast, adult safeguarding is founded on principles of empowerment, choice and self-determination. Adults with mental capacity are entitled to make their own decisions, even where those decisions may place them at risk (Mental Capacity Act </w:t>
            </w:r>
            <w:r w:rsidR="00EA7404">
              <w:rPr>
                <w:sz w:val="24"/>
                <w:szCs w:val="24"/>
              </w:rPr>
              <w:t xml:space="preserve">(MCA) </w:t>
            </w:r>
            <w:r w:rsidRPr="002C3BEE">
              <w:rPr>
                <w:sz w:val="24"/>
                <w:szCs w:val="24"/>
              </w:rPr>
              <w:t xml:space="preserve">2005). This can create ethical dilemmas for practitioners who identify safeguarding concerns but are unable to </w:t>
            </w:r>
            <w:r w:rsidR="00BA7AAF" w:rsidRPr="002C3BEE">
              <w:rPr>
                <w:sz w:val="24"/>
                <w:szCs w:val="24"/>
              </w:rPr>
              <w:t>enforce</w:t>
            </w:r>
            <w:r w:rsidRPr="002C3BEE">
              <w:rPr>
                <w:sz w:val="24"/>
                <w:szCs w:val="24"/>
              </w:rPr>
              <w:t xml:space="preserve"> interventions. Adult safeguarding therefore requires a balance between protecting individuals from harm and respecting their rights, autonomy and independence (Social Services and Well-being (Wales) Act 2014).</w:t>
            </w:r>
          </w:p>
          <w:p w14:paraId="770E5078" w14:textId="7D9FBA64" w:rsidR="002C3BEE" w:rsidRPr="002C3BEE" w:rsidRDefault="002C3BEE" w:rsidP="002C3BEE">
            <w:pPr>
              <w:spacing w:line="360" w:lineRule="auto"/>
              <w:rPr>
                <w:sz w:val="24"/>
                <w:szCs w:val="24"/>
              </w:rPr>
            </w:pPr>
            <w:r w:rsidRPr="002C3BEE">
              <w:rPr>
                <w:sz w:val="24"/>
                <w:szCs w:val="24"/>
              </w:rPr>
              <w:t>A further difference relates to how capacity and consent are understood in practice. In adult safeguarding, decision-making is guided by the M</w:t>
            </w:r>
            <w:r w:rsidR="00EA7404">
              <w:rPr>
                <w:sz w:val="24"/>
                <w:szCs w:val="24"/>
              </w:rPr>
              <w:t>C</w:t>
            </w:r>
            <w:r w:rsidRPr="002C3BEE">
              <w:rPr>
                <w:sz w:val="24"/>
                <w:szCs w:val="24"/>
              </w:rPr>
              <w:t>A</w:t>
            </w:r>
            <w:r w:rsidR="00EA7404">
              <w:rPr>
                <w:sz w:val="24"/>
                <w:szCs w:val="24"/>
              </w:rPr>
              <w:t xml:space="preserve"> </w:t>
            </w:r>
            <w:r w:rsidRPr="002C3BEE">
              <w:rPr>
                <w:sz w:val="24"/>
                <w:szCs w:val="24"/>
              </w:rPr>
              <w:t xml:space="preserve">2005, which provides a framework for assessing capacity and supporting individuals to make their own decisions. In children's </w:t>
            </w:r>
            <w:r w:rsidRPr="002C3BEE">
              <w:rPr>
                <w:sz w:val="24"/>
                <w:szCs w:val="24"/>
              </w:rPr>
              <w:lastRenderedPageBreak/>
              <w:t>safeguarding, capacity is considered differently. The principle of Gillick competence recognises that some children and young people may have sufficient maturity and understanding to make specific decisions independently. However, unlike adults, a child's ability to consent is assessed in relation to their age, maturity and understanding, while professionals must continue to consider safeguarding concerns and the child's best interests. This creates a different legal and ethical framework for balancing rights, participation and protection.</w:t>
            </w:r>
          </w:p>
          <w:p w14:paraId="37C2858A" w14:textId="77777777" w:rsidR="002C3BEE" w:rsidRPr="002C3BEE" w:rsidRDefault="002C3BEE" w:rsidP="002C3BEE">
            <w:pPr>
              <w:spacing w:line="360" w:lineRule="auto"/>
              <w:rPr>
                <w:sz w:val="24"/>
                <w:szCs w:val="24"/>
              </w:rPr>
            </w:pPr>
          </w:p>
          <w:p w14:paraId="7B3213BC" w14:textId="11565849" w:rsidR="002C3BEE" w:rsidRPr="002C3BEE" w:rsidRDefault="002C3BEE" w:rsidP="002C3BEE">
            <w:pPr>
              <w:spacing w:line="360" w:lineRule="auto"/>
              <w:rPr>
                <w:sz w:val="24"/>
                <w:szCs w:val="24"/>
              </w:rPr>
            </w:pPr>
            <w:r w:rsidRPr="002C3BEE">
              <w:rPr>
                <w:sz w:val="24"/>
                <w:szCs w:val="24"/>
              </w:rPr>
              <w:t>Reflecting as a children's social worker</w:t>
            </w:r>
            <w:r w:rsidR="00641AB1">
              <w:rPr>
                <w:sz w:val="24"/>
                <w:szCs w:val="24"/>
              </w:rPr>
              <w:t xml:space="preserve">, </w:t>
            </w:r>
            <w:r w:rsidRPr="002C3BEE">
              <w:rPr>
                <w:sz w:val="24"/>
                <w:szCs w:val="24"/>
              </w:rPr>
              <w:t>adult safeguarding requires a greater tolerance of risk and a stronger emphasis on individual autonomy than is often experienced within children's services. Whilst safeguarding remains central in both areas of practice, adults are generally viewed as active partners in safeguarding rather than passive recipients of protection. This reflection has increased my understanding of how capacity, consent and Gillick competence influence safeguarding practice and the importance of balancing safety, rights and autonomy through person-centred, strengths-based and ethical approach</w:t>
            </w:r>
            <w:r w:rsidR="00BA7AAF">
              <w:rPr>
                <w:sz w:val="24"/>
                <w:szCs w:val="24"/>
              </w:rPr>
              <w:t xml:space="preserve">es </w:t>
            </w:r>
            <w:r w:rsidRPr="002C3BEE">
              <w:rPr>
                <w:sz w:val="24"/>
                <w:szCs w:val="24"/>
              </w:rPr>
              <w:t>(Wales Safeguarding Procedures, 2026).</w:t>
            </w:r>
          </w:p>
          <w:p w14:paraId="007F35E4" w14:textId="77777777" w:rsidR="002C3BEE" w:rsidRPr="002C3BEE" w:rsidRDefault="002C3BEE" w:rsidP="002C3BEE">
            <w:pPr>
              <w:spacing w:line="360" w:lineRule="auto"/>
              <w:rPr>
                <w:sz w:val="24"/>
                <w:szCs w:val="24"/>
                <w:lang w:val="cy-GB"/>
              </w:rPr>
            </w:pPr>
          </w:p>
          <w:p w14:paraId="2B430AED" w14:textId="722C552E" w:rsidR="002C3BEE" w:rsidRPr="00D1041D" w:rsidRDefault="002C3BEE" w:rsidP="002C3BEE">
            <w:pPr>
              <w:spacing w:line="360" w:lineRule="auto"/>
              <w:rPr>
                <w:sz w:val="24"/>
                <w:szCs w:val="24"/>
              </w:rPr>
            </w:pPr>
            <w:r w:rsidRPr="00D1041D">
              <w:rPr>
                <w:sz w:val="24"/>
                <w:szCs w:val="24"/>
              </w:rPr>
              <w:t xml:space="preserve">Word count: </w:t>
            </w:r>
            <w:r w:rsidRPr="00D1041D">
              <w:rPr>
                <w:sz w:val="24"/>
                <w:szCs w:val="24"/>
              </w:rPr>
              <w:t>4</w:t>
            </w:r>
            <w:r w:rsidR="00DE6F96" w:rsidRPr="00D1041D">
              <w:rPr>
                <w:sz w:val="24"/>
                <w:szCs w:val="24"/>
              </w:rPr>
              <w:t>4</w:t>
            </w:r>
            <w:r w:rsidR="00EA7404" w:rsidRPr="00D1041D">
              <w:rPr>
                <w:sz w:val="24"/>
                <w:szCs w:val="24"/>
              </w:rPr>
              <w:t>0</w:t>
            </w:r>
          </w:p>
          <w:p w14:paraId="08760B3D" w14:textId="77777777" w:rsidR="00FC0334" w:rsidRPr="006108C9" w:rsidRDefault="00FC0334" w:rsidP="002C3BEE">
            <w:pPr>
              <w:spacing w:line="360" w:lineRule="auto"/>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34641" w14:textId="77777777" w:rsidR="001C1006" w:rsidRDefault="001C1006">
      <w:r>
        <w:separator/>
      </w:r>
    </w:p>
  </w:endnote>
  <w:endnote w:type="continuationSeparator" w:id="0">
    <w:p w14:paraId="2ABEC4BE" w14:textId="77777777" w:rsidR="001C1006" w:rsidRDefault="001C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439AB" w14:textId="77777777" w:rsidR="001C1006" w:rsidRDefault="001C1006">
      <w:r>
        <w:separator/>
      </w:r>
    </w:p>
  </w:footnote>
  <w:footnote w:type="continuationSeparator" w:id="0">
    <w:p w14:paraId="5D2DC684" w14:textId="77777777" w:rsidR="001C1006" w:rsidRDefault="001C1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195933"/>
    <w:multiLevelType w:val="hybridMultilevel"/>
    <w:tmpl w:val="970C150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534399"/>
    <w:multiLevelType w:val="hybridMultilevel"/>
    <w:tmpl w:val="0D8ABD5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3"/>
  </w:num>
  <w:num w:numId="26" w16cid:durableId="1104690971">
    <w:abstractNumId w:val="36"/>
  </w:num>
  <w:num w:numId="27" w16cid:durableId="1201670287">
    <w:abstractNumId w:val="41"/>
  </w:num>
  <w:num w:numId="28" w16cid:durableId="598562144">
    <w:abstractNumId w:val="20"/>
  </w:num>
  <w:num w:numId="29" w16cid:durableId="871068292">
    <w:abstractNumId w:val="45"/>
  </w:num>
  <w:num w:numId="30" w16cid:durableId="482159744">
    <w:abstractNumId w:val="32"/>
  </w:num>
  <w:num w:numId="31" w16cid:durableId="1565527110">
    <w:abstractNumId w:val="12"/>
  </w:num>
  <w:num w:numId="32" w16cid:durableId="1175995731">
    <w:abstractNumId w:val="46"/>
  </w:num>
  <w:num w:numId="33" w16cid:durableId="694232600">
    <w:abstractNumId w:val="40"/>
  </w:num>
  <w:num w:numId="34" w16cid:durableId="1062095063">
    <w:abstractNumId w:val="5"/>
  </w:num>
  <w:num w:numId="35" w16cid:durableId="2051881075">
    <w:abstractNumId w:val="48"/>
  </w:num>
  <w:num w:numId="36" w16cid:durableId="2107188112">
    <w:abstractNumId w:val="44"/>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240337456">
    <w:abstractNumId w:val="42"/>
  </w:num>
  <w:num w:numId="55" w16cid:durableId="295917942">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59C"/>
    <w:rsid w:val="00083D99"/>
    <w:rsid w:val="00084DA6"/>
    <w:rsid w:val="00085699"/>
    <w:rsid w:val="00090160"/>
    <w:rsid w:val="00090535"/>
    <w:rsid w:val="00091F52"/>
    <w:rsid w:val="00092970"/>
    <w:rsid w:val="00093720"/>
    <w:rsid w:val="000938E6"/>
    <w:rsid w:val="00093B3C"/>
    <w:rsid w:val="0009488C"/>
    <w:rsid w:val="00095C1B"/>
    <w:rsid w:val="00096DEA"/>
    <w:rsid w:val="000A4240"/>
    <w:rsid w:val="000A469A"/>
    <w:rsid w:val="000A4953"/>
    <w:rsid w:val="000A584A"/>
    <w:rsid w:val="000A6458"/>
    <w:rsid w:val="000C378F"/>
    <w:rsid w:val="000C52CB"/>
    <w:rsid w:val="000C6892"/>
    <w:rsid w:val="000C6FFE"/>
    <w:rsid w:val="000D0BB6"/>
    <w:rsid w:val="000D2D99"/>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3D2E"/>
    <w:rsid w:val="00130119"/>
    <w:rsid w:val="00131994"/>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006"/>
    <w:rsid w:val="001C4DB8"/>
    <w:rsid w:val="001C50B8"/>
    <w:rsid w:val="001D229F"/>
    <w:rsid w:val="001D4BA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4B6A"/>
    <w:rsid w:val="002761F4"/>
    <w:rsid w:val="002775E1"/>
    <w:rsid w:val="00277979"/>
    <w:rsid w:val="00287382"/>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BEE"/>
    <w:rsid w:val="002C4233"/>
    <w:rsid w:val="002C496D"/>
    <w:rsid w:val="002D05EB"/>
    <w:rsid w:val="002D11A8"/>
    <w:rsid w:val="002D1CF3"/>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1365"/>
    <w:rsid w:val="00392F73"/>
    <w:rsid w:val="00393600"/>
    <w:rsid w:val="0039762B"/>
    <w:rsid w:val="003A0C37"/>
    <w:rsid w:val="003A1B6B"/>
    <w:rsid w:val="003A46C0"/>
    <w:rsid w:val="003A600E"/>
    <w:rsid w:val="003A6513"/>
    <w:rsid w:val="003B16C7"/>
    <w:rsid w:val="003B3115"/>
    <w:rsid w:val="003B7481"/>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6F8"/>
    <w:rsid w:val="00401FDA"/>
    <w:rsid w:val="004046F0"/>
    <w:rsid w:val="0040668F"/>
    <w:rsid w:val="00411EF7"/>
    <w:rsid w:val="00412677"/>
    <w:rsid w:val="004207B8"/>
    <w:rsid w:val="00425160"/>
    <w:rsid w:val="00430DE3"/>
    <w:rsid w:val="004347F3"/>
    <w:rsid w:val="004348AE"/>
    <w:rsid w:val="004376C0"/>
    <w:rsid w:val="0044223A"/>
    <w:rsid w:val="004502D5"/>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2035"/>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656"/>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6FA5"/>
    <w:rsid w:val="00641AB1"/>
    <w:rsid w:val="006447DE"/>
    <w:rsid w:val="00644889"/>
    <w:rsid w:val="0065276E"/>
    <w:rsid w:val="00654329"/>
    <w:rsid w:val="00654CEC"/>
    <w:rsid w:val="00655507"/>
    <w:rsid w:val="006558B1"/>
    <w:rsid w:val="006579FD"/>
    <w:rsid w:val="006635E3"/>
    <w:rsid w:val="006669F3"/>
    <w:rsid w:val="006712A7"/>
    <w:rsid w:val="00672CED"/>
    <w:rsid w:val="00674087"/>
    <w:rsid w:val="00674FC2"/>
    <w:rsid w:val="00676E35"/>
    <w:rsid w:val="00677E42"/>
    <w:rsid w:val="00682334"/>
    <w:rsid w:val="00684732"/>
    <w:rsid w:val="00684B16"/>
    <w:rsid w:val="00687016"/>
    <w:rsid w:val="006872A0"/>
    <w:rsid w:val="0069625A"/>
    <w:rsid w:val="00696A88"/>
    <w:rsid w:val="00696F65"/>
    <w:rsid w:val="00697572"/>
    <w:rsid w:val="006A7973"/>
    <w:rsid w:val="006B4496"/>
    <w:rsid w:val="006B5E67"/>
    <w:rsid w:val="006B6612"/>
    <w:rsid w:val="006C2EB5"/>
    <w:rsid w:val="006D18A3"/>
    <w:rsid w:val="006D5970"/>
    <w:rsid w:val="006E481E"/>
    <w:rsid w:val="006E61BD"/>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08EC"/>
    <w:rsid w:val="0078112D"/>
    <w:rsid w:val="007872F2"/>
    <w:rsid w:val="007873F9"/>
    <w:rsid w:val="007908E0"/>
    <w:rsid w:val="00790F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3A61"/>
    <w:rsid w:val="00864100"/>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87E8D"/>
    <w:rsid w:val="00991FDA"/>
    <w:rsid w:val="00992ACA"/>
    <w:rsid w:val="009A5F3B"/>
    <w:rsid w:val="009A5F79"/>
    <w:rsid w:val="009A6F87"/>
    <w:rsid w:val="009B0B61"/>
    <w:rsid w:val="009B28C0"/>
    <w:rsid w:val="009B3178"/>
    <w:rsid w:val="009B3E46"/>
    <w:rsid w:val="009B4572"/>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4B9"/>
    <w:rsid w:val="00A10D56"/>
    <w:rsid w:val="00A12AAE"/>
    <w:rsid w:val="00A12F22"/>
    <w:rsid w:val="00A16DD1"/>
    <w:rsid w:val="00A22441"/>
    <w:rsid w:val="00A23F3B"/>
    <w:rsid w:val="00A24406"/>
    <w:rsid w:val="00A25F64"/>
    <w:rsid w:val="00A275F6"/>
    <w:rsid w:val="00A303B9"/>
    <w:rsid w:val="00A32507"/>
    <w:rsid w:val="00A37416"/>
    <w:rsid w:val="00A40ED6"/>
    <w:rsid w:val="00A45721"/>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7F92"/>
    <w:rsid w:val="00B71A32"/>
    <w:rsid w:val="00B7502A"/>
    <w:rsid w:val="00B77305"/>
    <w:rsid w:val="00B774BD"/>
    <w:rsid w:val="00B82CC2"/>
    <w:rsid w:val="00B84194"/>
    <w:rsid w:val="00B84A89"/>
    <w:rsid w:val="00B90BD5"/>
    <w:rsid w:val="00B9256C"/>
    <w:rsid w:val="00B92BEF"/>
    <w:rsid w:val="00B94443"/>
    <w:rsid w:val="00B944C7"/>
    <w:rsid w:val="00B9689A"/>
    <w:rsid w:val="00B97056"/>
    <w:rsid w:val="00BA531E"/>
    <w:rsid w:val="00BA728B"/>
    <w:rsid w:val="00BA7AAF"/>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160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59AC"/>
    <w:rsid w:val="00C77FA5"/>
    <w:rsid w:val="00C8089F"/>
    <w:rsid w:val="00C835FE"/>
    <w:rsid w:val="00C836CC"/>
    <w:rsid w:val="00C852D6"/>
    <w:rsid w:val="00C85DD8"/>
    <w:rsid w:val="00C87A74"/>
    <w:rsid w:val="00C92C71"/>
    <w:rsid w:val="00C93F8F"/>
    <w:rsid w:val="00CA0894"/>
    <w:rsid w:val="00CA3593"/>
    <w:rsid w:val="00CA5726"/>
    <w:rsid w:val="00CA7E6A"/>
    <w:rsid w:val="00CB258E"/>
    <w:rsid w:val="00CB3C8F"/>
    <w:rsid w:val="00CC02F1"/>
    <w:rsid w:val="00CC1122"/>
    <w:rsid w:val="00CC11A6"/>
    <w:rsid w:val="00CC135E"/>
    <w:rsid w:val="00CC5A56"/>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041D"/>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7744"/>
    <w:rsid w:val="00DB2767"/>
    <w:rsid w:val="00DC1B10"/>
    <w:rsid w:val="00DC2924"/>
    <w:rsid w:val="00DC4729"/>
    <w:rsid w:val="00DD31C5"/>
    <w:rsid w:val="00DD5020"/>
    <w:rsid w:val="00DD63BE"/>
    <w:rsid w:val="00DE4296"/>
    <w:rsid w:val="00DE6F96"/>
    <w:rsid w:val="00DF2469"/>
    <w:rsid w:val="00DF7899"/>
    <w:rsid w:val="00E0524C"/>
    <w:rsid w:val="00E14213"/>
    <w:rsid w:val="00E15751"/>
    <w:rsid w:val="00E17160"/>
    <w:rsid w:val="00E17D41"/>
    <w:rsid w:val="00E231D1"/>
    <w:rsid w:val="00E30B8E"/>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404"/>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A64C2"/>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4502D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E14213"/>
    <w:pPr>
      <w:ind w:left="720"/>
      <w:contextualSpacing/>
    </w:pPr>
  </w:style>
  <w:style w:type="character" w:styleId="UnresolvedMention">
    <w:name w:val="Unresolved Mention"/>
    <w:basedOn w:val="DefaultParagraphFont"/>
    <w:uiPriority w:val="99"/>
    <w:semiHidden/>
    <w:unhideWhenUsed/>
    <w:rsid w:val="0008359C"/>
    <w:rPr>
      <w:color w:val="605E5C"/>
      <w:shd w:val="clear" w:color="auto" w:fill="E1DFDD"/>
    </w:rPr>
  </w:style>
  <w:style w:type="character" w:styleId="FollowedHyperlink">
    <w:name w:val="FollowedHyperlink"/>
    <w:basedOn w:val="DefaultParagraphFont"/>
    <w:uiPriority w:val="99"/>
    <w:semiHidden/>
    <w:unhideWhenUsed/>
    <w:rsid w:val="004016F8"/>
    <w:rPr>
      <w:color w:val="954F72" w:themeColor="followedHyperlink"/>
      <w:u w:val="single"/>
    </w:rPr>
  </w:style>
  <w:style w:type="character" w:customStyle="1" w:styleId="Heading3Char">
    <w:name w:val="Heading 3 Char"/>
    <w:basedOn w:val="DefaultParagraphFont"/>
    <w:link w:val="Heading3"/>
    <w:uiPriority w:val="9"/>
    <w:semiHidden/>
    <w:rsid w:val="004502D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xy_581@msn.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Roxanne Owen-Williams (PLANT)</cp:lastModifiedBy>
  <cp:revision>27</cp:revision>
  <cp:lastPrinted>2020-02-11T19:20:00Z</cp:lastPrinted>
  <dcterms:created xsi:type="dcterms:W3CDTF">2025-11-17T13:33:00Z</dcterms:created>
  <dcterms:modified xsi:type="dcterms:W3CDTF">2026-10-06T10:22:00Z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