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pPr w:leftFromText="180" w:rightFromText="180" w:vertAnchor="text" w:horzAnchor="margin" w:tblpXSpec="right" w:tblpY="136"/>
        <w:tblW w:w="14946" w:type="dxa"/>
        <w:tblLayout w:type="fixed"/>
        <w:tblLook w:val="04A0" w:firstRow="1" w:lastRow="0" w:firstColumn="1" w:lastColumn="0" w:noHBand="0" w:noVBand="1"/>
      </w:tblPr>
      <w:tblGrid>
        <w:gridCol w:w="5949"/>
        <w:gridCol w:w="4347"/>
        <w:gridCol w:w="4650"/>
      </w:tblGrid>
      <w:tr w:rsidR="00242F7C" w14:paraId="5F507536" w14:textId="77777777" w:rsidTr="00FF5B5B">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5949" w:type="dxa"/>
            <w:shd w:val="clear" w:color="auto" w:fill="BAD6FE"/>
          </w:tcPr>
          <w:p w14:paraId="200DDD55" w14:textId="3A93F8C4" w:rsidR="00242F7C" w:rsidRDefault="00242F7C" w:rsidP="00242F7C">
            <w:pPr>
              <w:rPr>
                <w:b w:val="0"/>
                <w:bCs w:val="0"/>
                <w:i/>
                <w:iCs/>
                <w:sz w:val="16"/>
                <w:szCs w:val="16"/>
                <w:u w:val="single"/>
              </w:rPr>
            </w:pPr>
            <w:r w:rsidRPr="00E83E3C">
              <w:rPr>
                <w:i/>
                <w:iCs/>
                <w:sz w:val="16"/>
                <w:szCs w:val="16"/>
                <w:u w:val="single"/>
              </w:rPr>
              <w:t xml:space="preserve">Welsh </w:t>
            </w:r>
            <w:r w:rsidR="00FB79AC" w:rsidRPr="00E83E3C">
              <w:rPr>
                <w:i/>
                <w:iCs/>
                <w:sz w:val="16"/>
                <w:szCs w:val="16"/>
                <w:u w:val="single"/>
              </w:rPr>
              <w:t>Legislation</w:t>
            </w:r>
            <w:r w:rsidRPr="00E83E3C">
              <w:rPr>
                <w:i/>
                <w:iCs/>
                <w:sz w:val="16"/>
                <w:szCs w:val="16"/>
                <w:u w:val="single"/>
              </w:rPr>
              <w:t xml:space="preserve"> and Policy</w:t>
            </w:r>
            <w:r w:rsidR="00E15D8B" w:rsidRPr="00E83E3C">
              <w:rPr>
                <w:i/>
                <w:iCs/>
                <w:sz w:val="16"/>
                <w:szCs w:val="16"/>
                <w:u w:val="single"/>
              </w:rPr>
              <w:t xml:space="preserve"> </w:t>
            </w:r>
            <w:r w:rsidR="00747DA9" w:rsidRPr="00E83E3C">
              <w:rPr>
                <w:b w:val="0"/>
                <w:bCs w:val="0"/>
                <w:i/>
                <w:iCs/>
                <w:sz w:val="16"/>
                <w:szCs w:val="16"/>
                <w:u w:val="single"/>
              </w:rPr>
              <w:t xml:space="preserve">- </w:t>
            </w:r>
            <w:r w:rsidR="00FE1FE9" w:rsidRPr="00E83E3C">
              <w:rPr>
                <w:i/>
                <w:iCs/>
                <w:sz w:val="16"/>
                <w:szCs w:val="16"/>
                <w:u w:val="single"/>
              </w:rPr>
              <w:t>(ALN)</w:t>
            </w:r>
          </w:p>
          <w:p w14:paraId="7A9EDF1C" w14:textId="77777777" w:rsidR="00FF2267" w:rsidRPr="00DE6239" w:rsidRDefault="00FF2267" w:rsidP="00242F7C">
            <w:pPr>
              <w:rPr>
                <w:b w:val="0"/>
                <w:bCs w:val="0"/>
                <w:sz w:val="16"/>
                <w:szCs w:val="16"/>
                <w:u w:val="single"/>
              </w:rPr>
            </w:pPr>
          </w:p>
          <w:p w14:paraId="19E89865" w14:textId="77777777" w:rsidR="009D6886" w:rsidRPr="009D6886" w:rsidRDefault="009D6886" w:rsidP="009D6886">
            <w:pPr>
              <w:rPr>
                <w:rFonts w:ascii="Arial" w:hAnsi="Arial" w:cs="Arial"/>
                <w:b w:val="0"/>
                <w:bCs w:val="0"/>
                <w:sz w:val="14"/>
                <w:szCs w:val="14"/>
              </w:rPr>
            </w:pPr>
            <w:r w:rsidRPr="009D6886">
              <w:rPr>
                <w:rFonts w:ascii="Arial" w:hAnsi="Arial" w:cs="Arial"/>
                <w:b w:val="0"/>
                <w:bCs w:val="0"/>
                <w:sz w:val="14"/>
                <w:szCs w:val="14"/>
              </w:rPr>
              <w:t>The Welsh Government prioritises early identification and support for autistic children, guided by legislation promoting equity, inclusion, and wellbeing (Welsh Government, 2016).</w:t>
            </w:r>
          </w:p>
          <w:p w14:paraId="03D93FBF" w14:textId="77777777" w:rsidR="00FF2267" w:rsidRPr="00DE6239" w:rsidRDefault="009D6886" w:rsidP="009D6886">
            <w:pPr>
              <w:rPr>
                <w:rFonts w:ascii="Arial" w:hAnsi="Arial" w:cs="Arial"/>
                <w:sz w:val="14"/>
                <w:szCs w:val="14"/>
              </w:rPr>
            </w:pPr>
            <w:r w:rsidRPr="009D6886">
              <w:rPr>
                <w:rFonts w:ascii="Arial" w:hAnsi="Arial" w:cs="Arial"/>
                <w:sz w:val="14"/>
                <w:szCs w:val="14"/>
              </w:rPr>
              <w:br/>
            </w:r>
            <w:r w:rsidRPr="009D6886">
              <w:rPr>
                <w:rFonts w:ascii="Arial" w:hAnsi="Arial" w:cs="Arial"/>
                <w:i/>
                <w:iCs/>
                <w:sz w:val="14"/>
                <w:szCs w:val="14"/>
              </w:rPr>
              <w:t>Additional Learning Needs and Education Tribunal (Wales) Act 2018</w:t>
            </w:r>
            <w:r w:rsidRPr="009D6886">
              <w:rPr>
                <w:rFonts w:ascii="Arial" w:hAnsi="Arial" w:cs="Arial"/>
                <w:b w:val="0"/>
                <w:bCs w:val="0"/>
                <w:sz w:val="14"/>
                <w:szCs w:val="14"/>
              </w:rPr>
              <w:t>: Introduced a unified, person-centred ALN system for ages 0–25, replacing the SEN model and supporting Individual Development Plans (IDPs) (Welsh Government, 2018).</w:t>
            </w:r>
          </w:p>
          <w:p w14:paraId="3C0558F6" w14:textId="77777777" w:rsidR="00DE623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ALN Code for Wales (2021</w:t>
            </w:r>
            <w:r w:rsidRPr="009D6886">
              <w:rPr>
                <w:rFonts w:ascii="Arial" w:hAnsi="Arial" w:cs="Arial"/>
                <w:b w:val="0"/>
                <w:bCs w:val="0"/>
                <w:i/>
                <w:iCs/>
                <w:sz w:val="14"/>
                <w:szCs w:val="14"/>
              </w:rPr>
              <w:t>)</w:t>
            </w:r>
            <w:r w:rsidRPr="009D6886">
              <w:rPr>
                <w:rFonts w:ascii="Arial" w:hAnsi="Arial" w:cs="Arial"/>
                <w:b w:val="0"/>
                <w:bCs w:val="0"/>
                <w:sz w:val="14"/>
                <w:szCs w:val="14"/>
              </w:rPr>
              <w:t>: Statutory guidance encouraging collaboration between professionals, families, and educators.</w:t>
            </w:r>
          </w:p>
          <w:p w14:paraId="5E83DAEB" w14:textId="77777777" w:rsidR="000B596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Equality Act (2010)</w:t>
            </w:r>
            <w:r w:rsidRPr="009D6886">
              <w:rPr>
                <w:rFonts w:ascii="Arial" w:hAnsi="Arial" w:cs="Arial"/>
                <w:sz w:val="14"/>
                <w:szCs w:val="14"/>
              </w:rPr>
              <w:t xml:space="preserve"> &amp; </w:t>
            </w:r>
            <w:r w:rsidRPr="009D6886">
              <w:rPr>
                <w:rFonts w:ascii="Arial" w:hAnsi="Arial" w:cs="Arial"/>
                <w:i/>
                <w:iCs/>
                <w:sz w:val="14"/>
                <w:szCs w:val="14"/>
              </w:rPr>
              <w:t>Education Act (1996</w:t>
            </w:r>
            <w:r w:rsidRPr="009D6886">
              <w:rPr>
                <w:rFonts w:ascii="Arial" w:hAnsi="Arial" w:cs="Arial"/>
                <w:b w:val="0"/>
                <w:bCs w:val="0"/>
                <w:i/>
                <w:iCs/>
                <w:sz w:val="14"/>
                <w:szCs w:val="14"/>
              </w:rPr>
              <w:t>)</w:t>
            </w:r>
            <w:r w:rsidRPr="009D6886">
              <w:rPr>
                <w:rFonts w:ascii="Arial" w:hAnsi="Arial" w:cs="Arial"/>
                <w:b w:val="0"/>
                <w:bCs w:val="0"/>
                <w:sz w:val="14"/>
                <w:szCs w:val="14"/>
              </w:rPr>
              <w:t>: Mandate reasonable adjustments and support for learners with additional needs.</w:t>
            </w:r>
          </w:p>
          <w:p w14:paraId="555A9451" w14:textId="77777777" w:rsidR="000B596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Curriculum for Wales (2022)</w:t>
            </w:r>
            <w:r w:rsidRPr="009D6886">
              <w:rPr>
                <w:rFonts w:ascii="Arial" w:hAnsi="Arial" w:cs="Arial"/>
                <w:sz w:val="14"/>
                <w:szCs w:val="14"/>
              </w:rPr>
              <w:t>:</w:t>
            </w:r>
            <w:r w:rsidRPr="009D6886">
              <w:rPr>
                <w:rFonts w:ascii="Arial" w:hAnsi="Arial" w:cs="Arial"/>
                <w:b w:val="0"/>
                <w:bCs w:val="0"/>
                <w:sz w:val="14"/>
                <w:szCs w:val="14"/>
              </w:rPr>
              <w:t xml:space="preserve"> Supports adaptive teaching and views all learners as ambitious, capable, and confident.</w:t>
            </w:r>
          </w:p>
          <w:p w14:paraId="48101CD9" w14:textId="77777777" w:rsidR="000B596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Social Services and Well-being (Wales) Act 2014</w:t>
            </w:r>
            <w:r w:rsidRPr="009D6886">
              <w:rPr>
                <w:rFonts w:ascii="Arial" w:hAnsi="Arial" w:cs="Arial"/>
                <w:b w:val="0"/>
                <w:bCs w:val="0"/>
                <w:sz w:val="14"/>
                <w:szCs w:val="14"/>
              </w:rPr>
              <w:t>: Requires person-centred care and assessments by local authorities.</w:t>
            </w:r>
          </w:p>
          <w:p w14:paraId="16F596FB" w14:textId="77777777" w:rsidR="000B596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Mental Health Acts (1983, amended 1997)</w:t>
            </w:r>
            <w:r w:rsidRPr="009D6886">
              <w:rPr>
                <w:rFonts w:ascii="Arial" w:hAnsi="Arial" w:cs="Arial"/>
                <w:sz w:val="14"/>
                <w:szCs w:val="14"/>
              </w:rPr>
              <w:t xml:space="preserve"> &amp; </w:t>
            </w:r>
            <w:r w:rsidRPr="009D6886">
              <w:rPr>
                <w:rFonts w:ascii="Arial" w:hAnsi="Arial" w:cs="Arial"/>
                <w:i/>
                <w:iCs/>
                <w:sz w:val="14"/>
                <w:szCs w:val="14"/>
              </w:rPr>
              <w:t>NHS Act (2006)</w:t>
            </w:r>
            <w:r w:rsidRPr="009D6886">
              <w:rPr>
                <w:rFonts w:ascii="Arial" w:hAnsi="Arial" w:cs="Arial"/>
                <w:sz w:val="14"/>
                <w:szCs w:val="14"/>
              </w:rPr>
              <w:t>:</w:t>
            </w:r>
            <w:r w:rsidRPr="009D6886">
              <w:rPr>
                <w:rFonts w:ascii="Arial" w:hAnsi="Arial" w:cs="Arial"/>
                <w:b w:val="0"/>
                <w:bCs w:val="0"/>
                <w:sz w:val="14"/>
                <w:szCs w:val="14"/>
              </w:rPr>
              <w:t xml:space="preserve"> Ensure access to suitable health and mental health support.</w:t>
            </w:r>
          </w:p>
          <w:p w14:paraId="394A881D" w14:textId="77777777" w:rsidR="000B596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Well-being of Future Generations Act (2015)</w:t>
            </w:r>
            <w:r w:rsidRPr="009D6886">
              <w:rPr>
                <w:rFonts w:ascii="Arial" w:hAnsi="Arial" w:cs="Arial"/>
                <w:sz w:val="14"/>
                <w:szCs w:val="14"/>
              </w:rPr>
              <w:t>:</w:t>
            </w:r>
            <w:r w:rsidRPr="009D6886">
              <w:rPr>
                <w:rFonts w:ascii="Arial" w:hAnsi="Arial" w:cs="Arial"/>
                <w:b w:val="0"/>
                <w:bCs w:val="0"/>
                <w:sz w:val="14"/>
                <w:szCs w:val="14"/>
              </w:rPr>
              <w:t xml:space="preserve"> Promotes early intervention, reducing inequality, and long-term planning.</w:t>
            </w:r>
            <w:r w:rsidRPr="009D6886">
              <w:rPr>
                <w:rFonts w:ascii="Arial" w:hAnsi="Arial" w:cs="Arial"/>
                <w:b w:val="0"/>
                <w:bCs w:val="0"/>
                <w:sz w:val="14"/>
                <w:szCs w:val="14"/>
              </w:rPr>
              <w:br/>
            </w:r>
            <w:r w:rsidRPr="009D6886">
              <w:rPr>
                <w:rFonts w:ascii="Arial" w:hAnsi="Arial" w:cs="Arial"/>
                <w:i/>
                <w:iCs/>
                <w:sz w:val="14"/>
                <w:szCs w:val="14"/>
              </w:rPr>
              <w:t>UNCRC &amp; Children’s Rights Measure (2011)</w:t>
            </w:r>
            <w:r w:rsidRPr="009D6886">
              <w:rPr>
                <w:rFonts w:ascii="Arial" w:hAnsi="Arial" w:cs="Arial"/>
                <w:sz w:val="14"/>
                <w:szCs w:val="14"/>
              </w:rPr>
              <w:t>:</w:t>
            </w:r>
            <w:r w:rsidRPr="009D6886">
              <w:rPr>
                <w:rFonts w:ascii="Arial" w:hAnsi="Arial" w:cs="Arial"/>
                <w:b w:val="0"/>
                <w:bCs w:val="0"/>
                <w:sz w:val="14"/>
                <w:szCs w:val="14"/>
              </w:rPr>
              <w:t xml:space="preserve"> Oblige Welsh Ministers to uphold children’s rights in policy decisions.</w:t>
            </w:r>
          </w:p>
          <w:p w14:paraId="75C4BCCA" w14:textId="77777777" w:rsidR="000B5969" w:rsidRDefault="009D6886" w:rsidP="009D6886">
            <w:pPr>
              <w:rPr>
                <w:rFonts w:ascii="Arial" w:hAnsi="Arial" w:cs="Arial"/>
                <w:sz w:val="14"/>
                <w:szCs w:val="14"/>
              </w:rPr>
            </w:pPr>
            <w:r w:rsidRPr="009D6886">
              <w:rPr>
                <w:rFonts w:ascii="Arial" w:hAnsi="Arial" w:cs="Arial"/>
                <w:b w:val="0"/>
                <w:bCs w:val="0"/>
                <w:sz w:val="14"/>
                <w:szCs w:val="14"/>
              </w:rPr>
              <w:br/>
            </w:r>
            <w:r w:rsidRPr="009D6886">
              <w:rPr>
                <w:rFonts w:ascii="Arial" w:hAnsi="Arial" w:cs="Arial"/>
                <w:i/>
                <w:iCs/>
                <w:sz w:val="14"/>
                <w:szCs w:val="14"/>
              </w:rPr>
              <w:t>Est</w:t>
            </w:r>
            <w:r w:rsidRPr="009D6886">
              <w:rPr>
                <w:rFonts w:ascii="Arial" w:hAnsi="Arial" w:cs="Arial"/>
                <w:b w:val="0"/>
                <w:bCs w:val="0"/>
                <w:i/>
                <w:iCs/>
                <w:sz w:val="14"/>
                <w:szCs w:val="14"/>
              </w:rPr>
              <w:t>yn</w:t>
            </w:r>
            <w:r w:rsidRPr="009D6886">
              <w:rPr>
                <w:rFonts w:ascii="Arial" w:hAnsi="Arial" w:cs="Arial"/>
                <w:b w:val="0"/>
                <w:bCs w:val="0"/>
                <w:sz w:val="14"/>
                <w:szCs w:val="14"/>
              </w:rPr>
              <w:t>: Inspects inclusion and early years education (Estyn, 2022)</w:t>
            </w:r>
          </w:p>
          <w:p w14:paraId="5D4F1C6A" w14:textId="77777777" w:rsidR="000B5969" w:rsidRDefault="009D6886" w:rsidP="009D6886">
            <w:pPr>
              <w:rPr>
                <w:rFonts w:ascii="Arial" w:hAnsi="Arial" w:cs="Arial"/>
                <w:sz w:val="14"/>
                <w:szCs w:val="14"/>
              </w:rPr>
            </w:pPr>
            <w:r w:rsidRPr="009D6886">
              <w:rPr>
                <w:rFonts w:ascii="Arial" w:hAnsi="Arial" w:cs="Arial"/>
                <w:b w:val="0"/>
                <w:bCs w:val="0"/>
                <w:sz w:val="14"/>
                <w:szCs w:val="14"/>
              </w:rPr>
              <w:t>.</w:t>
            </w:r>
            <w:r w:rsidRPr="009D6886">
              <w:rPr>
                <w:rFonts w:ascii="Arial" w:hAnsi="Arial" w:cs="Arial"/>
                <w:b w:val="0"/>
                <w:bCs w:val="0"/>
                <w:sz w:val="14"/>
                <w:szCs w:val="14"/>
              </w:rPr>
              <w:br/>
            </w:r>
            <w:r w:rsidRPr="009D6886">
              <w:rPr>
                <w:rFonts w:ascii="Arial" w:hAnsi="Arial" w:cs="Arial"/>
                <w:i/>
                <w:iCs/>
                <w:sz w:val="14"/>
                <w:szCs w:val="14"/>
              </w:rPr>
              <w:t>Care Inspectorate Wales (CIW)</w:t>
            </w:r>
            <w:r w:rsidRPr="009D6886">
              <w:rPr>
                <w:rFonts w:ascii="Arial" w:hAnsi="Arial" w:cs="Arial"/>
                <w:sz w:val="14"/>
                <w:szCs w:val="14"/>
              </w:rPr>
              <w:t>:</w:t>
            </w:r>
            <w:r w:rsidRPr="009D6886">
              <w:rPr>
                <w:rFonts w:ascii="Arial" w:hAnsi="Arial" w:cs="Arial"/>
                <w:b w:val="0"/>
                <w:bCs w:val="0"/>
                <w:sz w:val="14"/>
                <w:szCs w:val="14"/>
              </w:rPr>
              <w:t xml:space="preserve"> Regulates childcare settings to meet legal and ethical standards (Care Inspectorate Wales, 2022).</w:t>
            </w:r>
          </w:p>
          <w:p w14:paraId="0E6CE079" w14:textId="5766AC20" w:rsidR="009C6E5F" w:rsidRPr="009C6E5F" w:rsidRDefault="009D6886" w:rsidP="009D6886">
            <w:pPr>
              <w:rPr>
                <w:rFonts w:ascii="Arial" w:hAnsi="Arial" w:cs="Arial"/>
                <w:b w:val="0"/>
                <w:bCs w:val="0"/>
                <w:sz w:val="12"/>
                <w:szCs w:val="12"/>
              </w:rPr>
            </w:pPr>
            <w:r w:rsidRPr="009D6886">
              <w:rPr>
                <w:rFonts w:ascii="Arial" w:hAnsi="Arial" w:cs="Arial"/>
                <w:b w:val="0"/>
                <w:bCs w:val="0"/>
                <w:sz w:val="14"/>
                <w:szCs w:val="14"/>
              </w:rPr>
              <w:br/>
            </w:r>
            <w:r w:rsidRPr="009D6886">
              <w:rPr>
                <w:rFonts w:ascii="Arial" w:hAnsi="Arial" w:cs="Arial"/>
                <w:i/>
                <w:iCs/>
                <w:sz w:val="14"/>
                <w:szCs w:val="14"/>
              </w:rPr>
              <w:t>Code of Practice on the Delivery of Autism Services in Wales</w:t>
            </w:r>
            <w:r w:rsidRPr="009D6886">
              <w:rPr>
                <w:rFonts w:ascii="Arial" w:hAnsi="Arial" w:cs="Arial"/>
                <w:b w:val="0"/>
                <w:bCs w:val="0"/>
                <w:sz w:val="14"/>
                <w:szCs w:val="14"/>
              </w:rPr>
              <w:t xml:space="preserve">: </w:t>
            </w:r>
            <w:r w:rsidR="001D741F" w:rsidRPr="001D741F">
              <w:rPr>
                <w:b w:val="0"/>
                <w:bCs w:val="0"/>
              </w:rPr>
              <w:t xml:space="preserve"> </w:t>
            </w:r>
            <w:r w:rsidR="001D741F" w:rsidRPr="001D741F">
              <w:rPr>
                <w:rFonts w:ascii="Arial" w:hAnsi="Arial" w:cs="Arial"/>
                <w:b w:val="0"/>
                <w:bCs w:val="0"/>
                <w:sz w:val="14"/>
                <w:szCs w:val="14"/>
              </w:rPr>
              <w:t>Outlines the duties of local authorities, health boards, NHS trusts, and Regional Partnership Boards, developed with input from autistic individuals, families, carers, and service providers (Welsh Government, 2021).</w:t>
            </w:r>
          </w:p>
          <w:p w14:paraId="4CBBFC81" w14:textId="59220947" w:rsidR="009C6E5F" w:rsidRPr="00B1012B" w:rsidRDefault="008769D1" w:rsidP="00242F7C">
            <w:pPr>
              <w:rPr>
                <w:sz w:val="12"/>
                <w:szCs w:val="12"/>
              </w:rPr>
            </w:pPr>
            <w:r w:rsidRPr="00B1012B">
              <w:rPr>
                <w:noProof/>
                <w:sz w:val="12"/>
                <w:szCs w:val="12"/>
              </w:rPr>
              <w:drawing>
                <wp:anchor distT="0" distB="0" distL="114300" distR="114300" simplePos="0" relativeHeight="251656192" behindDoc="0" locked="0" layoutInCell="1" allowOverlap="1" wp14:anchorId="14E5FCEB" wp14:editId="637A0E2F">
                  <wp:simplePos x="0" y="0"/>
                  <wp:positionH relativeFrom="margin">
                    <wp:posOffset>287274</wp:posOffset>
                  </wp:positionH>
                  <wp:positionV relativeFrom="paragraph">
                    <wp:posOffset>73279</wp:posOffset>
                  </wp:positionV>
                  <wp:extent cx="3045917" cy="1297940"/>
                  <wp:effectExtent l="0" t="0" r="2540" b="0"/>
                  <wp:wrapNone/>
                  <wp:docPr id="1957930487"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65463" name="Picture 1" descr="A graph of different colored line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5917" cy="129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B98B7" w14:textId="1D582221" w:rsidR="00311DCC" w:rsidRDefault="00311DCC" w:rsidP="00242F7C">
            <w:pPr>
              <w:rPr>
                <w:b w:val="0"/>
                <w:bCs w:val="0"/>
              </w:rPr>
            </w:pPr>
          </w:p>
          <w:p w14:paraId="5771A00E" w14:textId="3C71EA17" w:rsidR="00A26AA6" w:rsidRPr="00A26AA6" w:rsidRDefault="00A26AA6" w:rsidP="00A26AA6"/>
          <w:p w14:paraId="12C9E0CF" w14:textId="77777777" w:rsidR="00A26AA6" w:rsidRPr="00A26AA6" w:rsidRDefault="00A26AA6" w:rsidP="00A26AA6"/>
          <w:p w14:paraId="6159409B" w14:textId="77777777" w:rsidR="00A26AA6" w:rsidRPr="00A26AA6" w:rsidRDefault="00A26AA6" w:rsidP="00A26AA6"/>
          <w:p w14:paraId="67956F29" w14:textId="77777777" w:rsidR="00A26AA6" w:rsidRPr="00A26AA6" w:rsidRDefault="00A26AA6" w:rsidP="00A26AA6"/>
          <w:p w14:paraId="3F997676" w14:textId="77777777" w:rsidR="00A26AA6" w:rsidRDefault="00A26AA6" w:rsidP="00A26AA6">
            <w:pPr>
              <w:rPr>
                <w:b w:val="0"/>
                <w:bCs w:val="0"/>
              </w:rPr>
            </w:pPr>
          </w:p>
          <w:p w14:paraId="4532E698" w14:textId="77777777" w:rsidR="00A26AA6" w:rsidRPr="00A26AA6" w:rsidRDefault="00A26AA6" w:rsidP="00A26AA6"/>
          <w:p w14:paraId="2019CCA2" w14:textId="77777777" w:rsidR="008769D1" w:rsidRDefault="008769D1" w:rsidP="00A26AA6">
            <w:pPr>
              <w:rPr>
                <w:rFonts w:ascii="Arial" w:hAnsi="Arial" w:cs="Arial"/>
                <w:b w:val="0"/>
                <w:bCs w:val="0"/>
                <w:sz w:val="14"/>
                <w:szCs w:val="14"/>
              </w:rPr>
            </w:pPr>
          </w:p>
          <w:p w14:paraId="525EA1A9" w14:textId="0A91D6F9" w:rsidR="00A26AA6" w:rsidRPr="00FF5B5B" w:rsidRDefault="00AB3C76" w:rsidP="00A26AA6">
            <w:pPr>
              <w:rPr>
                <w:b w:val="0"/>
                <w:bCs w:val="0"/>
              </w:rPr>
            </w:pPr>
            <w:r w:rsidRPr="00DE6239">
              <w:rPr>
                <w:rFonts w:ascii="Arial" w:hAnsi="Arial" w:cs="Arial"/>
                <w:sz w:val="14"/>
                <w:szCs w:val="14"/>
              </w:rPr>
              <w:t xml:space="preserve">Source: </w:t>
            </w:r>
            <w:r w:rsidRPr="00AB3C76">
              <w:rPr>
                <w:rFonts w:ascii="Arial" w:hAnsi="Arial" w:cs="Arial"/>
                <w:b w:val="0"/>
                <w:bCs w:val="0"/>
                <w:sz w:val="14"/>
                <w:szCs w:val="14"/>
              </w:rPr>
              <w:t>McConkey (2020)</w:t>
            </w:r>
          </w:p>
        </w:tc>
        <w:tc>
          <w:tcPr>
            <w:tcW w:w="4347" w:type="dxa"/>
          </w:tcPr>
          <w:p w14:paraId="0CBF3400" w14:textId="72658959" w:rsidR="00F073CD" w:rsidRDefault="00F073CD">
            <w:pPr>
              <w:cnfStyle w:val="100000000000" w:firstRow="1" w:lastRow="0" w:firstColumn="0" w:lastColumn="0" w:oddVBand="0" w:evenVBand="0" w:oddHBand="0" w:evenHBand="0" w:firstRowFirstColumn="0" w:firstRowLastColumn="0" w:lastRowFirstColumn="0" w:lastRowLastColumn="0"/>
            </w:pPr>
          </w:p>
          <w:tbl>
            <w:tblPr>
              <w:tblStyle w:val="TableGrid"/>
              <w:tblW w:w="4139" w:type="dxa"/>
              <w:tblLayout w:type="fixed"/>
              <w:tblLook w:val="04A0" w:firstRow="1" w:lastRow="0" w:firstColumn="1" w:lastColumn="0" w:noHBand="0" w:noVBand="1"/>
            </w:tblPr>
            <w:tblGrid>
              <w:gridCol w:w="4139"/>
            </w:tblGrid>
            <w:tr w:rsidR="00F073CD" w14:paraId="07D05A79" w14:textId="77777777" w:rsidTr="00A3520D">
              <w:tc>
                <w:tcPr>
                  <w:tcW w:w="4139" w:type="dxa"/>
                  <w:tcBorders>
                    <w:right w:val="single" w:sz="4" w:space="0" w:color="E97132" w:themeColor="accent2"/>
                  </w:tcBorders>
                  <w:shd w:val="clear" w:color="auto" w:fill="F6DEF3"/>
                </w:tcPr>
                <w:p w14:paraId="660C3CBD" w14:textId="2D900BA7" w:rsidR="00F073CD" w:rsidRDefault="00F073CD" w:rsidP="00F76270">
                  <w:pPr>
                    <w:framePr w:hSpace="180" w:wrap="around" w:vAnchor="text" w:hAnchor="margin" w:xAlign="right" w:y="136"/>
                    <w:rPr>
                      <w:rFonts w:ascii="Arial" w:hAnsi="Arial" w:cs="Arial"/>
                      <w:b/>
                      <w:bCs/>
                      <w:sz w:val="16"/>
                      <w:szCs w:val="16"/>
                      <w:u w:val="single"/>
                    </w:rPr>
                  </w:pPr>
                  <w:r w:rsidRPr="001163DB">
                    <w:rPr>
                      <w:rFonts w:ascii="Arial" w:hAnsi="Arial" w:cs="Arial"/>
                      <w:b/>
                      <w:bCs/>
                      <w:sz w:val="16"/>
                      <w:szCs w:val="16"/>
                      <w:u w:val="single"/>
                    </w:rPr>
                    <w:t>Introduction</w:t>
                  </w:r>
                  <w:r w:rsidR="00C15701" w:rsidRPr="001163DB">
                    <w:rPr>
                      <w:rFonts w:ascii="Arial" w:hAnsi="Arial" w:cs="Arial"/>
                      <w:b/>
                      <w:bCs/>
                      <w:sz w:val="16"/>
                      <w:szCs w:val="16"/>
                      <w:u w:val="single"/>
                    </w:rPr>
                    <w:t xml:space="preserve"> to </w:t>
                  </w:r>
                  <w:r w:rsidR="00D90AAA">
                    <w:rPr>
                      <w:rFonts w:ascii="Arial" w:hAnsi="Arial" w:cs="Arial"/>
                      <w:b/>
                      <w:bCs/>
                      <w:sz w:val="16"/>
                      <w:szCs w:val="16"/>
                      <w:u w:val="single"/>
                    </w:rPr>
                    <w:t>A</w:t>
                  </w:r>
                  <w:r w:rsidR="00C15701" w:rsidRPr="001163DB">
                    <w:rPr>
                      <w:rFonts w:ascii="Arial" w:hAnsi="Arial" w:cs="Arial"/>
                      <w:b/>
                      <w:bCs/>
                      <w:sz w:val="16"/>
                      <w:szCs w:val="16"/>
                      <w:u w:val="single"/>
                    </w:rPr>
                    <w:t>SD</w:t>
                  </w:r>
                </w:p>
                <w:p w14:paraId="18505969" w14:textId="77777777" w:rsidR="00B8685F" w:rsidRPr="001163DB" w:rsidRDefault="00B8685F" w:rsidP="00F76270">
                  <w:pPr>
                    <w:framePr w:hSpace="180" w:wrap="around" w:vAnchor="text" w:hAnchor="margin" w:xAlign="right" w:y="136"/>
                    <w:rPr>
                      <w:rFonts w:ascii="Arial" w:hAnsi="Arial" w:cs="Arial"/>
                      <w:b/>
                      <w:bCs/>
                      <w:sz w:val="16"/>
                      <w:szCs w:val="16"/>
                      <w:u w:val="single"/>
                    </w:rPr>
                  </w:pPr>
                </w:p>
                <w:p w14:paraId="5F1E020A" w14:textId="77777777" w:rsidR="00F073CD" w:rsidRDefault="00B42A4C" w:rsidP="00F76270">
                  <w:pPr>
                    <w:framePr w:hSpace="180" w:wrap="around" w:vAnchor="text" w:hAnchor="margin" w:xAlign="right" w:y="136"/>
                    <w:spacing w:after="160"/>
                    <w:jc w:val="both"/>
                    <w:rPr>
                      <w:rFonts w:ascii="Arial" w:hAnsi="Arial" w:cs="Arial"/>
                      <w:sz w:val="12"/>
                      <w:szCs w:val="12"/>
                    </w:rPr>
                  </w:pPr>
                  <w:r w:rsidRPr="00B42A4C">
                    <w:rPr>
                      <w:rFonts w:ascii="Arial" w:hAnsi="Arial" w:cs="Arial"/>
                      <w:sz w:val="12"/>
                      <w:szCs w:val="12"/>
                    </w:rPr>
                    <w:t>Autism Spectrum Disorder (ASD) is a lifelong neurodevelopmental condition that varies widely between individuals, affecting how they perceive the world and interact socially (</w:t>
                  </w:r>
                  <w:proofErr w:type="spellStart"/>
                  <w:r w:rsidRPr="00B42A4C">
                    <w:rPr>
                      <w:rFonts w:ascii="Arial" w:hAnsi="Arial" w:cs="Arial"/>
                      <w:sz w:val="12"/>
                      <w:szCs w:val="12"/>
                    </w:rPr>
                    <w:t>Alsayouf</w:t>
                  </w:r>
                  <w:proofErr w:type="spellEnd"/>
                  <w:r w:rsidRPr="00B42A4C">
                    <w:rPr>
                      <w:rFonts w:ascii="Arial" w:hAnsi="Arial" w:cs="Arial"/>
                      <w:sz w:val="12"/>
                      <w:szCs w:val="12"/>
                    </w:rPr>
                    <w:t xml:space="preserve"> et al., 2022; National Autistic Society, 2024). ASD includes former separate diagnoses such as Asperger’s syndrome and pervasive developmental disorder (</w:t>
                  </w:r>
                  <w:proofErr w:type="spellStart"/>
                  <w:r w:rsidRPr="00B42A4C">
                    <w:rPr>
                      <w:rFonts w:ascii="Arial" w:hAnsi="Arial" w:cs="Arial"/>
                      <w:sz w:val="12"/>
                      <w:szCs w:val="12"/>
                    </w:rPr>
                    <w:t>Alsayouf</w:t>
                  </w:r>
                  <w:proofErr w:type="spellEnd"/>
                  <w:r w:rsidRPr="00B42A4C">
                    <w:rPr>
                      <w:rFonts w:ascii="Arial" w:hAnsi="Arial" w:cs="Arial"/>
                      <w:sz w:val="12"/>
                      <w:szCs w:val="12"/>
                    </w:rPr>
                    <w:t xml:space="preserve"> et al., 2021). Core traits include social communication difficulties, repetitive behaviours, focused interests, and atypical sensory responses (American Psychiatric Association, 2013). The term "autism" was first coined by Bleuler in 1911 and later defined by Kanner in 1943 as the condition known today as ASD (Blatt, 2025; Silverman, 2012). It affects roughly 1 in 59 children and is more common in boys (Centres for Disease Control and Prevention, 2018). In the UK, autism diagnoses rose by 787% between 1998 and 2018 (Office for National Statistics, 2021).</w:t>
                  </w:r>
                </w:p>
                <w:p w14:paraId="44B250BE" w14:textId="54E3FDF4" w:rsidR="005A6DF0" w:rsidRPr="008C2266" w:rsidRDefault="005A6DF0" w:rsidP="00F76270">
                  <w:pPr>
                    <w:framePr w:hSpace="180" w:wrap="around" w:vAnchor="text" w:hAnchor="margin" w:xAlign="right" w:y="136"/>
                    <w:spacing w:after="160"/>
                    <w:jc w:val="both"/>
                    <w:rPr>
                      <w:rFonts w:ascii="Arial" w:hAnsi="Arial" w:cs="Arial"/>
                      <w:sz w:val="12"/>
                      <w:szCs w:val="12"/>
                    </w:rPr>
                  </w:pPr>
                </w:p>
              </w:tc>
            </w:tr>
            <w:tr w:rsidR="00F073CD" w14:paraId="268401A4" w14:textId="77777777" w:rsidTr="00A3520D">
              <w:tc>
                <w:tcPr>
                  <w:tcW w:w="4139" w:type="dxa"/>
                  <w:shd w:val="clear" w:color="auto" w:fill="FFFFEF"/>
                </w:tcPr>
                <w:p w14:paraId="5DA23D7D" w14:textId="77777777" w:rsidR="00301712" w:rsidRPr="001163DB" w:rsidRDefault="00301712" w:rsidP="00F76270">
                  <w:pPr>
                    <w:framePr w:hSpace="180" w:wrap="around" w:vAnchor="text" w:hAnchor="margin" w:xAlign="right" w:y="136"/>
                    <w:rPr>
                      <w:rFonts w:ascii="Arial" w:hAnsi="Arial" w:cs="Arial"/>
                      <w:b/>
                      <w:bCs/>
                      <w:sz w:val="16"/>
                      <w:szCs w:val="16"/>
                      <w:u w:val="single"/>
                    </w:rPr>
                  </w:pPr>
                  <w:r w:rsidRPr="001163DB">
                    <w:rPr>
                      <w:rFonts w:ascii="Arial" w:hAnsi="Arial" w:cs="Arial"/>
                      <w:b/>
                      <w:bCs/>
                      <w:sz w:val="16"/>
                      <w:szCs w:val="16"/>
                      <w:u w:val="single"/>
                    </w:rPr>
                    <w:t>Signs and Symptoms of ASD</w:t>
                  </w:r>
                </w:p>
                <w:p w14:paraId="1453C76E" w14:textId="77777777" w:rsidR="00EF3C6C" w:rsidRDefault="00EF3C6C" w:rsidP="00F76270">
                  <w:pPr>
                    <w:framePr w:hSpace="180" w:wrap="around" w:vAnchor="text" w:hAnchor="margin" w:xAlign="right" w:y="136"/>
                    <w:rPr>
                      <w:b/>
                      <w:bCs/>
                      <w:sz w:val="16"/>
                      <w:szCs w:val="16"/>
                      <w:u w:val="single"/>
                    </w:rPr>
                  </w:pPr>
                </w:p>
                <w:p w14:paraId="7EDC2EBB" w14:textId="32542426" w:rsidR="00F073CD" w:rsidRDefault="004A64FF" w:rsidP="00F76270">
                  <w:pPr>
                    <w:framePr w:hSpace="180" w:wrap="around" w:vAnchor="text" w:hAnchor="margin" w:xAlign="right" w:y="136"/>
                    <w:rPr>
                      <w:rFonts w:ascii="Arial" w:hAnsi="Arial" w:cs="Arial"/>
                      <w:sz w:val="12"/>
                      <w:szCs w:val="12"/>
                    </w:rPr>
                  </w:pPr>
                  <w:r w:rsidRPr="00EF3C6C">
                    <w:rPr>
                      <w:rFonts w:ascii="Arial" w:hAnsi="Arial" w:cs="Arial"/>
                      <w:sz w:val="12"/>
                      <w:szCs w:val="12"/>
                    </w:rPr>
                    <w:t xml:space="preserve">Young children with (ASD) often exhibit challenges in social communication, such as delays in speech development and difficulty interpreting social cues, including eye contact and body language (National Autistic Society, 2024). Many children with ASD also engage in repetitive behaviours like hand-flapping or rocking, showing a strong focus on </w:t>
                  </w:r>
                  <w:proofErr w:type="gramStart"/>
                  <w:r w:rsidRPr="00EF3C6C">
                    <w:rPr>
                      <w:rFonts w:ascii="Arial" w:hAnsi="Arial" w:cs="Arial"/>
                      <w:sz w:val="12"/>
                      <w:szCs w:val="12"/>
                    </w:rPr>
                    <w:t>particular interests</w:t>
                  </w:r>
                  <w:proofErr w:type="gramEnd"/>
                  <w:r w:rsidRPr="00EF3C6C">
                    <w:rPr>
                      <w:rFonts w:ascii="Arial" w:hAnsi="Arial" w:cs="Arial"/>
                      <w:sz w:val="12"/>
                      <w:szCs w:val="12"/>
                    </w:rPr>
                    <w:t xml:space="preserve"> or objects, sometimes to the exclusion of other activities (Autism Anglia, 2024). They may also have heightened sensory sensitivities, reacting intensely to sounds or becoming upset by specific textures (NHS, 2022). In addition, children with ASD often resist changes to their routines and have trouble managing their emotions, which can result in meltdowns when they feel frustrated or overwhelmed (Snap Cymru, 2024). ASD can be diagnosed as early as 18 months; however, most children are identified after age three (Autism Wales, 2024). People diagnosed with ASD frequently experience additional mental health conditions, such as anxiety, attention-deficit/hyperactivity disorder (ADHD), obsessive-compulsive disorder (OCD), mood disorders, and other types of disruptive behaviour disorders (Gadow et al., 2018; Gotham et al., 2020).</w:t>
                  </w:r>
                </w:p>
                <w:p w14:paraId="0832593B" w14:textId="77777777" w:rsidR="00EF3C6C" w:rsidRDefault="00EF3C6C" w:rsidP="00F76270">
                  <w:pPr>
                    <w:framePr w:hSpace="180" w:wrap="around" w:vAnchor="text" w:hAnchor="margin" w:xAlign="right" w:y="136"/>
                    <w:rPr>
                      <w:rFonts w:ascii="Arial" w:hAnsi="Arial" w:cs="Arial"/>
                      <w:sz w:val="12"/>
                      <w:szCs w:val="12"/>
                    </w:rPr>
                  </w:pPr>
                </w:p>
                <w:p w14:paraId="26686312" w14:textId="77777777" w:rsidR="00EF3C6C" w:rsidRDefault="00EF3C6C" w:rsidP="00F76270">
                  <w:pPr>
                    <w:framePr w:hSpace="180" w:wrap="around" w:vAnchor="text" w:hAnchor="margin" w:xAlign="right" w:y="136"/>
                    <w:rPr>
                      <w:rFonts w:ascii="Arial" w:hAnsi="Arial" w:cs="Arial"/>
                      <w:sz w:val="12"/>
                      <w:szCs w:val="12"/>
                    </w:rPr>
                  </w:pPr>
                </w:p>
                <w:p w14:paraId="4F6E8D45" w14:textId="77777777" w:rsidR="00EF3C6C" w:rsidRDefault="00EF3C6C" w:rsidP="00F76270">
                  <w:pPr>
                    <w:framePr w:hSpace="180" w:wrap="around" w:vAnchor="text" w:hAnchor="margin" w:xAlign="right" w:y="136"/>
                    <w:rPr>
                      <w:rFonts w:ascii="Arial" w:hAnsi="Arial" w:cs="Arial"/>
                      <w:sz w:val="12"/>
                      <w:szCs w:val="12"/>
                    </w:rPr>
                  </w:pPr>
                </w:p>
                <w:p w14:paraId="5F2B9871" w14:textId="72B3EF10" w:rsidR="00EF3C6C" w:rsidRPr="00EF3C6C" w:rsidRDefault="00EF3C6C" w:rsidP="00F76270">
                  <w:pPr>
                    <w:framePr w:hSpace="180" w:wrap="around" w:vAnchor="text" w:hAnchor="margin" w:xAlign="right" w:y="136"/>
                    <w:rPr>
                      <w:rFonts w:ascii="Arial" w:hAnsi="Arial" w:cs="Arial"/>
                      <w:sz w:val="12"/>
                      <w:szCs w:val="12"/>
                    </w:rPr>
                  </w:pPr>
                </w:p>
              </w:tc>
            </w:tr>
            <w:tr w:rsidR="00F073CD" w14:paraId="74FDB6CB" w14:textId="77777777" w:rsidTr="00A3520D">
              <w:tc>
                <w:tcPr>
                  <w:tcW w:w="4139" w:type="dxa"/>
                  <w:shd w:val="clear" w:color="auto" w:fill="D6FDCB"/>
                </w:tcPr>
                <w:p w14:paraId="1973CD87" w14:textId="77777777" w:rsidR="00301712" w:rsidRPr="008D4098" w:rsidRDefault="00301712" w:rsidP="00F76270">
                  <w:pPr>
                    <w:framePr w:hSpace="180" w:wrap="around" w:vAnchor="text" w:hAnchor="margin" w:xAlign="right" w:y="136"/>
                    <w:rPr>
                      <w:b/>
                      <w:bCs/>
                      <w:sz w:val="16"/>
                      <w:szCs w:val="16"/>
                      <w:u w:val="single"/>
                    </w:rPr>
                  </w:pPr>
                  <w:r w:rsidRPr="008D4098">
                    <w:rPr>
                      <w:b/>
                      <w:bCs/>
                      <w:sz w:val="16"/>
                      <w:szCs w:val="16"/>
                      <w:u w:val="single"/>
                    </w:rPr>
                    <w:t>Diagnosing ASD</w:t>
                  </w:r>
                </w:p>
                <w:p w14:paraId="564A63CE" w14:textId="77777777" w:rsidR="00FD50F0" w:rsidRDefault="00FD50F0" w:rsidP="00F76270">
                  <w:pPr>
                    <w:framePr w:hSpace="180" w:wrap="around" w:vAnchor="text" w:hAnchor="margin" w:xAlign="right" w:y="136"/>
                    <w:rPr>
                      <w:rFonts w:ascii="Arial" w:hAnsi="Arial" w:cs="Arial"/>
                      <w:sz w:val="12"/>
                      <w:szCs w:val="12"/>
                    </w:rPr>
                  </w:pPr>
                </w:p>
                <w:p w14:paraId="506D9350" w14:textId="1E8CC94E" w:rsidR="00302578" w:rsidRPr="005A6DF0" w:rsidRDefault="00F97B6A" w:rsidP="00F76270">
                  <w:pPr>
                    <w:framePr w:hSpace="180" w:wrap="around" w:vAnchor="text" w:hAnchor="margin" w:xAlign="right" w:y="136"/>
                    <w:rPr>
                      <w:rFonts w:ascii="Arial" w:hAnsi="Arial" w:cs="Arial"/>
                      <w:sz w:val="12"/>
                      <w:szCs w:val="12"/>
                    </w:rPr>
                  </w:pPr>
                  <w:r w:rsidRPr="005A6DF0">
                    <w:rPr>
                      <w:rFonts w:ascii="Arial" w:hAnsi="Arial" w:cs="Arial"/>
                      <w:sz w:val="12"/>
                      <w:szCs w:val="12"/>
                    </w:rPr>
                    <w:t>Diagnosing Autism Spectrum Disorder (ASD) in children involves gathering detailed developmental histories from parents or caregivers and observing the child's behaviour by healthcare professionals (NICE, 2021). (NICE</w:t>
                  </w:r>
                  <w:r w:rsidR="008D06ED">
                    <w:rPr>
                      <w:rFonts w:ascii="Arial" w:hAnsi="Arial" w:cs="Arial"/>
                      <w:sz w:val="12"/>
                      <w:szCs w:val="12"/>
                    </w:rPr>
                    <w:t>, 2021)</w:t>
                  </w:r>
                  <w:r w:rsidRPr="005A6DF0">
                    <w:rPr>
                      <w:rFonts w:ascii="Arial" w:hAnsi="Arial" w:cs="Arial"/>
                      <w:sz w:val="12"/>
                      <w:szCs w:val="12"/>
                    </w:rPr>
                    <w:t xml:space="preserve"> provide guidelines that recommend assessments based on the diagnostic criteria outlined in the Diagnostic and Statistical Manual of Mental Disorders, 5th Edition (DSM-5) and the International Classification of Diseases, 11th Revision (ICD-11) (NICE, 2021). These assessments should include a comprehensive evaluation of the child’s social communication skills, behaviours, and medical history (American Psychiatric Association, 2013; WHO, 2022). The process </w:t>
                  </w:r>
                  <w:r w:rsidR="00CA0EDF">
                    <w:rPr>
                      <w:rFonts w:ascii="Arial" w:hAnsi="Arial" w:cs="Arial"/>
                      <w:sz w:val="12"/>
                      <w:szCs w:val="12"/>
                    </w:rPr>
                    <w:t xml:space="preserve">considers </w:t>
                  </w:r>
                  <w:r w:rsidRPr="005A6DF0">
                    <w:rPr>
                      <w:rFonts w:ascii="Arial" w:hAnsi="Arial" w:cs="Arial"/>
                      <w:sz w:val="12"/>
                      <w:szCs w:val="12"/>
                    </w:rPr>
                    <w:t xml:space="preserve">cultural factors and the possibility of under-recognition, particularly in groups such as girls or children with learning disabilities (NICE, 2021). The guidelines emphasise the importance of a multi-source approach, ensuring that the diagnosis is accurate and clinically relevant </w:t>
                  </w:r>
                </w:p>
                <w:p w14:paraId="313FBB35" w14:textId="57559DC1" w:rsidR="00302578" w:rsidRPr="006B19F2" w:rsidRDefault="00F97B6A" w:rsidP="00F76270">
                  <w:pPr>
                    <w:framePr w:hSpace="180" w:wrap="around" w:vAnchor="text" w:hAnchor="margin" w:xAlign="right" w:y="136"/>
                    <w:rPr>
                      <w:rFonts w:ascii="Arial" w:hAnsi="Arial" w:cs="Arial"/>
                      <w:sz w:val="12"/>
                      <w:szCs w:val="12"/>
                    </w:rPr>
                  </w:pPr>
                  <w:r w:rsidRPr="005A6DF0">
                    <w:rPr>
                      <w:rFonts w:ascii="Arial" w:hAnsi="Arial" w:cs="Arial"/>
                      <w:sz w:val="12"/>
                      <w:szCs w:val="12"/>
                    </w:rPr>
                    <w:t>(NICE, 2021</w:t>
                  </w:r>
                  <w:r w:rsidR="00AD36CB">
                    <w:rPr>
                      <w:rFonts w:ascii="Arial" w:hAnsi="Arial" w:cs="Arial"/>
                      <w:sz w:val="12"/>
                      <w:szCs w:val="12"/>
                    </w:rPr>
                    <w:t>)</w:t>
                  </w:r>
                </w:p>
              </w:tc>
            </w:tr>
          </w:tbl>
          <w:p w14:paraId="136CA12C" w14:textId="77777777" w:rsidR="00F073CD" w:rsidRDefault="00F073CD" w:rsidP="00242F7C">
            <w:pPr>
              <w:cnfStyle w:val="100000000000" w:firstRow="1" w:lastRow="0" w:firstColumn="0" w:lastColumn="0" w:oddVBand="0" w:evenVBand="0" w:oddHBand="0" w:evenHBand="0" w:firstRowFirstColumn="0" w:firstRowLastColumn="0" w:lastRowFirstColumn="0" w:lastRowLastColumn="0"/>
            </w:pPr>
          </w:p>
        </w:tc>
        <w:tc>
          <w:tcPr>
            <w:tcW w:w="4650" w:type="dxa"/>
          </w:tcPr>
          <w:p w14:paraId="37520FE3" w14:textId="5513BE96" w:rsidR="006A1950" w:rsidRDefault="006A1950">
            <w:pPr>
              <w:cnfStyle w:val="100000000000" w:firstRow="1" w:lastRow="0" w:firstColumn="0" w:lastColumn="0" w:oddVBand="0" w:evenVBand="0" w:oddHBand="0" w:evenHBand="0" w:firstRowFirstColumn="0" w:firstRowLastColumn="0" w:lastRowFirstColumn="0" w:lastRowLastColumn="0"/>
            </w:pPr>
          </w:p>
          <w:tbl>
            <w:tblPr>
              <w:tblStyle w:val="TableGrid"/>
              <w:tblW w:w="0" w:type="auto"/>
              <w:tblLayout w:type="fixed"/>
              <w:tblLook w:val="04A0" w:firstRow="1" w:lastRow="0" w:firstColumn="1" w:lastColumn="0" w:noHBand="0" w:noVBand="1"/>
            </w:tblPr>
            <w:tblGrid>
              <w:gridCol w:w="4424"/>
            </w:tblGrid>
            <w:tr w:rsidR="006A1950" w14:paraId="77D2DDD2" w14:textId="77777777" w:rsidTr="003423F5">
              <w:tc>
                <w:tcPr>
                  <w:tcW w:w="4424" w:type="dxa"/>
                  <w:shd w:val="clear" w:color="auto" w:fill="FFDEB9"/>
                </w:tcPr>
                <w:p w14:paraId="690EA6A6" w14:textId="6CCB2833" w:rsidR="006A1950" w:rsidRPr="008D4098" w:rsidRDefault="00430A53" w:rsidP="00F76270">
                  <w:pPr>
                    <w:framePr w:hSpace="180" w:wrap="around" w:vAnchor="text" w:hAnchor="margin" w:xAlign="right" w:y="136"/>
                    <w:rPr>
                      <w:rFonts w:ascii="Arial" w:hAnsi="Arial" w:cs="Arial"/>
                      <w:b/>
                      <w:bCs/>
                      <w:sz w:val="16"/>
                      <w:szCs w:val="16"/>
                      <w:u w:val="single"/>
                    </w:rPr>
                  </w:pPr>
                  <w:r w:rsidRPr="008D4098">
                    <w:rPr>
                      <w:rFonts w:ascii="Arial" w:hAnsi="Arial" w:cs="Arial"/>
                      <w:b/>
                      <w:bCs/>
                      <w:sz w:val="16"/>
                      <w:szCs w:val="16"/>
                      <w:u w:val="single"/>
                    </w:rPr>
                    <w:t xml:space="preserve">ASD </w:t>
                  </w:r>
                  <w:r w:rsidR="0001705B" w:rsidRPr="008D4098">
                    <w:rPr>
                      <w:rFonts w:ascii="Arial" w:hAnsi="Arial" w:cs="Arial"/>
                      <w:b/>
                      <w:bCs/>
                      <w:sz w:val="16"/>
                      <w:szCs w:val="16"/>
                      <w:u w:val="single"/>
                    </w:rPr>
                    <w:t xml:space="preserve">Barriers </w:t>
                  </w:r>
                  <w:r w:rsidR="00484FC6" w:rsidRPr="008D4098">
                    <w:rPr>
                      <w:rFonts w:ascii="Arial" w:hAnsi="Arial" w:cs="Arial"/>
                      <w:b/>
                      <w:bCs/>
                      <w:sz w:val="16"/>
                      <w:szCs w:val="16"/>
                      <w:u w:val="single"/>
                    </w:rPr>
                    <w:t>and impacts on Children and Families</w:t>
                  </w:r>
                </w:p>
                <w:p w14:paraId="4BD6A0D9" w14:textId="77777777" w:rsidR="006A1950" w:rsidRDefault="006A1950" w:rsidP="00F76270">
                  <w:pPr>
                    <w:framePr w:hSpace="180" w:wrap="around" w:vAnchor="text" w:hAnchor="margin" w:xAlign="right" w:y="136"/>
                    <w:rPr>
                      <w:rFonts w:ascii="Arial" w:hAnsi="Arial" w:cs="Arial"/>
                      <w:sz w:val="12"/>
                      <w:szCs w:val="12"/>
                    </w:rPr>
                  </w:pPr>
                </w:p>
                <w:p w14:paraId="150DA128" w14:textId="77777777" w:rsidR="00020F15" w:rsidRDefault="00020F15" w:rsidP="00F76270">
                  <w:pPr>
                    <w:framePr w:hSpace="180" w:wrap="around" w:vAnchor="text" w:hAnchor="margin" w:xAlign="right" w:y="136"/>
                    <w:rPr>
                      <w:rFonts w:ascii="Arial" w:hAnsi="Arial" w:cs="Arial"/>
                      <w:sz w:val="12"/>
                      <w:szCs w:val="12"/>
                    </w:rPr>
                  </w:pPr>
                  <w:r w:rsidRPr="00020F15">
                    <w:rPr>
                      <w:rFonts w:ascii="Arial" w:hAnsi="Arial" w:cs="Arial"/>
                      <w:sz w:val="12"/>
                      <w:szCs w:val="12"/>
                    </w:rPr>
                    <w:t xml:space="preserve">Many children with ASD face significant barriers in mainstream education, including sensory sensitivities, social interaction difficulties, and emotional distress (Hasson et al., 2022; Catalyst Group, 2023; McDougal, Riby &amp; Hanley, 2020). They often struggle with interpreting social cues, maintaining eye contact, and engaging in conversation (Cheng, 2024; Naznin et al., 2023). Stigma and misunderstandings about ASD further intensify these challenges (Simón et al., 2023). Executive functioning difficulties and anxiety around transitions also affect learning, while conventional teaching methods may not meet their needs (Holmes, 2024). Behavioural issues like meltdowns can disrupt learning, and a lack of tailored support worsens outcomes (Holmes, 2024; Frontiers in Psychology, 2022). Families often face delayed diagnoses, limited services, financial strain, and difficulty accessing education support (National Autistic Society, 2023; Crane et al., 2016; Sharpe &amp; Baker, 2007), contributing to caregiver stress and anxiety (Hayes &amp; Watson, 2013; </w:t>
                  </w:r>
                  <w:proofErr w:type="spellStart"/>
                  <w:r w:rsidRPr="00020F15">
                    <w:rPr>
                      <w:rFonts w:ascii="Arial" w:hAnsi="Arial" w:cs="Arial"/>
                      <w:sz w:val="12"/>
                      <w:szCs w:val="12"/>
                    </w:rPr>
                    <w:t>O'Nions</w:t>
                  </w:r>
                  <w:proofErr w:type="spellEnd"/>
                  <w:r w:rsidRPr="00020F15">
                    <w:rPr>
                      <w:rFonts w:ascii="Arial" w:hAnsi="Arial" w:cs="Arial"/>
                      <w:sz w:val="12"/>
                      <w:szCs w:val="12"/>
                    </w:rPr>
                    <w:t xml:space="preserve"> et al., 2014).</w:t>
                  </w:r>
                </w:p>
                <w:p w14:paraId="71B104E8" w14:textId="77777777" w:rsidR="00AD36CB" w:rsidRDefault="00AD36CB" w:rsidP="00F76270">
                  <w:pPr>
                    <w:framePr w:hSpace="180" w:wrap="around" w:vAnchor="text" w:hAnchor="margin" w:xAlign="right" w:y="136"/>
                    <w:rPr>
                      <w:rFonts w:ascii="Arial" w:hAnsi="Arial" w:cs="Arial"/>
                      <w:sz w:val="12"/>
                      <w:szCs w:val="12"/>
                    </w:rPr>
                  </w:pPr>
                </w:p>
                <w:p w14:paraId="5EB5999C" w14:textId="4AEEC707" w:rsidR="00AD36CB" w:rsidRPr="00722CE2" w:rsidRDefault="00AD36CB" w:rsidP="00F76270">
                  <w:pPr>
                    <w:framePr w:hSpace="180" w:wrap="around" w:vAnchor="text" w:hAnchor="margin" w:xAlign="right" w:y="136"/>
                    <w:rPr>
                      <w:rFonts w:ascii="Arial" w:hAnsi="Arial" w:cs="Arial"/>
                      <w:sz w:val="12"/>
                      <w:szCs w:val="12"/>
                    </w:rPr>
                  </w:pPr>
                </w:p>
              </w:tc>
            </w:tr>
            <w:tr w:rsidR="006A1950" w14:paraId="35D332EC" w14:textId="77777777" w:rsidTr="00187DF4">
              <w:tc>
                <w:tcPr>
                  <w:tcW w:w="4424" w:type="dxa"/>
                  <w:shd w:val="clear" w:color="auto" w:fill="FFD5D1"/>
                </w:tcPr>
                <w:p w14:paraId="570C097B" w14:textId="381EF3B6" w:rsidR="00302578" w:rsidRDefault="00BE3DB1" w:rsidP="00F76270">
                  <w:pPr>
                    <w:framePr w:hSpace="180" w:wrap="around" w:vAnchor="text" w:hAnchor="margin" w:xAlign="right" w:y="136"/>
                    <w:rPr>
                      <w:rFonts w:ascii="Arial" w:hAnsi="Arial" w:cs="Arial"/>
                      <w:b/>
                      <w:bCs/>
                      <w:sz w:val="16"/>
                      <w:szCs w:val="16"/>
                      <w:u w:val="single"/>
                    </w:rPr>
                  </w:pPr>
                  <w:r w:rsidRPr="008D4098">
                    <w:rPr>
                      <w:rFonts w:ascii="Arial" w:hAnsi="Arial" w:cs="Arial"/>
                      <w:b/>
                      <w:bCs/>
                      <w:sz w:val="16"/>
                      <w:szCs w:val="16"/>
                      <w:u w:val="single"/>
                    </w:rPr>
                    <w:t>Support Strategy for children with ASD</w:t>
                  </w:r>
                </w:p>
                <w:p w14:paraId="0B06A6E5" w14:textId="77777777" w:rsidR="00EF3C6C" w:rsidRDefault="00EF3C6C" w:rsidP="00F76270">
                  <w:pPr>
                    <w:framePr w:hSpace="180" w:wrap="around" w:vAnchor="text" w:hAnchor="margin" w:xAlign="right" w:y="136"/>
                    <w:rPr>
                      <w:rFonts w:ascii="Arial" w:hAnsi="Arial" w:cs="Arial"/>
                      <w:b/>
                      <w:bCs/>
                      <w:sz w:val="16"/>
                      <w:szCs w:val="16"/>
                      <w:u w:val="single"/>
                    </w:rPr>
                  </w:pPr>
                </w:p>
                <w:p w14:paraId="55E92BF1" w14:textId="2991A1E6" w:rsidR="00A3520D" w:rsidRPr="00EF3C6C" w:rsidRDefault="007E3699" w:rsidP="00F76270">
                  <w:pPr>
                    <w:framePr w:hSpace="180" w:wrap="around" w:vAnchor="text" w:hAnchor="margin" w:xAlign="right" w:y="136"/>
                    <w:rPr>
                      <w:rFonts w:ascii="Arial" w:hAnsi="Arial" w:cs="Arial"/>
                      <w:sz w:val="12"/>
                      <w:szCs w:val="12"/>
                    </w:rPr>
                  </w:pPr>
                  <w:r w:rsidRPr="00EF3C6C">
                    <w:rPr>
                      <w:rFonts w:ascii="Arial" w:hAnsi="Arial" w:cs="Arial"/>
                      <w:sz w:val="12"/>
                      <w:szCs w:val="12"/>
                    </w:rPr>
                    <w:t>The Attention Autism Programme is an evidence-based intervention designed to enhance communication and attention skills in children with ASD</w:t>
                  </w:r>
                  <w:r w:rsidR="001614A4" w:rsidRPr="00EF3C6C">
                    <w:rPr>
                      <w:rFonts w:ascii="Arial" w:hAnsi="Arial" w:cs="Arial"/>
                      <w:sz w:val="12"/>
                      <w:szCs w:val="12"/>
                    </w:rPr>
                    <w:t>. The programme focuses</w:t>
                  </w:r>
                  <w:r w:rsidRPr="00EF3C6C">
                    <w:rPr>
                      <w:rFonts w:ascii="Arial" w:hAnsi="Arial" w:cs="Arial"/>
                      <w:sz w:val="12"/>
                      <w:szCs w:val="12"/>
                    </w:rPr>
                    <w:t xml:space="preserve"> on engagement, attention, and communication, adapting to the learning styles of autistic and neurodivergent children (Davies, n.d.; Just One Norfolk, n.d.). The programme consists of four </w:t>
                  </w:r>
                  <w:r w:rsidR="00086891" w:rsidRPr="00EF3C6C">
                    <w:rPr>
                      <w:rFonts w:ascii="Arial" w:hAnsi="Arial" w:cs="Arial"/>
                      <w:sz w:val="12"/>
                      <w:szCs w:val="12"/>
                    </w:rPr>
                    <w:t>stages,</w:t>
                  </w:r>
                  <w:r w:rsidR="006227CF" w:rsidRPr="00EF3C6C">
                    <w:rPr>
                      <w:rFonts w:ascii="Arial" w:hAnsi="Arial" w:cs="Arial"/>
                      <w:sz w:val="12"/>
                      <w:szCs w:val="12"/>
                    </w:rPr>
                    <w:t xml:space="preserve"> </w:t>
                  </w:r>
                  <w:r w:rsidR="00086891" w:rsidRPr="00EF3C6C">
                    <w:rPr>
                      <w:rFonts w:ascii="Arial" w:hAnsi="Arial" w:cs="Arial"/>
                      <w:sz w:val="12"/>
                      <w:szCs w:val="12"/>
                    </w:rPr>
                    <w:t>each</w:t>
                  </w:r>
                  <w:r w:rsidRPr="00EF3C6C">
                    <w:rPr>
                      <w:rFonts w:ascii="Arial" w:hAnsi="Arial" w:cs="Arial"/>
                      <w:sz w:val="12"/>
                      <w:szCs w:val="12"/>
                    </w:rPr>
                    <w:t xml:space="preserve"> aimed at fostering attention and communication skills (</w:t>
                  </w:r>
                  <w:proofErr w:type="spellStart"/>
                  <w:r w:rsidRPr="00EF3C6C">
                    <w:rPr>
                      <w:rFonts w:ascii="Arial" w:hAnsi="Arial" w:cs="Arial"/>
                      <w:sz w:val="12"/>
                      <w:szCs w:val="12"/>
                    </w:rPr>
                    <w:t>Toppelberg</w:t>
                  </w:r>
                  <w:proofErr w:type="spellEnd"/>
                  <w:r w:rsidRPr="00EF3C6C">
                    <w:rPr>
                      <w:rFonts w:ascii="Arial" w:hAnsi="Arial" w:cs="Arial"/>
                      <w:sz w:val="12"/>
                      <w:szCs w:val="12"/>
                    </w:rPr>
                    <w:t xml:space="preserve"> et al., 2020). Research suggests that children with ASD, especially those with limited social communication, benefit from the intervention, as it uses motivating, visually stimulating activities to capture attention (Harris et al., 2017). A pilot study by occupational therapists found that training in Attention Autism increased confidence in establishing rapport and engagement (Emerald Publishing, 2023). Additionally, the National Autistic Society (2021) reported improvements in social communication and joint attention in young children with ASD., Attention Autism remains widely implemented in Early Years settings, schools, and therapy programs (Davies, n.d.; Just One Norfolk, n.d.).</w:t>
                  </w:r>
                </w:p>
                <w:p w14:paraId="6E334E11" w14:textId="483F27FA" w:rsidR="00A3520D" w:rsidRDefault="00020F15" w:rsidP="00F76270">
                  <w:pPr>
                    <w:framePr w:hSpace="180" w:wrap="around" w:vAnchor="text" w:hAnchor="margin" w:xAlign="right" w:y="136"/>
                    <w:rPr>
                      <w:rFonts w:ascii="Arial" w:hAnsi="Arial" w:cs="Arial"/>
                      <w:sz w:val="12"/>
                      <w:szCs w:val="12"/>
                    </w:rPr>
                  </w:pPr>
                  <w:r w:rsidRPr="00EF3C6C">
                    <w:rPr>
                      <w:noProof/>
                      <w:sz w:val="12"/>
                      <w:szCs w:val="12"/>
                    </w:rPr>
                    <w:drawing>
                      <wp:anchor distT="0" distB="0" distL="114300" distR="114300" simplePos="0" relativeHeight="251666432" behindDoc="0" locked="0" layoutInCell="1" allowOverlap="1" wp14:anchorId="3611F3E8" wp14:editId="39ED76B7">
                        <wp:simplePos x="0" y="0"/>
                        <wp:positionH relativeFrom="margin">
                          <wp:posOffset>1962150</wp:posOffset>
                        </wp:positionH>
                        <wp:positionV relativeFrom="paragraph">
                          <wp:posOffset>60960</wp:posOffset>
                        </wp:positionV>
                        <wp:extent cx="657225" cy="657225"/>
                        <wp:effectExtent l="0" t="0" r="9525" b="9525"/>
                        <wp:wrapThrough wrapText="bothSides">
                          <wp:wrapPolygon edited="0">
                            <wp:start x="0" y="0"/>
                            <wp:lineTo x="0" y="21287"/>
                            <wp:lineTo x="21287" y="21287"/>
                            <wp:lineTo x="21287" y="0"/>
                            <wp:lineTo x="0" y="0"/>
                          </wp:wrapPolygon>
                        </wp:wrapThrough>
                        <wp:docPr id="7" name="Picture 2" descr="Attention Autism 'Funfair' Bucket Time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tention Autism 'Funfair' Bucket Time K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EB788" w14:textId="793D85B3" w:rsidR="006A1950" w:rsidRPr="00A023A6" w:rsidRDefault="00060E70" w:rsidP="00F76270">
                  <w:pPr>
                    <w:framePr w:hSpace="180" w:wrap="around" w:vAnchor="text" w:hAnchor="margin" w:xAlign="right" w:y="136"/>
                    <w:rPr>
                      <w:rFonts w:ascii="Arial" w:hAnsi="Arial" w:cs="Arial"/>
                      <w:b/>
                      <w:bCs/>
                      <w:sz w:val="12"/>
                      <w:szCs w:val="12"/>
                    </w:rPr>
                  </w:pPr>
                  <w:r w:rsidRPr="00A023A6">
                    <w:rPr>
                      <w:rFonts w:ascii="Arial" w:hAnsi="Arial" w:cs="Arial"/>
                      <w:b/>
                      <w:bCs/>
                      <w:sz w:val="12"/>
                      <w:szCs w:val="12"/>
                    </w:rPr>
                    <w:t>Source</w:t>
                  </w:r>
                  <w:r w:rsidR="00B059F1" w:rsidRPr="00A023A6">
                    <w:rPr>
                      <w:rFonts w:ascii="Arial" w:hAnsi="Arial" w:cs="Arial"/>
                      <w:b/>
                      <w:bCs/>
                      <w:sz w:val="12"/>
                      <w:szCs w:val="12"/>
                    </w:rPr>
                    <w:t xml:space="preserve">, </w:t>
                  </w:r>
                  <w:r w:rsidR="00B059F1" w:rsidRPr="00A023A6">
                    <w:rPr>
                      <w:rFonts w:ascii="Arial" w:hAnsi="Arial" w:cs="Arial"/>
                      <w:b/>
                      <w:bCs/>
                      <w:i/>
                      <w:iCs/>
                      <w:sz w:val="12"/>
                      <w:szCs w:val="12"/>
                    </w:rPr>
                    <w:t>Explore your Senses</w:t>
                  </w:r>
                  <w:r w:rsidR="00B059F1" w:rsidRPr="00A023A6">
                    <w:rPr>
                      <w:rFonts w:ascii="Arial" w:hAnsi="Arial" w:cs="Arial"/>
                      <w:b/>
                      <w:bCs/>
                      <w:sz w:val="12"/>
                      <w:szCs w:val="12"/>
                    </w:rPr>
                    <w:t>, (2024</w:t>
                  </w:r>
                  <w:r w:rsidR="002252CA" w:rsidRPr="00A023A6">
                    <w:rPr>
                      <w:rFonts w:ascii="Arial" w:hAnsi="Arial" w:cs="Arial"/>
                      <w:b/>
                      <w:bCs/>
                      <w:sz w:val="12"/>
                      <w:szCs w:val="12"/>
                    </w:rPr>
                    <w:t>)</w:t>
                  </w:r>
                </w:p>
                <w:p w14:paraId="60F8C507" w14:textId="77777777" w:rsidR="00EF3C6C" w:rsidRDefault="00EF3C6C" w:rsidP="00F76270">
                  <w:pPr>
                    <w:framePr w:hSpace="180" w:wrap="around" w:vAnchor="text" w:hAnchor="margin" w:xAlign="right" w:y="136"/>
                    <w:rPr>
                      <w:rFonts w:ascii="Arial" w:hAnsi="Arial" w:cs="Arial"/>
                      <w:sz w:val="12"/>
                      <w:szCs w:val="12"/>
                    </w:rPr>
                  </w:pPr>
                </w:p>
                <w:p w14:paraId="48ADA9A6" w14:textId="77777777" w:rsidR="00EF3C6C" w:rsidRDefault="00EF3C6C" w:rsidP="00F76270">
                  <w:pPr>
                    <w:framePr w:hSpace="180" w:wrap="around" w:vAnchor="text" w:hAnchor="margin" w:xAlign="right" w:y="136"/>
                    <w:rPr>
                      <w:rFonts w:ascii="Arial" w:hAnsi="Arial" w:cs="Arial"/>
                      <w:sz w:val="12"/>
                      <w:szCs w:val="12"/>
                    </w:rPr>
                  </w:pPr>
                </w:p>
                <w:p w14:paraId="717E3DB6" w14:textId="77777777" w:rsidR="00EF3C6C" w:rsidRDefault="00EF3C6C" w:rsidP="00F76270">
                  <w:pPr>
                    <w:framePr w:hSpace="180" w:wrap="around" w:vAnchor="text" w:hAnchor="margin" w:xAlign="right" w:y="136"/>
                    <w:rPr>
                      <w:rFonts w:ascii="Arial" w:hAnsi="Arial" w:cs="Arial"/>
                      <w:sz w:val="12"/>
                      <w:szCs w:val="12"/>
                    </w:rPr>
                  </w:pPr>
                </w:p>
                <w:p w14:paraId="79866495" w14:textId="77777777" w:rsidR="00EF3C6C" w:rsidRDefault="00EF3C6C" w:rsidP="00F76270">
                  <w:pPr>
                    <w:framePr w:hSpace="180" w:wrap="around" w:vAnchor="text" w:hAnchor="margin" w:xAlign="right" w:y="136"/>
                    <w:rPr>
                      <w:rFonts w:ascii="Arial" w:hAnsi="Arial" w:cs="Arial"/>
                      <w:sz w:val="12"/>
                      <w:szCs w:val="12"/>
                    </w:rPr>
                  </w:pPr>
                </w:p>
                <w:p w14:paraId="2D2D839C" w14:textId="77777777" w:rsidR="005A72F3" w:rsidRDefault="005A72F3" w:rsidP="00F76270">
                  <w:pPr>
                    <w:framePr w:hSpace="180" w:wrap="around" w:vAnchor="text" w:hAnchor="margin" w:xAlign="right" w:y="136"/>
                    <w:rPr>
                      <w:rFonts w:ascii="Arial" w:hAnsi="Arial" w:cs="Arial"/>
                      <w:sz w:val="12"/>
                      <w:szCs w:val="12"/>
                    </w:rPr>
                  </w:pPr>
                </w:p>
                <w:p w14:paraId="231CB105" w14:textId="77777777" w:rsidR="00020F15" w:rsidRDefault="00020F15" w:rsidP="00F76270">
                  <w:pPr>
                    <w:framePr w:hSpace="180" w:wrap="around" w:vAnchor="text" w:hAnchor="margin" w:xAlign="right" w:y="136"/>
                    <w:rPr>
                      <w:rFonts w:ascii="Arial" w:hAnsi="Arial" w:cs="Arial"/>
                      <w:sz w:val="12"/>
                      <w:szCs w:val="12"/>
                    </w:rPr>
                  </w:pPr>
                </w:p>
                <w:p w14:paraId="6F94AD8F" w14:textId="56C4834C" w:rsidR="00020F15" w:rsidRPr="002252CA" w:rsidRDefault="00020F15" w:rsidP="00F76270">
                  <w:pPr>
                    <w:framePr w:hSpace="180" w:wrap="around" w:vAnchor="text" w:hAnchor="margin" w:xAlign="right" w:y="136"/>
                    <w:rPr>
                      <w:rFonts w:ascii="Arial" w:hAnsi="Arial" w:cs="Arial"/>
                      <w:sz w:val="12"/>
                      <w:szCs w:val="12"/>
                    </w:rPr>
                  </w:pPr>
                </w:p>
              </w:tc>
            </w:tr>
            <w:tr w:rsidR="006A1950" w14:paraId="1F1766E4" w14:textId="77777777" w:rsidTr="00187DF4">
              <w:tc>
                <w:tcPr>
                  <w:tcW w:w="4424" w:type="dxa"/>
                  <w:shd w:val="clear" w:color="auto" w:fill="FFFEDA"/>
                </w:tcPr>
                <w:p w14:paraId="45E4610C" w14:textId="25B8F1D4" w:rsidR="00907FA1" w:rsidRDefault="00907FA1" w:rsidP="00F76270">
                  <w:pPr>
                    <w:framePr w:hSpace="180" w:wrap="around" w:vAnchor="text" w:hAnchor="margin" w:xAlign="right" w:y="136"/>
                    <w:rPr>
                      <w:rFonts w:ascii="Arial" w:hAnsi="Arial" w:cs="Arial"/>
                      <w:b/>
                      <w:bCs/>
                      <w:sz w:val="16"/>
                      <w:szCs w:val="16"/>
                      <w:u w:val="single"/>
                    </w:rPr>
                  </w:pPr>
                  <w:r w:rsidRPr="008D4098">
                    <w:rPr>
                      <w:rFonts w:ascii="Arial" w:hAnsi="Arial" w:cs="Arial"/>
                      <w:b/>
                      <w:bCs/>
                      <w:sz w:val="16"/>
                      <w:szCs w:val="16"/>
                      <w:u w:val="single"/>
                    </w:rPr>
                    <w:t>Inclusion and inclusive practice</w:t>
                  </w:r>
                </w:p>
                <w:p w14:paraId="110DDBC1" w14:textId="77777777" w:rsidR="00EF3C6C" w:rsidRDefault="00EF3C6C" w:rsidP="00F76270">
                  <w:pPr>
                    <w:framePr w:hSpace="180" w:wrap="around" w:vAnchor="text" w:hAnchor="margin" w:xAlign="right" w:y="136"/>
                    <w:rPr>
                      <w:rFonts w:ascii="Arial" w:hAnsi="Arial" w:cs="Arial"/>
                      <w:b/>
                      <w:bCs/>
                      <w:sz w:val="16"/>
                      <w:szCs w:val="16"/>
                      <w:u w:val="single"/>
                    </w:rPr>
                  </w:pPr>
                </w:p>
                <w:p w14:paraId="2E689057" w14:textId="77777777" w:rsidR="0001705B" w:rsidRDefault="00C7105E" w:rsidP="00F76270">
                  <w:pPr>
                    <w:framePr w:hSpace="180" w:wrap="around" w:vAnchor="text" w:hAnchor="margin" w:xAlign="right" w:y="136"/>
                    <w:rPr>
                      <w:rFonts w:ascii="Arial" w:hAnsi="Arial" w:cs="Arial"/>
                      <w:sz w:val="12"/>
                      <w:szCs w:val="12"/>
                    </w:rPr>
                  </w:pPr>
                  <w:r w:rsidRPr="00EF3C6C">
                    <w:rPr>
                      <w:rFonts w:ascii="Arial" w:hAnsi="Arial" w:cs="Arial"/>
                      <w:sz w:val="12"/>
                      <w:szCs w:val="12"/>
                    </w:rPr>
                    <w:t xml:space="preserve">Inclusion in early years education involves recognising and addressing the systemic, attitudinal, and physical barriers that some individuals face due to their personal circumstances (Early Years Alliance, 2019; Early Years Alliance, n.d.). Discrimination may appear through behaviours, resources, or underlying beliefs (Louis et al., 2023:96). Inclusive practice means removing barriers to learning so all children, including those with ASD, can fully participate. This requires flexible teaching, responsive communication, and supportive environments (Florian &amp; Black-Hawkins, 2011). </w:t>
                  </w:r>
                  <w:r w:rsidRPr="00EF3C6C">
                    <w:rPr>
                      <w:rFonts w:ascii="Arial" w:hAnsi="Arial" w:cs="Arial"/>
                      <w:i/>
                      <w:iCs/>
                      <w:sz w:val="12"/>
                      <w:szCs w:val="12"/>
                    </w:rPr>
                    <w:t>Birth to 5 Matters</w:t>
                  </w:r>
                  <w:r w:rsidRPr="00EF3C6C">
                    <w:rPr>
                      <w:rFonts w:ascii="Arial" w:hAnsi="Arial" w:cs="Arial"/>
                      <w:sz w:val="12"/>
                      <w:szCs w:val="12"/>
                    </w:rPr>
                    <w:t xml:space="preserve"> (2022) highlights inclusion as an ongoing process of identifying and overcoming barriers, valuing children’s diverse expressions, and adapting practice to meet individual needs.</w:t>
                  </w:r>
                </w:p>
                <w:p w14:paraId="025557D6" w14:textId="601BF233" w:rsidR="00A3063D" w:rsidRPr="00FF5B5B" w:rsidRDefault="00A3063D" w:rsidP="00F76270">
                  <w:pPr>
                    <w:framePr w:hSpace="180" w:wrap="around" w:vAnchor="text" w:hAnchor="margin" w:xAlign="right" w:y="136"/>
                    <w:rPr>
                      <w:rFonts w:ascii="Arial" w:hAnsi="Arial" w:cs="Arial"/>
                      <w:sz w:val="12"/>
                      <w:szCs w:val="12"/>
                    </w:rPr>
                  </w:pPr>
                </w:p>
              </w:tc>
            </w:tr>
          </w:tbl>
          <w:p w14:paraId="496FC11E" w14:textId="77777777" w:rsidR="00242F7C" w:rsidRDefault="00242F7C" w:rsidP="00242F7C">
            <w:pPr>
              <w:cnfStyle w:val="100000000000" w:firstRow="1" w:lastRow="0" w:firstColumn="0" w:lastColumn="0" w:oddVBand="0" w:evenVBand="0" w:oddHBand="0" w:evenHBand="0" w:firstRowFirstColumn="0" w:firstRowLastColumn="0" w:lastRowFirstColumn="0" w:lastRowLastColumn="0"/>
            </w:pPr>
          </w:p>
        </w:tc>
      </w:tr>
    </w:tbl>
    <w:p w14:paraId="1D065310" w14:textId="77777777" w:rsidR="0082583E" w:rsidRPr="0082583E" w:rsidRDefault="0082583E" w:rsidP="0082583E">
      <w:pPr>
        <w:rPr>
          <w:rFonts w:ascii="Arial" w:hAnsi="Arial" w:cs="Arial"/>
          <w:u w:val="single"/>
        </w:rPr>
      </w:pPr>
      <w:r w:rsidRPr="0082583E">
        <w:rPr>
          <w:rFonts w:ascii="Arial" w:hAnsi="Arial" w:cs="Arial"/>
          <w:u w:val="single"/>
        </w:rPr>
        <w:lastRenderedPageBreak/>
        <w:t xml:space="preserve">Question 1 </w:t>
      </w:r>
    </w:p>
    <w:p w14:paraId="16AD45B0" w14:textId="77777777" w:rsidR="0082583E" w:rsidRPr="00BD0175" w:rsidRDefault="0082583E" w:rsidP="0082583E">
      <w:pPr>
        <w:rPr>
          <w:rFonts w:ascii="Arial" w:hAnsi="Arial" w:cs="Arial"/>
          <w:color w:val="A02B93" w:themeColor="accent5"/>
        </w:rPr>
      </w:pPr>
      <w:r w:rsidRPr="00BD0175">
        <w:rPr>
          <w:rFonts w:ascii="Arial" w:hAnsi="Arial" w:cs="Arial"/>
          <w:color w:val="A02B93" w:themeColor="accent5"/>
        </w:rPr>
        <w:t>Does an ASD diagnosis in a child automatically result in an identification of ALN in the Early Years?</w:t>
      </w:r>
    </w:p>
    <w:p w14:paraId="10571F3F" w14:textId="6F6A5914" w:rsidR="0082583E" w:rsidRPr="0082583E" w:rsidRDefault="0082583E" w:rsidP="00BD0175">
      <w:pPr>
        <w:spacing w:line="360" w:lineRule="auto"/>
        <w:rPr>
          <w:rFonts w:ascii="Arial" w:hAnsi="Arial" w:cs="Arial"/>
        </w:rPr>
      </w:pPr>
      <w:r w:rsidRPr="0082583E">
        <w:rPr>
          <w:rFonts w:ascii="Arial" w:hAnsi="Arial" w:cs="Arial"/>
        </w:rPr>
        <w:t xml:space="preserve">According to </w:t>
      </w:r>
      <w:r w:rsidRPr="0082583E">
        <w:rPr>
          <w:rFonts w:ascii="Arial" w:hAnsi="Arial" w:cs="Arial"/>
          <w:i/>
          <w:iCs/>
        </w:rPr>
        <w:t xml:space="preserve">ALNET (2018) and the Equality Act </w:t>
      </w:r>
      <w:r w:rsidR="00075507">
        <w:rPr>
          <w:rFonts w:ascii="Arial" w:hAnsi="Arial" w:cs="Arial"/>
          <w:i/>
          <w:iCs/>
        </w:rPr>
        <w:t>(</w:t>
      </w:r>
      <w:r w:rsidRPr="0082583E">
        <w:rPr>
          <w:rFonts w:ascii="Arial" w:hAnsi="Arial" w:cs="Arial"/>
          <w:i/>
          <w:iCs/>
        </w:rPr>
        <w:t>2010</w:t>
      </w:r>
      <w:r w:rsidR="00075507">
        <w:rPr>
          <w:rFonts w:ascii="Arial" w:hAnsi="Arial" w:cs="Arial"/>
          <w:i/>
          <w:iCs/>
        </w:rPr>
        <w:t>)</w:t>
      </w:r>
      <w:r w:rsidRPr="0082583E">
        <w:rPr>
          <w:rFonts w:ascii="Arial" w:hAnsi="Arial" w:cs="Arial"/>
          <w:i/>
          <w:iCs/>
        </w:rPr>
        <w:t xml:space="preserve">. </w:t>
      </w:r>
      <w:r w:rsidRPr="0082583E">
        <w:rPr>
          <w:rFonts w:ascii="Arial" w:hAnsi="Arial" w:cs="Arial"/>
        </w:rPr>
        <w:t xml:space="preserve">there are two tests to determine if a child has ALN. The first test assesses whether a child has a learning difficulty or disability, possibly linked to a medical condition, by determining if they face greater learning challenges than their peers or have a disability, as defined by the </w:t>
      </w:r>
      <w:r w:rsidRPr="0082583E">
        <w:rPr>
          <w:rFonts w:ascii="Arial" w:hAnsi="Arial" w:cs="Arial"/>
          <w:i/>
          <w:iCs/>
        </w:rPr>
        <w:t xml:space="preserve">Equality Act </w:t>
      </w:r>
      <w:r w:rsidR="00C0107C">
        <w:rPr>
          <w:rFonts w:ascii="Arial" w:hAnsi="Arial" w:cs="Arial"/>
          <w:i/>
          <w:iCs/>
        </w:rPr>
        <w:t>(</w:t>
      </w:r>
      <w:r w:rsidRPr="0082583E">
        <w:rPr>
          <w:rFonts w:ascii="Arial" w:hAnsi="Arial" w:cs="Arial"/>
          <w:i/>
          <w:iCs/>
        </w:rPr>
        <w:t>2010</w:t>
      </w:r>
      <w:r w:rsidR="00C0107C">
        <w:rPr>
          <w:rFonts w:ascii="Arial" w:hAnsi="Arial" w:cs="Arial"/>
          <w:i/>
          <w:iCs/>
        </w:rPr>
        <w:t>)</w:t>
      </w:r>
      <w:r w:rsidRPr="0082583E">
        <w:rPr>
          <w:rFonts w:ascii="Arial" w:hAnsi="Arial" w:cs="Arial"/>
        </w:rPr>
        <w:t xml:space="preserve">, that limits their access to typical educational resources (Equality Act, 2010; ALNET Act, 2018) The second test evaluates if the child requires Additional Learning Provision (ALP), which may include support inside or outside the classroom or from external professionals. If ALP is necessary, the child is considered to have ALN under both the </w:t>
      </w:r>
      <w:r w:rsidRPr="0082583E">
        <w:rPr>
          <w:rFonts w:ascii="Arial" w:hAnsi="Arial" w:cs="Arial"/>
          <w:i/>
          <w:iCs/>
        </w:rPr>
        <w:t xml:space="preserve">Equality Act </w:t>
      </w:r>
      <w:r w:rsidR="00496770">
        <w:rPr>
          <w:rFonts w:ascii="Arial" w:hAnsi="Arial" w:cs="Arial"/>
          <w:i/>
          <w:iCs/>
        </w:rPr>
        <w:t>(</w:t>
      </w:r>
      <w:r w:rsidRPr="0082583E">
        <w:rPr>
          <w:rFonts w:ascii="Arial" w:hAnsi="Arial" w:cs="Arial"/>
          <w:i/>
          <w:iCs/>
        </w:rPr>
        <w:t>2010</w:t>
      </w:r>
      <w:r w:rsidR="00496770">
        <w:rPr>
          <w:rFonts w:ascii="Arial" w:hAnsi="Arial" w:cs="Arial"/>
          <w:i/>
          <w:iCs/>
        </w:rPr>
        <w:t>)</w:t>
      </w:r>
      <w:r w:rsidRPr="0082583E">
        <w:rPr>
          <w:rFonts w:ascii="Arial" w:hAnsi="Arial" w:cs="Arial"/>
        </w:rPr>
        <w:t xml:space="preserve"> and the </w:t>
      </w:r>
      <w:r w:rsidRPr="0082583E">
        <w:rPr>
          <w:rFonts w:ascii="Arial" w:hAnsi="Arial" w:cs="Arial"/>
          <w:i/>
          <w:iCs/>
        </w:rPr>
        <w:t>Additional Learning Needs and Education Tribunal (Wales) Act 2018</w:t>
      </w:r>
      <w:r w:rsidRPr="0082583E">
        <w:rPr>
          <w:rFonts w:ascii="Arial" w:hAnsi="Arial" w:cs="Arial"/>
        </w:rPr>
        <w:t xml:space="preserve"> (Equality Act, 2010; ALNET Act, 2018).</w:t>
      </w:r>
    </w:p>
    <w:p w14:paraId="7956711A" w14:textId="77777777" w:rsidR="0082583E" w:rsidRPr="0082583E" w:rsidRDefault="0082583E" w:rsidP="0082583E">
      <w:pPr>
        <w:rPr>
          <w:rFonts w:ascii="Arial" w:hAnsi="Arial" w:cs="Arial"/>
          <w:u w:val="single"/>
        </w:rPr>
      </w:pPr>
    </w:p>
    <w:p w14:paraId="043DDBA6" w14:textId="77777777" w:rsidR="0082583E" w:rsidRPr="0082583E" w:rsidRDefault="0082583E" w:rsidP="0082583E">
      <w:pPr>
        <w:rPr>
          <w:rFonts w:ascii="Arial" w:hAnsi="Arial" w:cs="Arial"/>
          <w:u w:val="single"/>
        </w:rPr>
      </w:pPr>
      <w:r w:rsidRPr="0082583E">
        <w:rPr>
          <w:rFonts w:ascii="Arial" w:hAnsi="Arial" w:cs="Arial"/>
          <w:u w:val="single"/>
        </w:rPr>
        <w:t>Question 2</w:t>
      </w:r>
    </w:p>
    <w:p w14:paraId="542023AE" w14:textId="77777777" w:rsidR="0082583E" w:rsidRPr="0082583E" w:rsidRDefault="0082583E" w:rsidP="0082583E">
      <w:pPr>
        <w:spacing w:line="360" w:lineRule="auto"/>
        <w:rPr>
          <w:rFonts w:ascii="Arial" w:eastAsia="Arial Nova" w:hAnsi="Arial" w:cs="Arial"/>
        </w:rPr>
      </w:pPr>
      <w:r w:rsidRPr="00BD0175">
        <w:rPr>
          <w:rFonts w:ascii="Arial" w:eastAsia="Arial Nova" w:hAnsi="Arial" w:cs="Arial"/>
          <w:color w:val="A02B93" w:themeColor="accent5"/>
        </w:rPr>
        <w:t>Could you provide an example of how Early Years settings can foster inclusive practice for children with ASD</w:t>
      </w:r>
      <w:r w:rsidRPr="0082583E">
        <w:rPr>
          <w:rFonts w:ascii="Arial" w:eastAsia="Arial Nova" w:hAnsi="Arial" w:cs="Arial"/>
        </w:rPr>
        <w:t>?</w:t>
      </w:r>
    </w:p>
    <w:p w14:paraId="7005A2C6" w14:textId="77777777" w:rsidR="0082583E" w:rsidRPr="0082583E" w:rsidRDefault="0082583E" w:rsidP="0082583E">
      <w:pPr>
        <w:spacing w:line="360" w:lineRule="auto"/>
        <w:rPr>
          <w:rFonts w:ascii="Arial" w:hAnsi="Arial" w:cs="Arial"/>
        </w:rPr>
      </w:pPr>
      <w:r w:rsidRPr="0082583E">
        <w:rPr>
          <w:rFonts w:ascii="Arial" w:hAnsi="Arial" w:cs="Arial"/>
        </w:rPr>
        <w:t>A multisensory approach to learning benefits young children with autism by improving communication, social skills, and cognitive development. By engaging multiple senses, it supports language development, memory, and emotional regulation while encouraging peer interaction and fostering inclusion in learning environments (Advanced Autism, 2024; Autism Toolbox, 2024). Rooted in Gardner’s theory of multiple intelligences, this approach caters to individual strengths and enhances overall learning outcomes (Advanced Autism, 2024).</w:t>
      </w:r>
    </w:p>
    <w:p w14:paraId="2A2C7B7C" w14:textId="77777777" w:rsidR="0082583E" w:rsidRPr="0082583E" w:rsidRDefault="0082583E" w:rsidP="0082583E">
      <w:pPr>
        <w:tabs>
          <w:tab w:val="left" w:pos="2910"/>
        </w:tabs>
        <w:rPr>
          <w:rFonts w:ascii="Arial" w:hAnsi="Arial" w:cs="Arial"/>
          <w:u w:val="single"/>
        </w:rPr>
      </w:pPr>
    </w:p>
    <w:p w14:paraId="585BC2A1" w14:textId="77777777" w:rsidR="0082583E" w:rsidRDefault="0082583E" w:rsidP="0082583E">
      <w:pPr>
        <w:tabs>
          <w:tab w:val="left" w:pos="2910"/>
        </w:tabs>
        <w:rPr>
          <w:rFonts w:ascii="Arial" w:hAnsi="Arial" w:cs="Arial"/>
          <w:u w:val="single"/>
        </w:rPr>
      </w:pPr>
    </w:p>
    <w:p w14:paraId="5045B38F" w14:textId="77777777" w:rsidR="0082583E" w:rsidRDefault="0082583E" w:rsidP="0082583E">
      <w:pPr>
        <w:tabs>
          <w:tab w:val="left" w:pos="2910"/>
        </w:tabs>
        <w:rPr>
          <w:rFonts w:ascii="Arial" w:hAnsi="Arial" w:cs="Arial"/>
          <w:u w:val="single"/>
        </w:rPr>
      </w:pPr>
    </w:p>
    <w:sectPr w:rsidR="0082583E" w:rsidSect="0025358B">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45A5A" w14:textId="77777777" w:rsidR="00214D73" w:rsidRDefault="00214D73" w:rsidP="00242F7C">
      <w:pPr>
        <w:spacing w:after="0" w:line="240" w:lineRule="auto"/>
      </w:pPr>
      <w:r>
        <w:separator/>
      </w:r>
    </w:p>
  </w:endnote>
  <w:endnote w:type="continuationSeparator" w:id="0">
    <w:p w14:paraId="66104076" w14:textId="77777777" w:rsidR="00214D73" w:rsidRDefault="00214D73" w:rsidP="0024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6592F" w14:textId="0AEA58ED" w:rsidR="003B534C" w:rsidRDefault="000F3D67">
    <w:pPr>
      <w:pStyle w:val="Footer"/>
    </w:pPr>
    <w:r>
      <w:t>0652449</w:t>
    </w:r>
    <w:r w:rsidR="009D4DFB">
      <w:t xml:space="preserve">                                   </w:t>
    </w:r>
    <w:r w:rsidR="00360A87">
      <w:t xml:space="preserve">                            </w:t>
    </w:r>
    <w:r w:rsidR="009D4DFB">
      <w:t>1100</w:t>
    </w:r>
    <w:r>
      <w:tab/>
    </w:r>
    <w:r>
      <w:tab/>
    </w:r>
    <w:r>
      <w:tab/>
    </w:r>
    <w:r>
      <w:tab/>
    </w:r>
    <w:r>
      <w:tab/>
    </w:r>
    <w:r>
      <w:tab/>
    </w:r>
    <w:r>
      <w:tab/>
      <w:t>ECEY6006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5EBBE" w14:textId="77777777" w:rsidR="00214D73" w:rsidRDefault="00214D73" w:rsidP="00242F7C">
      <w:pPr>
        <w:spacing w:after="0" w:line="240" w:lineRule="auto"/>
      </w:pPr>
      <w:r>
        <w:separator/>
      </w:r>
    </w:p>
  </w:footnote>
  <w:footnote w:type="continuationSeparator" w:id="0">
    <w:p w14:paraId="16B92607" w14:textId="77777777" w:rsidR="00214D73" w:rsidRDefault="00214D73" w:rsidP="00242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E17EE" w14:textId="57954B14" w:rsidR="00242F7C" w:rsidRPr="00242F7C" w:rsidRDefault="006F6480" w:rsidP="00EB74C4">
    <w:pPr>
      <w:pStyle w:val="Header"/>
      <w:shd w:val="clear" w:color="auto" w:fill="D9F2D0" w:themeFill="accent6" w:themeFillTint="33"/>
      <w:tabs>
        <w:tab w:val="left" w:pos="420"/>
        <w:tab w:val="left" w:pos="1725"/>
        <w:tab w:val="center" w:pos="6979"/>
      </w:tabs>
      <w:jc w:val="center"/>
      <w:rPr>
        <w:b/>
        <w:bCs/>
        <w:sz w:val="48"/>
        <w:szCs w:val="48"/>
      </w:rPr>
    </w:pPr>
    <w:r>
      <w:rPr>
        <w:noProof/>
      </w:rPr>
      <w:drawing>
        <wp:anchor distT="0" distB="0" distL="114300" distR="114300" simplePos="0" relativeHeight="251649024" behindDoc="0" locked="0" layoutInCell="1" allowOverlap="1" wp14:anchorId="6BB55142" wp14:editId="3A174186">
          <wp:simplePos x="0" y="0"/>
          <wp:positionH relativeFrom="margin">
            <wp:posOffset>-42672</wp:posOffset>
          </wp:positionH>
          <wp:positionV relativeFrom="paragraph">
            <wp:posOffset>-224317</wp:posOffset>
          </wp:positionV>
          <wp:extent cx="901700" cy="600999"/>
          <wp:effectExtent l="0" t="0" r="0" b="8890"/>
          <wp:wrapNone/>
          <wp:docPr id="1023161281" name="Picture 1" descr="Heart Shaped Autism Puzzle Pastel Colors Graphic by Magnolia Bloo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rt Shaped Autism Puzzle Pastel Colors Graphic by Magnolia Blooms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700" cy="600999"/>
                  </a:xfrm>
                  <a:prstGeom prst="rect">
                    <a:avLst/>
                  </a:prstGeom>
                  <a:noFill/>
                  <a:ln>
                    <a:noFill/>
                  </a:ln>
                </pic:spPr>
              </pic:pic>
            </a:graphicData>
          </a:graphic>
          <wp14:sizeRelH relativeFrom="page">
            <wp14:pctWidth>0</wp14:pctWidth>
          </wp14:sizeRelH>
          <wp14:sizeRelV relativeFrom="page">
            <wp14:pctHeight>0</wp14:pctHeight>
          </wp14:sizeRelV>
        </wp:anchor>
      </w:drawing>
    </w:r>
    <w:r w:rsidR="00EE0E3E">
      <w:rPr>
        <w:noProof/>
      </w:rPr>
      <w:drawing>
        <wp:anchor distT="0" distB="0" distL="114300" distR="114300" simplePos="0" relativeHeight="251648000" behindDoc="0" locked="0" layoutInCell="1" allowOverlap="1" wp14:anchorId="2066989E" wp14:editId="34B12121">
          <wp:simplePos x="0" y="0"/>
          <wp:positionH relativeFrom="margin">
            <wp:posOffset>7979537</wp:posOffset>
          </wp:positionH>
          <wp:positionV relativeFrom="paragraph">
            <wp:posOffset>-258318</wp:posOffset>
          </wp:positionV>
          <wp:extent cx="942041" cy="627888"/>
          <wp:effectExtent l="0" t="0" r="0" b="1270"/>
          <wp:wrapNone/>
          <wp:docPr id="2" name="Picture 1" descr="Heart Shaped Autism Puzzle Pastel Colors Graphic by Magnolia Bloo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rt Shaped Autism Puzzle Pastel Colors Graphic by Magnolia Blooms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041" cy="627888"/>
                  </a:xfrm>
                  <a:prstGeom prst="rect">
                    <a:avLst/>
                  </a:prstGeom>
                  <a:noFill/>
                  <a:ln>
                    <a:noFill/>
                  </a:ln>
                </pic:spPr>
              </pic:pic>
            </a:graphicData>
          </a:graphic>
          <wp14:sizeRelH relativeFrom="page">
            <wp14:pctWidth>0</wp14:pctWidth>
          </wp14:sizeRelH>
          <wp14:sizeRelV relativeFrom="page">
            <wp14:pctHeight>0</wp14:pctHeight>
          </wp14:sizeRelV>
        </wp:anchor>
      </w:drawing>
    </w:r>
    <w:r w:rsidR="00242F7C" w:rsidRPr="00242F7C">
      <w:rPr>
        <w:b/>
        <w:bCs/>
        <w:sz w:val="48"/>
        <w:szCs w:val="48"/>
      </w:rPr>
      <w:t>Au</w:t>
    </w:r>
    <w:r w:rsidR="00F474F3">
      <w:rPr>
        <w:b/>
        <w:bCs/>
        <w:sz w:val="48"/>
        <w:szCs w:val="48"/>
      </w:rPr>
      <w:t>tistic Spectrum Disorder (ASD)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073D"/>
    <w:multiLevelType w:val="multilevel"/>
    <w:tmpl w:val="9BA4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50ABC"/>
    <w:multiLevelType w:val="multilevel"/>
    <w:tmpl w:val="1ACEC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D6D5A"/>
    <w:multiLevelType w:val="multilevel"/>
    <w:tmpl w:val="A7BE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057EE"/>
    <w:multiLevelType w:val="multilevel"/>
    <w:tmpl w:val="3C8E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04ABC"/>
    <w:multiLevelType w:val="multilevel"/>
    <w:tmpl w:val="C01A3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D21BA"/>
    <w:multiLevelType w:val="multilevel"/>
    <w:tmpl w:val="3E9E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C7CA3"/>
    <w:multiLevelType w:val="multilevel"/>
    <w:tmpl w:val="7BEE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054CC"/>
    <w:multiLevelType w:val="multilevel"/>
    <w:tmpl w:val="E08E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A6637"/>
    <w:multiLevelType w:val="multilevel"/>
    <w:tmpl w:val="12CE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90899"/>
    <w:multiLevelType w:val="multilevel"/>
    <w:tmpl w:val="EF42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0C73A0"/>
    <w:multiLevelType w:val="multilevel"/>
    <w:tmpl w:val="34D8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154856"/>
    <w:multiLevelType w:val="multilevel"/>
    <w:tmpl w:val="97D0A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546CD"/>
    <w:multiLevelType w:val="multilevel"/>
    <w:tmpl w:val="D84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512F93"/>
    <w:multiLevelType w:val="multilevel"/>
    <w:tmpl w:val="9DE0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6D1CA4"/>
    <w:multiLevelType w:val="multilevel"/>
    <w:tmpl w:val="E3EC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D5C7D"/>
    <w:multiLevelType w:val="multilevel"/>
    <w:tmpl w:val="EBB4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B04A6"/>
    <w:multiLevelType w:val="multilevel"/>
    <w:tmpl w:val="2C424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CA6749"/>
    <w:multiLevelType w:val="multilevel"/>
    <w:tmpl w:val="3C58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354AA5"/>
    <w:multiLevelType w:val="multilevel"/>
    <w:tmpl w:val="E18E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203459"/>
    <w:multiLevelType w:val="multilevel"/>
    <w:tmpl w:val="F102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70149"/>
    <w:multiLevelType w:val="multilevel"/>
    <w:tmpl w:val="DA48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FA0A56"/>
    <w:multiLevelType w:val="multilevel"/>
    <w:tmpl w:val="5930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0A3A92"/>
    <w:multiLevelType w:val="multilevel"/>
    <w:tmpl w:val="890C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0767934">
    <w:abstractNumId w:val="8"/>
  </w:num>
  <w:num w:numId="2" w16cid:durableId="1288655695">
    <w:abstractNumId w:val="13"/>
  </w:num>
  <w:num w:numId="3" w16cid:durableId="442579946">
    <w:abstractNumId w:val="11"/>
  </w:num>
  <w:num w:numId="4" w16cid:durableId="1061169598">
    <w:abstractNumId w:val="10"/>
  </w:num>
  <w:num w:numId="5" w16cid:durableId="1720737817">
    <w:abstractNumId w:val="1"/>
  </w:num>
  <w:num w:numId="6" w16cid:durableId="966203687">
    <w:abstractNumId w:val="16"/>
  </w:num>
  <w:num w:numId="7" w16cid:durableId="790251448">
    <w:abstractNumId w:val="4"/>
  </w:num>
  <w:num w:numId="8" w16cid:durableId="936673170">
    <w:abstractNumId w:val="2"/>
  </w:num>
  <w:num w:numId="9" w16cid:durableId="1188564592">
    <w:abstractNumId w:val="21"/>
  </w:num>
  <w:num w:numId="10" w16cid:durableId="1490748529">
    <w:abstractNumId w:val="14"/>
  </w:num>
  <w:num w:numId="11" w16cid:durableId="1135178549">
    <w:abstractNumId w:val="18"/>
  </w:num>
  <w:num w:numId="12" w16cid:durableId="233470170">
    <w:abstractNumId w:val="3"/>
  </w:num>
  <w:num w:numId="13" w16cid:durableId="2089615679">
    <w:abstractNumId w:val="7"/>
  </w:num>
  <w:num w:numId="14" w16cid:durableId="1190143669">
    <w:abstractNumId w:val="19"/>
  </w:num>
  <w:num w:numId="15" w16cid:durableId="824513839">
    <w:abstractNumId w:val="6"/>
  </w:num>
  <w:num w:numId="16" w16cid:durableId="886599312">
    <w:abstractNumId w:val="17"/>
  </w:num>
  <w:num w:numId="17" w16cid:durableId="1908152061">
    <w:abstractNumId w:val="15"/>
  </w:num>
  <w:num w:numId="18" w16cid:durableId="1718354269">
    <w:abstractNumId w:val="9"/>
  </w:num>
  <w:num w:numId="19" w16cid:durableId="1164661235">
    <w:abstractNumId w:val="0"/>
  </w:num>
  <w:num w:numId="20" w16cid:durableId="1983845356">
    <w:abstractNumId w:val="12"/>
  </w:num>
  <w:num w:numId="21" w16cid:durableId="1612473894">
    <w:abstractNumId w:val="22"/>
  </w:num>
  <w:num w:numId="22" w16cid:durableId="1939633256">
    <w:abstractNumId w:val="5"/>
  </w:num>
  <w:num w:numId="23" w16cid:durableId="9604959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58B"/>
    <w:rsid w:val="00016487"/>
    <w:rsid w:val="0001705B"/>
    <w:rsid w:val="00020F15"/>
    <w:rsid w:val="00021E81"/>
    <w:rsid w:val="00022072"/>
    <w:rsid w:val="000423DA"/>
    <w:rsid w:val="00043308"/>
    <w:rsid w:val="00055F4E"/>
    <w:rsid w:val="00060E70"/>
    <w:rsid w:val="00075507"/>
    <w:rsid w:val="00085D29"/>
    <w:rsid w:val="00086891"/>
    <w:rsid w:val="000B0C99"/>
    <w:rsid w:val="000B4158"/>
    <w:rsid w:val="000B5969"/>
    <w:rsid w:val="000C1D62"/>
    <w:rsid w:val="000D0768"/>
    <w:rsid w:val="000E5918"/>
    <w:rsid w:val="000E621B"/>
    <w:rsid w:val="000E6660"/>
    <w:rsid w:val="000F3D67"/>
    <w:rsid w:val="000F67C3"/>
    <w:rsid w:val="00112C69"/>
    <w:rsid w:val="00113245"/>
    <w:rsid w:val="001163DB"/>
    <w:rsid w:val="001172FF"/>
    <w:rsid w:val="00117FEA"/>
    <w:rsid w:val="00123600"/>
    <w:rsid w:val="00125972"/>
    <w:rsid w:val="001339C2"/>
    <w:rsid w:val="001354E3"/>
    <w:rsid w:val="00140276"/>
    <w:rsid w:val="00150886"/>
    <w:rsid w:val="00154C73"/>
    <w:rsid w:val="001614A4"/>
    <w:rsid w:val="00166948"/>
    <w:rsid w:val="00187DF4"/>
    <w:rsid w:val="00192619"/>
    <w:rsid w:val="001B3A12"/>
    <w:rsid w:val="001B63A1"/>
    <w:rsid w:val="001B7CFA"/>
    <w:rsid w:val="001C709B"/>
    <w:rsid w:val="001D6B85"/>
    <w:rsid w:val="001D741F"/>
    <w:rsid w:val="001D764D"/>
    <w:rsid w:val="001D7C49"/>
    <w:rsid w:val="001F2120"/>
    <w:rsid w:val="001F46DE"/>
    <w:rsid w:val="001F649F"/>
    <w:rsid w:val="001F7CF5"/>
    <w:rsid w:val="00213F5B"/>
    <w:rsid w:val="00214D73"/>
    <w:rsid w:val="002252CA"/>
    <w:rsid w:val="00233BB6"/>
    <w:rsid w:val="002378AF"/>
    <w:rsid w:val="00242F7C"/>
    <w:rsid w:val="0025358B"/>
    <w:rsid w:val="00277894"/>
    <w:rsid w:val="0028022A"/>
    <w:rsid w:val="00293BF7"/>
    <w:rsid w:val="002956D0"/>
    <w:rsid w:val="002A3160"/>
    <w:rsid w:val="002A46F0"/>
    <w:rsid w:val="002A7881"/>
    <w:rsid w:val="002B1F21"/>
    <w:rsid w:val="002B379E"/>
    <w:rsid w:val="002C7084"/>
    <w:rsid w:val="002C744C"/>
    <w:rsid w:val="002D188A"/>
    <w:rsid w:val="002D28C8"/>
    <w:rsid w:val="002F1591"/>
    <w:rsid w:val="00301712"/>
    <w:rsid w:val="00302578"/>
    <w:rsid w:val="00311DCC"/>
    <w:rsid w:val="00313BDF"/>
    <w:rsid w:val="003326BC"/>
    <w:rsid w:val="003423F5"/>
    <w:rsid w:val="003447B7"/>
    <w:rsid w:val="00360A87"/>
    <w:rsid w:val="00386646"/>
    <w:rsid w:val="00397C02"/>
    <w:rsid w:val="003A1353"/>
    <w:rsid w:val="003B534C"/>
    <w:rsid w:val="003B6BAD"/>
    <w:rsid w:val="003C212D"/>
    <w:rsid w:val="003D2AE4"/>
    <w:rsid w:val="003D3A2C"/>
    <w:rsid w:val="003D7BE8"/>
    <w:rsid w:val="003E0338"/>
    <w:rsid w:val="003E2532"/>
    <w:rsid w:val="003F19B4"/>
    <w:rsid w:val="003F3C52"/>
    <w:rsid w:val="003F7548"/>
    <w:rsid w:val="00406A1B"/>
    <w:rsid w:val="00412679"/>
    <w:rsid w:val="0041282E"/>
    <w:rsid w:val="004226E3"/>
    <w:rsid w:val="004303FC"/>
    <w:rsid w:val="00430A53"/>
    <w:rsid w:val="00437428"/>
    <w:rsid w:val="004644C8"/>
    <w:rsid w:val="004664EF"/>
    <w:rsid w:val="00484FC6"/>
    <w:rsid w:val="00496770"/>
    <w:rsid w:val="00496D45"/>
    <w:rsid w:val="004A64FF"/>
    <w:rsid w:val="004B324E"/>
    <w:rsid w:val="004C01B4"/>
    <w:rsid w:val="004C6BD9"/>
    <w:rsid w:val="004D0EB6"/>
    <w:rsid w:val="004D3C88"/>
    <w:rsid w:val="004D5803"/>
    <w:rsid w:val="004E6F9D"/>
    <w:rsid w:val="004F73D4"/>
    <w:rsid w:val="00503865"/>
    <w:rsid w:val="005109CA"/>
    <w:rsid w:val="00512D2B"/>
    <w:rsid w:val="00515692"/>
    <w:rsid w:val="00515804"/>
    <w:rsid w:val="00520CEA"/>
    <w:rsid w:val="005352AF"/>
    <w:rsid w:val="00540535"/>
    <w:rsid w:val="00552945"/>
    <w:rsid w:val="00554087"/>
    <w:rsid w:val="00570E2F"/>
    <w:rsid w:val="00583003"/>
    <w:rsid w:val="005830B1"/>
    <w:rsid w:val="00591135"/>
    <w:rsid w:val="005A029B"/>
    <w:rsid w:val="005A282E"/>
    <w:rsid w:val="005A6DF0"/>
    <w:rsid w:val="005A72F3"/>
    <w:rsid w:val="005E17A9"/>
    <w:rsid w:val="005E6E5B"/>
    <w:rsid w:val="005F15DE"/>
    <w:rsid w:val="005F22E7"/>
    <w:rsid w:val="005F3589"/>
    <w:rsid w:val="005F3C1C"/>
    <w:rsid w:val="0061115C"/>
    <w:rsid w:val="006227CF"/>
    <w:rsid w:val="0063200A"/>
    <w:rsid w:val="0064696E"/>
    <w:rsid w:val="006566CF"/>
    <w:rsid w:val="00660184"/>
    <w:rsid w:val="00660F7A"/>
    <w:rsid w:val="006A1950"/>
    <w:rsid w:val="006B19F2"/>
    <w:rsid w:val="006B1E41"/>
    <w:rsid w:val="006B7485"/>
    <w:rsid w:val="006D3C04"/>
    <w:rsid w:val="006D3D94"/>
    <w:rsid w:val="006E3386"/>
    <w:rsid w:val="006E7F23"/>
    <w:rsid w:val="006F6480"/>
    <w:rsid w:val="00705B28"/>
    <w:rsid w:val="00722CE2"/>
    <w:rsid w:val="00722D8D"/>
    <w:rsid w:val="0072527C"/>
    <w:rsid w:val="00733379"/>
    <w:rsid w:val="00747DA9"/>
    <w:rsid w:val="007648C0"/>
    <w:rsid w:val="007648C2"/>
    <w:rsid w:val="00764F28"/>
    <w:rsid w:val="007668CD"/>
    <w:rsid w:val="00773010"/>
    <w:rsid w:val="00786DF9"/>
    <w:rsid w:val="00790797"/>
    <w:rsid w:val="00791F2B"/>
    <w:rsid w:val="00794469"/>
    <w:rsid w:val="007A40DE"/>
    <w:rsid w:val="007C66E2"/>
    <w:rsid w:val="007D0C4D"/>
    <w:rsid w:val="007E3699"/>
    <w:rsid w:val="007F0A8D"/>
    <w:rsid w:val="007F641F"/>
    <w:rsid w:val="007F6593"/>
    <w:rsid w:val="00800F78"/>
    <w:rsid w:val="008019D1"/>
    <w:rsid w:val="008061CB"/>
    <w:rsid w:val="008071BC"/>
    <w:rsid w:val="00814CD8"/>
    <w:rsid w:val="00816B71"/>
    <w:rsid w:val="0082583E"/>
    <w:rsid w:val="00826A17"/>
    <w:rsid w:val="008429C6"/>
    <w:rsid w:val="0084787F"/>
    <w:rsid w:val="00850FD1"/>
    <w:rsid w:val="00857704"/>
    <w:rsid w:val="00873CEA"/>
    <w:rsid w:val="008769D1"/>
    <w:rsid w:val="0088689A"/>
    <w:rsid w:val="00892068"/>
    <w:rsid w:val="008B68D4"/>
    <w:rsid w:val="008B76DB"/>
    <w:rsid w:val="008C2266"/>
    <w:rsid w:val="008D06ED"/>
    <w:rsid w:val="008D4098"/>
    <w:rsid w:val="008D42F7"/>
    <w:rsid w:val="008D6752"/>
    <w:rsid w:val="00903383"/>
    <w:rsid w:val="00907FA1"/>
    <w:rsid w:val="00914FA2"/>
    <w:rsid w:val="009224F5"/>
    <w:rsid w:val="00952C6A"/>
    <w:rsid w:val="009652B8"/>
    <w:rsid w:val="00967FB4"/>
    <w:rsid w:val="009832B6"/>
    <w:rsid w:val="00986B18"/>
    <w:rsid w:val="009A0948"/>
    <w:rsid w:val="009C6E5F"/>
    <w:rsid w:val="009D0EBE"/>
    <w:rsid w:val="009D4DFB"/>
    <w:rsid w:val="009D6886"/>
    <w:rsid w:val="009E11A1"/>
    <w:rsid w:val="009E6A1A"/>
    <w:rsid w:val="009E7492"/>
    <w:rsid w:val="009F4704"/>
    <w:rsid w:val="009F6E08"/>
    <w:rsid w:val="00A023A6"/>
    <w:rsid w:val="00A03FC1"/>
    <w:rsid w:val="00A04D3E"/>
    <w:rsid w:val="00A061A1"/>
    <w:rsid w:val="00A07998"/>
    <w:rsid w:val="00A165D3"/>
    <w:rsid w:val="00A17CBC"/>
    <w:rsid w:val="00A205FC"/>
    <w:rsid w:val="00A26AA6"/>
    <w:rsid w:val="00A3063D"/>
    <w:rsid w:val="00A3520D"/>
    <w:rsid w:val="00A4459A"/>
    <w:rsid w:val="00A4589C"/>
    <w:rsid w:val="00A54B5B"/>
    <w:rsid w:val="00A71F0E"/>
    <w:rsid w:val="00A90C84"/>
    <w:rsid w:val="00AA117D"/>
    <w:rsid w:val="00AA55B5"/>
    <w:rsid w:val="00AB0C54"/>
    <w:rsid w:val="00AB0F16"/>
    <w:rsid w:val="00AB3C76"/>
    <w:rsid w:val="00AB5E5B"/>
    <w:rsid w:val="00AD36CB"/>
    <w:rsid w:val="00AE239C"/>
    <w:rsid w:val="00AE50FB"/>
    <w:rsid w:val="00AF4C5E"/>
    <w:rsid w:val="00AF68E1"/>
    <w:rsid w:val="00B05367"/>
    <w:rsid w:val="00B059F1"/>
    <w:rsid w:val="00B068BF"/>
    <w:rsid w:val="00B100DC"/>
    <w:rsid w:val="00B1012B"/>
    <w:rsid w:val="00B13B70"/>
    <w:rsid w:val="00B169F9"/>
    <w:rsid w:val="00B255E1"/>
    <w:rsid w:val="00B273DA"/>
    <w:rsid w:val="00B42A4C"/>
    <w:rsid w:val="00B445B7"/>
    <w:rsid w:val="00B46A71"/>
    <w:rsid w:val="00B50086"/>
    <w:rsid w:val="00B52DCF"/>
    <w:rsid w:val="00B56A73"/>
    <w:rsid w:val="00B60E08"/>
    <w:rsid w:val="00B76D65"/>
    <w:rsid w:val="00B81F94"/>
    <w:rsid w:val="00B83FE7"/>
    <w:rsid w:val="00B85CAC"/>
    <w:rsid w:val="00B8685F"/>
    <w:rsid w:val="00BD0175"/>
    <w:rsid w:val="00BE1C2B"/>
    <w:rsid w:val="00BE3DB1"/>
    <w:rsid w:val="00BE5AA4"/>
    <w:rsid w:val="00C0107C"/>
    <w:rsid w:val="00C1443B"/>
    <w:rsid w:val="00C15701"/>
    <w:rsid w:val="00C22891"/>
    <w:rsid w:val="00C278B4"/>
    <w:rsid w:val="00C375DE"/>
    <w:rsid w:val="00C376F8"/>
    <w:rsid w:val="00C50F28"/>
    <w:rsid w:val="00C64D43"/>
    <w:rsid w:val="00C7105E"/>
    <w:rsid w:val="00C80C85"/>
    <w:rsid w:val="00C96AC7"/>
    <w:rsid w:val="00CA0EDF"/>
    <w:rsid w:val="00CA5567"/>
    <w:rsid w:val="00CB3717"/>
    <w:rsid w:val="00CB3D6A"/>
    <w:rsid w:val="00CB469B"/>
    <w:rsid w:val="00CB6089"/>
    <w:rsid w:val="00CC10B8"/>
    <w:rsid w:val="00CC22C5"/>
    <w:rsid w:val="00CF572D"/>
    <w:rsid w:val="00CF6708"/>
    <w:rsid w:val="00D00830"/>
    <w:rsid w:val="00D12427"/>
    <w:rsid w:val="00D1270A"/>
    <w:rsid w:val="00D37704"/>
    <w:rsid w:val="00D55564"/>
    <w:rsid w:val="00D57B16"/>
    <w:rsid w:val="00D90AAA"/>
    <w:rsid w:val="00D93475"/>
    <w:rsid w:val="00DA1396"/>
    <w:rsid w:val="00DA1D84"/>
    <w:rsid w:val="00DA56E8"/>
    <w:rsid w:val="00DB3C1A"/>
    <w:rsid w:val="00DC0092"/>
    <w:rsid w:val="00DC39F6"/>
    <w:rsid w:val="00DD2119"/>
    <w:rsid w:val="00DE39E2"/>
    <w:rsid w:val="00DE6239"/>
    <w:rsid w:val="00DF6C7B"/>
    <w:rsid w:val="00E0071D"/>
    <w:rsid w:val="00E02BD8"/>
    <w:rsid w:val="00E04CA0"/>
    <w:rsid w:val="00E057CD"/>
    <w:rsid w:val="00E11DE5"/>
    <w:rsid w:val="00E15D8B"/>
    <w:rsid w:val="00E414BF"/>
    <w:rsid w:val="00E42D11"/>
    <w:rsid w:val="00E46BF9"/>
    <w:rsid w:val="00E477D1"/>
    <w:rsid w:val="00E50DFD"/>
    <w:rsid w:val="00E565D6"/>
    <w:rsid w:val="00E65949"/>
    <w:rsid w:val="00E675D1"/>
    <w:rsid w:val="00E72584"/>
    <w:rsid w:val="00E76CB7"/>
    <w:rsid w:val="00E83E3C"/>
    <w:rsid w:val="00E848B5"/>
    <w:rsid w:val="00EA1CA7"/>
    <w:rsid w:val="00EA3839"/>
    <w:rsid w:val="00EA73B5"/>
    <w:rsid w:val="00EB25EE"/>
    <w:rsid w:val="00EB74C4"/>
    <w:rsid w:val="00EC40A6"/>
    <w:rsid w:val="00EE0E3E"/>
    <w:rsid w:val="00EE6A87"/>
    <w:rsid w:val="00EE7517"/>
    <w:rsid w:val="00EF399A"/>
    <w:rsid w:val="00EF3C6C"/>
    <w:rsid w:val="00EF491F"/>
    <w:rsid w:val="00F073CD"/>
    <w:rsid w:val="00F127FB"/>
    <w:rsid w:val="00F27C44"/>
    <w:rsid w:val="00F344A1"/>
    <w:rsid w:val="00F42330"/>
    <w:rsid w:val="00F474F3"/>
    <w:rsid w:val="00F573E9"/>
    <w:rsid w:val="00F67371"/>
    <w:rsid w:val="00F76270"/>
    <w:rsid w:val="00F9495B"/>
    <w:rsid w:val="00F9559F"/>
    <w:rsid w:val="00F96CA4"/>
    <w:rsid w:val="00F97B6A"/>
    <w:rsid w:val="00FA3BC8"/>
    <w:rsid w:val="00FA6B8F"/>
    <w:rsid w:val="00FB720E"/>
    <w:rsid w:val="00FB79AC"/>
    <w:rsid w:val="00FC2EA3"/>
    <w:rsid w:val="00FD50F0"/>
    <w:rsid w:val="00FE1FE9"/>
    <w:rsid w:val="00FF2267"/>
    <w:rsid w:val="00FF264F"/>
    <w:rsid w:val="00FF377E"/>
    <w:rsid w:val="00FF5B5B"/>
    <w:rsid w:val="00FF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96AB4"/>
  <w15:chartTrackingRefBased/>
  <w15:docId w15:val="{9067562F-A01E-4944-B5BC-46BE68E22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58B"/>
  </w:style>
  <w:style w:type="paragraph" w:styleId="Heading1">
    <w:name w:val="heading 1"/>
    <w:basedOn w:val="Normal"/>
    <w:next w:val="Normal"/>
    <w:link w:val="Heading1Char"/>
    <w:uiPriority w:val="9"/>
    <w:qFormat/>
    <w:rsid w:val="002535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5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5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5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5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5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5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5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5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5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5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5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5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5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58B"/>
    <w:rPr>
      <w:rFonts w:eastAsiaTheme="majorEastAsia" w:cstheme="majorBidi"/>
      <w:color w:val="272727" w:themeColor="text1" w:themeTint="D8"/>
    </w:rPr>
  </w:style>
  <w:style w:type="paragraph" w:styleId="Title">
    <w:name w:val="Title"/>
    <w:basedOn w:val="Normal"/>
    <w:next w:val="Normal"/>
    <w:link w:val="TitleChar"/>
    <w:uiPriority w:val="10"/>
    <w:qFormat/>
    <w:rsid w:val="00253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5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58B"/>
    <w:pPr>
      <w:spacing w:before="160"/>
      <w:jc w:val="center"/>
    </w:pPr>
    <w:rPr>
      <w:i/>
      <w:iCs/>
      <w:color w:val="404040" w:themeColor="text1" w:themeTint="BF"/>
    </w:rPr>
  </w:style>
  <w:style w:type="character" w:customStyle="1" w:styleId="QuoteChar">
    <w:name w:val="Quote Char"/>
    <w:basedOn w:val="DefaultParagraphFont"/>
    <w:link w:val="Quote"/>
    <w:uiPriority w:val="29"/>
    <w:rsid w:val="0025358B"/>
    <w:rPr>
      <w:i/>
      <w:iCs/>
      <w:color w:val="404040" w:themeColor="text1" w:themeTint="BF"/>
    </w:rPr>
  </w:style>
  <w:style w:type="paragraph" w:styleId="ListParagraph">
    <w:name w:val="List Paragraph"/>
    <w:basedOn w:val="Normal"/>
    <w:uiPriority w:val="34"/>
    <w:qFormat/>
    <w:rsid w:val="0025358B"/>
    <w:pPr>
      <w:ind w:left="720"/>
      <w:contextualSpacing/>
    </w:pPr>
  </w:style>
  <w:style w:type="character" w:styleId="IntenseEmphasis">
    <w:name w:val="Intense Emphasis"/>
    <w:basedOn w:val="DefaultParagraphFont"/>
    <w:uiPriority w:val="21"/>
    <w:qFormat/>
    <w:rsid w:val="0025358B"/>
    <w:rPr>
      <w:i/>
      <w:iCs/>
      <w:color w:val="0F4761" w:themeColor="accent1" w:themeShade="BF"/>
    </w:rPr>
  </w:style>
  <w:style w:type="paragraph" w:styleId="IntenseQuote">
    <w:name w:val="Intense Quote"/>
    <w:basedOn w:val="Normal"/>
    <w:next w:val="Normal"/>
    <w:link w:val="IntenseQuoteChar"/>
    <w:uiPriority w:val="30"/>
    <w:qFormat/>
    <w:rsid w:val="002535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58B"/>
    <w:rPr>
      <w:i/>
      <w:iCs/>
      <w:color w:val="0F4761" w:themeColor="accent1" w:themeShade="BF"/>
    </w:rPr>
  </w:style>
  <w:style w:type="character" w:styleId="IntenseReference">
    <w:name w:val="Intense Reference"/>
    <w:basedOn w:val="DefaultParagraphFont"/>
    <w:uiPriority w:val="32"/>
    <w:qFormat/>
    <w:rsid w:val="0025358B"/>
    <w:rPr>
      <w:b/>
      <w:bCs/>
      <w:smallCaps/>
      <w:color w:val="0F4761" w:themeColor="accent1" w:themeShade="BF"/>
      <w:spacing w:val="5"/>
    </w:rPr>
  </w:style>
  <w:style w:type="table" w:styleId="TableGrid">
    <w:name w:val="Table Grid"/>
    <w:basedOn w:val="TableNormal"/>
    <w:uiPriority w:val="39"/>
    <w:rsid w:val="00253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0FD1"/>
    <w:rPr>
      <w:b/>
      <w:bCs/>
    </w:rPr>
  </w:style>
  <w:style w:type="paragraph" w:styleId="Header">
    <w:name w:val="header"/>
    <w:basedOn w:val="Normal"/>
    <w:link w:val="HeaderChar"/>
    <w:uiPriority w:val="99"/>
    <w:unhideWhenUsed/>
    <w:rsid w:val="00242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F7C"/>
  </w:style>
  <w:style w:type="paragraph" w:styleId="Footer">
    <w:name w:val="footer"/>
    <w:basedOn w:val="Normal"/>
    <w:link w:val="FooterChar"/>
    <w:uiPriority w:val="99"/>
    <w:unhideWhenUsed/>
    <w:rsid w:val="00242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F7C"/>
  </w:style>
  <w:style w:type="character" w:styleId="Hyperlink">
    <w:name w:val="Hyperlink"/>
    <w:basedOn w:val="DefaultParagraphFont"/>
    <w:uiPriority w:val="99"/>
    <w:unhideWhenUsed/>
    <w:rsid w:val="00F9559F"/>
    <w:rPr>
      <w:color w:val="467886" w:themeColor="hyperlink"/>
      <w:u w:val="single"/>
    </w:rPr>
  </w:style>
  <w:style w:type="character" w:styleId="UnresolvedMention">
    <w:name w:val="Unresolved Mention"/>
    <w:basedOn w:val="DefaultParagraphFont"/>
    <w:uiPriority w:val="99"/>
    <w:semiHidden/>
    <w:unhideWhenUsed/>
    <w:rsid w:val="00F9559F"/>
    <w:rPr>
      <w:color w:val="605E5C"/>
      <w:shd w:val="clear" w:color="auto" w:fill="E1DFDD"/>
    </w:rPr>
  </w:style>
  <w:style w:type="table" w:styleId="GridTable1Light-Accent1">
    <w:name w:val="Grid Table 1 Light Accent 1"/>
    <w:basedOn w:val="TableNormal"/>
    <w:uiPriority w:val="46"/>
    <w:rsid w:val="003423F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423F5"/>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6584">
      <w:bodyDiv w:val="1"/>
      <w:marLeft w:val="0"/>
      <w:marRight w:val="0"/>
      <w:marTop w:val="0"/>
      <w:marBottom w:val="0"/>
      <w:divBdr>
        <w:top w:val="none" w:sz="0" w:space="0" w:color="auto"/>
        <w:left w:val="none" w:sz="0" w:space="0" w:color="auto"/>
        <w:bottom w:val="none" w:sz="0" w:space="0" w:color="auto"/>
        <w:right w:val="none" w:sz="0" w:space="0" w:color="auto"/>
      </w:divBdr>
    </w:div>
    <w:div w:id="199827168">
      <w:bodyDiv w:val="1"/>
      <w:marLeft w:val="0"/>
      <w:marRight w:val="0"/>
      <w:marTop w:val="0"/>
      <w:marBottom w:val="0"/>
      <w:divBdr>
        <w:top w:val="none" w:sz="0" w:space="0" w:color="auto"/>
        <w:left w:val="none" w:sz="0" w:space="0" w:color="auto"/>
        <w:bottom w:val="none" w:sz="0" w:space="0" w:color="auto"/>
        <w:right w:val="none" w:sz="0" w:space="0" w:color="auto"/>
      </w:divBdr>
    </w:div>
    <w:div w:id="237833251">
      <w:bodyDiv w:val="1"/>
      <w:marLeft w:val="0"/>
      <w:marRight w:val="0"/>
      <w:marTop w:val="0"/>
      <w:marBottom w:val="0"/>
      <w:divBdr>
        <w:top w:val="none" w:sz="0" w:space="0" w:color="auto"/>
        <w:left w:val="none" w:sz="0" w:space="0" w:color="auto"/>
        <w:bottom w:val="none" w:sz="0" w:space="0" w:color="auto"/>
        <w:right w:val="none" w:sz="0" w:space="0" w:color="auto"/>
      </w:divBdr>
    </w:div>
    <w:div w:id="292902789">
      <w:bodyDiv w:val="1"/>
      <w:marLeft w:val="0"/>
      <w:marRight w:val="0"/>
      <w:marTop w:val="0"/>
      <w:marBottom w:val="0"/>
      <w:divBdr>
        <w:top w:val="none" w:sz="0" w:space="0" w:color="auto"/>
        <w:left w:val="none" w:sz="0" w:space="0" w:color="auto"/>
        <w:bottom w:val="none" w:sz="0" w:space="0" w:color="auto"/>
        <w:right w:val="none" w:sz="0" w:space="0" w:color="auto"/>
      </w:divBdr>
    </w:div>
    <w:div w:id="325666678">
      <w:bodyDiv w:val="1"/>
      <w:marLeft w:val="0"/>
      <w:marRight w:val="0"/>
      <w:marTop w:val="0"/>
      <w:marBottom w:val="0"/>
      <w:divBdr>
        <w:top w:val="none" w:sz="0" w:space="0" w:color="auto"/>
        <w:left w:val="none" w:sz="0" w:space="0" w:color="auto"/>
        <w:bottom w:val="none" w:sz="0" w:space="0" w:color="auto"/>
        <w:right w:val="none" w:sz="0" w:space="0" w:color="auto"/>
      </w:divBdr>
    </w:div>
    <w:div w:id="402341357">
      <w:bodyDiv w:val="1"/>
      <w:marLeft w:val="0"/>
      <w:marRight w:val="0"/>
      <w:marTop w:val="0"/>
      <w:marBottom w:val="0"/>
      <w:divBdr>
        <w:top w:val="none" w:sz="0" w:space="0" w:color="auto"/>
        <w:left w:val="none" w:sz="0" w:space="0" w:color="auto"/>
        <w:bottom w:val="none" w:sz="0" w:space="0" w:color="auto"/>
        <w:right w:val="none" w:sz="0" w:space="0" w:color="auto"/>
      </w:divBdr>
    </w:div>
    <w:div w:id="494564773">
      <w:bodyDiv w:val="1"/>
      <w:marLeft w:val="0"/>
      <w:marRight w:val="0"/>
      <w:marTop w:val="0"/>
      <w:marBottom w:val="0"/>
      <w:divBdr>
        <w:top w:val="none" w:sz="0" w:space="0" w:color="auto"/>
        <w:left w:val="none" w:sz="0" w:space="0" w:color="auto"/>
        <w:bottom w:val="none" w:sz="0" w:space="0" w:color="auto"/>
        <w:right w:val="none" w:sz="0" w:space="0" w:color="auto"/>
      </w:divBdr>
    </w:div>
    <w:div w:id="529492967">
      <w:bodyDiv w:val="1"/>
      <w:marLeft w:val="0"/>
      <w:marRight w:val="0"/>
      <w:marTop w:val="0"/>
      <w:marBottom w:val="0"/>
      <w:divBdr>
        <w:top w:val="none" w:sz="0" w:space="0" w:color="auto"/>
        <w:left w:val="none" w:sz="0" w:space="0" w:color="auto"/>
        <w:bottom w:val="none" w:sz="0" w:space="0" w:color="auto"/>
        <w:right w:val="none" w:sz="0" w:space="0" w:color="auto"/>
      </w:divBdr>
    </w:div>
    <w:div w:id="627004780">
      <w:bodyDiv w:val="1"/>
      <w:marLeft w:val="0"/>
      <w:marRight w:val="0"/>
      <w:marTop w:val="0"/>
      <w:marBottom w:val="0"/>
      <w:divBdr>
        <w:top w:val="none" w:sz="0" w:space="0" w:color="auto"/>
        <w:left w:val="none" w:sz="0" w:space="0" w:color="auto"/>
        <w:bottom w:val="none" w:sz="0" w:space="0" w:color="auto"/>
        <w:right w:val="none" w:sz="0" w:space="0" w:color="auto"/>
      </w:divBdr>
    </w:div>
    <w:div w:id="671490358">
      <w:bodyDiv w:val="1"/>
      <w:marLeft w:val="0"/>
      <w:marRight w:val="0"/>
      <w:marTop w:val="0"/>
      <w:marBottom w:val="0"/>
      <w:divBdr>
        <w:top w:val="none" w:sz="0" w:space="0" w:color="auto"/>
        <w:left w:val="none" w:sz="0" w:space="0" w:color="auto"/>
        <w:bottom w:val="none" w:sz="0" w:space="0" w:color="auto"/>
        <w:right w:val="none" w:sz="0" w:space="0" w:color="auto"/>
      </w:divBdr>
    </w:div>
    <w:div w:id="713431706">
      <w:bodyDiv w:val="1"/>
      <w:marLeft w:val="0"/>
      <w:marRight w:val="0"/>
      <w:marTop w:val="0"/>
      <w:marBottom w:val="0"/>
      <w:divBdr>
        <w:top w:val="none" w:sz="0" w:space="0" w:color="auto"/>
        <w:left w:val="none" w:sz="0" w:space="0" w:color="auto"/>
        <w:bottom w:val="none" w:sz="0" w:space="0" w:color="auto"/>
        <w:right w:val="none" w:sz="0" w:space="0" w:color="auto"/>
      </w:divBdr>
    </w:div>
    <w:div w:id="732388050">
      <w:bodyDiv w:val="1"/>
      <w:marLeft w:val="0"/>
      <w:marRight w:val="0"/>
      <w:marTop w:val="0"/>
      <w:marBottom w:val="0"/>
      <w:divBdr>
        <w:top w:val="none" w:sz="0" w:space="0" w:color="auto"/>
        <w:left w:val="none" w:sz="0" w:space="0" w:color="auto"/>
        <w:bottom w:val="none" w:sz="0" w:space="0" w:color="auto"/>
        <w:right w:val="none" w:sz="0" w:space="0" w:color="auto"/>
      </w:divBdr>
    </w:div>
    <w:div w:id="913665194">
      <w:bodyDiv w:val="1"/>
      <w:marLeft w:val="0"/>
      <w:marRight w:val="0"/>
      <w:marTop w:val="0"/>
      <w:marBottom w:val="0"/>
      <w:divBdr>
        <w:top w:val="none" w:sz="0" w:space="0" w:color="auto"/>
        <w:left w:val="none" w:sz="0" w:space="0" w:color="auto"/>
        <w:bottom w:val="none" w:sz="0" w:space="0" w:color="auto"/>
        <w:right w:val="none" w:sz="0" w:space="0" w:color="auto"/>
      </w:divBdr>
    </w:div>
    <w:div w:id="982199104">
      <w:bodyDiv w:val="1"/>
      <w:marLeft w:val="0"/>
      <w:marRight w:val="0"/>
      <w:marTop w:val="0"/>
      <w:marBottom w:val="0"/>
      <w:divBdr>
        <w:top w:val="none" w:sz="0" w:space="0" w:color="auto"/>
        <w:left w:val="none" w:sz="0" w:space="0" w:color="auto"/>
        <w:bottom w:val="none" w:sz="0" w:space="0" w:color="auto"/>
        <w:right w:val="none" w:sz="0" w:space="0" w:color="auto"/>
      </w:divBdr>
    </w:div>
    <w:div w:id="998118316">
      <w:bodyDiv w:val="1"/>
      <w:marLeft w:val="0"/>
      <w:marRight w:val="0"/>
      <w:marTop w:val="0"/>
      <w:marBottom w:val="0"/>
      <w:divBdr>
        <w:top w:val="none" w:sz="0" w:space="0" w:color="auto"/>
        <w:left w:val="none" w:sz="0" w:space="0" w:color="auto"/>
        <w:bottom w:val="none" w:sz="0" w:space="0" w:color="auto"/>
        <w:right w:val="none" w:sz="0" w:space="0" w:color="auto"/>
      </w:divBdr>
    </w:div>
    <w:div w:id="1043943747">
      <w:bodyDiv w:val="1"/>
      <w:marLeft w:val="0"/>
      <w:marRight w:val="0"/>
      <w:marTop w:val="0"/>
      <w:marBottom w:val="0"/>
      <w:divBdr>
        <w:top w:val="none" w:sz="0" w:space="0" w:color="auto"/>
        <w:left w:val="none" w:sz="0" w:space="0" w:color="auto"/>
        <w:bottom w:val="none" w:sz="0" w:space="0" w:color="auto"/>
        <w:right w:val="none" w:sz="0" w:space="0" w:color="auto"/>
      </w:divBdr>
    </w:div>
    <w:div w:id="1063017299">
      <w:bodyDiv w:val="1"/>
      <w:marLeft w:val="0"/>
      <w:marRight w:val="0"/>
      <w:marTop w:val="0"/>
      <w:marBottom w:val="0"/>
      <w:divBdr>
        <w:top w:val="none" w:sz="0" w:space="0" w:color="auto"/>
        <w:left w:val="none" w:sz="0" w:space="0" w:color="auto"/>
        <w:bottom w:val="none" w:sz="0" w:space="0" w:color="auto"/>
        <w:right w:val="none" w:sz="0" w:space="0" w:color="auto"/>
      </w:divBdr>
    </w:div>
    <w:div w:id="1282496385">
      <w:bodyDiv w:val="1"/>
      <w:marLeft w:val="0"/>
      <w:marRight w:val="0"/>
      <w:marTop w:val="0"/>
      <w:marBottom w:val="0"/>
      <w:divBdr>
        <w:top w:val="none" w:sz="0" w:space="0" w:color="auto"/>
        <w:left w:val="none" w:sz="0" w:space="0" w:color="auto"/>
        <w:bottom w:val="none" w:sz="0" w:space="0" w:color="auto"/>
        <w:right w:val="none" w:sz="0" w:space="0" w:color="auto"/>
      </w:divBdr>
    </w:div>
    <w:div w:id="1345325376">
      <w:bodyDiv w:val="1"/>
      <w:marLeft w:val="0"/>
      <w:marRight w:val="0"/>
      <w:marTop w:val="0"/>
      <w:marBottom w:val="0"/>
      <w:divBdr>
        <w:top w:val="none" w:sz="0" w:space="0" w:color="auto"/>
        <w:left w:val="none" w:sz="0" w:space="0" w:color="auto"/>
        <w:bottom w:val="none" w:sz="0" w:space="0" w:color="auto"/>
        <w:right w:val="none" w:sz="0" w:space="0" w:color="auto"/>
      </w:divBdr>
    </w:div>
    <w:div w:id="1354958616">
      <w:bodyDiv w:val="1"/>
      <w:marLeft w:val="0"/>
      <w:marRight w:val="0"/>
      <w:marTop w:val="0"/>
      <w:marBottom w:val="0"/>
      <w:divBdr>
        <w:top w:val="none" w:sz="0" w:space="0" w:color="auto"/>
        <w:left w:val="none" w:sz="0" w:space="0" w:color="auto"/>
        <w:bottom w:val="none" w:sz="0" w:space="0" w:color="auto"/>
        <w:right w:val="none" w:sz="0" w:space="0" w:color="auto"/>
      </w:divBdr>
      <w:divsChild>
        <w:div w:id="1090349661">
          <w:marLeft w:val="0"/>
          <w:marRight w:val="0"/>
          <w:marTop w:val="0"/>
          <w:marBottom w:val="0"/>
          <w:divBdr>
            <w:top w:val="none" w:sz="0" w:space="0" w:color="auto"/>
            <w:left w:val="none" w:sz="0" w:space="0" w:color="auto"/>
            <w:bottom w:val="none" w:sz="0" w:space="0" w:color="auto"/>
            <w:right w:val="none" w:sz="0" w:space="0" w:color="auto"/>
          </w:divBdr>
          <w:divsChild>
            <w:div w:id="11998298">
              <w:marLeft w:val="0"/>
              <w:marRight w:val="0"/>
              <w:marTop w:val="0"/>
              <w:marBottom w:val="0"/>
              <w:divBdr>
                <w:top w:val="none" w:sz="0" w:space="0" w:color="auto"/>
                <w:left w:val="none" w:sz="0" w:space="0" w:color="auto"/>
                <w:bottom w:val="none" w:sz="0" w:space="0" w:color="auto"/>
                <w:right w:val="none" w:sz="0" w:space="0" w:color="auto"/>
              </w:divBdr>
              <w:divsChild>
                <w:div w:id="721439232">
                  <w:marLeft w:val="0"/>
                  <w:marRight w:val="0"/>
                  <w:marTop w:val="0"/>
                  <w:marBottom w:val="0"/>
                  <w:divBdr>
                    <w:top w:val="none" w:sz="0" w:space="0" w:color="auto"/>
                    <w:left w:val="none" w:sz="0" w:space="0" w:color="auto"/>
                    <w:bottom w:val="none" w:sz="0" w:space="0" w:color="auto"/>
                    <w:right w:val="none" w:sz="0" w:space="0" w:color="auto"/>
                  </w:divBdr>
                  <w:divsChild>
                    <w:div w:id="1830556898">
                      <w:marLeft w:val="0"/>
                      <w:marRight w:val="0"/>
                      <w:marTop w:val="0"/>
                      <w:marBottom w:val="0"/>
                      <w:divBdr>
                        <w:top w:val="none" w:sz="0" w:space="0" w:color="auto"/>
                        <w:left w:val="none" w:sz="0" w:space="0" w:color="auto"/>
                        <w:bottom w:val="none" w:sz="0" w:space="0" w:color="auto"/>
                        <w:right w:val="none" w:sz="0" w:space="0" w:color="auto"/>
                      </w:divBdr>
                      <w:divsChild>
                        <w:div w:id="2052879838">
                          <w:marLeft w:val="0"/>
                          <w:marRight w:val="0"/>
                          <w:marTop w:val="0"/>
                          <w:marBottom w:val="0"/>
                          <w:divBdr>
                            <w:top w:val="none" w:sz="0" w:space="0" w:color="auto"/>
                            <w:left w:val="none" w:sz="0" w:space="0" w:color="auto"/>
                            <w:bottom w:val="none" w:sz="0" w:space="0" w:color="auto"/>
                            <w:right w:val="none" w:sz="0" w:space="0" w:color="auto"/>
                          </w:divBdr>
                          <w:divsChild>
                            <w:div w:id="1647903367">
                              <w:marLeft w:val="0"/>
                              <w:marRight w:val="0"/>
                              <w:marTop w:val="0"/>
                              <w:marBottom w:val="0"/>
                              <w:divBdr>
                                <w:top w:val="none" w:sz="0" w:space="0" w:color="auto"/>
                                <w:left w:val="none" w:sz="0" w:space="0" w:color="auto"/>
                                <w:bottom w:val="none" w:sz="0" w:space="0" w:color="auto"/>
                                <w:right w:val="none" w:sz="0" w:space="0" w:color="auto"/>
                              </w:divBdr>
                              <w:divsChild>
                                <w:div w:id="1878619944">
                                  <w:marLeft w:val="0"/>
                                  <w:marRight w:val="0"/>
                                  <w:marTop w:val="0"/>
                                  <w:marBottom w:val="0"/>
                                  <w:divBdr>
                                    <w:top w:val="none" w:sz="0" w:space="0" w:color="auto"/>
                                    <w:left w:val="none" w:sz="0" w:space="0" w:color="auto"/>
                                    <w:bottom w:val="none" w:sz="0" w:space="0" w:color="auto"/>
                                    <w:right w:val="none" w:sz="0" w:space="0" w:color="auto"/>
                                  </w:divBdr>
                                  <w:divsChild>
                                    <w:div w:id="433477274">
                                      <w:marLeft w:val="0"/>
                                      <w:marRight w:val="0"/>
                                      <w:marTop w:val="0"/>
                                      <w:marBottom w:val="0"/>
                                      <w:divBdr>
                                        <w:top w:val="none" w:sz="0" w:space="0" w:color="auto"/>
                                        <w:left w:val="none" w:sz="0" w:space="0" w:color="auto"/>
                                        <w:bottom w:val="none" w:sz="0" w:space="0" w:color="auto"/>
                                        <w:right w:val="none" w:sz="0" w:space="0" w:color="auto"/>
                                      </w:divBdr>
                                      <w:divsChild>
                                        <w:div w:id="1304891233">
                                          <w:marLeft w:val="0"/>
                                          <w:marRight w:val="0"/>
                                          <w:marTop w:val="0"/>
                                          <w:marBottom w:val="0"/>
                                          <w:divBdr>
                                            <w:top w:val="none" w:sz="0" w:space="0" w:color="auto"/>
                                            <w:left w:val="none" w:sz="0" w:space="0" w:color="auto"/>
                                            <w:bottom w:val="none" w:sz="0" w:space="0" w:color="auto"/>
                                            <w:right w:val="none" w:sz="0" w:space="0" w:color="auto"/>
                                          </w:divBdr>
                                          <w:divsChild>
                                            <w:div w:id="279456242">
                                              <w:marLeft w:val="0"/>
                                              <w:marRight w:val="0"/>
                                              <w:marTop w:val="0"/>
                                              <w:marBottom w:val="0"/>
                                              <w:divBdr>
                                                <w:top w:val="none" w:sz="0" w:space="0" w:color="auto"/>
                                                <w:left w:val="none" w:sz="0" w:space="0" w:color="auto"/>
                                                <w:bottom w:val="none" w:sz="0" w:space="0" w:color="auto"/>
                                                <w:right w:val="none" w:sz="0" w:space="0" w:color="auto"/>
                                              </w:divBdr>
                                              <w:divsChild>
                                                <w:div w:id="1517884461">
                                                  <w:marLeft w:val="0"/>
                                                  <w:marRight w:val="0"/>
                                                  <w:marTop w:val="0"/>
                                                  <w:marBottom w:val="0"/>
                                                  <w:divBdr>
                                                    <w:top w:val="none" w:sz="0" w:space="0" w:color="auto"/>
                                                    <w:left w:val="none" w:sz="0" w:space="0" w:color="auto"/>
                                                    <w:bottom w:val="none" w:sz="0" w:space="0" w:color="auto"/>
                                                    <w:right w:val="none" w:sz="0" w:space="0" w:color="auto"/>
                                                  </w:divBdr>
                                                  <w:divsChild>
                                                    <w:div w:id="208398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2199317">
          <w:marLeft w:val="0"/>
          <w:marRight w:val="0"/>
          <w:marTop w:val="0"/>
          <w:marBottom w:val="0"/>
          <w:divBdr>
            <w:top w:val="none" w:sz="0" w:space="0" w:color="auto"/>
            <w:left w:val="none" w:sz="0" w:space="0" w:color="auto"/>
            <w:bottom w:val="none" w:sz="0" w:space="0" w:color="auto"/>
            <w:right w:val="none" w:sz="0" w:space="0" w:color="auto"/>
          </w:divBdr>
          <w:divsChild>
            <w:div w:id="16003598">
              <w:marLeft w:val="0"/>
              <w:marRight w:val="0"/>
              <w:marTop w:val="0"/>
              <w:marBottom w:val="0"/>
              <w:divBdr>
                <w:top w:val="none" w:sz="0" w:space="0" w:color="auto"/>
                <w:left w:val="none" w:sz="0" w:space="0" w:color="auto"/>
                <w:bottom w:val="none" w:sz="0" w:space="0" w:color="auto"/>
                <w:right w:val="none" w:sz="0" w:space="0" w:color="auto"/>
              </w:divBdr>
              <w:divsChild>
                <w:div w:id="1498963204">
                  <w:marLeft w:val="0"/>
                  <w:marRight w:val="0"/>
                  <w:marTop w:val="0"/>
                  <w:marBottom w:val="0"/>
                  <w:divBdr>
                    <w:top w:val="none" w:sz="0" w:space="0" w:color="auto"/>
                    <w:left w:val="none" w:sz="0" w:space="0" w:color="auto"/>
                    <w:bottom w:val="none" w:sz="0" w:space="0" w:color="auto"/>
                    <w:right w:val="none" w:sz="0" w:space="0" w:color="auto"/>
                  </w:divBdr>
                  <w:divsChild>
                    <w:div w:id="1358311186">
                      <w:marLeft w:val="0"/>
                      <w:marRight w:val="0"/>
                      <w:marTop w:val="0"/>
                      <w:marBottom w:val="0"/>
                      <w:divBdr>
                        <w:top w:val="none" w:sz="0" w:space="0" w:color="auto"/>
                        <w:left w:val="none" w:sz="0" w:space="0" w:color="auto"/>
                        <w:bottom w:val="none" w:sz="0" w:space="0" w:color="auto"/>
                        <w:right w:val="none" w:sz="0" w:space="0" w:color="auto"/>
                      </w:divBdr>
                      <w:divsChild>
                        <w:div w:id="4950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191276">
      <w:bodyDiv w:val="1"/>
      <w:marLeft w:val="0"/>
      <w:marRight w:val="0"/>
      <w:marTop w:val="0"/>
      <w:marBottom w:val="0"/>
      <w:divBdr>
        <w:top w:val="none" w:sz="0" w:space="0" w:color="auto"/>
        <w:left w:val="none" w:sz="0" w:space="0" w:color="auto"/>
        <w:bottom w:val="none" w:sz="0" w:space="0" w:color="auto"/>
        <w:right w:val="none" w:sz="0" w:space="0" w:color="auto"/>
      </w:divBdr>
    </w:div>
    <w:div w:id="1518421282">
      <w:bodyDiv w:val="1"/>
      <w:marLeft w:val="0"/>
      <w:marRight w:val="0"/>
      <w:marTop w:val="0"/>
      <w:marBottom w:val="0"/>
      <w:divBdr>
        <w:top w:val="none" w:sz="0" w:space="0" w:color="auto"/>
        <w:left w:val="none" w:sz="0" w:space="0" w:color="auto"/>
        <w:bottom w:val="none" w:sz="0" w:space="0" w:color="auto"/>
        <w:right w:val="none" w:sz="0" w:space="0" w:color="auto"/>
      </w:divBdr>
    </w:div>
    <w:div w:id="1698505853">
      <w:bodyDiv w:val="1"/>
      <w:marLeft w:val="0"/>
      <w:marRight w:val="0"/>
      <w:marTop w:val="0"/>
      <w:marBottom w:val="0"/>
      <w:divBdr>
        <w:top w:val="none" w:sz="0" w:space="0" w:color="auto"/>
        <w:left w:val="none" w:sz="0" w:space="0" w:color="auto"/>
        <w:bottom w:val="none" w:sz="0" w:space="0" w:color="auto"/>
        <w:right w:val="none" w:sz="0" w:space="0" w:color="auto"/>
      </w:divBdr>
      <w:divsChild>
        <w:div w:id="1947151045">
          <w:marLeft w:val="0"/>
          <w:marRight w:val="0"/>
          <w:marTop w:val="0"/>
          <w:marBottom w:val="0"/>
          <w:divBdr>
            <w:top w:val="none" w:sz="0" w:space="0" w:color="auto"/>
            <w:left w:val="none" w:sz="0" w:space="0" w:color="auto"/>
            <w:bottom w:val="none" w:sz="0" w:space="0" w:color="auto"/>
            <w:right w:val="none" w:sz="0" w:space="0" w:color="auto"/>
          </w:divBdr>
          <w:divsChild>
            <w:div w:id="1203135708">
              <w:marLeft w:val="0"/>
              <w:marRight w:val="0"/>
              <w:marTop w:val="0"/>
              <w:marBottom w:val="0"/>
              <w:divBdr>
                <w:top w:val="none" w:sz="0" w:space="0" w:color="auto"/>
                <w:left w:val="none" w:sz="0" w:space="0" w:color="auto"/>
                <w:bottom w:val="none" w:sz="0" w:space="0" w:color="auto"/>
                <w:right w:val="none" w:sz="0" w:space="0" w:color="auto"/>
              </w:divBdr>
              <w:divsChild>
                <w:div w:id="166097820">
                  <w:marLeft w:val="0"/>
                  <w:marRight w:val="0"/>
                  <w:marTop w:val="0"/>
                  <w:marBottom w:val="0"/>
                  <w:divBdr>
                    <w:top w:val="none" w:sz="0" w:space="0" w:color="auto"/>
                    <w:left w:val="none" w:sz="0" w:space="0" w:color="auto"/>
                    <w:bottom w:val="none" w:sz="0" w:space="0" w:color="auto"/>
                    <w:right w:val="none" w:sz="0" w:space="0" w:color="auto"/>
                  </w:divBdr>
                  <w:divsChild>
                    <w:div w:id="985010054">
                      <w:marLeft w:val="0"/>
                      <w:marRight w:val="0"/>
                      <w:marTop w:val="0"/>
                      <w:marBottom w:val="0"/>
                      <w:divBdr>
                        <w:top w:val="none" w:sz="0" w:space="0" w:color="auto"/>
                        <w:left w:val="none" w:sz="0" w:space="0" w:color="auto"/>
                        <w:bottom w:val="none" w:sz="0" w:space="0" w:color="auto"/>
                        <w:right w:val="none" w:sz="0" w:space="0" w:color="auto"/>
                      </w:divBdr>
                      <w:divsChild>
                        <w:div w:id="765034236">
                          <w:marLeft w:val="0"/>
                          <w:marRight w:val="0"/>
                          <w:marTop w:val="0"/>
                          <w:marBottom w:val="0"/>
                          <w:divBdr>
                            <w:top w:val="none" w:sz="0" w:space="0" w:color="auto"/>
                            <w:left w:val="none" w:sz="0" w:space="0" w:color="auto"/>
                            <w:bottom w:val="none" w:sz="0" w:space="0" w:color="auto"/>
                            <w:right w:val="none" w:sz="0" w:space="0" w:color="auto"/>
                          </w:divBdr>
                          <w:divsChild>
                            <w:div w:id="461580439">
                              <w:marLeft w:val="0"/>
                              <w:marRight w:val="0"/>
                              <w:marTop w:val="0"/>
                              <w:marBottom w:val="0"/>
                              <w:divBdr>
                                <w:top w:val="none" w:sz="0" w:space="0" w:color="auto"/>
                                <w:left w:val="none" w:sz="0" w:space="0" w:color="auto"/>
                                <w:bottom w:val="none" w:sz="0" w:space="0" w:color="auto"/>
                                <w:right w:val="none" w:sz="0" w:space="0" w:color="auto"/>
                              </w:divBdr>
                              <w:divsChild>
                                <w:div w:id="1975938026">
                                  <w:marLeft w:val="0"/>
                                  <w:marRight w:val="0"/>
                                  <w:marTop w:val="0"/>
                                  <w:marBottom w:val="0"/>
                                  <w:divBdr>
                                    <w:top w:val="none" w:sz="0" w:space="0" w:color="auto"/>
                                    <w:left w:val="none" w:sz="0" w:space="0" w:color="auto"/>
                                    <w:bottom w:val="none" w:sz="0" w:space="0" w:color="auto"/>
                                    <w:right w:val="none" w:sz="0" w:space="0" w:color="auto"/>
                                  </w:divBdr>
                                  <w:divsChild>
                                    <w:div w:id="675158071">
                                      <w:marLeft w:val="0"/>
                                      <w:marRight w:val="0"/>
                                      <w:marTop w:val="0"/>
                                      <w:marBottom w:val="0"/>
                                      <w:divBdr>
                                        <w:top w:val="none" w:sz="0" w:space="0" w:color="auto"/>
                                        <w:left w:val="none" w:sz="0" w:space="0" w:color="auto"/>
                                        <w:bottom w:val="none" w:sz="0" w:space="0" w:color="auto"/>
                                        <w:right w:val="none" w:sz="0" w:space="0" w:color="auto"/>
                                      </w:divBdr>
                                      <w:divsChild>
                                        <w:div w:id="22874958">
                                          <w:marLeft w:val="0"/>
                                          <w:marRight w:val="0"/>
                                          <w:marTop w:val="0"/>
                                          <w:marBottom w:val="0"/>
                                          <w:divBdr>
                                            <w:top w:val="none" w:sz="0" w:space="0" w:color="auto"/>
                                            <w:left w:val="none" w:sz="0" w:space="0" w:color="auto"/>
                                            <w:bottom w:val="none" w:sz="0" w:space="0" w:color="auto"/>
                                            <w:right w:val="none" w:sz="0" w:space="0" w:color="auto"/>
                                          </w:divBdr>
                                          <w:divsChild>
                                            <w:div w:id="1046178220">
                                              <w:marLeft w:val="0"/>
                                              <w:marRight w:val="0"/>
                                              <w:marTop w:val="0"/>
                                              <w:marBottom w:val="0"/>
                                              <w:divBdr>
                                                <w:top w:val="none" w:sz="0" w:space="0" w:color="auto"/>
                                                <w:left w:val="none" w:sz="0" w:space="0" w:color="auto"/>
                                                <w:bottom w:val="none" w:sz="0" w:space="0" w:color="auto"/>
                                                <w:right w:val="none" w:sz="0" w:space="0" w:color="auto"/>
                                              </w:divBdr>
                                              <w:divsChild>
                                                <w:div w:id="199897540">
                                                  <w:marLeft w:val="0"/>
                                                  <w:marRight w:val="0"/>
                                                  <w:marTop w:val="0"/>
                                                  <w:marBottom w:val="0"/>
                                                  <w:divBdr>
                                                    <w:top w:val="none" w:sz="0" w:space="0" w:color="auto"/>
                                                    <w:left w:val="none" w:sz="0" w:space="0" w:color="auto"/>
                                                    <w:bottom w:val="none" w:sz="0" w:space="0" w:color="auto"/>
                                                    <w:right w:val="none" w:sz="0" w:space="0" w:color="auto"/>
                                                  </w:divBdr>
                                                  <w:divsChild>
                                                    <w:div w:id="143833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021540">
          <w:marLeft w:val="0"/>
          <w:marRight w:val="0"/>
          <w:marTop w:val="0"/>
          <w:marBottom w:val="0"/>
          <w:divBdr>
            <w:top w:val="none" w:sz="0" w:space="0" w:color="auto"/>
            <w:left w:val="none" w:sz="0" w:space="0" w:color="auto"/>
            <w:bottom w:val="none" w:sz="0" w:space="0" w:color="auto"/>
            <w:right w:val="none" w:sz="0" w:space="0" w:color="auto"/>
          </w:divBdr>
          <w:divsChild>
            <w:div w:id="2061904140">
              <w:marLeft w:val="0"/>
              <w:marRight w:val="0"/>
              <w:marTop w:val="0"/>
              <w:marBottom w:val="0"/>
              <w:divBdr>
                <w:top w:val="none" w:sz="0" w:space="0" w:color="auto"/>
                <w:left w:val="none" w:sz="0" w:space="0" w:color="auto"/>
                <w:bottom w:val="none" w:sz="0" w:space="0" w:color="auto"/>
                <w:right w:val="none" w:sz="0" w:space="0" w:color="auto"/>
              </w:divBdr>
              <w:divsChild>
                <w:div w:id="1213540918">
                  <w:marLeft w:val="0"/>
                  <w:marRight w:val="0"/>
                  <w:marTop w:val="0"/>
                  <w:marBottom w:val="0"/>
                  <w:divBdr>
                    <w:top w:val="none" w:sz="0" w:space="0" w:color="auto"/>
                    <w:left w:val="none" w:sz="0" w:space="0" w:color="auto"/>
                    <w:bottom w:val="none" w:sz="0" w:space="0" w:color="auto"/>
                    <w:right w:val="none" w:sz="0" w:space="0" w:color="auto"/>
                  </w:divBdr>
                  <w:divsChild>
                    <w:div w:id="1439911957">
                      <w:marLeft w:val="0"/>
                      <w:marRight w:val="0"/>
                      <w:marTop w:val="0"/>
                      <w:marBottom w:val="0"/>
                      <w:divBdr>
                        <w:top w:val="none" w:sz="0" w:space="0" w:color="auto"/>
                        <w:left w:val="none" w:sz="0" w:space="0" w:color="auto"/>
                        <w:bottom w:val="none" w:sz="0" w:space="0" w:color="auto"/>
                        <w:right w:val="none" w:sz="0" w:space="0" w:color="auto"/>
                      </w:divBdr>
                      <w:divsChild>
                        <w:div w:id="104051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945255">
      <w:bodyDiv w:val="1"/>
      <w:marLeft w:val="0"/>
      <w:marRight w:val="0"/>
      <w:marTop w:val="0"/>
      <w:marBottom w:val="0"/>
      <w:divBdr>
        <w:top w:val="none" w:sz="0" w:space="0" w:color="auto"/>
        <w:left w:val="none" w:sz="0" w:space="0" w:color="auto"/>
        <w:bottom w:val="none" w:sz="0" w:space="0" w:color="auto"/>
        <w:right w:val="none" w:sz="0" w:space="0" w:color="auto"/>
      </w:divBdr>
    </w:div>
    <w:div w:id="1775126560">
      <w:bodyDiv w:val="1"/>
      <w:marLeft w:val="0"/>
      <w:marRight w:val="0"/>
      <w:marTop w:val="0"/>
      <w:marBottom w:val="0"/>
      <w:divBdr>
        <w:top w:val="none" w:sz="0" w:space="0" w:color="auto"/>
        <w:left w:val="none" w:sz="0" w:space="0" w:color="auto"/>
        <w:bottom w:val="none" w:sz="0" w:space="0" w:color="auto"/>
        <w:right w:val="none" w:sz="0" w:space="0" w:color="auto"/>
      </w:divBdr>
    </w:div>
    <w:div w:id="1857427142">
      <w:bodyDiv w:val="1"/>
      <w:marLeft w:val="0"/>
      <w:marRight w:val="0"/>
      <w:marTop w:val="0"/>
      <w:marBottom w:val="0"/>
      <w:divBdr>
        <w:top w:val="none" w:sz="0" w:space="0" w:color="auto"/>
        <w:left w:val="none" w:sz="0" w:space="0" w:color="auto"/>
        <w:bottom w:val="none" w:sz="0" w:space="0" w:color="auto"/>
        <w:right w:val="none" w:sz="0" w:space="0" w:color="auto"/>
      </w:divBdr>
    </w:div>
    <w:div w:id="1903979416">
      <w:bodyDiv w:val="1"/>
      <w:marLeft w:val="0"/>
      <w:marRight w:val="0"/>
      <w:marTop w:val="0"/>
      <w:marBottom w:val="0"/>
      <w:divBdr>
        <w:top w:val="none" w:sz="0" w:space="0" w:color="auto"/>
        <w:left w:val="none" w:sz="0" w:space="0" w:color="auto"/>
        <w:bottom w:val="none" w:sz="0" w:space="0" w:color="auto"/>
        <w:right w:val="none" w:sz="0" w:space="0" w:color="auto"/>
      </w:divBdr>
    </w:div>
    <w:div w:id="211643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Wozencroft</dc:creator>
  <cp:keywords/>
  <dc:description/>
  <cp:lastModifiedBy>Joanne Wozencroft</cp:lastModifiedBy>
  <cp:revision>2</cp:revision>
  <dcterms:created xsi:type="dcterms:W3CDTF">2025-05-12T14:58:00Z</dcterms:created>
  <dcterms:modified xsi:type="dcterms:W3CDTF">2025-05-12T14:58:00Z</dcterms:modified>
</cp:coreProperties>
</file>