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A5FDE2" w14:textId="04531382" w:rsidR="00880F8B" w:rsidRDefault="00880F8B">
      <w:r>
        <w:t xml:space="preserve">Charlotte Palmer </w:t>
      </w:r>
      <w:r w:rsidR="005401F6">
        <w:t>(</w:t>
      </w:r>
      <w:r>
        <w:t>2404336</w:t>
      </w:r>
      <w:r w:rsidR="005401F6">
        <w:t>)</w:t>
      </w:r>
    </w:p>
    <w:p w14:paraId="34E35FC7" w14:textId="077A9FDA" w:rsidR="00880F8B" w:rsidRDefault="00880F8B">
      <w:r>
        <w:t>Deb</w:t>
      </w:r>
      <w:r w:rsidR="003F162D">
        <w:t>orah Jenkins</w:t>
      </w:r>
    </w:p>
    <w:p w14:paraId="4005C0B9" w14:textId="24328EDE" w:rsidR="003F162D" w:rsidRDefault="003F162D">
      <w:r>
        <w:t xml:space="preserve">Sustainable Global </w:t>
      </w:r>
      <w:r w:rsidR="009B2BA1">
        <w:t>Tourism</w:t>
      </w:r>
      <w:r>
        <w:t xml:space="preserve"> and Events </w:t>
      </w:r>
      <w:r w:rsidR="00E11D02">
        <w:t>(</w:t>
      </w:r>
      <w:r>
        <w:t>BMTP5023</w:t>
      </w:r>
      <w:r w:rsidR="00E11D02">
        <w:t>)</w:t>
      </w:r>
    </w:p>
    <w:p w14:paraId="7CA02A59" w14:textId="77777777" w:rsidR="009B2BA1" w:rsidRDefault="009B2BA1"/>
    <w:p w14:paraId="4D4A79B8" w14:textId="4016D79E" w:rsidR="009B2BA1" w:rsidRDefault="009B2BA1">
      <w:r>
        <w:t>‘Evaluation of the Caribbean as a Sustainable Cruise Destination’</w:t>
      </w:r>
    </w:p>
    <w:p w14:paraId="7BB58854" w14:textId="77777777" w:rsidR="009B2BA1" w:rsidRDefault="009B2BA1"/>
    <w:p w14:paraId="0D69127E" w14:textId="1DE99845" w:rsidR="00880F8B" w:rsidRDefault="00880F8B">
      <w:pPr>
        <w:rPr>
          <w:b/>
          <w:bCs/>
        </w:rPr>
      </w:pPr>
      <w:r>
        <w:rPr>
          <w:b/>
          <w:bCs/>
        </w:rPr>
        <w:t xml:space="preserve">Environmental Stewardship </w:t>
      </w:r>
    </w:p>
    <w:p w14:paraId="37EA3CAD" w14:textId="780F2209" w:rsidR="00880F8B" w:rsidRPr="00880F8B" w:rsidRDefault="00880F8B">
      <w:r>
        <w:t xml:space="preserve">Environmental stewardship is the responsibility to care and protect the natural environment through ethical and sustainable practices and approaches. Balancing human needs with long term health of ecosystems for the future generations to come </w:t>
      </w:r>
      <w:r w:rsidRPr="00880F8B">
        <w:t>(National Oceanic and Atmospheric Administration, 2022)</w:t>
      </w:r>
      <w:r>
        <w:t>.</w:t>
      </w:r>
    </w:p>
    <w:p w14:paraId="1D26747A" w14:textId="77B1D125" w:rsidR="00880F8B" w:rsidRPr="00880F8B" w:rsidRDefault="00880F8B">
      <w:pPr>
        <w:rPr>
          <w:b/>
          <w:bCs/>
        </w:rPr>
      </w:pPr>
      <w:r w:rsidRPr="00880F8B">
        <w:rPr>
          <w:b/>
          <w:bCs/>
        </w:rPr>
        <w:t>Alternative fuels:</w:t>
      </w:r>
    </w:p>
    <w:p w14:paraId="62378612" w14:textId="468E82C8" w:rsidR="00880F8B" w:rsidRDefault="00880F8B">
      <w:r>
        <w:t xml:space="preserve">On average a cruise ship around the Caribbean will consume up to 80,000 gallons of heavy fuel oils per day </w:t>
      </w:r>
      <w:r w:rsidRPr="00880F8B">
        <w:t>(Chen, 2025)</w:t>
      </w:r>
      <w:r>
        <w:t xml:space="preserve">. These fuels are primarily sulphur -rich which is will over time have a significant effect on human health, environment and not to mention the actual engine itself </w:t>
      </w:r>
      <w:r w:rsidRPr="00880F8B">
        <w:t>(admin, 2024)</w:t>
      </w:r>
      <w:r>
        <w:t xml:space="preserve">. By this chemical attacking the engine will ultimately lead to another engine having to replace the old one early which will create tens of thousands of tonnes of CO2 emissions </w:t>
      </w:r>
      <w:r w:rsidRPr="00880F8B">
        <w:t>(Comer, 2022)</w:t>
      </w:r>
      <w:r>
        <w:t xml:space="preserve">. This is creating a vicious cycle. </w:t>
      </w:r>
    </w:p>
    <w:p w14:paraId="25F26155" w14:textId="6DB0A9A7" w:rsidR="00880F8B" w:rsidRDefault="00880F8B">
      <w:r>
        <w:t>LGN</w:t>
      </w:r>
    </w:p>
    <w:p w14:paraId="402B50ED" w14:textId="21D68453" w:rsidR="00880F8B" w:rsidRDefault="00880F8B">
      <w:r>
        <w:t xml:space="preserve">LNG stands for Liquefied Natural Gas which is a natural gas that gets cooled down to approximately -162 degrease Celsius, decreasing its volume and making it much easier for transportation </w:t>
      </w:r>
      <w:r w:rsidRPr="00880F8B">
        <w:t>(DNV, 2024)</w:t>
      </w:r>
      <w:r>
        <w:t xml:space="preserve">. This is designed to be a cleaner way of burning fossil fuels as it contains near to zero sulphur particles, and up to 90% less nitrogen oxide, which is ultimately helping the reduction of air pollution </w:t>
      </w:r>
      <w:r w:rsidRPr="00880F8B">
        <w:t>(</w:t>
      </w:r>
      <w:proofErr w:type="spellStart"/>
      <w:r w:rsidRPr="00880F8B">
        <w:t>Wärtsilä</w:t>
      </w:r>
      <w:proofErr w:type="spellEnd"/>
      <w:r w:rsidRPr="00880F8B">
        <w:t>, 2022)</w:t>
      </w:r>
      <w:r>
        <w:t xml:space="preserve">. Another positive of using LNG is how cost effective it is </w:t>
      </w:r>
      <w:r w:rsidRPr="00880F8B">
        <w:t>(</w:t>
      </w:r>
      <w:proofErr w:type="spellStart"/>
      <w:r w:rsidRPr="00880F8B">
        <w:t>Wärtsilä</w:t>
      </w:r>
      <w:proofErr w:type="spellEnd"/>
      <w:r w:rsidRPr="00880F8B">
        <w:t>, 2022)</w:t>
      </w:r>
      <w:r>
        <w:t xml:space="preserve">. However, LGN’s primary component is methane which is a powerful greenhouse gas which is more then 80 times more powerful </w:t>
      </w:r>
      <w:proofErr w:type="gramStart"/>
      <w:r>
        <w:t>then</w:t>
      </w:r>
      <w:proofErr w:type="gramEnd"/>
      <w:r>
        <w:t xml:space="preserve"> CO2 </w:t>
      </w:r>
      <w:r w:rsidRPr="00880F8B">
        <w:t>(</w:t>
      </w:r>
      <w:proofErr w:type="spellStart"/>
      <w:r w:rsidRPr="00880F8B">
        <w:t>Wärtsilä</w:t>
      </w:r>
      <w:proofErr w:type="spellEnd"/>
      <w:r w:rsidRPr="00880F8B">
        <w:t>, 2022)</w:t>
      </w:r>
      <w:r>
        <w:t xml:space="preserve">. Not to mention due to the storage requirements, ships are required to hold LGN’s in a larger fuel tank but will achieve the same sailing range which will ultimately put people off of </w:t>
      </w:r>
      <w:proofErr w:type="gramStart"/>
      <w:r>
        <w:t>this strategies</w:t>
      </w:r>
      <w:proofErr w:type="gramEnd"/>
      <w:r>
        <w:t xml:space="preserve"> due to them not holding as much cargo </w:t>
      </w:r>
      <w:r w:rsidRPr="00880F8B">
        <w:t>(Jang et al., 2021)</w:t>
      </w:r>
      <w:r>
        <w:t>.</w:t>
      </w:r>
    </w:p>
    <w:p w14:paraId="75F52251" w14:textId="04734C5A" w:rsidR="00880F8B" w:rsidRDefault="00880F8B">
      <w:r>
        <w:t xml:space="preserve">Hybrid- electric systems </w:t>
      </w:r>
    </w:p>
    <w:p w14:paraId="3DF2177D" w14:textId="2E1A499C" w:rsidR="00880F8B" w:rsidRDefault="00880F8B">
      <w:r>
        <w:t xml:space="preserve">This strategy is a combination of a traditional engines with batteries. These batteries are usually powered by renewable energy such as solar/wind to cut down on the fuel consumption, lower emissions and improve efficiency </w:t>
      </w:r>
      <w:r w:rsidRPr="00880F8B">
        <w:t>(Anonymous, 2025)</w:t>
      </w:r>
      <w:r>
        <w:t xml:space="preserve">. This strategy </w:t>
      </w:r>
      <w:r>
        <w:lastRenderedPageBreak/>
        <w:t xml:space="preserve">will benefit the environment as it will help to reduce the CO2, NOX and the SOX emissions which are typically generated by traditional methods </w:t>
      </w:r>
      <w:r w:rsidRPr="00880F8B">
        <w:t>(</w:t>
      </w:r>
      <w:proofErr w:type="spellStart"/>
      <w:r w:rsidRPr="00880F8B">
        <w:t>Gojmir</w:t>
      </w:r>
      <w:proofErr w:type="spellEnd"/>
      <w:r w:rsidRPr="00880F8B">
        <w:t xml:space="preserve"> Radica et al., 2025)</w:t>
      </w:r>
      <w:r>
        <w:t xml:space="preserve">. However, there is a worry for battery performance, with the battery technology facing challenges, this creates a worry regarding long-distance cursing not to mention the concerns around the lithium-ion batteries also required to operate the machinery and how that is contributing to the greenhouse gasses </w:t>
      </w:r>
      <w:r w:rsidRPr="00880F8B">
        <w:t>(Bei et al., 2024)</w:t>
      </w:r>
      <w:r>
        <w:t>.</w:t>
      </w:r>
    </w:p>
    <w:p w14:paraId="4A84F3E6" w14:textId="25FA5073" w:rsidR="00880F8B" w:rsidRDefault="00880F8B">
      <w:r>
        <w:t xml:space="preserve">Hydrogen </w:t>
      </w:r>
    </w:p>
    <w:p w14:paraId="6AB93AC7" w14:textId="0EFE0814" w:rsidR="00880F8B" w:rsidRDefault="00880F8B">
      <w:r>
        <w:t xml:space="preserve">Viking Libra will be the first ship to be powered and operated by liquid hydrogen and is aiming for zero emissions by the end of 2026 </w:t>
      </w:r>
      <w:r w:rsidRPr="00880F8B">
        <w:t>(</w:t>
      </w:r>
      <w:proofErr w:type="spellStart"/>
      <w:r w:rsidRPr="00880F8B">
        <w:t>Williment</w:t>
      </w:r>
      <w:proofErr w:type="spellEnd"/>
      <w:r w:rsidRPr="00880F8B">
        <w:t>, 2025)</w:t>
      </w:r>
      <w:r>
        <w:t xml:space="preserve">. This system will use fuel cells for power and storing hydrogen, and LNG will be used as a backup. It will be split into 3 sections, fuel storage, where liquid hydrogen will be stored in cryogenic tanks at -255C, power generation, Fuel cells convert the H2 into electricity and emission reduction, achieving zero emissions </w:t>
      </w:r>
      <w:r w:rsidRPr="00880F8B">
        <w:t>(Solar Power Portal, 2026)</w:t>
      </w:r>
      <w:r>
        <w:t xml:space="preserve">. </w:t>
      </w:r>
    </w:p>
    <w:p w14:paraId="0CB3C790" w14:textId="77777777" w:rsidR="00880F8B" w:rsidRDefault="00880F8B"/>
    <w:p w14:paraId="7B66D3A1" w14:textId="18A40E95" w:rsidR="00880F8B" w:rsidRDefault="00880F8B">
      <w:pPr>
        <w:rPr>
          <w:b/>
          <w:bCs/>
        </w:rPr>
      </w:pPr>
      <w:r>
        <w:rPr>
          <w:b/>
          <w:bCs/>
        </w:rPr>
        <w:t xml:space="preserve">Balancing cruise line profitability with sustainable port operations </w:t>
      </w:r>
    </w:p>
    <w:p w14:paraId="14FAFEBD" w14:textId="1AE047E5" w:rsidR="00880F8B" w:rsidRDefault="00880F8B">
      <w:r>
        <w:t xml:space="preserve">Balancing cruise line profitability is an industry- wide challenge that will require a collaboration between all cruise line, port authorities and local communities. </w:t>
      </w:r>
    </w:p>
    <w:p w14:paraId="20CAFCF6" w14:textId="02CC3D33" w:rsidR="00880F8B" w:rsidRDefault="00880F8B">
      <w:r>
        <w:t xml:space="preserve">It will involve moving to cleaner fuels, reducing waste and investing in more advised technology which will over boost the long-term viability. This would be achieved by maintaining regulations and reducing operational costs </w:t>
      </w:r>
      <w:r w:rsidRPr="00880F8B">
        <w:t>(Cruise Nation, 2026)</w:t>
      </w:r>
      <w:r>
        <w:t>. Some solutions can be as followed:</w:t>
      </w:r>
    </w:p>
    <w:p w14:paraId="740B5EDD" w14:textId="3A25F7FA" w:rsidR="00880F8B" w:rsidRDefault="00880F8B" w:rsidP="00880F8B">
      <w:pPr>
        <w:pStyle w:val="ListParagraph"/>
        <w:numPr>
          <w:ilvl w:val="0"/>
          <w:numId w:val="1"/>
        </w:numPr>
      </w:pPr>
      <w:r>
        <w:t>Emissions and fuels – moving from heavy fuel oil to LNG</w:t>
      </w:r>
    </w:p>
    <w:p w14:paraId="6D011DDB" w14:textId="0DDCFB06" w:rsidR="00880F8B" w:rsidRDefault="00880F8B" w:rsidP="00880F8B">
      <w:pPr>
        <w:pStyle w:val="ListParagraph"/>
        <w:numPr>
          <w:ilvl w:val="0"/>
          <w:numId w:val="1"/>
        </w:numPr>
      </w:pPr>
      <w:r>
        <w:t xml:space="preserve">Waste management – recycling and moving away from single use plastics </w:t>
      </w:r>
    </w:p>
    <w:p w14:paraId="66F33CE3" w14:textId="24C9B4AB" w:rsidR="00880F8B" w:rsidRDefault="00880F8B" w:rsidP="00880F8B">
      <w:pPr>
        <w:pStyle w:val="ListParagraph"/>
        <w:numPr>
          <w:ilvl w:val="0"/>
          <w:numId w:val="1"/>
        </w:numPr>
      </w:pPr>
      <w:r>
        <w:t xml:space="preserve">Economic leakage – making sure that passenger spending will benefit the local communities not just the cruise lines </w:t>
      </w:r>
      <w:r w:rsidRPr="00880F8B">
        <w:t>(Policy Pathways Towards a More Sustainable Cruise Sector Working Document, 2024)</w:t>
      </w:r>
    </w:p>
    <w:p w14:paraId="5035F84C" w14:textId="791AB4A3" w:rsidR="00880F8B" w:rsidRDefault="00880F8B" w:rsidP="00880F8B">
      <w:pPr>
        <w:ind w:left="360"/>
      </w:pPr>
      <w:r>
        <w:t>This will benefit the profitability by:</w:t>
      </w:r>
    </w:p>
    <w:p w14:paraId="1C9CA031" w14:textId="4DB2BED2" w:rsidR="00880F8B" w:rsidRDefault="00880F8B" w:rsidP="00880F8B">
      <w:pPr>
        <w:pStyle w:val="ListParagraph"/>
        <w:numPr>
          <w:ilvl w:val="0"/>
          <w:numId w:val="2"/>
        </w:numPr>
      </w:pPr>
      <w:r>
        <w:t>Enhancing reputation – Attracts a growing market and increases bookings</w:t>
      </w:r>
    </w:p>
    <w:p w14:paraId="4B2AD6AC" w14:textId="58286A8F" w:rsidR="00880F8B" w:rsidRDefault="00880F8B" w:rsidP="00880F8B">
      <w:pPr>
        <w:pStyle w:val="ListParagraph"/>
        <w:numPr>
          <w:ilvl w:val="0"/>
          <w:numId w:val="2"/>
        </w:numPr>
      </w:pPr>
      <w:r>
        <w:t xml:space="preserve">Operational efficiency – Cleaner technologies and waste reduction can help to lower expenses over a period </w:t>
      </w:r>
    </w:p>
    <w:p w14:paraId="52B02BF4" w14:textId="21162E39" w:rsidR="00880F8B" w:rsidRDefault="00880F8B" w:rsidP="00880F8B">
      <w:pPr>
        <w:pStyle w:val="ListParagraph"/>
        <w:numPr>
          <w:ilvl w:val="0"/>
          <w:numId w:val="2"/>
        </w:numPr>
      </w:pPr>
      <w:r>
        <w:t xml:space="preserve">Destination </w:t>
      </w:r>
      <w:proofErr w:type="gramStart"/>
      <w:r>
        <w:t>resilience  -</w:t>
      </w:r>
      <w:proofErr w:type="gramEnd"/>
      <w:r>
        <w:t xml:space="preserve"> This can help to protect the natural and cultural assets of the port </w:t>
      </w:r>
      <w:r w:rsidRPr="00880F8B">
        <w:t>(Ashraf et al., 2026)</w:t>
      </w:r>
    </w:p>
    <w:p w14:paraId="62C3C73C" w14:textId="0BCFB8B6" w:rsidR="00880F8B" w:rsidRDefault="00880F8B" w:rsidP="00880F8B">
      <w:pPr>
        <w:rPr>
          <w:b/>
          <w:bCs/>
        </w:rPr>
      </w:pPr>
      <w:r>
        <w:rPr>
          <w:b/>
          <w:bCs/>
        </w:rPr>
        <w:t xml:space="preserve">Access to opportunities for local suppliers and workers </w:t>
      </w:r>
    </w:p>
    <w:p w14:paraId="4F7A924E" w14:textId="73D87979" w:rsidR="00880F8B" w:rsidRDefault="00880F8B" w:rsidP="00880F8B">
      <w:r>
        <w:t xml:space="preserve">There are a wide set of opportunities for suppliers working in the Caribbean for cruise ships. With areas needed in food and beverage, sustainability solutions, innovative </w:t>
      </w:r>
      <w:r>
        <w:lastRenderedPageBreak/>
        <w:t xml:space="preserve">amenities, technical suppliers, and logistics services </w:t>
      </w:r>
      <w:r w:rsidRPr="00880F8B">
        <w:t>(Carnivalcorp.com, 2025)</w:t>
      </w:r>
      <w:r>
        <w:t>. However, the main focused groups are as followed:</w:t>
      </w:r>
    </w:p>
    <w:p w14:paraId="1D4524E9" w14:textId="4C513E52" w:rsidR="00880F8B" w:rsidRDefault="00880F8B" w:rsidP="00880F8B">
      <w:pPr>
        <w:pStyle w:val="ListParagraph"/>
        <w:numPr>
          <w:ilvl w:val="0"/>
          <w:numId w:val="3"/>
        </w:numPr>
      </w:pPr>
      <w:r>
        <w:t>Food and beverage - a large segment is needing fresh produce and specialty items for thousands of guests daily</w:t>
      </w:r>
    </w:p>
    <w:p w14:paraId="3289A20C" w14:textId="6A6F565E" w:rsidR="00880F8B" w:rsidRDefault="00880F8B" w:rsidP="00880F8B">
      <w:pPr>
        <w:pStyle w:val="ListParagraph"/>
        <w:numPr>
          <w:ilvl w:val="0"/>
          <w:numId w:val="3"/>
        </w:numPr>
      </w:pPr>
      <w:r>
        <w:t>Sustainability and green technology – suppliers who are willing to offer a greener, more eco-friendly alternatives are now in high demand in order to meet cruise line goals</w:t>
      </w:r>
    </w:p>
    <w:p w14:paraId="593E9DAF" w14:textId="34DA8623" w:rsidR="00880F8B" w:rsidRDefault="00880F8B" w:rsidP="00880F8B">
      <w:pPr>
        <w:pStyle w:val="ListParagraph"/>
        <w:numPr>
          <w:ilvl w:val="0"/>
          <w:numId w:val="3"/>
        </w:numPr>
      </w:pPr>
      <w:r>
        <w:t xml:space="preserve">Health and wellness – productions for spas, fitness centres and guest comfort focusing on that high quality feel </w:t>
      </w:r>
    </w:p>
    <w:p w14:paraId="6D09EB3C" w14:textId="1B7E5121" w:rsidR="00880F8B" w:rsidRDefault="00880F8B" w:rsidP="00880F8B">
      <w:pPr>
        <w:pStyle w:val="ListParagraph"/>
        <w:numPr>
          <w:ilvl w:val="0"/>
          <w:numId w:val="3"/>
        </w:numPr>
      </w:pPr>
      <w:r>
        <w:t xml:space="preserve">Local and regional sourcing – In order to maintain the authentic Caribbean </w:t>
      </w:r>
      <w:proofErr w:type="gramStart"/>
      <w:r>
        <w:t>experience</w:t>
      </w:r>
      <w:proofErr w:type="gramEnd"/>
      <w:r>
        <w:t xml:space="preserve"> there is a demand to provide quality and reliable standards </w:t>
      </w:r>
      <w:r w:rsidRPr="00880F8B">
        <w:t>(</w:t>
      </w:r>
      <w:proofErr w:type="spellStart"/>
      <w:r w:rsidRPr="00880F8B">
        <w:t>Seatrade</w:t>
      </w:r>
      <w:proofErr w:type="spellEnd"/>
      <w:r w:rsidRPr="00880F8B">
        <w:t xml:space="preserve"> Cruise News, 2016)</w:t>
      </w:r>
      <w:r>
        <w:t xml:space="preserve">. </w:t>
      </w:r>
    </w:p>
    <w:p w14:paraId="1954B5A1" w14:textId="78EEC1E5" w:rsidR="00880F8B" w:rsidRDefault="00880F8B" w:rsidP="00880F8B"/>
    <w:p w14:paraId="7D84C76E" w14:textId="69E3D09A" w:rsidR="00880F8B" w:rsidRDefault="00880F8B" w:rsidP="00880F8B">
      <w:r w:rsidRPr="00880F8B">
        <w:t>Royal Caribbean </w:t>
      </w:r>
    </w:p>
    <w:p w14:paraId="54B6ECF2" w14:textId="35F7EA47" w:rsidR="00880F8B" w:rsidRDefault="00880F8B" w:rsidP="00880F8B">
      <w:r>
        <w:t xml:space="preserve">The royal Caribbean respect the local cultures of the Caribbean by offering locally-led excursions, putting money back into the community and the education of the locals, publishing regional art onboard, hiring a diverts team </w:t>
      </w:r>
      <w:r w:rsidRPr="00880F8B">
        <w:t xml:space="preserve">(Royal </w:t>
      </w:r>
      <w:proofErr w:type="gramStart"/>
      <w:r w:rsidRPr="00880F8B">
        <w:t>Caribbean ,</w:t>
      </w:r>
      <w:proofErr w:type="gramEnd"/>
      <w:r w:rsidRPr="00880F8B">
        <w:t xml:space="preserve"> 2021)</w:t>
      </w:r>
      <w:r>
        <w:t xml:space="preserve">. </w:t>
      </w:r>
    </w:p>
    <w:p w14:paraId="230CA058" w14:textId="32416AEC" w:rsidR="00880F8B" w:rsidRDefault="00880F8B" w:rsidP="00880F8B">
      <w:pPr>
        <w:pStyle w:val="ListParagraph"/>
        <w:numPr>
          <w:ilvl w:val="0"/>
          <w:numId w:val="4"/>
        </w:numPr>
      </w:pPr>
      <w:r>
        <w:t>Locally lead tours – The “Royal Signature Excursions” and GSTC certified tours ensures cultural immersion and local interactions. Where the ships will dock is directly in cultural heavy locations allowing tourists to feel fully immersed and easier to access local life</w:t>
      </w:r>
    </w:p>
    <w:p w14:paraId="18E04E5A" w14:textId="10E24673" w:rsidR="00880F8B" w:rsidRDefault="00880F8B" w:rsidP="00880F8B">
      <w:pPr>
        <w:pStyle w:val="ListParagraph"/>
        <w:numPr>
          <w:ilvl w:val="0"/>
          <w:numId w:val="4"/>
        </w:numPr>
      </w:pPr>
      <w:r>
        <w:t>Onboard cultural integration – This is where the Artist discovery program is featured where regional and local artists will create murals and art that ties together local talent and culture onto the ships</w:t>
      </w:r>
    </w:p>
    <w:p w14:paraId="727EF8FC" w14:textId="4939655B" w:rsidR="00880F8B" w:rsidRDefault="00880F8B" w:rsidP="00880F8B">
      <w:pPr>
        <w:pStyle w:val="ListParagraph"/>
        <w:numPr>
          <w:ilvl w:val="0"/>
          <w:numId w:val="4"/>
        </w:numPr>
      </w:pPr>
      <w:r>
        <w:t>The workforce – The royal Caribbean hires staff from over 120 countries creating a more diverse and culturally rich environment.</w:t>
      </w:r>
    </w:p>
    <w:p w14:paraId="77C2A3BE" w14:textId="0BE4C821" w:rsidR="00880F8B" w:rsidRDefault="00880F8B" w:rsidP="00880F8B">
      <w:pPr>
        <w:pStyle w:val="ListParagraph"/>
        <w:numPr>
          <w:ilvl w:val="0"/>
          <w:numId w:val="4"/>
        </w:numPr>
      </w:pPr>
      <w:r>
        <w:t xml:space="preserve">Guest education – provides a clear guidance on certain clothing and what to advice and what not to advice for instance where camouflage is not permitted due to miliary operations and or mindfulness of being respectful for those who served. </w:t>
      </w:r>
    </w:p>
    <w:p w14:paraId="4A6CB9DD" w14:textId="77777777" w:rsidR="00C4734F" w:rsidRDefault="00C4734F" w:rsidP="00C4734F">
      <w:pPr>
        <w:pStyle w:val="ListParagraph"/>
      </w:pPr>
    </w:p>
    <w:p w14:paraId="099AE9E3" w14:textId="21060C10" w:rsidR="00C4734F" w:rsidRDefault="00014BF7" w:rsidP="00C4734F">
      <w:r>
        <w:rPr>
          <w:noProof/>
        </w:rPr>
        <w:lastRenderedPageBreak/>
        <w:drawing>
          <wp:inline distT="0" distB="0" distL="0" distR="0" wp14:anchorId="00097B84" wp14:editId="2E2B60F7">
            <wp:extent cx="5731510" cy="3230245"/>
            <wp:effectExtent l="0" t="0" r="0" b="0"/>
            <wp:docPr id="209814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14693" name="Picture 209814693"/>
                    <pic:cNvPicPr/>
                  </pic:nvPicPr>
                  <pic:blipFill>
                    <a:blip r:embed="rId5">
                      <a:extLst>
                        <a:ext uri="{28A0092B-C50C-407E-A947-70E740481C1C}">
                          <a14:useLocalDpi xmlns:a14="http://schemas.microsoft.com/office/drawing/2010/main" val="0"/>
                        </a:ext>
                      </a:extLst>
                    </a:blip>
                    <a:stretch>
                      <a:fillRect/>
                    </a:stretch>
                  </pic:blipFill>
                  <pic:spPr>
                    <a:xfrm>
                      <a:off x="0" y="0"/>
                      <a:ext cx="5731510" cy="3230245"/>
                    </a:xfrm>
                    <a:prstGeom prst="rect">
                      <a:avLst/>
                    </a:prstGeom>
                  </pic:spPr>
                </pic:pic>
              </a:graphicData>
            </a:graphic>
          </wp:inline>
        </w:drawing>
      </w:r>
    </w:p>
    <w:p w14:paraId="4836BC9F" w14:textId="5F16A84F" w:rsidR="00014BF7" w:rsidRDefault="00FF53A3" w:rsidP="00C4734F">
      <w:r>
        <w:rPr>
          <w:noProof/>
        </w:rPr>
        <w:drawing>
          <wp:inline distT="0" distB="0" distL="0" distR="0" wp14:anchorId="0343C0EF" wp14:editId="51CCD402">
            <wp:extent cx="5731510" cy="3227705"/>
            <wp:effectExtent l="0" t="0" r="0" b="0"/>
            <wp:docPr id="10348448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844889" name="Picture 1034844889"/>
                    <pic:cNvPicPr/>
                  </pic:nvPicPr>
                  <pic:blipFill>
                    <a:blip r:embed="rId6">
                      <a:extLst>
                        <a:ext uri="{28A0092B-C50C-407E-A947-70E740481C1C}">
                          <a14:useLocalDpi xmlns:a14="http://schemas.microsoft.com/office/drawing/2010/main" val="0"/>
                        </a:ext>
                      </a:extLst>
                    </a:blip>
                    <a:stretch>
                      <a:fillRect/>
                    </a:stretch>
                  </pic:blipFill>
                  <pic:spPr>
                    <a:xfrm>
                      <a:off x="0" y="0"/>
                      <a:ext cx="5731510" cy="3227705"/>
                    </a:xfrm>
                    <a:prstGeom prst="rect">
                      <a:avLst/>
                    </a:prstGeom>
                  </pic:spPr>
                </pic:pic>
              </a:graphicData>
            </a:graphic>
          </wp:inline>
        </w:drawing>
      </w:r>
    </w:p>
    <w:p w14:paraId="018D66B9" w14:textId="7D00C7B2" w:rsidR="00FF53A3" w:rsidRDefault="00FF53A3" w:rsidP="00C4734F">
      <w:r>
        <w:rPr>
          <w:noProof/>
        </w:rPr>
        <w:lastRenderedPageBreak/>
        <w:drawing>
          <wp:inline distT="0" distB="0" distL="0" distR="0" wp14:anchorId="21F9EBF4" wp14:editId="0CFC3946">
            <wp:extent cx="5731510" cy="3234690"/>
            <wp:effectExtent l="0" t="0" r="0" b="3810"/>
            <wp:docPr id="7698814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881434" name="Picture 769881434"/>
                    <pic:cNvPicPr/>
                  </pic:nvPicPr>
                  <pic:blipFill>
                    <a:blip r:embed="rId7">
                      <a:extLst>
                        <a:ext uri="{28A0092B-C50C-407E-A947-70E740481C1C}">
                          <a14:useLocalDpi xmlns:a14="http://schemas.microsoft.com/office/drawing/2010/main" val="0"/>
                        </a:ext>
                      </a:extLst>
                    </a:blip>
                    <a:stretch>
                      <a:fillRect/>
                    </a:stretch>
                  </pic:blipFill>
                  <pic:spPr>
                    <a:xfrm>
                      <a:off x="0" y="0"/>
                      <a:ext cx="5731510" cy="3234690"/>
                    </a:xfrm>
                    <a:prstGeom prst="rect">
                      <a:avLst/>
                    </a:prstGeom>
                  </pic:spPr>
                </pic:pic>
              </a:graphicData>
            </a:graphic>
          </wp:inline>
        </w:drawing>
      </w:r>
    </w:p>
    <w:p w14:paraId="5313445E" w14:textId="7AC3A84F" w:rsidR="00FF53A3" w:rsidRDefault="00760993" w:rsidP="00C4734F">
      <w:r>
        <w:rPr>
          <w:noProof/>
        </w:rPr>
        <w:drawing>
          <wp:inline distT="0" distB="0" distL="0" distR="0" wp14:anchorId="3F1CC6A0" wp14:editId="6DF7F64E">
            <wp:extent cx="5731510" cy="3214370"/>
            <wp:effectExtent l="0" t="0" r="0" b="0"/>
            <wp:docPr id="2349139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913996" name="Picture 234913996"/>
                    <pic:cNvPicPr/>
                  </pic:nvPicPr>
                  <pic:blipFill>
                    <a:blip r:embed="rId8">
                      <a:extLst>
                        <a:ext uri="{28A0092B-C50C-407E-A947-70E740481C1C}">
                          <a14:useLocalDpi xmlns:a14="http://schemas.microsoft.com/office/drawing/2010/main" val="0"/>
                        </a:ext>
                      </a:extLst>
                    </a:blip>
                    <a:stretch>
                      <a:fillRect/>
                    </a:stretch>
                  </pic:blipFill>
                  <pic:spPr>
                    <a:xfrm>
                      <a:off x="0" y="0"/>
                      <a:ext cx="5731510" cy="3214370"/>
                    </a:xfrm>
                    <a:prstGeom prst="rect">
                      <a:avLst/>
                    </a:prstGeom>
                  </pic:spPr>
                </pic:pic>
              </a:graphicData>
            </a:graphic>
          </wp:inline>
        </w:drawing>
      </w:r>
    </w:p>
    <w:p w14:paraId="0C00FE7E" w14:textId="6B922634" w:rsidR="00760993" w:rsidRDefault="00760993" w:rsidP="00C4734F">
      <w:r>
        <w:rPr>
          <w:noProof/>
        </w:rPr>
        <w:lastRenderedPageBreak/>
        <w:drawing>
          <wp:inline distT="0" distB="0" distL="0" distR="0" wp14:anchorId="60D07AE5" wp14:editId="1806E9AA">
            <wp:extent cx="5731510" cy="3259455"/>
            <wp:effectExtent l="0" t="0" r="0" b="4445"/>
            <wp:docPr id="8445813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581359" name="Picture 844581359"/>
                    <pic:cNvPicPr/>
                  </pic:nvPicPr>
                  <pic:blipFill>
                    <a:blip r:embed="rId9">
                      <a:extLst>
                        <a:ext uri="{28A0092B-C50C-407E-A947-70E740481C1C}">
                          <a14:useLocalDpi xmlns:a14="http://schemas.microsoft.com/office/drawing/2010/main" val="0"/>
                        </a:ext>
                      </a:extLst>
                    </a:blip>
                    <a:stretch>
                      <a:fillRect/>
                    </a:stretch>
                  </pic:blipFill>
                  <pic:spPr>
                    <a:xfrm>
                      <a:off x="0" y="0"/>
                      <a:ext cx="5731510" cy="3259455"/>
                    </a:xfrm>
                    <a:prstGeom prst="rect">
                      <a:avLst/>
                    </a:prstGeom>
                  </pic:spPr>
                </pic:pic>
              </a:graphicData>
            </a:graphic>
          </wp:inline>
        </w:drawing>
      </w:r>
    </w:p>
    <w:p w14:paraId="07094BFD" w14:textId="77777777" w:rsidR="00880F8B" w:rsidRDefault="00880F8B" w:rsidP="00880F8B">
      <w:pPr>
        <w:ind w:left="360"/>
      </w:pPr>
    </w:p>
    <w:p w14:paraId="1BE01655" w14:textId="70618E0F" w:rsidR="00880F8B" w:rsidRDefault="00880F8B" w:rsidP="00880F8B">
      <w:r>
        <w:t xml:space="preserve">References </w:t>
      </w:r>
    </w:p>
    <w:p w14:paraId="6E3A3678" w14:textId="77777777" w:rsidR="00880F8B" w:rsidRPr="00880F8B" w:rsidRDefault="00880F8B" w:rsidP="00880F8B">
      <w:r w:rsidRPr="00880F8B">
        <w:t>admin (2024). </w:t>
      </w:r>
      <w:r w:rsidRPr="00880F8B">
        <w:rPr>
          <w:i/>
          <w:iCs/>
        </w:rPr>
        <w:t>Sulphur Content in Diesel | An Ultimate Guide</w:t>
      </w:r>
      <w:r w:rsidRPr="00880F8B">
        <w:t>. [online] 123 Oil. Available at: https://123oil.co.uk/blog/sulphur-content-in-diesel/ [Accessed 14 Jan. 2026].</w:t>
      </w:r>
    </w:p>
    <w:p w14:paraId="4A4883EB" w14:textId="77777777" w:rsidR="00880F8B" w:rsidRPr="00880F8B" w:rsidRDefault="00880F8B" w:rsidP="00880F8B">
      <w:r w:rsidRPr="00880F8B">
        <w:t>Anonymous (2025). </w:t>
      </w:r>
      <w:r w:rsidRPr="00880F8B">
        <w:rPr>
          <w:i/>
          <w:iCs/>
        </w:rPr>
        <w:t xml:space="preserve">ZERO4CRUISE Project: Green Methanol Fuel Cells for Cruise Ships - </w:t>
      </w:r>
      <w:proofErr w:type="spellStart"/>
      <w:r w:rsidRPr="00880F8B">
        <w:rPr>
          <w:i/>
          <w:iCs/>
        </w:rPr>
        <w:t>Fuelcellsworks</w:t>
      </w:r>
      <w:proofErr w:type="spellEnd"/>
      <w:r w:rsidRPr="00880F8B">
        <w:t>. [online] Fuelcellsworks.com. Available at: https://fuelcellsworks.com/2025/01/31/fuel-cells/zero4cruise-project-launches-to-pioneer-green-methanol-fuel-cells-for-cruise-ships [Accessed 14 Jan. 2026].</w:t>
      </w:r>
    </w:p>
    <w:p w14:paraId="5AF99E9E" w14:textId="77777777" w:rsidR="00880F8B" w:rsidRPr="00880F8B" w:rsidRDefault="00880F8B" w:rsidP="00880F8B">
      <w:r w:rsidRPr="00880F8B">
        <w:t xml:space="preserve">Ashraf, M.H., Saeed, N., Cullinane, K. and </w:t>
      </w:r>
      <w:proofErr w:type="spellStart"/>
      <w:r w:rsidRPr="00880F8B">
        <w:t>Dresner</w:t>
      </w:r>
      <w:proofErr w:type="spellEnd"/>
      <w:r w:rsidRPr="00880F8B">
        <w:t>, M. (2026). Enhancing resilience and sustainability: an inductive approach to innovations in cruise industry. </w:t>
      </w:r>
      <w:r w:rsidRPr="00880F8B">
        <w:rPr>
          <w:i/>
          <w:iCs/>
        </w:rPr>
        <w:t>Transportation Research Part D: Transport and Environment</w:t>
      </w:r>
      <w:r w:rsidRPr="00880F8B">
        <w:t xml:space="preserve">, 150, p.105118. </w:t>
      </w:r>
      <w:proofErr w:type="spellStart"/>
      <w:proofErr w:type="gramStart"/>
      <w:r w:rsidRPr="00880F8B">
        <w:t>doi:https</w:t>
      </w:r>
      <w:proofErr w:type="spellEnd"/>
      <w:r w:rsidRPr="00880F8B">
        <w:t>://doi.org/10.1016/j.trd.2025.105118</w:t>
      </w:r>
      <w:proofErr w:type="gramEnd"/>
      <w:r w:rsidRPr="00880F8B">
        <w:t>.</w:t>
      </w:r>
    </w:p>
    <w:p w14:paraId="354701D8" w14:textId="77777777" w:rsidR="00880F8B" w:rsidRPr="00880F8B" w:rsidRDefault="00880F8B" w:rsidP="00880F8B">
      <w:r w:rsidRPr="00880F8B">
        <w:t>Bei, Z., Wang, J., Li, Y., Wang, H., Li, M., Qian, F. and Xu, W. (2024). Challenges and Solutions of Ship Power System Electrification. </w:t>
      </w:r>
      <w:r w:rsidRPr="00880F8B">
        <w:rPr>
          <w:i/>
          <w:iCs/>
        </w:rPr>
        <w:t>Energies</w:t>
      </w:r>
      <w:r w:rsidRPr="00880F8B">
        <w:t xml:space="preserve">, 17(13), pp.3311–3311. </w:t>
      </w:r>
      <w:proofErr w:type="spellStart"/>
      <w:proofErr w:type="gramStart"/>
      <w:r w:rsidRPr="00880F8B">
        <w:t>doi:https</w:t>
      </w:r>
      <w:proofErr w:type="spellEnd"/>
      <w:r w:rsidRPr="00880F8B">
        <w:t>://doi.org/10.3390/en17133311</w:t>
      </w:r>
      <w:proofErr w:type="gramEnd"/>
      <w:r w:rsidRPr="00880F8B">
        <w:t>.</w:t>
      </w:r>
    </w:p>
    <w:p w14:paraId="001E8B46" w14:textId="77777777" w:rsidR="00880F8B" w:rsidRPr="00880F8B" w:rsidRDefault="00880F8B" w:rsidP="00880F8B">
      <w:r w:rsidRPr="00880F8B">
        <w:t>Carnivalcorp.com. (2025). </w:t>
      </w:r>
      <w:r w:rsidRPr="00880F8B">
        <w:rPr>
          <w:i/>
          <w:iCs/>
        </w:rPr>
        <w:t>Vendors/Suppliers – Carnival Corporation &amp; plc</w:t>
      </w:r>
      <w:r w:rsidRPr="00880F8B">
        <w:t>. [online] Available at: https://www.carnivalcorp.com/vendors-suppliers/.</w:t>
      </w:r>
    </w:p>
    <w:p w14:paraId="2ED19AB4" w14:textId="77777777" w:rsidR="00880F8B" w:rsidRPr="00880F8B" w:rsidRDefault="00880F8B" w:rsidP="00880F8B">
      <w:r w:rsidRPr="00880F8B">
        <w:t>Chen, N. (2025). </w:t>
      </w:r>
      <w:r w:rsidRPr="00880F8B">
        <w:rPr>
          <w:i/>
          <w:iCs/>
        </w:rPr>
        <w:t>The Environmental Impact of Cruise Ships</w:t>
      </w:r>
      <w:r w:rsidRPr="00880F8B">
        <w:t>. [online] Earth.org. Available at: https://earth.org/the-environmental-impact-of-cruise-ships/.</w:t>
      </w:r>
    </w:p>
    <w:p w14:paraId="3A28AD8E" w14:textId="77777777" w:rsidR="00880F8B" w:rsidRPr="00880F8B" w:rsidRDefault="00880F8B" w:rsidP="00880F8B">
      <w:r w:rsidRPr="00880F8B">
        <w:lastRenderedPageBreak/>
        <w:t>Comer, B. (2022). </w:t>
      </w:r>
      <w:r w:rsidRPr="00880F8B">
        <w:rPr>
          <w:i/>
          <w:iCs/>
        </w:rPr>
        <w:t>What if I told you cruising is worse for the climate than flying?</w:t>
      </w:r>
      <w:r w:rsidRPr="00880F8B">
        <w:t> [online] International Council on Clean Transportation. Available at: https://theicct.org/marine-cruising-flying-may22/.</w:t>
      </w:r>
    </w:p>
    <w:p w14:paraId="4596F15C" w14:textId="77777777" w:rsidR="00880F8B" w:rsidRPr="00880F8B" w:rsidRDefault="00880F8B" w:rsidP="00880F8B">
      <w:r w:rsidRPr="00880F8B">
        <w:t>Cruise Nation. (2026). </w:t>
      </w:r>
      <w:r w:rsidRPr="00880F8B">
        <w:rPr>
          <w:i/>
          <w:iCs/>
        </w:rPr>
        <w:t>Green Cruising: How to Make Cruising More Sustainable</w:t>
      </w:r>
      <w:r w:rsidRPr="00880F8B">
        <w:t>. [online] Available at: https://www.cruisenation.com/blog/green-cruising.</w:t>
      </w:r>
    </w:p>
    <w:p w14:paraId="4AB628EB" w14:textId="77777777" w:rsidR="00880F8B" w:rsidRPr="00880F8B" w:rsidRDefault="00880F8B" w:rsidP="00880F8B">
      <w:proofErr w:type="spellStart"/>
      <w:r w:rsidRPr="00880F8B">
        <w:t>Degn</w:t>
      </w:r>
      <w:proofErr w:type="spellEnd"/>
      <w:r w:rsidRPr="00880F8B">
        <w:t>, E.I. (2025). </w:t>
      </w:r>
      <w:r w:rsidRPr="00880F8B">
        <w:rPr>
          <w:i/>
          <w:iCs/>
        </w:rPr>
        <w:t>How To Find Cultural Experiences in Every Cruise Port</w:t>
      </w:r>
      <w:r w:rsidRPr="00880F8B">
        <w:t>. [online] Royal Caribbean. Available at: https://www.royalcaribbean.com/guides/how-to-find-cultural-experiences-in-every-cruise-port [Accessed 15 Jan. 2026].</w:t>
      </w:r>
    </w:p>
    <w:p w14:paraId="494C98AF" w14:textId="77777777" w:rsidR="00880F8B" w:rsidRPr="00880F8B" w:rsidRDefault="00880F8B" w:rsidP="00880F8B">
      <w:r w:rsidRPr="00880F8B">
        <w:t>DNV (2024). </w:t>
      </w:r>
      <w:r w:rsidRPr="00880F8B">
        <w:rPr>
          <w:i/>
          <w:iCs/>
        </w:rPr>
        <w:t>Technologies</w:t>
      </w:r>
      <w:r w:rsidRPr="00880F8B">
        <w:t>. [online] www.dnv.com. Available at: https://www.dnv.com/maritime/insights/topics/lng-as-marine-fuel/technologies/.</w:t>
      </w:r>
    </w:p>
    <w:p w14:paraId="1A8A5F32" w14:textId="77777777" w:rsidR="00880F8B" w:rsidRPr="00880F8B" w:rsidRDefault="00880F8B" w:rsidP="00880F8B">
      <w:proofErr w:type="spellStart"/>
      <w:r w:rsidRPr="00880F8B">
        <w:t>Gojmir</w:t>
      </w:r>
      <w:proofErr w:type="spellEnd"/>
      <w:r w:rsidRPr="00880F8B">
        <w:t xml:space="preserve"> Radica, Tino </w:t>
      </w:r>
      <w:proofErr w:type="spellStart"/>
      <w:r w:rsidRPr="00880F8B">
        <w:t>Vidović</w:t>
      </w:r>
      <w:proofErr w:type="spellEnd"/>
      <w:r w:rsidRPr="00880F8B">
        <w:t xml:space="preserve">, </w:t>
      </w:r>
      <w:proofErr w:type="spellStart"/>
      <w:r w:rsidRPr="00880F8B">
        <w:t>Jakov</w:t>
      </w:r>
      <w:proofErr w:type="spellEnd"/>
      <w:r w:rsidRPr="00880F8B">
        <w:t xml:space="preserve"> Šimunović and </w:t>
      </w:r>
      <w:proofErr w:type="spellStart"/>
      <w:r w:rsidRPr="00880F8B">
        <w:t>Zdeslav</w:t>
      </w:r>
      <w:proofErr w:type="spellEnd"/>
      <w:r w:rsidRPr="00880F8B">
        <w:t xml:space="preserve"> </w:t>
      </w:r>
      <w:proofErr w:type="spellStart"/>
      <w:r w:rsidRPr="00880F8B">
        <w:t>Jurić</w:t>
      </w:r>
      <w:proofErr w:type="spellEnd"/>
      <w:r w:rsidRPr="00880F8B">
        <w:t xml:space="preserve"> (2025). Overview of Hybrid Marine Energy System Configurations and System Component </w:t>
      </w:r>
      <w:proofErr w:type="spellStart"/>
      <w:r w:rsidRPr="00880F8B">
        <w:t>Modeling</w:t>
      </w:r>
      <w:proofErr w:type="spellEnd"/>
      <w:r w:rsidRPr="00880F8B">
        <w:t xml:space="preserve"> Approaches. </w:t>
      </w:r>
      <w:r w:rsidRPr="00880F8B">
        <w:rPr>
          <w:i/>
          <w:iCs/>
        </w:rPr>
        <w:t>Energies</w:t>
      </w:r>
      <w:r w:rsidRPr="00880F8B">
        <w:t xml:space="preserve">, [online] 18(5), pp.1189–1189. </w:t>
      </w:r>
      <w:proofErr w:type="spellStart"/>
      <w:proofErr w:type="gramStart"/>
      <w:r w:rsidRPr="00880F8B">
        <w:t>doi:https</w:t>
      </w:r>
      <w:proofErr w:type="spellEnd"/>
      <w:r w:rsidRPr="00880F8B">
        <w:t>://doi.org/10.3390/en18051189</w:t>
      </w:r>
      <w:proofErr w:type="gramEnd"/>
      <w:r w:rsidRPr="00880F8B">
        <w:t>.</w:t>
      </w:r>
    </w:p>
    <w:p w14:paraId="4972D10A" w14:textId="77777777" w:rsidR="00880F8B" w:rsidRPr="00880F8B" w:rsidRDefault="00880F8B" w:rsidP="00880F8B">
      <w:r w:rsidRPr="00880F8B">
        <w:t>IQCruising.com (2024). </w:t>
      </w:r>
      <w:r w:rsidRPr="00880F8B">
        <w:rPr>
          <w:i/>
          <w:iCs/>
        </w:rPr>
        <w:t>Top West Caribbean Cruise Ports Reviews (2024)</w:t>
      </w:r>
      <w:r w:rsidRPr="00880F8B">
        <w:t>. [online] Iqcruising.com. Available at: https://www.iqcruising.com/insights/caribbean/top-west-caribbean-cruise-ports.html [Accessed 14 Jan. 2026].</w:t>
      </w:r>
    </w:p>
    <w:p w14:paraId="54CA383C" w14:textId="77777777" w:rsidR="00880F8B" w:rsidRPr="00880F8B" w:rsidRDefault="00880F8B" w:rsidP="00880F8B">
      <w:r w:rsidRPr="00880F8B">
        <w:t>Jang, H., Jeong, B., Zhou, P., Ha, S. and Nam, D. (2021). Demystifying the lifecycle environmental benefits and harms of LNG as marine fuel. </w:t>
      </w:r>
      <w:r w:rsidRPr="00880F8B">
        <w:rPr>
          <w:i/>
          <w:iCs/>
        </w:rPr>
        <w:t>Applied Energy</w:t>
      </w:r>
      <w:r w:rsidRPr="00880F8B">
        <w:t xml:space="preserve">, 292, p.116869. </w:t>
      </w:r>
      <w:proofErr w:type="spellStart"/>
      <w:proofErr w:type="gramStart"/>
      <w:r w:rsidRPr="00880F8B">
        <w:t>doi:https</w:t>
      </w:r>
      <w:proofErr w:type="spellEnd"/>
      <w:r w:rsidRPr="00880F8B">
        <w:t>://doi.org/10.1016/j.apenergy.2021.116869</w:t>
      </w:r>
      <w:proofErr w:type="gramEnd"/>
      <w:r w:rsidRPr="00880F8B">
        <w:t>.</w:t>
      </w:r>
    </w:p>
    <w:p w14:paraId="6CDC3A33" w14:textId="204B33EB" w:rsidR="00880F8B" w:rsidRDefault="00880F8B" w:rsidP="00880F8B">
      <w:r w:rsidRPr="00880F8B">
        <w:t>KARIB NATION, Inc. (2023). </w:t>
      </w:r>
      <w:r w:rsidRPr="00880F8B">
        <w:rPr>
          <w:i/>
          <w:iCs/>
        </w:rPr>
        <w:t>TRADITIONAL CARIBBEAN DRESS</w:t>
      </w:r>
      <w:r w:rsidRPr="00880F8B">
        <w:t xml:space="preserve">. [online] Available at: </w:t>
      </w:r>
      <w:hyperlink r:id="rId10" w:history="1">
        <w:r w:rsidRPr="00880F8B">
          <w:rPr>
            <w:rStyle w:val="Hyperlink"/>
          </w:rPr>
          <w:t>https://dccaribbeanbusinessdirectory.wordpress.com/2023/02/12/traditional-caribbean-dress/</w:t>
        </w:r>
      </w:hyperlink>
      <w:r w:rsidRPr="00880F8B">
        <w:t>.</w:t>
      </w:r>
    </w:p>
    <w:p w14:paraId="5D78C6DC" w14:textId="2EDE91AE" w:rsidR="00880F8B" w:rsidRPr="00880F8B" w:rsidRDefault="00880F8B" w:rsidP="00880F8B">
      <w:r w:rsidRPr="00880F8B">
        <w:t>National Oceanic and Atmospheric Administration (2022). </w:t>
      </w:r>
      <w:r w:rsidRPr="00880F8B">
        <w:rPr>
          <w:i/>
          <w:iCs/>
        </w:rPr>
        <w:t>Stewardship definitions | National Oceanic and Atmospheric Administration</w:t>
      </w:r>
      <w:r w:rsidRPr="00880F8B">
        <w:t>. [online] www.noaa.gov. Available at: https://www.noaa.gov/office-education/noaa-education-council/monitoring-resources/common-measure-definitions/stewardship-definitions.</w:t>
      </w:r>
    </w:p>
    <w:p w14:paraId="57B19FA7" w14:textId="77777777" w:rsidR="00880F8B" w:rsidRPr="00880F8B" w:rsidRDefault="00880F8B" w:rsidP="00880F8B">
      <w:r w:rsidRPr="00880F8B">
        <w:t>Policy Pathways Towards a More Sustainable Cruise Sector Working Document. (2024). Available at: https://bluetourisminitiative.org/wp-content/uploads/2024/10/Policy-Pathways-Towards-a-More-Sustainable-Cruise-Tourism-Sector_F.pdf.</w:t>
      </w:r>
    </w:p>
    <w:p w14:paraId="54469D83" w14:textId="77777777" w:rsidR="00880F8B" w:rsidRPr="00880F8B" w:rsidRDefault="00880F8B" w:rsidP="00880F8B">
      <w:r w:rsidRPr="00880F8B">
        <w:t>Royal Caribbean (2021). </w:t>
      </w:r>
      <w:r w:rsidRPr="00880F8B">
        <w:rPr>
          <w:i/>
          <w:iCs/>
        </w:rPr>
        <w:t>RCG-ESG-Report-2021_06.pdf</w:t>
      </w:r>
      <w:r w:rsidRPr="00880F8B">
        <w:t>.</w:t>
      </w:r>
    </w:p>
    <w:p w14:paraId="34158E3F" w14:textId="77777777" w:rsidR="00880F8B" w:rsidRPr="00880F8B" w:rsidRDefault="00880F8B" w:rsidP="00880F8B">
      <w:proofErr w:type="spellStart"/>
      <w:r w:rsidRPr="00880F8B">
        <w:t>Seatrade</w:t>
      </w:r>
      <w:proofErr w:type="spellEnd"/>
      <w:r w:rsidRPr="00880F8B">
        <w:t xml:space="preserve"> Cruise News. (2016). </w:t>
      </w:r>
      <w:r w:rsidRPr="00880F8B">
        <w:rPr>
          <w:i/>
          <w:iCs/>
        </w:rPr>
        <w:t>Cruise lines seek more local sourcing but the bar for suppliers is</w:t>
      </w:r>
      <w:r w:rsidRPr="00880F8B">
        <w:t>. [online] Available at: https://www.seatrade-cruise.com/food-and-beverage/cruise-lines-seek-more-local-sourcing-but-the-bar-for-suppliers-is-high# [Accessed 14 Jan. 2026].</w:t>
      </w:r>
    </w:p>
    <w:p w14:paraId="39FED0B1" w14:textId="77777777" w:rsidR="00880F8B" w:rsidRPr="00880F8B" w:rsidRDefault="00880F8B" w:rsidP="00880F8B">
      <w:r w:rsidRPr="00880F8B">
        <w:lastRenderedPageBreak/>
        <w:t>Solar Power Portal. (2026). </w:t>
      </w:r>
      <w:r w:rsidRPr="00880F8B">
        <w:rPr>
          <w:i/>
          <w:iCs/>
        </w:rPr>
        <w:t>Global first hydrogen-powered cruise ship to be delivered in 2026 - Solar Power Portal</w:t>
      </w:r>
      <w:r w:rsidRPr="00880F8B">
        <w:t>. [online] Available at: https://www.solarpowerportal.co.uk/green-hydrogen/global-first-hydrogen-powered-cruise-ship-to-be-delivered-in-2026# [Accessed 14 Jan. 2026].</w:t>
      </w:r>
    </w:p>
    <w:p w14:paraId="7F98ECEA" w14:textId="77777777" w:rsidR="00880F8B" w:rsidRPr="00880F8B" w:rsidRDefault="00880F8B" w:rsidP="00880F8B">
      <w:proofErr w:type="spellStart"/>
      <w:r w:rsidRPr="00880F8B">
        <w:t>tripsavvytips</w:t>
      </w:r>
      <w:proofErr w:type="spellEnd"/>
      <w:r w:rsidRPr="00880F8B">
        <w:t xml:space="preserve"> (2019). </w:t>
      </w:r>
      <w:r w:rsidRPr="00880F8B">
        <w:rPr>
          <w:i/>
          <w:iCs/>
        </w:rPr>
        <w:t>Find out Which Islands 21 Caribbean Cruise Lines Visit</w:t>
      </w:r>
      <w:r w:rsidRPr="00880F8B">
        <w:t xml:space="preserve">. [online] </w:t>
      </w:r>
      <w:proofErr w:type="spellStart"/>
      <w:r w:rsidRPr="00880F8B">
        <w:t>TripSavvy</w:t>
      </w:r>
      <w:proofErr w:type="spellEnd"/>
      <w:r w:rsidRPr="00880F8B">
        <w:t>. Available at: https://www.tripsavvy.com/islands-caribbean-cruise-lines-1487930 [Accessed 14 Jan. 2026].</w:t>
      </w:r>
    </w:p>
    <w:p w14:paraId="28C5CC50" w14:textId="77777777" w:rsidR="00880F8B" w:rsidRPr="00880F8B" w:rsidRDefault="00880F8B" w:rsidP="00880F8B">
      <w:proofErr w:type="spellStart"/>
      <w:r w:rsidRPr="00880F8B">
        <w:t>Tsoulfas</w:t>
      </w:r>
      <w:proofErr w:type="spellEnd"/>
      <w:r w:rsidRPr="00880F8B">
        <w:t>, G.T. (2025). Port resilience: a systematic literature review. </w:t>
      </w:r>
      <w:r w:rsidRPr="00880F8B">
        <w:rPr>
          <w:i/>
          <w:iCs/>
        </w:rPr>
        <w:t>Maritime Economics &amp; Logistics</w:t>
      </w:r>
      <w:r w:rsidRPr="00880F8B">
        <w:t xml:space="preserve">. </w:t>
      </w:r>
      <w:proofErr w:type="spellStart"/>
      <w:proofErr w:type="gramStart"/>
      <w:r w:rsidRPr="00880F8B">
        <w:t>doi:https</w:t>
      </w:r>
      <w:proofErr w:type="spellEnd"/>
      <w:r w:rsidRPr="00880F8B">
        <w:t>://doi.org/10.1057/s41278-025-00326-3</w:t>
      </w:r>
      <w:proofErr w:type="gramEnd"/>
      <w:r w:rsidRPr="00880F8B">
        <w:t>.</w:t>
      </w:r>
    </w:p>
    <w:p w14:paraId="473BE3EA" w14:textId="77777777" w:rsidR="00880F8B" w:rsidRPr="00880F8B" w:rsidRDefault="00880F8B" w:rsidP="00880F8B">
      <w:proofErr w:type="spellStart"/>
      <w:r w:rsidRPr="00880F8B">
        <w:t>Wärtsilä</w:t>
      </w:r>
      <w:proofErr w:type="spellEnd"/>
      <w:r w:rsidRPr="00880F8B">
        <w:t xml:space="preserve"> (2022). </w:t>
      </w:r>
      <w:r w:rsidRPr="00880F8B">
        <w:rPr>
          <w:i/>
          <w:iCs/>
        </w:rPr>
        <w:t>LNG as fuel for ships: expert answers to 17 important questions</w:t>
      </w:r>
      <w:r w:rsidRPr="00880F8B">
        <w:t>. [online] Wartsila.com. Available at: https://www.wartsila.com/insights/article/lng-fuel-for-thought-in-our-deep-dive-q-a.</w:t>
      </w:r>
    </w:p>
    <w:p w14:paraId="5FA37374" w14:textId="77777777" w:rsidR="00880F8B" w:rsidRPr="00880F8B" w:rsidRDefault="00880F8B" w:rsidP="00880F8B">
      <w:proofErr w:type="spellStart"/>
      <w:r w:rsidRPr="00880F8B">
        <w:t>Williment</w:t>
      </w:r>
      <w:proofErr w:type="spellEnd"/>
      <w:r w:rsidRPr="00880F8B">
        <w:t>, C. (2025). </w:t>
      </w:r>
      <w:proofErr w:type="spellStart"/>
      <w:r w:rsidRPr="00880F8B">
        <w:rPr>
          <w:i/>
          <w:iCs/>
        </w:rPr>
        <w:t>Fincantieri</w:t>
      </w:r>
      <w:proofErr w:type="spellEnd"/>
      <w:r w:rsidRPr="00880F8B">
        <w:rPr>
          <w:i/>
          <w:iCs/>
        </w:rPr>
        <w:t xml:space="preserve"> and Viking’s World First Hydrogen-Powered Cruise</w:t>
      </w:r>
      <w:r w:rsidRPr="00880F8B">
        <w:t>. [online] Sustainabilitymag.com. Available at: https://sustainabilitymag.com/articles/fincantieri-and-vikings-world-first-hydrogen-powered-cruise [Accessed 14 Jan. 2026].</w:t>
      </w:r>
    </w:p>
    <w:p w14:paraId="62BE0FC9" w14:textId="77777777" w:rsidR="00880F8B" w:rsidRDefault="00880F8B" w:rsidP="00880F8B"/>
    <w:p w14:paraId="210593E4" w14:textId="77777777" w:rsidR="00880F8B" w:rsidRDefault="00880F8B" w:rsidP="00880F8B"/>
    <w:p w14:paraId="7FC842E0" w14:textId="77777777" w:rsidR="00880F8B" w:rsidRPr="00880F8B" w:rsidRDefault="00880F8B" w:rsidP="00880F8B"/>
    <w:p w14:paraId="42B90E64" w14:textId="76983AF2" w:rsidR="00880F8B" w:rsidRDefault="00880F8B" w:rsidP="00880F8B"/>
    <w:p w14:paraId="622F6365" w14:textId="77777777" w:rsidR="00880F8B" w:rsidRDefault="00880F8B"/>
    <w:p w14:paraId="11046046" w14:textId="77777777" w:rsidR="00880F8B" w:rsidRDefault="00880F8B"/>
    <w:p w14:paraId="74DA5CBD" w14:textId="77777777" w:rsidR="00880F8B" w:rsidRPr="00880F8B" w:rsidRDefault="00880F8B"/>
    <w:p w14:paraId="710CCAC2" w14:textId="77777777" w:rsidR="00880F8B" w:rsidRDefault="00880F8B"/>
    <w:p w14:paraId="394C6048" w14:textId="77777777" w:rsidR="00880F8B" w:rsidRDefault="00880F8B"/>
    <w:p w14:paraId="5CB3D44A" w14:textId="06BF0F43" w:rsidR="00880F8B" w:rsidRDefault="00880F8B">
      <w:r>
        <w:t xml:space="preserve"> </w:t>
      </w:r>
    </w:p>
    <w:p w14:paraId="1A6D9C90" w14:textId="77777777" w:rsidR="00880F8B" w:rsidRDefault="00880F8B"/>
    <w:p w14:paraId="1FC2E2C5" w14:textId="77777777" w:rsidR="00880F8B" w:rsidRDefault="00880F8B"/>
    <w:sectPr w:rsidR="00880F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A5643C"/>
    <w:multiLevelType w:val="hybridMultilevel"/>
    <w:tmpl w:val="18502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1557A9"/>
    <w:multiLevelType w:val="hybridMultilevel"/>
    <w:tmpl w:val="78143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453B26"/>
    <w:multiLevelType w:val="hybridMultilevel"/>
    <w:tmpl w:val="E42C0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B40466"/>
    <w:multiLevelType w:val="hybridMultilevel"/>
    <w:tmpl w:val="E2CC45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933735222">
    <w:abstractNumId w:val="2"/>
  </w:num>
  <w:num w:numId="2" w16cid:durableId="1838963116">
    <w:abstractNumId w:val="3"/>
  </w:num>
  <w:num w:numId="3" w16cid:durableId="2039502288">
    <w:abstractNumId w:val="1"/>
  </w:num>
  <w:num w:numId="4" w16cid:durableId="12541211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F8B"/>
    <w:rsid w:val="00014BF7"/>
    <w:rsid w:val="003F162D"/>
    <w:rsid w:val="005401F6"/>
    <w:rsid w:val="00760993"/>
    <w:rsid w:val="00880F8B"/>
    <w:rsid w:val="009B2BA1"/>
    <w:rsid w:val="00C4734F"/>
    <w:rsid w:val="00C71E34"/>
    <w:rsid w:val="00E11D02"/>
    <w:rsid w:val="00FF53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09BB6"/>
  <w15:chartTrackingRefBased/>
  <w15:docId w15:val="{474FF655-95B0-D84A-BAE3-47E884537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0F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0F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0F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0F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0F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0F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0F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0F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0F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0F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0F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0F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0F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0F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0F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0F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0F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0F8B"/>
    <w:rPr>
      <w:rFonts w:eastAsiaTheme="majorEastAsia" w:cstheme="majorBidi"/>
      <w:color w:val="272727" w:themeColor="text1" w:themeTint="D8"/>
    </w:rPr>
  </w:style>
  <w:style w:type="paragraph" w:styleId="Title">
    <w:name w:val="Title"/>
    <w:basedOn w:val="Normal"/>
    <w:next w:val="Normal"/>
    <w:link w:val="TitleChar"/>
    <w:uiPriority w:val="10"/>
    <w:qFormat/>
    <w:rsid w:val="00880F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0F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0F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0F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0F8B"/>
    <w:pPr>
      <w:spacing w:before="160"/>
      <w:jc w:val="center"/>
    </w:pPr>
    <w:rPr>
      <w:i/>
      <w:iCs/>
      <w:color w:val="404040" w:themeColor="text1" w:themeTint="BF"/>
    </w:rPr>
  </w:style>
  <w:style w:type="character" w:customStyle="1" w:styleId="QuoteChar">
    <w:name w:val="Quote Char"/>
    <w:basedOn w:val="DefaultParagraphFont"/>
    <w:link w:val="Quote"/>
    <w:uiPriority w:val="29"/>
    <w:rsid w:val="00880F8B"/>
    <w:rPr>
      <w:i/>
      <w:iCs/>
      <w:color w:val="404040" w:themeColor="text1" w:themeTint="BF"/>
    </w:rPr>
  </w:style>
  <w:style w:type="paragraph" w:styleId="ListParagraph">
    <w:name w:val="List Paragraph"/>
    <w:basedOn w:val="Normal"/>
    <w:uiPriority w:val="34"/>
    <w:qFormat/>
    <w:rsid w:val="00880F8B"/>
    <w:pPr>
      <w:ind w:left="720"/>
      <w:contextualSpacing/>
    </w:pPr>
  </w:style>
  <w:style w:type="character" w:styleId="IntenseEmphasis">
    <w:name w:val="Intense Emphasis"/>
    <w:basedOn w:val="DefaultParagraphFont"/>
    <w:uiPriority w:val="21"/>
    <w:qFormat/>
    <w:rsid w:val="00880F8B"/>
    <w:rPr>
      <w:i/>
      <w:iCs/>
      <w:color w:val="0F4761" w:themeColor="accent1" w:themeShade="BF"/>
    </w:rPr>
  </w:style>
  <w:style w:type="paragraph" w:styleId="IntenseQuote">
    <w:name w:val="Intense Quote"/>
    <w:basedOn w:val="Normal"/>
    <w:next w:val="Normal"/>
    <w:link w:val="IntenseQuoteChar"/>
    <w:uiPriority w:val="30"/>
    <w:qFormat/>
    <w:rsid w:val="00880F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0F8B"/>
    <w:rPr>
      <w:i/>
      <w:iCs/>
      <w:color w:val="0F4761" w:themeColor="accent1" w:themeShade="BF"/>
    </w:rPr>
  </w:style>
  <w:style w:type="character" w:styleId="IntenseReference">
    <w:name w:val="Intense Reference"/>
    <w:basedOn w:val="DefaultParagraphFont"/>
    <w:uiPriority w:val="32"/>
    <w:qFormat/>
    <w:rsid w:val="00880F8B"/>
    <w:rPr>
      <w:b/>
      <w:bCs/>
      <w:smallCaps/>
      <w:color w:val="0F4761" w:themeColor="accent1" w:themeShade="BF"/>
      <w:spacing w:val="5"/>
    </w:rPr>
  </w:style>
  <w:style w:type="character" w:styleId="Hyperlink">
    <w:name w:val="Hyperlink"/>
    <w:basedOn w:val="DefaultParagraphFont"/>
    <w:uiPriority w:val="99"/>
    <w:unhideWhenUsed/>
    <w:rsid w:val="00880F8B"/>
    <w:rPr>
      <w:color w:val="467886" w:themeColor="hyperlink"/>
      <w:u w:val="single"/>
    </w:rPr>
  </w:style>
  <w:style w:type="character" w:styleId="UnresolvedMention">
    <w:name w:val="Unresolved Mention"/>
    <w:basedOn w:val="DefaultParagraphFont"/>
    <w:uiPriority w:val="99"/>
    <w:semiHidden/>
    <w:unhideWhenUsed/>
    <w:rsid w:val="00880F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2199759">
      <w:bodyDiv w:val="1"/>
      <w:marLeft w:val="0"/>
      <w:marRight w:val="0"/>
      <w:marTop w:val="0"/>
      <w:marBottom w:val="0"/>
      <w:divBdr>
        <w:top w:val="none" w:sz="0" w:space="0" w:color="auto"/>
        <w:left w:val="none" w:sz="0" w:space="0" w:color="auto"/>
        <w:bottom w:val="none" w:sz="0" w:space="0" w:color="auto"/>
        <w:right w:val="none" w:sz="0" w:space="0" w:color="auto"/>
      </w:divBdr>
      <w:divsChild>
        <w:div w:id="1110660236">
          <w:marLeft w:val="0"/>
          <w:marRight w:val="0"/>
          <w:marTop w:val="0"/>
          <w:marBottom w:val="0"/>
          <w:divBdr>
            <w:top w:val="none" w:sz="0" w:space="0" w:color="auto"/>
            <w:left w:val="none" w:sz="0" w:space="0" w:color="auto"/>
            <w:bottom w:val="none" w:sz="0" w:space="0" w:color="auto"/>
            <w:right w:val="none" w:sz="0" w:space="0" w:color="auto"/>
          </w:divBdr>
        </w:div>
      </w:divsChild>
    </w:div>
    <w:div w:id="393626550">
      <w:bodyDiv w:val="1"/>
      <w:marLeft w:val="0"/>
      <w:marRight w:val="0"/>
      <w:marTop w:val="0"/>
      <w:marBottom w:val="0"/>
      <w:divBdr>
        <w:top w:val="none" w:sz="0" w:space="0" w:color="auto"/>
        <w:left w:val="none" w:sz="0" w:space="0" w:color="auto"/>
        <w:bottom w:val="none" w:sz="0" w:space="0" w:color="auto"/>
        <w:right w:val="none" w:sz="0" w:space="0" w:color="auto"/>
      </w:divBdr>
    </w:div>
    <w:div w:id="557909010">
      <w:bodyDiv w:val="1"/>
      <w:marLeft w:val="0"/>
      <w:marRight w:val="0"/>
      <w:marTop w:val="0"/>
      <w:marBottom w:val="0"/>
      <w:divBdr>
        <w:top w:val="none" w:sz="0" w:space="0" w:color="auto"/>
        <w:left w:val="none" w:sz="0" w:space="0" w:color="auto"/>
        <w:bottom w:val="none" w:sz="0" w:space="0" w:color="auto"/>
        <w:right w:val="none" w:sz="0" w:space="0" w:color="auto"/>
      </w:divBdr>
      <w:divsChild>
        <w:div w:id="640383185">
          <w:marLeft w:val="0"/>
          <w:marRight w:val="0"/>
          <w:marTop w:val="0"/>
          <w:marBottom w:val="0"/>
          <w:divBdr>
            <w:top w:val="none" w:sz="0" w:space="0" w:color="auto"/>
            <w:left w:val="none" w:sz="0" w:space="0" w:color="auto"/>
            <w:bottom w:val="none" w:sz="0" w:space="0" w:color="auto"/>
            <w:right w:val="none" w:sz="0" w:space="0" w:color="auto"/>
          </w:divBdr>
        </w:div>
      </w:divsChild>
    </w:div>
    <w:div w:id="1132282808">
      <w:bodyDiv w:val="1"/>
      <w:marLeft w:val="0"/>
      <w:marRight w:val="0"/>
      <w:marTop w:val="0"/>
      <w:marBottom w:val="0"/>
      <w:divBdr>
        <w:top w:val="none" w:sz="0" w:space="0" w:color="auto"/>
        <w:left w:val="none" w:sz="0" w:space="0" w:color="auto"/>
        <w:bottom w:val="none" w:sz="0" w:space="0" w:color="auto"/>
        <w:right w:val="none" w:sz="0" w:space="0" w:color="auto"/>
      </w:divBdr>
      <w:divsChild>
        <w:div w:id="383335029">
          <w:marLeft w:val="0"/>
          <w:marRight w:val="0"/>
          <w:marTop w:val="0"/>
          <w:marBottom w:val="0"/>
          <w:divBdr>
            <w:top w:val="none" w:sz="0" w:space="0" w:color="auto"/>
            <w:left w:val="none" w:sz="0" w:space="0" w:color="auto"/>
            <w:bottom w:val="none" w:sz="0" w:space="0" w:color="auto"/>
            <w:right w:val="none" w:sz="0" w:space="0" w:color="auto"/>
          </w:divBdr>
        </w:div>
      </w:divsChild>
    </w:div>
    <w:div w:id="1465350295">
      <w:bodyDiv w:val="1"/>
      <w:marLeft w:val="0"/>
      <w:marRight w:val="0"/>
      <w:marTop w:val="0"/>
      <w:marBottom w:val="0"/>
      <w:divBdr>
        <w:top w:val="none" w:sz="0" w:space="0" w:color="auto"/>
        <w:left w:val="none" w:sz="0" w:space="0" w:color="auto"/>
        <w:bottom w:val="none" w:sz="0" w:space="0" w:color="auto"/>
        <w:right w:val="none" w:sz="0" w:space="0" w:color="auto"/>
      </w:divBdr>
    </w:div>
    <w:div w:id="1483737860">
      <w:bodyDiv w:val="1"/>
      <w:marLeft w:val="0"/>
      <w:marRight w:val="0"/>
      <w:marTop w:val="0"/>
      <w:marBottom w:val="0"/>
      <w:divBdr>
        <w:top w:val="none" w:sz="0" w:space="0" w:color="auto"/>
        <w:left w:val="none" w:sz="0" w:space="0" w:color="auto"/>
        <w:bottom w:val="none" w:sz="0" w:space="0" w:color="auto"/>
        <w:right w:val="none" w:sz="0" w:space="0" w:color="auto"/>
      </w:divBdr>
      <w:divsChild>
        <w:div w:id="18613170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dccaribbeanbusinessdirectory.wordpress.com/2023/02/12/traditional-caribbean-dress/"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1702</Words>
  <Characters>9702</Characters>
  <Application>Microsoft Office Word</Application>
  <DocSecurity>0</DocSecurity>
  <Lines>80</Lines>
  <Paragraphs>22</Paragraphs>
  <ScaleCrop>false</ScaleCrop>
  <Company/>
  <LinksUpToDate>false</LinksUpToDate>
  <CharactersWithSpaces>11382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Palmer (2404336)</dc:creator>
  <cp:keywords/>
  <dc:description/>
  <cp:lastModifiedBy>Charlie Palmer (2404336)</cp:lastModifiedBy>
  <cp:revision>2</cp:revision>
  <dcterms:created xsi:type="dcterms:W3CDTF">2026-01-15T16:51:00Z</dcterms:created>
  <dcterms:modified xsi:type="dcterms:W3CDTF">2026-01-15T16:51:00Z</dcterms:modified>
</cp:coreProperties>
</file>