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BC5DBE" w14:textId="721AF048" w:rsidR="00BF6417" w:rsidRPr="004B25D2" w:rsidRDefault="00C9245D" w:rsidP="004B25D2">
      <w:pPr>
        <w:jc w:val="center"/>
        <w:rPr>
          <w:b/>
          <w:u w:val="single"/>
        </w:rPr>
      </w:pPr>
      <w:bookmarkStart w:id="0" w:name="_GoBack"/>
      <w:r w:rsidRPr="004B25D2">
        <w:rPr>
          <w:b/>
          <w:u w:val="single"/>
        </w:rPr>
        <w:t xml:space="preserve">The heroic takes </w:t>
      </w:r>
      <w:proofErr w:type="gramStart"/>
      <w:r w:rsidRPr="004B25D2">
        <w:rPr>
          <w:b/>
          <w:u w:val="single"/>
        </w:rPr>
        <w:t>a number of</w:t>
      </w:r>
      <w:proofErr w:type="gramEnd"/>
      <w:r w:rsidRPr="004B25D2">
        <w:rPr>
          <w:b/>
          <w:u w:val="single"/>
        </w:rPr>
        <w:t xml:space="preserve"> different forms in Anglo-Saxon literature. Explore this diversity in approaches to the presentation of heroism in a selection (at least two) of the texts studied for this module.</w:t>
      </w:r>
    </w:p>
    <w:bookmarkEnd w:id="0"/>
    <w:p w14:paraId="34920343" w14:textId="2D03BF89" w:rsidR="004B25D2" w:rsidRDefault="00C32468">
      <w:r>
        <w:t xml:space="preserve">The exploration of the heroic in Anglo-Saxon literature </w:t>
      </w:r>
      <w:r w:rsidR="007F46A1">
        <w:t xml:space="preserve">can </w:t>
      </w:r>
      <w:r w:rsidR="003A7710">
        <w:t xml:space="preserve">be used in </w:t>
      </w:r>
      <w:proofErr w:type="gramStart"/>
      <w:r w:rsidR="003A7710">
        <w:t>many different ways</w:t>
      </w:r>
      <w:proofErr w:type="gramEnd"/>
      <w:r w:rsidR="003A7710">
        <w:t xml:space="preserve"> to create different reactions and invoke multiple emotions from the reader or audience of the literary piece.  </w:t>
      </w:r>
      <w:r w:rsidR="00FA4ED3">
        <w:t xml:space="preserve">The Anglo-Saxon stereotypical hero can be applied to multiple poems </w:t>
      </w:r>
      <w:r w:rsidR="005801A3">
        <w:t xml:space="preserve">and still </w:t>
      </w:r>
      <w:r w:rsidR="00E35951">
        <w:t xml:space="preserve">manifest in multiple ways, such as to represent a single hero, or an army. There are however counterarguments to this, that argue the non-existence of an original </w:t>
      </w:r>
      <w:r w:rsidR="00094E9D">
        <w:t xml:space="preserve">Anglo-Saxon hero, instead depicting the </w:t>
      </w:r>
      <w:r w:rsidR="00CF50DD">
        <w:t xml:space="preserve">same reoccurring hero </w:t>
      </w:r>
      <w:r w:rsidR="007274E2">
        <w:t xml:space="preserve">in multiple settings. </w:t>
      </w:r>
    </w:p>
    <w:p w14:paraId="61ADA07C" w14:textId="77777777" w:rsidR="00620DF1" w:rsidRDefault="0063454E">
      <w:r>
        <w:t xml:space="preserve">Despite much of Anglo-Saxon literature naturally splitting into two parts, </w:t>
      </w:r>
      <w:r w:rsidR="00145B3F">
        <w:t xml:space="preserve">most modern-day scholarship more logically divides Beowulf </w:t>
      </w:r>
      <w:r>
        <w:t>into three sections.</w:t>
      </w:r>
      <w:r>
        <w:rPr>
          <w:rStyle w:val="FootnoteReference"/>
        </w:rPr>
        <w:footnoteReference w:id="1"/>
      </w:r>
      <w:r>
        <w:t xml:space="preserve"> </w:t>
      </w:r>
      <w:r w:rsidR="004B7FDA">
        <w:t xml:space="preserve">Tolkien is one of few to suggest a </w:t>
      </w:r>
      <w:r w:rsidR="002371F3">
        <w:t>two-part</w:t>
      </w:r>
      <w:r w:rsidR="004B7FDA">
        <w:t xml:space="preserve"> divide for the </w:t>
      </w:r>
      <w:r w:rsidR="002371F3">
        <w:t>“famous poem”</w:t>
      </w:r>
      <w:r w:rsidR="00B3436C">
        <w:t>,</w:t>
      </w:r>
      <w:r w:rsidR="002371F3">
        <w:rPr>
          <w:rStyle w:val="FootnoteReference"/>
        </w:rPr>
        <w:footnoteReference w:id="2"/>
      </w:r>
      <w:r w:rsidR="00B3436C">
        <w:t xml:space="preserve"> </w:t>
      </w:r>
      <w:r w:rsidR="00A04E30">
        <w:t xml:space="preserve">having two naturally balanced counterparts of the narrative that separates </w:t>
      </w:r>
      <w:r w:rsidR="003D63BE">
        <w:t xml:space="preserve">youth and age as well as </w:t>
      </w:r>
      <w:r w:rsidR="00367EB9">
        <w:t>first achievement and final death.</w:t>
      </w:r>
      <w:r w:rsidR="00367EB9">
        <w:rPr>
          <w:rStyle w:val="FootnoteReference"/>
        </w:rPr>
        <w:footnoteReference w:id="3"/>
      </w:r>
      <w:r w:rsidR="004B0F54">
        <w:t xml:space="preserve"> </w:t>
      </w:r>
      <w:r w:rsidR="002A15B2">
        <w:t xml:space="preserve">The more common opinion however is the theory that the prose splits into three parts, </w:t>
      </w:r>
      <w:r w:rsidR="00915A2E">
        <w:t xml:space="preserve">academics that support this belief include H L Rogers, </w:t>
      </w:r>
      <w:r w:rsidR="009E08FE">
        <w:t>Kathryn Hume, John D Niles and many others.</w:t>
      </w:r>
      <w:r w:rsidR="009E08FE">
        <w:rPr>
          <w:rStyle w:val="FootnoteReference"/>
        </w:rPr>
        <w:footnoteReference w:id="4"/>
      </w:r>
      <w:r w:rsidR="001629E4">
        <w:t xml:space="preserve"> Usually the divide in parts comes between each of the three monster fights, containing one in each part, however Gale R Owen-Crocker</w:t>
      </w:r>
      <w:r w:rsidR="00BF2DA3">
        <w:t xml:space="preserve"> pinpoints each section to </w:t>
      </w:r>
      <w:r w:rsidR="00E131DC">
        <w:t>“three movements and a coda”</w:t>
      </w:r>
      <w:r w:rsidR="00E131DC">
        <w:rPr>
          <w:rStyle w:val="FootnoteReference"/>
        </w:rPr>
        <w:footnoteReference w:id="5"/>
      </w:r>
      <w:r w:rsidR="00E131DC">
        <w:t xml:space="preserve"> fixed to the </w:t>
      </w:r>
      <w:r w:rsidR="00BA7FB3">
        <w:t xml:space="preserve">four </w:t>
      </w:r>
      <w:r w:rsidR="00023361">
        <w:t>funerals in the prose</w:t>
      </w:r>
      <w:r w:rsidR="004006C6">
        <w:t>. Disregarding the specific breaks in the sections, e</w:t>
      </w:r>
      <w:r w:rsidR="00C062F3">
        <w:t>ach of these three parts show Beowulf</w:t>
      </w:r>
      <w:r w:rsidR="002551FC">
        <w:t xml:space="preserve">’s evolution from having the potential to become a hero, to </w:t>
      </w:r>
      <w:r w:rsidR="00F92A0E">
        <w:t xml:space="preserve">becoming </w:t>
      </w:r>
      <w:r w:rsidR="002551FC">
        <w:t xml:space="preserve">the greatest hero in the </w:t>
      </w:r>
      <w:r w:rsidR="00E721E6">
        <w:t xml:space="preserve">text, displaying characteristic of heroism such as bravery and </w:t>
      </w:r>
      <w:r w:rsidR="00D15A1F">
        <w:t>leadership</w:t>
      </w:r>
      <w:r w:rsidR="00F92A0E">
        <w:t>.</w:t>
      </w:r>
      <w:r w:rsidR="00D15A1F">
        <w:t xml:space="preserve"> </w:t>
      </w:r>
      <w:r w:rsidR="00F92A0E">
        <w:t>The development of these characteristics</w:t>
      </w:r>
      <w:r w:rsidR="00D15A1F">
        <w:t xml:space="preserve"> </w:t>
      </w:r>
      <w:r w:rsidR="009A4C5E">
        <w:t>leads</w:t>
      </w:r>
      <w:r w:rsidR="00D15A1F">
        <w:t xml:space="preserve"> to </w:t>
      </w:r>
      <w:r w:rsidR="008F5414">
        <w:t xml:space="preserve">what is known as the ‘Dragon Episode’ at the </w:t>
      </w:r>
      <w:r w:rsidR="007B1711">
        <w:t xml:space="preserve">prose’s conclusion and </w:t>
      </w:r>
      <w:r w:rsidR="007833DD">
        <w:t>consequentially</w:t>
      </w:r>
      <w:r w:rsidR="007B1711">
        <w:t>, the death of our hero.</w:t>
      </w:r>
      <w:r w:rsidR="007833DD">
        <w:t xml:space="preserve"> </w:t>
      </w:r>
    </w:p>
    <w:p w14:paraId="159116F7" w14:textId="77777777" w:rsidR="00C020ED" w:rsidRDefault="007833DD">
      <w:r>
        <w:t xml:space="preserve">The first part </w:t>
      </w:r>
      <w:r w:rsidR="006A3D2E">
        <w:t>that</w:t>
      </w:r>
      <w:r>
        <w:t xml:space="preserve"> Beowulf </w:t>
      </w:r>
      <w:r w:rsidR="006A3D2E">
        <w:t xml:space="preserve">is usually split into </w:t>
      </w:r>
      <w:r>
        <w:t xml:space="preserve">is defined as </w:t>
      </w:r>
      <w:r w:rsidR="006A3D2E">
        <w:t xml:space="preserve">the </w:t>
      </w:r>
      <w:r w:rsidR="009A4C5E">
        <w:t>“Young Beowulf”</w:t>
      </w:r>
      <w:r w:rsidR="009A4C5E">
        <w:rPr>
          <w:rStyle w:val="FootnoteReference"/>
        </w:rPr>
        <w:footnoteReference w:id="6"/>
      </w:r>
      <w:r w:rsidR="008C2CEA">
        <w:t xml:space="preserve"> </w:t>
      </w:r>
      <w:r w:rsidR="006A3D2E">
        <w:t xml:space="preserve">period and presents Beowulf displaying </w:t>
      </w:r>
      <w:r w:rsidR="003B5D63">
        <w:t xml:space="preserve">the raw talent and characteristics for a great hero by Anglo-Saxon standards, such as </w:t>
      </w:r>
      <w:r w:rsidR="00F445B3">
        <w:t>ambition to succeed and “warrior virtue”.</w:t>
      </w:r>
      <w:r w:rsidR="00F445B3">
        <w:rPr>
          <w:rStyle w:val="FootnoteReference"/>
        </w:rPr>
        <w:footnoteReference w:id="7"/>
      </w:r>
      <w:r w:rsidR="001E7608">
        <w:t xml:space="preserve"> </w:t>
      </w:r>
      <w:r w:rsidR="001052C1">
        <w:t xml:space="preserve">Hrothgar, the Danish king, implies the great </w:t>
      </w:r>
      <w:r w:rsidR="00327DA9">
        <w:t>honours that awaits Beowulf when he returns from his first of the three fights a victorious hero</w:t>
      </w:r>
      <w:r w:rsidR="00036300">
        <w:t xml:space="preserve"> in his speech at the banquet; </w:t>
      </w:r>
    </w:p>
    <w:p w14:paraId="54E9533E" w14:textId="2FD07177" w:rsidR="00C020ED" w:rsidRDefault="00036300" w:rsidP="00C020ED">
      <w:pPr>
        <w:ind w:left="720"/>
      </w:pPr>
      <w:r>
        <w:t>“</w:t>
      </w:r>
      <w:r w:rsidR="006533B4">
        <w:t xml:space="preserve">your glory, </w:t>
      </w:r>
      <w:r>
        <w:t xml:space="preserve">Beowulf my friend, </w:t>
      </w:r>
      <w:r w:rsidR="006533B4">
        <w:t xml:space="preserve">will be exalted among every nation, throughout distant regions… </w:t>
      </w:r>
      <w:r w:rsidR="00C020ED">
        <w:t>you will become a comfort to your people, a help to heroes.”</w:t>
      </w:r>
      <w:r w:rsidR="00C020ED">
        <w:rPr>
          <w:rStyle w:val="FootnoteReference"/>
        </w:rPr>
        <w:footnoteReference w:id="8"/>
      </w:r>
    </w:p>
    <w:p w14:paraId="6A9DB33A" w14:textId="5FBF42B7" w:rsidR="005E27CB" w:rsidRDefault="002A48E7" w:rsidP="005E27CB">
      <w:r>
        <w:t xml:space="preserve">This speech predicts Beowulf’s future as a hero, </w:t>
      </w:r>
      <w:r w:rsidR="004D1980">
        <w:t xml:space="preserve">should he be triumphant in his battle. </w:t>
      </w:r>
      <w:r w:rsidR="00F80413">
        <w:t xml:space="preserve">However, with the </w:t>
      </w:r>
      <w:r w:rsidR="00E21276">
        <w:t xml:space="preserve">prediction of him to become a hero, despite already possessing the qualities associated with heroism, proven with his willingness to go fight the monster </w:t>
      </w:r>
      <w:r w:rsidR="0087677C">
        <w:t xml:space="preserve">Grendel </w:t>
      </w:r>
      <w:r w:rsidR="00795EBD">
        <w:t xml:space="preserve">without a weapon, </w:t>
      </w:r>
      <w:r w:rsidR="00A10D62">
        <w:t xml:space="preserve">proves that to be considered a hero by Anglo-Saxon standards, deeds must be performed, and a hero’s worth must be demonstrated through battles. This presents Beowulf as only a potential hero in the first part of the prose. </w:t>
      </w:r>
    </w:p>
    <w:p w14:paraId="08C3F680" w14:textId="5E02B260" w:rsidR="009B2C01" w:rsidRDefault="00392BED" w:rsidP="005E27CB">
      <w:r>
        <w:lastRenderedPageBreak/>
        <w:t>The second part of Beowulf is often known as “Beowulf’s Homecoming”</w:t>
      </w:r>
      <w:r>
        <w:rPr>
          <w:rStyle w:val="FootnoteReference"/>
        </w:rPr>
        <w:footnoteReference w:id="9"/>
      </w:r>
      <w:r w:rsidR="00C3121B">
        <w:t xml:space="preserve"> and has the emergence of Beowulf as a wise and powerful king. </w:t>
      </w:r>
      <w:r w:rsidR="00D41327">
        <w:t xml:space="preserve">Beowulf exhibits in this section </w:t>
      </w:r>
      <w:r w:rsidR="0051473F">
        <w:t>the characteristics</w:t>
      </w:r>
      <w:r w:rsidR="00D437D2">
        <w:t xml:space="preserve"> associated with good kings such as Hrothgar, these include </w:t>
      </w:r>
      <w:r w:rsidR="009B1BB2">
        <w:t>strength, courage, intelligence and honour</w:t>
      </w:r>
      <w:r w:rsidR="00311A37">
        <w:t>, to present him as a worthy ruler.</w:t>
      </w:r>
      <w:r w:rsidR="009B1BB2">
        <w:rPr>
          <w:rStyle w:val="FootnoteReference"/>
        </w:rPr>
        <w:footnoteReference w:id="10"/>
      </w:r>
      <w:r w:rsidR="00646C9E">
        <w:t xml:space="preserve"> </w:t>
      </w:r>
      <w:r w:rsidR="00311A37">
        <w:t xml:space="preserve">The author of the prose </w:t>
      </w:r>
      <w:r w:rsidR="009B2C01">
        <w:t>describes Beowulf in this section in the following manner:</w:t>
      </w:r>
    </w:p>
    <w:p w14:paraId="5A082BB2" w14:textId="114B4452" w:rsidR="000F2D45" w:rsidRDefault="009B2C01" w:rsidP="005E27CB">
      <w:r>
        <w:tab/>
      </w:r>
      <w:r w:rsidR="00221F64">
        <w:t xml:space="preserve">“Thus Ecgtheow’s son, a man well known for battles, great </w:t>
      </w:r>
      <w:r w:rsidR="000102DE">
        <w:t>deeds</w:t>
      </w:r>
      <w:r w:rsidR="00221F64">
        <w:t xml:space="preserve">, displayed his bravery, </w:t>
      </w:r>
      <w:r w:rsidR="00221F64">
        <w:br/>
      </w:r>
      <w:r w:rsidR="00221F64">
        <w:tab/>
        <w:t>acted with honour</w:t>
      </w:r>
      <w:r w:rsidR="007812C0">
        <w:t>… his heart was not savage but, brave in battle, with the greatest strength</w:t>
      </w:r>
      <w:r w:rsidR="007812C0">
        <w:br/>
      </w:r>
      <w:r w:rsidR="007812C0">
        <w:tab/>
        <w:t xml:space="preserve">among mankind, he held the ample gift </w:t>
      </w:r>
      <w:r w:rsidR="000F2D45">
        <w:t>which God had bestowed on him.”</w:t>
      </w:r>
      <w:r w:rsidR="000F2D45">
        <w:rPr>
          <w:rStyle w:val="FootnoteReference"/>
        </w:rPr>
        <w:footnoteReference w:id="11"/>
      </w:r>
    </w:p>
    <w:p w14:paraId="1A829141" w14:textId="7B7EC34A" w:rsidR="00B95007" w:rsidRDefault="005B7BB8">
      <w:r>
        <w:t xml:space="preserve">This description of the hero Beowulf shows the transition from his potential, to him as a </w:t>
      </w:r>
      <w:r w:rsidR="00D74531">
        <w:t>fully-fledged</w:t>
      </w:r>
      <w:r>
        <w:t xml:space="preserve"> hero of his people</w:t>
      </w:r>
      <w:r w:rsidR="0002279C">
        <w:t xml:space="preserve">, with the proof in his deeds to supply him with ample evidence in his claim as a hero. </w:t>
      </w:r>
      <w:r w:rsidR="00C05BA2">
        <w:t xml:space="preserve">According to academic Gwara, Beowulf in the second part of the prose is a “responsible king, </w:t>
      </w:r>
      <w:r w:rsidR="004E4611">
        <w:t>that values the warband and its stake in political stability.”</w:t>
      </w:r>
      <w:r w:rsidR="004E4611">
        <w:rPr>
          <w:rStyle w:val="FootnoteReference"/>
        </w:rPr>
        <w:footnoteReference w:id="12"/>
      </w:r>
    </w:p>
    <w:p w14:paraId="1480B609" w14:textId="0044F1F2" w:rsidR="00773109" w:rsidRDefault="004E4611">
      <w:r>
        <w:t>The third and final section of Beowulf is the “Dragon Episode”.</w:t>
      </w:r>
      <w:r>
        <w:rPr>
          <w:rStyle w:val="FootnoteReference"/>
        </w:rPr>
        <w:footnoteReference w:id="13"/>
      </w:r>
      <w:r w:rsidR="00C13B4F">
        <w:t xml:space="preserve"> </w:t>
      </w:r>
      <w:r w:rsidR="00010E7A">
        <w:t>In this part Beowulf undertakes his third and final battle</w:t>
      </w:r>
      <w:r w:rsidR="00BF688B">
        <w:t xml:space="preserve">, where upon slaying the final monster of the prose, gets </w:t>
      </w:r>
      <w:r w:rsidR="003360B2">
        <w:t xml:space="preserve">bitten in the neck and ultimately dies from the venom. </w:t>
      </w:r>
      <w:r w:rsidR="00AC7F47">
        <w:t xml:space="preserve">When unpacking this final </w:t>
      </w:r>
      <w:r w:rsidR="00DB0B47">
        <w:t>battle,</w:t>
      </w:r>
      <w:r w:rsidR="00AC7F47">
        <w:t xml:space="preserve"> it is important to remember that Beowulf holds the knowledge that he is aging and </w:t>
      </w:r>
      <w:r w:rsidR="007132E4">
        <w:t xml:space="preserve">nears the end of his life, however despite this, Beowulf’s actions can be viewed as marginally tyrannical. </w:t>
      </w:r>
      <w:r w:rsidR="00DB0B47">
        <w:t xml:space="preserve">Most </w:t>
      </w:r>
      <w:r w:rsidR="002C1FDA">
        <w:t xml:space="preserve">modern-day readers of Beowulf see him for the glorious hero he is presented to be, and therefore see his demise as nothing more than a tragic </w:t>
      </w:r>
      <w:r w:rsidR="00727569">
        <w:t xml:space="preserve">conclusion to war, sweetened by his overall victory despite his death, however </w:t>
      </w:r>
      <w:r w:rsidR="005B135E">
        <w:t xml:space="preserve">John Leyerle presents a more complex and intriguing opinion on this final fight. Leyerle </w:t>
      </w:r>
      <w:r w:rsidR="00597E49">
        <w:t xml:space="preserve">suggests that Beowulf, though heroic throughout the prose, is </w:t>
      </w:r>
      <w:r w:rsidR="00D678C0">
        <w:t xml:space="preserve">imprudent in his final moments, acting against the </w:t>
      </w:r>
      <w:r w:rsidR="000873BD">
        <w:t>heroes’</w:t>
      </w:r>
      <w:r w:rsidR="00D678C0">
        <w:t xml:space="preserve"> code</w:t>
      </w:r>
      <w:r w:rsidR="000873BD">
        <w:t>.</w:t>
      </w:r>
      <w:r w:rsidR="000873BD">
        <w:rPr>
          <w:rStyle w:val="FootnoteReference"/>
        </w:rPr>
        <w:footnoteReference w:id="14"/>
      </w:r>
      <w:r w:rsidR="000873BD">
        <w:t xml:space="preserve"> The code all heroes were supposed to follow insists </w:t>
      </w:r>
      <w:r w:rsidR="00BD06D9">
        <w:t>upon “a king who acts for the common good, not for his own glory”,</w:t>
      </w:r>
      <w:r w:rsidR="00BD06D9">
        <w:rPr>
          <w:rStyle w:val="FootnoteReference"/>
        </w:rPr>
        <w:footnoteReference w:id="15"/>
      </w:r>
      <w:r w:rsidR="00BD06D9">
        <w:t xml:space="preserve"> </w:t>
      </w:r>
      <w:r w:rsidR="00CB1503">
        <w:t xml:space="preserve">an instruction Beowulf does not follow here. It is </w:t>
      </w:r>
      <w:r w:rsidR="000D5D19">
        <w:t xml:space="preserve">impossible to argue that Beowulf is not a glorious and good king, </w:t>
      </w:r>
      <w:r w:rsidR="00AA092B">
        <w:t>in the final lines of the prose the author writes that Beowulf’s people describe him as “</w:t>
      </w:r>
      <w:r w:rsidR="00912B7E">
        <w:t xml:space="preserve">the gentlest of men and the most courteous, the </w:t>
      </w:r>
      <w:proofErr w:type="gramStart"/>
      <w:r w:rsidR="00912B7E">
        <w:t>most kindly</w:t>
      </w:r>
      <w:proofErr w:type="gramEnd"/>
      <w:r w:rsidR="00912B7E">
        <w:t xml:space="preserve"> to his people an</w:t>
      </w:r>
      <w:r w:rsidR="004C1133">
        <w:t>d</w:t>
      </w:r>
      <w:r w:rsidR="00912B7E">
        <w:t xml:space="preserve"> the most eager for renown”</w:t>
      </w:r>
      <w:r w:rsidR="007A7819">
        <w:rPr>
          <w:rStyle w:val="FootnoteReference"/>
        </w:rPr>
        <w:footnoteReference w:id="16"/>
      </w:r>
      <w:r w:rsidR="007A7819">
        <w:t xml:space="preserve"> and so his death is consequentially not in the best interest of his people. The </w:t>
      </w:r>
      <w:r w:rsidR="00D74531">
        <w:t xml:space="preserve">final part of this </w:t>
      </w:r>
      <w:r w:rsidR="00AC2876">
        <w:t xml:space="preserve">quote however suggests a conflict within Beowulf, </w:t>
      </w:r>
      <w:r w:rsidR="00CB533C">
        <w:t xml:space="preserve">as for </w:t>
      </w:r>
      <w:r w:rsidR="00AC2876">
        <w:t>describing him as “most eager for renown”</w:t>
      </w:r>
      <w:r w:rsidR="00AC2876">
        <w:rPr>
          <w:rStyle w:val="FootnoteReference"/>
        </w:rPr>
        <w:footnoteReference w:id="17"/>
      </w:r>
      <w:r w:rsidR="00AC2876">
        <w:t xml:space="preserve">, or </w:t>
      </w:r>
      <w:r w:rsidR="00323954">
        <w:t>fame,</w:t>
      </w:r>
      <w:r w:rsidR="00CB533C">
        <w:t xml:space="preserve"> presents the </w:t>
      </w:r>
      <w:r w:rsidR="00366650">
        <w:t>self-interest in his actions</w:t>
      </w:r>
      <w:r w:rsidR="00323954">
        <w:t xml:space="preserve">, leading to recognition at the cost of his life. </w:t>
      </w:r>
    </w:p>
    <w:p w14:paraId="15773F76" w14:textId="7BEFAAFF" w:rsidR="007C76FD" w:rsidRDefault="007C76FD">
      <w:r>
        <w:t xml:space="preserve">The evolution of Beowulf as a hero throughout the three parts of the prose presents </w:t>
      </w:r>
      <w:r w:rsidR="003B7A50">
        <w:t>the differing stages of heroism</w:t>
      </w:r>
      <w:r w:rsidR="001606E2">
        <w:t xml:space="preserve"> and their forms</w:t>
      </w:r>
      <w:r w:rsidR="003B7A50">
        <w:t xml:space="preserve"> and how they can be applied to one man. </w:t>
      </w:r>
      <w:r w:rsidR="001606E2">
        <w:t xml:space="preserve">The forms of heroism in talented youth, refined skill and strength and </w:t>
      </w:r>
      <w:r w:rsidR="004C1133">
        <w:t>recognition</w:t>
      </w:r>
      <w:r w:rsidR="00064078">
        <w:t xml:space="preserve"> all apply to different parts of Beowulf’s life, </w:t>
      </w:r>
      <w:r w:rsidR="000E655F">
        <w:t xml:space="preserve">and present the evolution of heroism within him. </w:t>
      </w:r>
    </w:p>
    <w:p w14:paraId="4889E643" w14:textId="434360F4" w:rsidR="00D31072" w:rsidRDefault="00EA18A6">
      <w:r>
        <w:t xml:space="preserve">Heroism can also take the form of apposing sides in one battle. In the poem The Battle of Maldon, the </w:t>
      </w:r>
      <w:r w:rsidR="00F56EE7">
        <w:t xml:space="preserve">author presents both sides of the battle, Anglo-Saxon </w:t>
      </w:r>
      <w:r w:rsidR="00556FD8">
        <w:t xml:space="preserve">and Vikings alike, however manipulates them to present one side of the fight as justified in comparison to the other. </w:t>
      </w:r>
      <w:r w:rsidR="00F409C3">
        <w:t xml:space="preserve">For historical context, </w:t>
      </w:r>
      <w:r w:rsidR="00F409C3">
        <w:lastRenderedPageBreak/>
        <w:t>t</w:t>
      </w:r>
      <w:r w:rsidR="00FA2373">
        <w:t xml:space="preserve">he Battle of Maldon was fought in </w:t>
      </w:r>
      <w:r w:rsidR="00F85C9D">
        <w:t>991</w:t>
      </w:r>
      <w:r w:rsidR="00D60F85">
        <w:t xml:space="preserve"> </w:t>
      </w:r>
      <w:r w:rsidR="00936123">
        <w:t xml:space="preserve">under the rule of </w:t>
      </w:r>
      <w:r w:rsidR="00936123">
        <w:rPr>
          <w:rFonts w:cstheme="minorHAnsi"/>
        </w:rPr>
        <w:t>Æ</w:t>
      </w:r>
      <w:r w:rsidR="00936123">
        <w:t xml:space="preserve">thelred the Unready </w:t>
      </w:r>
      <w:r w:rsidR="00D60F85">
        <w:t>in Essex</w:t>
      </w:r>
      <w:r w:rsidR="00936123">
        <w:t>, England</w:t>
      </w:r>
      <w:r w:rsidR="00621ECF">
        <w:t xml:space="preserve"> upon the invasion of the Vikings.</w:t>
      </w:r>
      <w:r w:rsidR="002D7034">
        <w:rPr>
          <w:rStyle w:val="FootnoteReference"/>
        </w:rPr>
        <w:footnoteReference w:id="18"/>
      </w:r>
      <w:r w:rsidR="00621ECF">
        <w:t xml:space="preserve"> </w:t>
      </w:r>
      <w:r w:rsidR="00167FAE">
        <w:t>Th</w:t>
      </w:r>
      <w:r w:rsidR="00F409C3">
        <w:t>ough we have information about the battle itself, th</w:t>
      </w:r>
      <w:r w:rsidR="00167FAE">
        <w:t xml:space="preserve">e author and date of the poem are unknown, and the beginning and end of the poem are lost to us, however it still presents a </w:t>
      </w:r>
      <w:r w:rsidR="00CC6E9F">
        <w:t xml:space="preserve">concise representation of the way heroic forms can be manipulated to both sides of a story. </w:t>
      </w:r>
      <w:r w:rsidR="00FD440F">
        <w:t xml:space="preserve">The </w:t>
      </w:r>
      <w:r w:rsidR="008D798B">
        <w:t xml:space="preserve">entire </w:t>
      </w:r>
      <w:r w:rsidR="00FD440F">
        <w:t>Anglo-Saxons</w:t>
      </w:r>
      <w:r w:rsidR="008D798B">
        <w:t xml:space="preserve"> army</w:t>
      </w:r>
      <w:r w:rsidR="00FD440F">
        <w:t xml:space="preserve"> presented in The Battle of Maldon are </w:t>
      </w:r>
      <w:r w:rsidR="00865F83">
        <w:t xml:space="preserve">descripted </w:t>
      </w:r>
      <w:r w:rsidR="0000545F">
        <w:t>in a way that is typical of heroes in Anglo-Saxon literature, similar depictions of warriors can be seen in literature such as Beowulf (</w:t>
      </w:r>
      <w:r w:rsidR="000178E4">
        <w:t>“</w:t>
      </w:r>
      <w:r w:rsidR="00823224">
        <w:t>his reputation for courage”)</w:t>
      </w:r>
      <w:r w:rsidR="00F171F3">
        <w:t>;</w:t>
      </w:r>
      <w:r w:rsidR="00823224">
        <w:rPr>
          <w:rStyle w:val="FootnoteReference"/>
        </w:rPr>
        <w:footnoteReference w:id="19"/>
      </w:r>
      <w:r w:rsidR="00F171F3">
        <w:t xml:space="preserve"> the introduction of kings in Bede’s Ecclesiastical History (</w:t>
      </w:r>
      <w:r w:rsidR="006F50D4">
        <w:t>“the most powerful king there was Ethelbert”)</w:t>
      </w:r>
      <w:r w:rsidR="006F50D4">
        <w:rPr>
          <w:rStyle w:val="FootnoteReference"/>
        </w:rPr>
        <w:footnoteReference w:id="20"/>
      </w:r>
      <w:r w:rsidR="00935C4D">
        <w:t xml:space="preserve"> </w:t>
      </w:r>
      <w:r w:rsidR="00C629C3">
        <w:t xml:space="preserve">and even other </w:t>
      </w:r>
      <w:r w:rsidR="00D943D4">
        <w:t xml:space="preserve">heroic themed </w:t>
      </w:r>
      <w:r w:rsidR="00C629C3">
        <w:t>poetry such as</w:t>
      </w:r>
      <w:r w:rsidR="00D943D4">
        <w:t xml:space="preserve"> The Wanderer (“my noble kinsman”).</w:t>
      </w:r>
      <w:r w:rsidR="00D943D4">
        <w:rPr>
          <w:rStyle w:val="FootnoteReference"/>
        </w:rPr>
        <w:footnoteReference w:id="21"/>
      </w:r>
      <w:r w:rsidR="00C629C3">
        <w:t xml:space="preserve"> </w:t>
      </w:r>
      <w:r w:rsidR="00B15279">
        <w:t xml:space="preserve">The author of The Battle of Maldon </w:t>
      </w:r>
      <w:r w:rsidR="00F078D3">
        <w:t xml:space="preserve">also </w:t>
      </w:r>
      <w:r w:rsidR="00B15279">
        <w:t>describes the Anglo-Saxons as “noble”</w:t>
      </w:r>
      <w:r w:rsidR="00B15279">
        <w:rPr>
          <w:rStyle w:val="FootnoteReference"/>
        </w:rPr>
        <w:footnoteReference w:id="22"/>
      </w:r>
      <w:r w:rsidR="00144A9F">
        <w:t xml:space="preserve"> and of “strong courage”</w:t>
      </w:r>
      <w:r w:rsidR="00144A9F">
        <w:rPr>
          <w:rStyle w:val="FootnoteReference"/>
        </w:rPr>
        <w:footnoteReference w:id="23"/>
      </w:r>
      <w:r w:rsidR="00F078D3">
        <w:t xml:space="preserve"> as displayed in other heroic literature, bu</w:t>
      </w:r>
      <w:r w:rsidR="00D46118">
        <w:t xml:space="preserve">t also goes further to explain the Anglo-Saxon’s reasoning behind the battle. </w:t>
      </w:r>
      <w:r w:rsidR="003B18BF">
        <w:t>The author states that the Anglo-Sa</w:t>
      </w:r>
      <w:r w:rsidR="00ED3069">
        <w:t>xon’s are there to “fulfil [their] vow”</w:t>
      </w:r>
      <w:r w:rsidR="00ED3069">
        <w:rPr>
          <w:rStyle w:val="FootnoteReference"/>
        </w:rPr>
        <w:footnoteReference w:id="24"/>
      </w:r>
      <w:r w:rsidR="003E46EB">
        <w:t xml:space="preserve"> to “defend this homeland”</w:t>
      </w:r>
      <w:r w:rsidR="00FF58CC">
        <w:t>,</w:t>
      </w:r>
      <w:r w:rsidR="003E46EB">
        <w:rPr>
          <w:rStyle w:val="FootnoteReference"/>
        </w:rPr>
        <w:footnoteReference w:id="25"/>
      </w:r>
      <w:r w:rsidR="00FF58CC">
        <w:t xml:space="preserve"> implying that they are </w:t>
      </w:r>
      <w:r w:rsidR="00B734CE">
        <w:t xml:space="preserve">not at the battle simply for the thrill of battle, but instead as warriors with a purpose and justification. </w:t>
      </w:r>
      <w:r w:rsidR="0031220C">
        <w:t xml:space="preserve">However, as the poem continues, </w:t>
      </w:r>
      <w:r w:rsidR="0057253E">
        <w:t>the author also presents the negative side to heroism</w:t>
      </w:r>
      <w:r w:rsidR="006657F4">
        <w:t xml:space="preserve">, similar to what can be seen in the final moments of Beowulf. </w:t>
      </w:r>
      <w:r w:rsidR="0046322F">
        <w:t xml:space="preserve">The word </w:t>
      </w:r>
      <w:r w:rsidR="00B611AF">
        <w:t>“</w:t>
      </w:r>
      <w:r w:rsidR="0046322F" w:rsidRPr="0046322F">
        <w:rPr>
          <w:i/>
        </w:rPr>
        <w:t>ofermode</w:t>
      </w:r>
      <w:r w:rsidR="00B611AF">
        <w:rPr>
          <w:i/>
        </w:rPr>
        <w:t>”</w:t>
      </w:r>
      <w:r w:rsidR="00B611AF">
        <w:rPr>
          <w:rStyle w:val="FootnoteReference"/>
          <w:i/>
        </w:rPr>
        <w:footnoteReference w:id="26"/>
      </w:r>
      <w:r w:rsidR="0046322F" w:rsidRPr="0046322F">
        <w:rPr>
          <w:i/>
        </w:rPr>
        <w:t xml:space="preserve"> </w:t>
      </w:r>
      <w:r w:rsidR="0046322F">
        <w:t xml:space="preserve">is used to describe </w:t>
      </w:r>
      <w:r w:rsidR="00B611AF">
        <w:t>the leader of the Anglo-Saxons, Byrhtnoth</w:t>
      </w:r>
      <w:r w:rsidR="00C138F0">
        <w:t xml:space="preserve">, which can be translated to </w:t>
      </w:r>
      <w:r w:rsidR="00C203D8">
        <w:t>overconfidence, or pride.</w:t>
      </w:r>
      <w:r w:rsidR="00C203D8">
        <w:rPr>
          <w:rStyle w:val="FootnoteReference"/>
        </w:rPr>
        <w:footnoteReference w:id="27"/>
      </w:r>
      <w:r w:rsidR="00C203D8">
        <w:t xml:space="preserve"> This</w:t>
      </w:r>
      <w:r w:rsidR="00A2608D">
        <w:t xml:space="preserve"> presents the negatives to heroism, where ego leads to the loss of a battle, as it does in the case of The Battle of Maldon. </w:t>
      </w:r>
    </w:p>
    <w:p w14:paraId="157D13A7" w14:textId="6BB194CC" w:rsidR="00A2608D" w:rsidRDefault="00A2608D">
      <w:r>
        <w:t xml:space="preserve">The Vikings presented in The Battle of Maldon are </w:t>
      </w:r>
      <w:r w:rsidR="003276CE">
        <w:t xml:space="preserve">not </w:t>
      </w:r>
      <w:r w:rsidR="00D65849">
        <w:t>shown in the same positive light as the Anglo-Saxons, descriptions of the Vikings include terms such as “</w:t>
      </w:r>
      <w:r w:rsidR="000A24DA">
        <w:t>shameful”</w:t>
      </w:r>
      <w:r w:rsidR="000A24DA">
        <w:rPr>
          <w:rStyle w:val="FootnoteReference"/>
        </w:rPr>
        <w:footnoteReference w:id="28"/>
      </w:r>
      <w:r w:rsidR="000A24DA">
        <w:t xml:space="preserve"> and “threatening”,</w:t>
      </w:r>
      <w:r w:rsidR="000A24DA">
        <w:rPr>
          <w:rStyle w:val="FootnoteReference"/>
        </w:rPr>
        <w:footnoteReference w:id="29"/>
      </w:r>
      <w:r w:rsidR="00607AA0">
        <w:t xml:space="preserve"> a stark contrast to the “beloved”</w:t>
      </w:r>
      <w:r w:rsidR="00607AA0">
        <w:rPr>
          <w:rStyle w:val="FootnoteReference"/>
        </w:rPr>
        <w:footnoteReference w:id="30"/>
      </w:r>
      <w:r w:rsidR="009C1930">
        <w:t xml:space="preserve"> Anglo-Saxons. </w:t>
      </w:r>
      <w:r w:rsidR="004D63E3">
        <w:t xml:space="preserve">However, despite the overall negative tone to the representation of the Vikings, they are also assigned many traits associated with heroism, the most notable being </w:t>
      </w:r>
      <w:r w:rsidR="00B23712">
        <w:t>“cunning”.</w:t>
      </w:r>
      <w:r w:rsidR="00B23712">
        <w:rPr>
          <w:rStyle w:val="FootnoteReference"/>
        </w:rPr>
        <w:footnoteReference w:id="31"/>
      </w:r>
      <w:r w:rsidR="007169AA">
        <w:t xml:space="preserve"> The term cunning is also used to describe many un</w:t>
      </w:r>
      <w:r w:rsidR="00075655">
        <w:t>deniable heroes, such as Beowulf</w:t>
      </w:r>
      <w:r w:rsidR="00575416">
        <w:t>, who acts “cunningly”</w:t>
      </w:r>
      <w:r w:rsidR="00575416">
        <w:rPr>
          <w:rStyle w:val="FootnoteReference"/>
        </w:rPr>
        <w:footnoteReference w:id="32"/>
      </w:r>
      <w:r w:rsidR="00575416">
        <w:t xml:space="preserve"> before his battle</w:t>
      </w:r>
      <w:r w:rsidR="00951163">
        <w:t xml:space="preserve"> but also looking further back into heroic literature</w:t>
      </w:r>
      <w:r w:rsidR="00AD0AC6">
        <w:t xml:space="preserve"> there are examples of cunning heroes in </w:t>
      </w:r>
      <w:r w:rsidR="00744BF1">
        <w:t>the ancient world, such as “heroic Odysseus”</w:t>
      </w:r>
      <w:r w:rsidR="00744BF1">
        <w:rPr>
          <w:rStyle w:val="FootnoteReference"/>
        </w:rPr>
        <w:footnoteReference w:id="33"/>
      </w:r>
      <w:r w:rsidR="00456406">
        <w:t xml:space="preserve"> who is described as both “resourceful”</w:t>
      </w:r>
      <w:r w:rsidR="00456406">
        <w:rPr>
          <w:rStyle w:val="FootnoteReference"/>
        </w:rPr>
        <w:footnoteReference w:id="34"/>
      </w:r>
      <w:r w:rsidR="00456406">
        <w:t xml:space="preserve"> and “of nimble wits”</w:t>
      </w:r>
      <w:r w:rsidR="000975B0">
        <w:t>.</w:t>
      </w:r>
      <w:r w:rsidR="00456406">
        <w:rPr>
          <w:rStyle w:val="FootnoteReference"/>
        </w:rPr>
        <w:footnoteReference w:id="35"/>
      </w:r>
      <w:r w:rsidR="00864B41">
        <w:t xml:space="preserve"> </w:t>
      </w:r>
      <w:r w:rsidR="004443B4">
        <w:t xml:space="preserve">This presents the Vikings as heroes of the poem as well as the Anglo-Saxons, however they are the heroes of their own people, but despite having the negative traits branded upon them by the bias author, they also carry redeemable, heroic qualities. </w:t>
      </w:r>
    </w:p>
    <w:p w14:paraId="16A658F0" w14:textId="0674BDF8" w:rsidR="00BB3EDA" w:rsidRDefault="007F22A5">
      <w:r>
        <w:lastRenderedPageBreak/>
        <w:t>Though there is evidence to suggest tha</w:t>
      </w:r>
      <w:r w:rsidR="00537551">
        <w:t>t th</w:t>
      </w:r>
      <w:r w:rsidR="00297606">
        <w:t>e</w:t>
      </w:r>
      <w:r w:rsidR="00537551">
        <w:t xml:space="preserve"> heroic takes on many forms in Anglo-Saxon literature, such as the </w:t>
      </w:r>
      <w:proofErr w:type="gramStart"/>
      <w:r w:rsidR="00537551">
        <w:t>aforementioned stereotypical</w:t>
      </w:r>
      <w:proofErr w:type="gramEnd"/>
      <w:r w:rsidR="00537551">
        <w:t xml:space="preserve"> hero, the supposed villain and a nation of warriors in a battle, there is also </w:t>
      </w:r>
      <w:r w:rsidR="00844111">
        <w:t>indication that heroic literature such as Beowulf</w:t>
      </w:r>
      <w:r w:rsidR="006A7E59">
        <w:t xml:space="preserve"> is not an original storyline, </w:t>
      </w:r>
      <w:r w:rsidR="00E0039C">
        <w:t>and so the heroes the prose contains are in fact just copies of previous heroes</w:t>
      </w:r>
      <w:r w:rsidR="009F08E7">
        <w:t xml:space="preserve">, suggesting that the heroic can cannot take different forms </w:t>
      </w:r>
      <w:r w:rsidR="003865FF">
        <w:t xml:space="preserve">per se but instead the same form in different </w:t>
      </w:r>
      <w:r w:rsidR="00DD50A1">
        <w:t xml:space="preserve">texts. </w:t>
      </w:r>
      <w:r w:rsidR="001C081E">
        <w:t>O</w:t>
      </w:r>
      <w:r w:rsidR="00172978">
        <w:t xml:space="preserve">ld Norse </w:t>
      </w:r>
      <w:r w:rsidR="00BC077E">
        <w:t xml:space="preserve">sagas including the </w:t>
      </w:r>
      <w:proofErr w:type="spellStart"/>
      <w:r w:rsidR="00BC077E" w:rsidRPr="006637AC">
        <w:rPr>
          <w:i/>
        </w:rPr>
        <w:t>Grettis</w:t>
      </w:r>
      <w:proofErr w:type="spellEnd"/>
      <w:r w:rsidR="00BC077E" w:rsidRPr="006637AC">
        <w:rPr>
          <w:i/>
        </w:rPr>
        <w:t xml:space="preserve"> Saga, </w:t>
      </w:r>
      <w:proofErr w:type="spellStart"/>
      <w:r w:rsidR="00BC077E" w:rsidRPr="006637AC">
        <w:rPr>
          <w:i/>
        </w:rPr>
        <w:t>Hr</w:t>
      </w:r>
      <w:r w:rsidR="00BC077E" w:rsidRPr="006637AC">
        <w:rPr>
          <w:rFonts w:cstheme="minorHAnsi"/>
          <w:i/>
        </w:rPr>
        <w:t>ó</w:t>
      </w:r>
      <w:r w:rsidR="00BC077E" w:rsidRPr="006637AC">
        <w:rPr>
          <w:i/>
        </w:rPr>
        <w:t>lfs</w:t>
      </w:r>
      <w:proofErr w:type="spellEnd"/>
      <w:r w:rsidR="00BC077E" w:rsidRPr="006637AC">
        <w:rPr>
          <w:i/>
        </w:rPr>
        <w:t xml:space="preserve"> Saga </w:t>
      </w:r>
      <w:proofErr w:type="spellStart"/>
      <w:r w:rsidR="00BC077E" w:rsidRPr="006637AC">
        <w:rPr>
          <w:i/>
        </w:rPr>
        <w:t>Kraka</w:t>
      </w:r>
      <w:proofErr w:type="spellEnd"/>
      <w:r w:rsidR="00BC077E" w:rsidRPr="006637AC">
        <w:rPr>
          <w:i/>
        </w:rPr>
        <w:t xml:space="preserve"> </w:t>
      </w:r>
      <w:r w:rsidR="00BC077E">
        <w:t xml:space="preserve">and </w:t>
      </w:r>
      <w:r w:rsidR="00BC077E" w:rsidRPr="006637AC">
        <w:rPr>
          <w:i/>
        </w:rPr>
        <w:t xml:space="preserve">Samsons Saga </w:t>
      </w:r>
      <w:r w:rsidR="00C3526D">
        <w:t>a</w:t>
      </w:r>
      <w:r w:rsidR="001C081E">
        <w:t xml:space="preserve">ll contain </w:t>
      </w:r>
      <w:r w:rsidR="00DF771C">
        <w:t>“ultimately identical”</w:t>
      </w:r>
      <w:r w:rsidR="00DF771C">
        <w:rPr>
          <w:rStyle w:val="FootnoteReference"/>
        </w:rPr>
        <w:footnoteReference w:id="36"/>
      </w:r>
      <w:r w:rsidR="00DF771C">
        <w:t xml:space="preserve"> </w:t>
      </w:r>
      <w:r w:rsidR="002C642F">
        <w:t xml:space="preserve">heroic stories to </w:t>
      </w:r>
      <w:r w:rsidR="00227C0A">
        <w:t>Beowulf</w:t>
      </w:r>
      <w:r w:rsidR="006B3E92">
        <w:t>.</w:t>
      </w:r>
      <w:r w:rsidR="006B3E92">
        <w:rPr>
          <w:rStyle w:val="FootnoteReference"/>
        </w:rPr>
        <w:footnoteReference w:id="37"/>
      </w:r>
      <w:r w:rsidR="006B3E92">
        <w:t xml:space="preserve"> </w:t>
      </w:r>
      <w:r w:rsidR="00881BA4">
        <w:t xml:space="preserve">It is </w:t>
      </w:r>
      <w:r w:rsidR="007E75D5">
        <w:t xml:space="preserve">understood that there are </w:t>
      </w:r>
      <w:r w:rsidR="00F7388F">
        <w:t xml:space="preserve">many more accounts than these </w:t>
      </w:r>
      <w:r w:rsidR="00536BA0">
        <w:t>where the same story pattern is followed,</w:t>
      </w:r>
      <w:r w:rsidR="00FC2797">
        <w:t xml:space="preserve"> which is the folk-tale dubbed </w:t>
      </w:r>
      <w:r w:rsidR="00FC2797" w:rsidRPr="00FC2797">
        <w:rPr>
          <w:i/>
        </w:rPr>
        <w:t>The Bear’s Son</w:t>
      </w:r>
      <w:r w:rsidR="00FC2797">
        <w:t xml:space="preserve">, after </w:t>
      </w:r>
      <w:r w:rsidR="00923F20">
        <w:t>“th</w:t>
      </w:r>
      <w:r w:rsidR="004548D7">
        <w:t>e semi-animal descent that in many versions is meant to account for the hero’s more than human strength”.</w:t>
      </w:r>
      <w:r w:rsidR="004548D7">
        <w:rPr>
          <w:rStyle w:val="FootnoteReference"/>
        </w:rPr>
        <w:footnoteReference w:id="38"/>
      </w:r>
      <w:r w:rsidR="007E7A16">
        <w:t xml:space="preserve"> </w:t>
      </w:r>
      <w:r w:rsidR="004911E6">
        <w:t xml:space="preserve">Though there are a few varying </w:t>
      </w:r>
      <w:r w:rsidR="0075619D">
        <w:t xml:space="preserve">formula that can be applied, there is one arguably more significant in corresponding to </w:t>
      </w:r>
      <w:r w:rsidR="00E14BAA">
        <w:t>Beowulf,</w:t>
      </w:r>
      <w:r w:rsidR="00E14BAA">
        <w:rPr>
          <w:rStyle w:val="FootnoteReference"/>
        </w:rPr>
        <w:footnoteReference w:id="39"/>
      </w:r>
      <w:r w:rsidR="00E14BAA">
        <w:t xml:space="preserve"> </w:t>
      </w:r>
      <w:r w:rsidR="0023430A">
        <w:t xml:space="preserve">some of these points </w:t>
      </w:r>
      <w:r w:rsidR="007F00C6">
        <w:t>that apply to Beowulf include: “a demon takes to raiding the newly-built adobe of a king by night</w:t>
      </w:r>
      <w:r w:rsidR="00E959A0">
        <w:t>”</w:t>
      </w:r>
      <w:r w:rsidR="003B3700">
        <w:rPr>
          <w:rStyle w:val="FootnoteReference"/>
        </w:rPr>
        <w:footnoteReference w:id="40"/>
      </w:r>
      <w:r w:rsidR="003B3700">
        <w:t xml:space="preserve"> referring </w:t>
      </w:r>
      <w:r w:rsidR="00A750F4">
        <w:t>in Beowulf t</w:t>
      </w:r>
      <w:r w:rsidR="001538B1">
        <w:t xml:space="preserve">o </w:t>
      </w:r>
      <w:r w:rsidR="00A750F4">
        <w:t xml:space="preserve">where </w:t>
      </w:r>
      <w:r w:rsidR="001538B1">
        <w:t>Grend</w:t>
      </w:r>
      <w:r w:rsidR="00F5371E">
        <w:t>el</w:t>
      </w:r>
      <w:r w:rsidR="00A750F4">
        <w:t xml:space="preserve"> </w:t>
      </w:r>
      <w:r w:rsidR="008B004F">
        <w:t xml:space="preserve">the monster goes to </w:t>
      </w:r>
      <w:r w:rsidR="006A10B2">
        <w:t>see</w:t>
      </w:r>
      <w:r w:rsidR="002D3A04">
        <w:t xml:space="preserve"> how “the Ring-Danes had settled into”</w:t>
      </w:r>
      <w:r w:rsidR="002D3A04">
        <w:rPr>
          <w:rStyle w:val="FootnoteReference"/>
        </w:rPr>
        <w:footnoteReference w:id="41"/>
      </w:r>
      <w:r w:rsidR="00CC0E0E">
        <w:t xml:space="preserve"> </w:t>
      </w:r>
      <w:r w:rsidR="00B91981">
        <w:t xml:space="preserve">their new </w:t>
      </w:r>
      <w:r w:rsidR="004578FB">
        <w:t>house; “</w:t>
      </w:r>
      <w:r w:rsidR="00E2138B">
        <w:t>the demon’s lair… is usually underground</w:t>
      </w:r>
      <w:r w:rsidR="004578FB">
        <w:t>”</w:t>
      </w:r>
      <w:r w:rsidR="004578FB">
        <w:rPr>
          <w:rStyle w:val="FootnoteReference"/>
        </w:rPr>
        <w:footnoteReference w:id="42"/>
      </w:r>
      <w:r w:rsidR="00E2138B">
        <w:t xml:space="preserve">, in Beowulf, the lair of Grendel is not only underground, but also </w:t>
      </w:r>
      <w:r w:rsidR="00002DC0">
        <w:t xml:space="preserve">a lake and also “the hero… [brings] with him a piece of the dead demon, more rarely a sword”, </w:t>
      </w:r>
      <w:r w:rsidR="00251461">
        <w:t xml:space="preserve">again in Beowulf this is met and exceeded as Beowulf returns victorious with both a head and a sword. </w:t>
      </w:r>
      <w:r w:rsidR="002D64CA">
        <w:t xml:space="preserve">The undeniable </w:t>
      </w:r>
      <w:r w:rsidR="00192DAA">
        <w:t xml:space="preserve">transferring of hero from story to story </w:t>
      </w:r>
      <w:r w:rsidR="001A5F6A">
        <w:t xml:space="preserve">leads to the potentiality of Beowulf being an unoriginal hero, and therefore not having any diversity from other heroes. </w:t>
      </w:r>
    </w:p>
    <w:p w14:paraId="47A89063" w14:textId="1D8EFB4F" w:rsidR="003151CE" w:rsidRDefault="003151CE">
      <w:r>
        <w:t xml:space="preserve">To conclude, the heroic can take many </w:t>
      </w:r>
      <w:r w:rsidR="008026EB">
        <w:t xml:space="preserve">differing forms </w:t>
      </w:r>
      <w:r w:rsidR="00080734">
        <w:t xml:space="preserve">in literature, whether playing devil’s advocate for </w:t>
      </w:r>
      <w:r w:rsidR="00E578BC">
        <w:t>the supposed villains of a poem</w:t>
      </w:r>
      <w:r w:rsidR="0015158B">
        <w:t xml:space="preserve"> to show them as worthy rivals, </w:t>
      </w:r>
      <w:r w:rsidR="00CC6997">
        <w:t xml:space="preserve">to </w:t>
      </w:r>
      <w:r w:rsidR="00B379AA">
        <w:t>present an army of warriors as heroic, or to</w:t>
      </w:r>
      <w:r w:rsidR="00AC670D">
        <w:t xml:space="preserve"> </w:t>
      </w:r>
      <w:r w:rsidR="00EC2EB0">
        <w:t xml:space="preserve">present a stereotypical Anglo-Saxon hero such as Beowulf. </w:t>
      </w:r>
      <w:r w:rsidR="00015826">
        <w:t>However,</w:t>
      </w:r>
      <w:r w:rsidR="00FE5A99">
        <w:t xml:space="preserve"> there are seemingly discrepancies with </w:t>
      </w:r>
      <w:r w:rsidR="00B24219">
        <w:t>the presentation of heroes that make it problematic to say that they can take many true heroic forms, such as the issues with Beowulf’s character in the final moments of the Beowulf poem</w:t>
      </w:r>
      <w:r w:rsidR="00055A39">
        <w:t xml:space="preserve"> and the repetitive formula for </w:t>
      </w:r>
      <w:r w:rsidR="00015826">
        <w:t xml:space="preserve">heroic literature during the Anglo-Saxon era. This presents </w:t>
      </w:r>
      <w:r w:rsidR="00E7632C">
        <w:t>a conflict in the statement that the heroic can take many forms in literature</w:t>
      </w:r>
      <w:r w:rsidR="00C32468">
        <w:t>.</w:t>
      </w:r>
    </w:p>
    <w:p w14:paraId="347FE489" w14:textId="13AD5C08" w:rsidR="000E655F" w:rsidRDefault="000E655F"/>
    <w:p w14:paraId="7CB05F57" w14:textId="154694E7" w:rsidR="005E5671" w:rsidRDefault="005E5671"/>
    <w:p w14:paraId="4FCB24FA" w14:textId="3F567A77" w:rsidR="005E5671" w:rsidRDefault="005E5671"/>
    <w:p w14:paraId="73A4F36E" w14:textId="1A1BB8C0" w:rsidR="005E5671" w:rsidRDefault="005E5671"/>
    <w:p w14:paraId="348B65E8" w14:textId="62D14C0C" w:rsidR="005E5671" w:rsidRDefault="005E5671"/>
    <w:p w14:paraId="125F4F3D" w14:textId="6D6F99B2" w:rsidR="005E5671" w:rsidRDefault="005E5671"/>
    <w:p w14:paraId="6D6826E4" w14:textId="4FA8E1F4" w:rsidR="005E5671" w:rsidRDefault="005E5671"/>
    <w:p w14:paraId="1CF1217D" w14:textId="699E75B3" w:rsidR="005E5671" w:rsidRDefault="005E5671"/>
    <w:p w14:paraId="7F164431" w14:textId="144308C9" w:rsidR="005E5671" w:rsidRDefault="005E5671"/>
    <w:p w14:paraId="6AB4B998" w14:textId="78569950" w:rsidR="005E5671" w:rsidRPr="001909DC" w:rsidRDefault="005E5671">
      <w:pPr>
        <w:rPr>
          <w:b/>
          <w:u w:val="single"/>
        </w:rPr>
      </w:pPr>
      <w:r w:rsidRPr="001909DC">
        <w:rPr>
          <w:b/>
          <w:u w:val="single"/>
        </w:rPr>
        <w:lastRenderedPageBreak/>
        <w:t>Bibliography:</w:t>
      </w:r>
    </w:p>
    <w:p w14:paraId="22ACC77D" w14:textId="77777777" w:rsidR="00476DB8" w:rsidRPr="001909DC" w:rsidRDefault="00476DB8" w:rsidP="00476DB8">
      <w:pPr>
        <w:rPr>
          <w:u w:val="single"/>
        </w:rPr>
      </w:pPr>
      <w:r w:rsidRPr="001909DC">
        <w:rPr>
          <w:u w:val="single"/>
        </w:rPr>
        <w:t>Secondary texts:</w:t>
      </w:r>
    </w:p>
    <w:p w14:paraId="596DBFBB" w14:textId="77777777" w:rsidR="00476DB8" w:rsidRDefault="00476DB8" w:rsidP="00476DB8">
      <w:r>
        <w:t>Gwara, S.</w:t>
      </w:r>
      <w:r w:rsidRPr="003677EE">
        <w:rPr>
          <w:i/>
        </w:rPr>
        <w:t xml:space="preserve"> Heroic Identity in the World of Beowulf</w:t>
      </w:r>
      <w:r>
        <w:rPr>
          <w:i/>
        </w:rPr>
        <w:t xml:space="preserve"> </w:t>
      </w:r>
      <w:r w:rsidRPr="00FD1300">
        <w:t>(Leiden</w:t>
      </w:r>
      <w:r>
        <w:t>: Brill, 2008)</w:t>
      </w:r>
      <w:r w:rsidRPr="00FD1300">
        <w:t xml:space="preserve"> </w:t>
      </w:r>
    </w:p>
    <w:p w14:paraId="6261410C" w14:textId="77777777" w:rsidR="00476DB8" w:rsidRDefault="00476DB8" w:rsidP="00476DB8">
      <w:r>
        <w:t xml:space="preserve">Hill, J. M. </w:t>
      </w:r>
      <w:r w:rsidRPr="009E066C">
        <w:rPr>
          <w:i/>
        </w:rPr>
        <w:t>Narrative pulse of Beowulf,</w:t>
      </w:r>
      <w:r>
        <w:t xml:space="preserve"> (Toronto: University of Toronto Press, 2009)</w:t>
      </w:r>
    </w:p>
    <w:p w14:paraId="48095A93" w14:textId="77777777" w:rsidR="00476DB8" w:rsidRPr="00370D2F" w:rsidRDefault="00476DB8" w:rsidP="00476DB8">
      <w:r>
        <w:t xml:space="preserve">Leyerle, J. ‘Beowulf the Hero and the King’ </w:t>
      </w:r>
      <w:r w:rsidRPr="008D5B42">
        <w:rPr>
          <w:i/>
        </w:rPr>
        <w:t xml:space="preserve">Medium </w:t>
      </w:r>
      <w:proofErr w:type="spellStart"/>
      <w:r w:rsidRPr="008D5B42">
        <w:rPr>
          <w:rFonts w:cstheme="minorHAnsi"/>
          <w:i/>
        </w:rPr>
        <w:t>Æ</w:t>
      </w:r>
      <w:r w:rsidRPr="008D5B42">
        <w:rPr>
          <w:i/>
        </w:rPr>
        <w:t>vum</w:t>
      </w:r>
      <w:proofErr w:type="spellEnd"/>
      <w:r>
        <w:t xml:space="preserve"> vol.34 no.2 (JSTOR [online], 1965) Available at: </w:t>
      </w:r>
      <w:hyperlink r:id="rId8" w:history="1">
        <w:r w:rsidRPr="009F1945">
          <w:rPr>
            <w:rStyle w:val="Hyperlink"/>
            <w:rFonts w:cstheme="minorHAnsi"/>
            <w:szCs w:val="21"/>
            <w:shd w:val="clear" w:color="auto" w:fill="FFFFFF"/>
          </w:rPr>
          <w:t>www.jstor.org/stable/43631201</w:t>
        </w:r>
      </w:hyperlink>
      <w:r>
        <w:rPr>
          <w:rFonts w:cstheme="minorHAnsi"/>
          <w:color w:val="333333"/>
          <w:szCs w:val="21"/>
          <w:shd w:val="clear" w:color="auto" w:fill="FFFFFF"/>
        </w:rPr>
        <w:t xml:space="preserve"> Accessed: 29</w:t>
      </w:r>
      <w:r w:rsidRPr="00094E8C">
        <w:rPr>
          <w:rFonts w:cstheme="minorHAnsi"/>
          <w:color w:val="333333"/>
          <w:szCs w:val="21"/>
          <w:shd w:val="clear" w:color="auto" w:fill="FFFFFF"/>
          <w:vertAlign w:val="superscript"/>
        </w:rPr>
        <w:t>th</w:t>
      </w:r>
      <w:r>
        <w:rPr>
          <w:rFonts w:cstheme="minorHAnsi"/>
          <w:color w:val="333333"/>
          <w:szCs w:val="21"/>
          <w:shd w:val="clear" w:color="auto" w:fill="FFFFFF"/>
        </w:rPr>
        <w:t xml:space="preserve"> April 2018</w:t>
      </w:r>
    </w:p>
    <w:p w14:paraId="29E4A4DA" w14:textId="77777777" w:rsidR="00476DB8" w:rsidRDefault="00476DB8" w:rsidP="00476DB8">
      <w:r>
        <w:t xml:space="preserve">Owen-Crocker, G. R. </w:t>
      </w:r>
      <w:r w:rsidRPr="00A94448">
        <w:rPr>
          <w:i/>
        </w:rPr>
        <w:t>The Four Funerals in Beowulf: and the Structure of the Poem</w:t>
      </w:r>
      <w:r>
        <w:t>, (Manchester: Manchester University Press, 2000)</w:t>
      </w:r>
    </w:p>
    <w:p w14:paraId="439504CE" w14:textId="77777777" w:rsidR="00476DB8" w:rsidRDefault="00476DB8" w:rsidP="00476DB8">
      <w:r>
        <w:t xml:space="preserve">Scragg, D. G. </w:t>
      </w:r>
      <w:r w:rsidRPr="0086123B">
        <w:rPr>
          <w:i/>
        </w:rPr>
        <w:t>The Return of the Vikings: The Battle of Maldon 991,</w:t>
      </w:r>
      <w:r>
        <w:t xml:space="preserve"> (Cotswolds: Tempus Publishing, 2006)</w:t>
      </w:r>
    </w:p>
    <w:p w14:paraId="37942A08" w14:textId="32DCA0E8" w:rsidR="00476DB8" w:rsidRDefault="00476DB8" w:rsidP="00476DB8">
      <w:r>
        <w:t xml:space="preserve">Smithers, G. V. </w:t>
      </w:r>
      <w:r w:rsidRPr="0058319D">
        <w:rPr>
          <w:i/>
        </w:rPr>
        <w:t>The Making of Beowulf</w:t>
      </w:r>
      <w:r>
        <w:t xml:space="preserve"> (Durham: University of Durham Publishing, 1961) </w:t>
      </w:r>
    </w:p>
    <w:p w14:paraId="5515BDAB" w14:textId="77777777" w:rsidR="00476DB8" w:rsidRDefault="00476DB8" w:rsidP="00476DB8"/>
    <w:p w14:paraId="2D449A22" w14:textId="42D9699F" w:rsidR="005E5671" w:rsidRPr="001909DC" w:rsidRDefault="004408CC">
      <w:pPr>
        <w:rPr>
          <w:u w:val="single"/>
        </w:rPr>
      </w:pPr>
      <w:r w:rsidRPr="001909DC">
        <w:rPr>
          <w:u w:val="single"/>
        </w:rPr>
        <w:t>Primary Sources:</w:t>
      </w:r>
    </w:p>
    <w:p w14:paraId="69972606" w14:textId="0C3A337D" w:rsidR="00476DB8" w:rsidRDefault="00476DB8" w:rsidP="00476DB8">
      <w:pPr>
        <w:pStyle w:val="FootnoteText"/>
        <w:rPr>
          <w:i/>
          <w:sz w:val="22"/>
        </w:rPr>
      </w:pPr>
      <w:r w:rsidRPr="00603BDE">
        <w:rPr>
          <w:i/>
          <w:sz w:val="22"/>
        </w:rPr>
        <w:t>Battle of Maldon</w:t>
      </w:r>
      <w:r>
        <w:rPr>
          <w:i/>
          <w:sz w:val="22"/>
        </w:rPr>
        <w:t>.</w:t>
      </w:r>
      <w:r>
        <w:rPr>
          <w:i/>
          <w:sz w:val="22"/>
        </w:rPr>
        <w:br/>
      </w:r>
    </w:p>
    <w:p w14:paraId="0334D834" w14:textId="2FD607F2" w:rsidR="00476DB8" w:rsidRPr="002C2255" w:rsidRDefault="00476DB8" w:rsidP="00476DB8">
      <w:pPr>
        <w:pStyle w:val="FootnoteText"/>
        <w:rPr>
          <w:sz w:val="22"/>
        </w:rPr>
      </w:pPr>
      <w:r w:rsidRPr="002C2255">
        <w:rPr>
          <w:sz w:val="22"/>
        </w:rPr>
        <w:t xml:space="preserve">Bede, </w:t>
      </w:r>
      <w:r w:rsidRPr="002C2255">
        <w:rPr>
          <w:i/>
          <w:sz w:val="22"/>
        </w:rPr>
        <w:t>Bede’s Ecclesiastical History</w:t>
      </w:r>
      <w:r>
        <w:rPr>
          <w:i/>
          <w:sz w:val="22"/>
        </w:rPr>
        <w:t>.</w:t>
      </w:r>
      <w:r w:rsidRPr="002C2255">
        <w:rPr>
          <w:sz w:val="22"/>
        </w:rPr>
        <w:t xml:space="preserve"> </w:t>
      </w:r>
      <w:r>
        <w:rPr>
          <w:sz w:val="22"/>
        </w:rPr>
        <w:br/>
      </w:r>
    </w:p>
    <w:p w14:paraId="2FABB6A9" w14:textId="30F860B7" w:rsidR="002C2255" w:rsidRDefault="006A2DE3" w:rsidP="00476DB8">
      <w:r w:rsidRPr="006A2DE3">
        <w:rPr>
          <w:i/>
        </w:rPr>
        <w:t>Beowulf,</w:t>
      </w:r>
      <w:r>
        <w:t xml:space="preserve"> translated by Michael Swanton (Manchester and New York: Manchester University Press, 1994) </w:t>
      </w:r>
    </w:p>
    <w:p w14:paraId="7855EF5F" w14:textId="13CD078D" w:rsidR="00476DB8" w:rsidRPr="00D7763A" w:rsidRDefault="00476DB8" w:rsidP="00476DB8">
      <w:pPr>
        <w:pStyle w:val="FootnoteText"/>
        <w:rPr>
          <w:sz w:val="24"/>
        </w:rPr>
      </w:pPr>
      <w:r w:rsidRPr="00D7763A">
        <w:rPr>
          <w:sz w:val="22"/>
        </w:rPr>
        <w:t xml:space="preserve">Homer, </w:t>
      </w:r>
      <w:r w:rsidRPr="00D7763A">
        <w:rPr>
          <w:i/>
          <w:sz w:val="22"/>
        </w:rPr>
        <w:t>The Odyssey,</w:t>
      </w:r>
      <w:r w:rsidRPr="00D7763A">
        <w:rPr>
          <w:sz w:val="22"/>
        </w:rPr>
        <w:t xml:space="preserve"> translated by E. V. </w:t>
      </w:r>
      <w:proofErr w:type="spellStart"/>
      <w:r w:rsidRPr="00D7763A">
        <w:rPr>
          <w:sz w:val="22"/>
        </w:rPr>
        <w:t>Rieu</w:t>
      </w:r>
      <w:proofErr w:type="spellEnd"/>
      <w:r w:rsidRPr="00D7763A">
        <w:rPr>
          <w:sz w:val="22"/>
        </w:rPr>
        <w:t xml:space="preserve"> (Newcastle: University of Newcastle Upon Tyne, 1946)</w:t>
      </w:r>
      <w:r>
        <w:rPr>
          <w:sz w:val="22"/>
        </w:rPr>
        <w:br/>
      </w:r>
    </w:p>
    <w:p w14:paraId="67FFDBF0" w14:textId="5664E1E6" w:rsidR="00D7763A" w:rsidRPr="00476DB8" w:rsidRDefault="002C2255" w:rsidP="00476DB8">
      <w:r>
        <w:rPr>
          <w:i/>
        </w:rPr>
        <w:t>T</w:t>
      </w:r>
      <w:r w:rsidRPr="002C2255">
        <w:rPr>
          <w:i/>
        </w:rPr>
        <w:t>he Wanderer</w:t>
      </w:r>
      <w:r w:rsidR="00603BDE">
        <w:rPr>
          <w:i/>
        </w:rPr>
        <w:t>.</w:t>
      </w:r>
    </w:p>
    <w:p w14:paraId="21ACBFD6" w14:textId="77777777" w:rsidR="002C2255" w:rsidRDefault="002C2255"/>
    <w:p w14:paraId="37BA8561" w14:textId="77777777" w:rsidR="00476DB8" w:rsidRPr="00370D2F" w:rsidRDefault="00476DB8"/>
    <w:sectPr w:rsidR="00476DB8" w:rsidRPr="00370D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8E466C" w14:textId="77777777" w:rsidR="008510BD" w:rsidRDefault="008510BD" w:rsidP="0063454E">
      <w:pPr>
        <w:spacing w:after="0" w:line="240" w:lineRule="auto"/>
      </w:pPr>
      <w:r>
        <w:separator/>
      </w:r>
    </w:p>
  </w:endnote>
  <w:endnote w:type="continuationSeparator" w:id="0">
    <w:p w14:paraId="5BA63B80" w14:textId="77777777" w:rsidR="008510BD" w:rsidRDefault="008510BD" w:rsidP="006345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5330D9" w14:textId="77777777" w:rsidR="008510BD" w:rsidRDefault="008510BD" w:rsidP="0063454E">
      <w:pPr>
        <w:spacing w:after="0" w:line="240" w:lineRule="auto"/>
      </w:pPr>
      <w:r>
        <w:separator/>
      </w:r>
    </w:p>
  </w:footnote>
  <w:footnote w:type="continuationSeparator" w:id="0">
    <w:p w14:paraId="71D71A4B" w14:textId="77777777" w:rsidR="008510BD" w:rsidRDefault="008510BD" w:rsidP="0063454E">
      <w:pPr>
        <w:spacing w:after="0" w:line="240" w:lineRule="auto"/>
      </w:pPr>
      <w:r>
        <w:continuationSeparator/>
      </w:r>
    </w:p>
  </w:footnote>
  <w:footnote w:id="1">
    <w:p w14:paraId="7440DDA0" w14:textId="6A85A801" w:rsidR="0063454E" w:rsidRDefault="0063454E">
      <w:pPr>
        <w:pStyle w:val="FootnoteText"/>
      </w:pPr>
      <w:r>
        <w:rPr>
          <w:rStyle w:val="FootnoteReference"/>
        </w:rPr>
        <w:footnoteRef/>
      </w:r>
      <w:r>
        <w:t xml:space="preserve"> </w:t>
      </w:r>
      <w:r w:rsidR="008738F3">
        <w:t xml:space="preserve">S. </w:t>
      </w:r>
      <w:r>
        <w:t>Gwara</w:t>
      </w:r>
      <w:r w:rsidR="008738F3">
        <w:t xml:space="preserve">, </w:t>
      </w:r>
      <w:r w:rsidR="008738F3" w:rsidRPr="00FD181A">
        <w:rPr>
          <w:i/>
        </w:rPr>
        <w:t>Heroic Identity in the World of Beowulf</w:t>
      </w:r>
      <w:r w:rsidR="00085041" w:rsidRPr="00FD181A">
        <w:rPr>
          <w:i/>
        </w:rPr>
        <w:t xml:space="preserve">, </w:t>
      </w:r>
      <w:r w:rsidR="00085041" w:rsidRPr="003677EE">
        <w:t>(</w:t>
      </w:r>
      <w:r w:rsidR="000A27C0">
        <w:t xml:space="preserve">Leiden: Brill, </w:t>
      </w:r>
      <w:r w:rsidR="00FD181A">
        <w:t xml:space="preserve">2008) </w:t>
      </w:r>
      <w:r>
        <w:t>p.239</w:t>
      </w:r>
    </w:p>
  </w:footnote>
  <w:footnote w:id="2">
    <w:p w14:paraId="75FA14AF" w14:textId="18BB4D32" w:rsidR="002371F3" w:rsidRDefault="002371F3">
      <w:pPr>
        <w:pStyle w:val="FootnoteText"/>
      </w:pPr>
      <w:r>
        <w:rPr>
          <w:rStyle w:val="FootnoteReference"/>
        </w:rPr>
        <w:footnoteRef/>
      </w:r>
      <w:r>
        <w:t xml:space="preserve"> </w:t>
      </w:r>
      <w:r w:rsidR="00FD1300">
        <w:t>J. M</w:t>
      </w:r>
      <w:r w:rsidR="007D1F0A">
        <w:t xml:space="preserve">. </w:t>
      </w:r>
      <w:r>
        <w:t>Hill</w:t>
      </w:r>
      <w:r w:rsidR="007D1F0A">
        <w:t xml:space="preserve">, </w:t>
      </w:r>
      <w:r w:rsidR="007D1F0A" w:rsidRPr="009E066C">
        <w:rPr>
          <w:i/>
        </w:rPr>
        <w:t xml:space="preserve">Narrative pulse of Beowulf, </w:t>
      </w:r>
      <w:r w:rsidR="007D1F0A">
        <w:t>(</w:t>
      </w:r>
      <w:r w:rsidR="000F32DA">
        <w:t xml:space="preserve">Toronto: University of Toronto Press, </w:t>
      </w:r>
      <w:r w:rsidR="007255E7">
        <w:t>2009)</w:t>
      </w:r>
      <w:r>
        <w:t xml:space="preserve"> p.1</w:t>
      </w:r>
    </w:p>
  </w:footnote>
  <w:footnote w:id="3">
    <w:p w14:paraId="0D0533AB" w14:textId="648D2C5C" w:rsidR="00367EB9" w:rsidRDefault="00367EB9">
      <w:pPr>
        <w:pStyle w:val="FootnoteText"/>
      </w:pPr>
      <w:r>
        <w:rPr>
          <w:rStyle w:val="FootnoteReference"/>
        </w:rPr>
        <w:footnoteRef/>
      </w:r>
      <w:r>
        <w:t xml:space="preserve"> Ibid</w:t>
      </w:r>
      <w:r w:rsidR="007255E7">
        <w:t>.</w:t>
      </w:r>
    </w:p>
  </w:footnote>
  <w:footnote w:id="4">
    <w:p w14:paraId="355245FA" w14:textId="47D83249" w:rsidR="009E08FE" w:rsidRDefault="009E08FE">
      <w:pPr>
        <w:pStyle w:val="FootnoteText"/>
      </w:pPr>
      <w:r>
        <w:rPr>
          <w:rStyle w:val="FootnoteReference"/>
        </w:rPr>
        <w:footnoteRef/>
      </w:r>
      <w:r>
        <w:t xml:space="preserve"> Ibid. </w:t>
      </w:r>
    </w:p>
  </w:footnote>
  <w:footnote w:id="5">
    <w:p w14:paraId="55974ED0" w14:textId="6D282A52" w:rsidR="00E131DC" w:rsidRDefault="00E131DC">
      <w:pPr>
        <w:pStyle w:val="FootnoteText"/>
      </w:pPr>
      <w:r>
        <w:rPr>
          <w:rStyle w:val="FootnoteReference"/>
        </w:rPr>
        <w:footnoteRef/>
      </w:r>
      <w:r>
        <w:t xml:space="preserve"> </w:t>
      </w:r>
      <w:r w:rsidR="007255E7">
        <w:t xml:space="preserve">G. R. </w:t>
      </w:r>
      <w:r w:rsidR="00BA7FB3">
        <w:t>Owen-Crocker</w:t>
      </w:r>
      <w:r w:rsidR="007255E7">
        <w:t xml:space="preserve">, </w:t>
      </w:r>
      <w:r w:rsidR="007255E7" w:rsidRPr="00A94448">
        <w:rPr>
          <w:i/>
        </w:rPr>
        <w:t>The Four Funerals in Beowulf: and the Structure of the Poem</w:t>
      </w:r>
      <w:r w:rsidR="007255E7">
        <w:t>, (</w:t>
      </w:r>
      <w:r w:rsidR="00D66B36">
        <w:t>Manchester: Manchester University Press, 2000)</w:t>
      </w:r>
      <w:r w:rsidR="007255E7">
        <w:t xml:space="preserve"> </w:t>
      </w:r>
      <w:r w:rsidR="00BA7FB3">
        <w:t>p.2</w:t>
      </w:r>
      <w:r w:rsidR="004006C6">
        <w:t>36</w:t>
      </w:r>
    </w:p>
  </w:footnote>
  <w:footnote w:id="6">
    <w:p w14:paraId="1C51193C" w14:textId="656A63FE" w:rsidR="009A4C5E" w:rsidRDefault="009A4C5E">
      <w:pPr>
        <w:pStyle w:val="FootnoteText"/>
      </w:pPr>
      <w:r>
        <w:rPr>
          <w:rStyle w:val="FootnoteReference"/>
        </w:rPr>
        <w:footnoteRef/>
      </w:r>
      <w:r>
        <w:t xml:space="preserve"> </w:t>
      </w:r>
      <w:r w:rsidR="00367EB9">
        <w:t>Gwara</w:t>
      </w:r>
      <w:r w:rsidR="003677EE" w:rsidRPr="003677EE">
        <w:rPr>
          <w:i/>
        </w:rPr>
        <w:t xml:space="preserve">, Heroic Identity in the World of Beowulf, </w:t>
      </w:r>
      <w:r w:rsidR="00367EB9">
        <w:t>p.239</w:t>
      </w:r>
    </w:p>
  </w:footnote>
  <w:footnote w:id="7">
    <w:p w14:paraId="6425CFA1" w14:textId="52B3B755" w:rsidR="00F445B3" w:rsidRDefault="00F445B3">
      <w:pPr>
        <w:pStyle w:val="FootnoteText"/>
      </w:pPr>
      <w:r>
        <w:rPr>
          <w:rStyle w:val="FootnoteReference"/>
        </w:rPr>
        <w:footnoteRef/>
      </w:r>
      <w:r>
        <w:t xml:space="preserve"> Ibid.</w:t>
      </w:r>
    </w:p>
  </w:footnote>
  <w:footnote w:id="8">
    <w:p w14:paraId="29E1B1B1" w14:textId="4BAE5580" w:rsidR="00C020ED" w:rsidRDefault="00C020ED">
      <w:pPr>
        <w:pStyle w:val="FootnoteText"/>
      </w:pPr>
      <w:r>
        <w:rPr>
          <w:rStyle w:val="FootnoteReference"/>
        </w:rPr>
        <w:footnoteRef/>
      </w:r>
      <w:r>
        <w:t xml:space="preserve"> </w:t>
      </w:r>
      <w:r w:rsidRPr="006A2DE3">
        <w:rPr>
          <w:i/>
        </w:rPr>
        <w:t>Beowulf</w:t>
      </w:r>
      <w:r w:rsidR="00CE5403" w:rsidRPr="006A2DE3">
        <w:rPr>
          <w:i/>
        </w:rPr>
        <w:t>,</w:t>
      </w:r>
      <w:r w:rsidR="00CE5403">
        <w:t xml:space="preserve"> trans</w:t>
      </w:r>
      <w:r w:rsidR="006E4876">
        <w:t>lated by Michael Swanton</w:t>
      </w:r>
      <w:r w:rsidR="002D50D6">
        <w:t xml:space="preserve"> (Manchester and New York: Manchester University Press, </w:t>
      </w:r>
      <w:r w:rsidR="006A2DE3">
        <w:t>1994)</w:t>
      </w:r>
      <w:r w:rsidR="00CE5403">
        <w:t xml:space="preserve"> </w:t>
      </w:r>
      <w:r>
        <w:t xml:space="preserve">lines </w:t>
      </w:r>
      <w:r w:rsidR="005E27CB">
        <w:t>1700 -1710</w:t>
      </w:r>
    </w:p>
  </w:footnote>
  <w:footnote w:id="9">
    <w:p w14:paraId="595778BE" w14:textId="54E6CA8B" w:rsidR="00392BED" w:rsidRDefault="00392BED">
      <w:pPr>
        <w:pStyle w:val="FootnoteText"/>
      </w:pPr>
      <w:r>
        <w:rPr>
          <w:rStyle w:val="FootnoteReference"/>
        </w:rPr>
        <w:footnoteRef/>
      </w:r>
      <w:r>
        <w:t xml:space="preserve"> </w:t>
      </w:r>
      <w:r w:rsidR="005E5671">
        <w:t>Gwara</w:t>
      </w:r>
      <w:r w:rsidR="005E5671" w:rsidRPr="003677EE">
        <w:rPr>
          <w:i/>
        </w:rPr>
        <w:t xml:space="preserve">, Heroic Identity in the World of Beowulf, </w:t>
      </w:r>
      <w:r w:rsidR="005E5671">
        <w:t>p.239</w:t>
      </w:r>
    </w:p>
  </w:footnote>
  <w:footnote w:id="10">
    <w:p w14:paraId="04099177" w14:textId="06FA2B77" w:rsidR="009B1BB2" w:rsidRDefault="009B1BB2">
      <w:pPr>
        <w:pStyle w:val="FootnoteText"/>
      </w:pPr>
      <w:r>
        <w:rPr>
          <w:rStyle w:val="FootnoteReference"/>
        </w:rPr>
        <w:footnoteRef/>
      </w:r>
      <w:r>
        <w:t xml:space="preserve"> Ibid. </w:t>
      </w:r>
    </w:p>
  </w:footnote>
  <w:footnote w:id="11">
    <w:p w14:paraId="0D3D2891" w14:textId="4F8AFB15" w:rsidR="000F2D45" w:rsidRDefault="000F2D45">
      <w:pPr>
        <w:pStyle w:val="FootnoteText"/>
      </w:pPr>
      <w:r>
        <w:rPr>
          <w:rStyle w:val="FootnoteReference"/>
        </w:rPr>
        <w:footnoteRef/>
      </w:r>
      <w:r>
        <w:t xml:space="preserve"> </w:t>
      </w:r>
      <w:r w:rsidR="006A2DE3" w:rsidRPr="006A2DE3">
        <w:rPr>
          <w:i/>
        </w:rPr>
        <w:t>Beowulf,</w:t>
      </w:r>
      <w:r w:rsidR="006A2DE3">
        <w:t xml:space="preserve"> lines </w:t>
      </w:r>
      <w:r w:rsidR="00706389">
        <w:t>2177 - 2183</w:t>
      </w:r>
    </w:p>
  </w:footnote>
  <w:footnote w:id="12">
    <w:p w14:paraId="04A66604" w14:textId="3A636F30" w:rsidR="004E4611" w:rsidRDefault="004E4611">
      <w:pPr>
        <w:pStyle w:val="FootnoteText"/>
      </w:pPr>
      <w:r>
        <w:rPr>
          <w:rStyle w:val="FootnoteReference"/>
        </w:rPr>
        <w:footnoteRef/>
      </w:r>
      <w:r>
        <w:t xml:space="preserve"> </w:t>
      </w:r>
      <w:r w:rsidR="005E5671">
        <w:t>Gwara</w:t>
      </w:r>
      <w:r w:rsidR="005E5671" w:rsidRPr="003677EE">
        <w:rPr>
          <w:i/>
        </w:rPr>
        <w:t xml:space="preserve">, Heroic Identity in the World of Beowulf, </w:t>
      </w:r>
      <w:r w:rsidR="005E5671">
        <w:t>p.239</w:t>
      </w:r>
    </w:p>
  </w:footnote>
  <w:footnote w:id="13">
    <w:p w14:paraId="0EA7C671" w14:textId="651C269B" w:rsidR="004E4611" w:rsidRDefault="004E4611">
      <w:pPr>
        <w:pStyle w:val="FootnoteText"/>
      </w:pPr>
      <w:r>
        <w:rPr>
          <w:rStyle w:val="FootnoteReference"/>
        </w:rPr>
        <w:footnoteRef/>
      </w:r>
      <w:r>
        <w:t xml:space="preserve"> Ibid. </w:t>
      </w:r>
    </w:p>
  </w:footnote>
  <w:footnote w:id="14">
    <w:p w14:paraId="12A8CC2A" w14:textId="67EAB4AA" w:rsidR="000873BD" w:rsidRDefault="000873BD">
      <w:pPr>
        <w:pStyle w:val="FootnoteText"/>
      </w:pPr>
      <w:r>
        <w:rPr>
          <w:rStyle w:val="FootnoteReference"/>
        </w:rPr>
        <w:footnoteRef/>
      </w:r>
      <w:r>
        <w:t xml:space="preserve"> </w:t>
      </w:r>
      <w:r w:rsidR="00C278E5">
        <w:t xml:space="preserve">J. </w:t>
      </w:r>
      <w:r>
        <w:t>Leyerle</w:t>
      </w:r>
      <w:r w:rsidR="00C278E5">
        <w:t xml:space="preserve">, </w:t>
      </w:r>
      <w:r w:rsidR="0007586B">
        <w:t xml:space="preserve">‘Beowulf the Hero and the King’ </w:t>
      </w:r>
      <w:r w:rsidR="0007586B" w:rsidRPr="008D5B42">
        <w:rPr>
          <w:i/>
        </w:rPr>
        <w:t xml:space="preserve">Medium </w:t>
      </w:r>
      <w:proofErr w:type="spellStart"/>
      <w:r w:rsidR="0007586B" w:rsidRPr="008D5B42">
        <w:rPr>
          <w:rFonts w:cstheme="minorHAnsi"/>
          <w:i/>
        </w:rPr>
        <w:t>Æ</w:t>
      </w:r>
      <w:r w:rsidR="0007586B" w:rsidRPr="008D5B42">
        <w:rPr>
          <w:i/>
        </w:rPr>
        <w:t>vum</w:t>
      </w:r>
      <w:proofErr w:type="spellEnd"/>
      <w:r w:rsidR="00483AA4">
        <w:t xml:space="preserve"> vol.34 no.2 (JSTOR [online], 1965) </w:t>
      </w:r>
      <w:r w:rsidR="00E23495">
        <w:t xml:space="preserve">Available at: </w:t>
      </w:r>
      <w:hyperlink r:id="rId1" w:history="1">
        <w:r w:rsidR="00E23495" w:rsidRPr="009F1945">
          <w:rPr>
            <w:rStyle w:val="Hyperlink"/>
            <w:rFonts w:cstheme="minorHAnsi"/>
            <w:szCs w:val="21"/>
            <w:shd w:val="clear" w:color="auto" w:fill="FFFFFF"/>
          </w:rPr>
          <w:t>www.jstor.org/stable/43631201</w:t>
        </w:r>
      </w:hyperlink>
      <w:r w:rsidR="00E23495">
        <w:rPr>
          <w:rFonts w:cstheme="minorHAnsi"/>
          <w:color w:val="333333"/>
          <w:szCs w:val="21"/>
          <w:shd w:val="clear" w:color="auto" w:fill="FFFFFF"/>
        </w:rPr>
        <w:t xml:space="preserve"> </w:t>
      </w:r>
      <w:r w:rsidR="00094E8C">
        <w:rPr>
          <w:rFonts w:cstheme="minorHAnsi"/>
          <w:color w:val="333333"/>
          <w:szCs w:val="21"/>
          <w:shd w:val="clear" w:color="auto" w:fill="FFFFFF"/>
        </w:rPr>
        <w:t>Accessed: 29</w:t>
      </w:r>
      <w:r w:rsidR="00094E8C" w:rsidRPr="00094E8C">
        <w:rPr>
          <w:rFonts w:cstheme="minorHAnsi"/>
          <w:color w:val="333333"/>
          <w:szCs w:val="21"/>
          <w:shd w:val="clear" w:color="auto" w:fill="FFFFFF"/>
          <w:vertAlign w:val="superscript"/>
        </w:rPr>
        <w:t>th</w:t>
      </w:r>
      <w:r w:rsidR="00094E8C">
        <w:rPr>
          <w:rFonts w:cstheme="minorHAnsi"/>
          <w:color w:val="333333"/>
          <w:szCs w:val="21"/>
          <w:shd w:val="clear" w:color="auto" w:fill="FFFFFF"/>
        </w:rPr>
        <w:t xml:space="preserve"> April 2018 </w:t>
      </w:r>
    </w:p>
  </w:footnote>
  <w:footnote w:id="15">
    <w:p w14:paraId="04932A96" w14:textId="5B749937" w:rsidR="00BD06D9" w:rsidRDefault="00BD06D9">
      <w:pPr>
        <w:pStyle w:val="FootnoteText"/>
      </w:pPr>
      <w:r>
        <w:rPr>
          <w:rStyle w:val="FootnoteReference"/>
        </w:rPr>
        <w:footnoteRef/>
      </w:r>
      <w:r>
        <w:t xml:space="preserve"> Ibid. </w:t>
      </w:r>
    </w:p>
  </w:footnote>
  <w:footnote w:id="16">
    <w:p w14:paraId="43C8BE50" w14:textId="0B2EF319" w:rsidR="007A7819" w:rsidRDefault="007A7819">
      <w:pPr>
        <w:pStyle w:val="FootnoteText"/>
      </w:pPr>
      <w:r>
        <w:rPr>
          <w:rStyle w:val="FootnoteReference"/>
        </w:rPr>
        <w:footnoteRef/>
      </w:r>
      <w:r>
        <w:t xml:space="preserve"> </w:t>
      </w:r>
      <w:r w:rsidR="006A2DE3" w:rsidRPr="006A2DE3">
        <w:rPr>
          <w:i/>
        </w:rPr>
        <w:t>Beowulf,</w:t>
      </w:r>
      <w:r w:rsidR="006A2DE3">
        <w:t xml:space="preserve"> lines </w:t>
      </w:r>
      <w:r w:rsidR="0024149C">
        <w:t>3179 - 3182</w:t>
      </w:r>
    </w:p>
  </w:footnote>
  <w:footnote w:id="17">
    <w:p w14:paraId="75E97ED0" w14:textId="0932E2AB" w:rsidR="00AC2876" w:rsidRDefault="00AC2876">
      <w:pPr>
        <w:pStyle w:val="FootnoteText"/>
      </w:pPr>
      <w:r>
        <w:rPr>
          <w:rStyle w:val="FootnoteReference"/>
        </w:rPr>
        <w:footnoteRef/>
      </w:r>
      <w:r>
        <w:t xml:space="preserve"> </w:t>
      </w:r>
      <w:r w:rsidR="002C2255" w:rsidRPr="002C2255">
        <w:t xml:space="preserve">Ibid., </w:t>
      </w:r>
      <w:r w:rsidRPr="002C2255">
        <w:t>line</w:t>
      </w:r>
      <w:r>
        <w:t xml:space="preserve"> 3182</w:t>
      </w:r>
    </w:p>
  </w:footnote>
  <w:footnote w:id="18">
    <w:p w14:paraId="1B939E6C" w14:textId="5C091B7F" w:rsidR="002D7034" w:rsidRDefault="002D7034">
      <w:pPr>
        <w:pStyle w:val="FootnoteText"/>
      </w:pPr>
      <w:r>
        <w:rPr>
          <w:rStyle w:val="FootnoteReference"/>
        </w:rPr>
        <w:footnoteRef/>
      </w:r>
      <w:r>
        <w:t xml:space="preserve"> </w:t>
      </w:r>
      <w:r w:rsidR="00DB634A">
        <w:t xml:space="preserve">D. G. </w:t>
      </w:r>
      <w:r>
        <w:t>Scragg</w:t>
      </w:r>
      <w:r w:rsidR="0095536C">
        <w:t xml:space="preserve">, </w:t>
      </w:r>
      <w:r w:rsidR="0095536C" w:rsidRPr="0086123B">
        <w:rPr>
          <w:i/>
        </w:rPr>
        <w:t>The Return of the Vikings: The Battle of Maldon 991</w:t>
      </w:r>
      <w:r w:rsidR="0086123B" w:rsidRPr="0086123B">
        <w:rPr>
          <w:i/>
        </w:rPr>
        <w:t>,</w:t>
      </w:r>
      <w:r w:rsidR="0086123B">
        <w:t xml:space="preserve"> (Cotswolds: Tempus Publishing, 2006)</w:t>
      </w:r>
      <w:r>
        <w:t xml:space="preserve"> p.1</w:t>
      </w:r>
    </w:p>
  </w:footnote>
  <w:footnote w:id="19">
    <w:p w14:paraId="5E8E5722" w14:textId="002E5FD0" w:rsidR="00823224" w:rsidRDefault="00823224">
      <w:pPr>
        <w:pStyle w:val="FootnoteText"/>
      </w:pPr>
      <w:r>
        <w:rPr>
          <w:rStyle w:val="FootnoteReference"/>
        </w:rPr>
        <w:footnoteRef/>
      </w:r>
      <w:r>
        <w:t xml:space="preserve"> </w:t>
      </w:r>
      <w:r w:rsidR="006A2DE3" w:rsidRPr="006A2DE3">
        <w:rPr>
          <w:i/>
        </w:rPr>
        <w:t>Beowulf,</w:t>
      </w:r>
      <w:r w:rsidR="006A2DE3">
        <w:t xml:space="preserve"> lines </w:t>
      </w:r>
      <w:r w:rsidR="006B44BA">
        <w:t>1470 - 1471</w:t>
      </w:r>
    </w:p>
  </w:footnote>
  <w:footnote w:id="20">
    <w:p w14:paraId="66434F22" w14:textId="532764A8" w:rsidR="006F50D4" w:rsidRDefault="006F50D4">
      <w:pPr>
        <w:pStyle w:val="FootnoteText"/>
      </w:pPr>
      <w:r>
        <w:rPr>
          <w:rStyle w:val="FootnoteReference"/>
        </w:rPr>
        <w:footnoteRef/>
      </w:r>
      <w:r>
        <w:t xml:space="preserve"> </w:t>
      </w:r>
      <w:r w:rsidR="006A2DE3">
        <w:t>B</w:t>
      </w:r>
      <w:r>
        <w:t>ede</w:t>
      </w:r>
      <w:r w:rsidR="002C2255">
        <w:t xml:space="preserve">, </w:t>
      </w:r>
      <w:r w:rsidR="002C2255" w:rsidRPr="002C2255">
        <w:rPr>
          <w:i/>
        </w:rPr>
        <w:t>Bede’s Ecclesiastical History,</w:t>
      </w:r>
      <w:r>
        <w:t xml:space="preserve"> Book 1 Chapter 25 </w:t>
      </w:r>
    </w:p>
  </w:footnote>
  <w:footnote w:id="21">
    <w:p w14:paraId="07FF6A61" w14:textId="294D5541" w:rsidR="00D943D4" w:rsidRDefault="00D943D4">
      <w:pPr>
        <w:pStyle w:val="FootnoteText"/>
      </w:pPr>
      <w:r>
        <w:rPr>
          <w:rStyle w:val="FootnoteReference"/>
        </w:rPr>
        <w:footnoteRef/>
      </w:r>
      <w:r>
        <w:t xml:space="preserve"> </w:t>
      </w:r>
      <w:r w:rsidRPr="002C2255">
        <w:rPr>
          <w:i/>
        </w:rPr>
        <w:t>The Wanderer</w:t>
      </w:r>
      <w:r w:rsidR="002C2255" w:rsidRPr="002C2255">
        <w:rPr>
          <w:i/>
        </w:rPr>
        <w:t>,</w:t>
      </w:r>
      <w:r>
        <w:t xml:space="preserve"> line </w:t>
      </w:r>
      <w:r w:rsidR="00DD73F9">
        <w:t>21</w:t>
      </w:r>
    </w:p>
  </w:footnote>
  <w:footnote w:id="22">
    <w:p w14:paraId="547F88E5" w14:textId="16CC5863" w:rsidR="00B15279" w:rsidRDefault="00B15279">
      <w:pPr>
        <w:pStyle w:val="FootnoteText"/>
      </w:pPr>
      <w:r>
        <w:rPr>
          <w:rStyle w:val="FootnoteReference"/>
        </w:rPr>
        <w:footnoteRef/>
      </w:r>
      <w:r>
        <w:t xml:space="preserve"> </w:t>
      </w:r>
      <w:r w:rsidRPr="002C2255">
        <w:rPr>
          <w:i/>
        </w:rPr>
        <w:t>Battle of Maldon</w:t>
      </w:r>
      <w:r w:rsidR="002C2255" w:rsidRPr="002C2255">
        <w:rPr>
          <w:i/>
        </w:rPr>
        <w:t>,</w:t>
      </w:r>
      <w:r>
        <w:t xml:space="preserve"> </w:t>
      </w:r>
      <w:r w:rsidR="00144A9F">
        <w:t>line 50</w:t>
      </w:r>
    </w:p>
  </w:footnote>
  <w:footnote w:id="23">
    <w:p w14:paraId="1BC02246" w14:textId="1A9C4B12" w:rsidR="00144A9F" w:rsidRDefault="00144A9F">
      <w:pPr>
        <w:pStyle w:val="FootnoteText"/>
      </w:pPr>
      <w:r>
        <w:rPr>
          <w:rStyle w:val="FootnoteReference"/>
        </w:rPr>
        <w:footnoteRef/>
      </w:r>
      <w:r>
        <w:t xml:space="preserve"> Ibid., line </w:t>
      </w:r>
      <w:r w:rsidR="00F078D3">
        <w:t>4</w:t>
      </w:r>
    </w:p>
  </w:footnote>
  <w:footnote w:id="24">
    <w:p w14:paraId="0C2FF73E" w14:textId="3F561305" w:rsidR="00ED3069" w:rsidRDefault="00ED3069">
      <w:pPr>
        <w:pStyle w:val="FootnoteText"/>
      </w:pPr>
      <w:r>
        <w:rPr>
          <w:rStyle w:val="FootnoteReference"/>
        </w:rPr>
        <w:footnoteRef/>
      </w:r>
      <w:r>
        <w:t xml:space="preserve"> Ibid., line </w:t>
      </w:r>
      <w:r w:rsidR="003E46EB">
        <w:t>15</w:t>
      </w:r>
    </w:p>
  </w:footnote>
  <w:footnote w:id="25">
    <w:p w14:paraId="46DB4CDE" w14:textId="1524419B" w:rsidR="003E46EB" w:rsidRDefault="003E46EB">
      <w:pPr>
        <w:pStyle w:val="FootnoteText"/>
      </w:pPr>
      <w:r>
        <w:rPr>
          <w:rStyle w:val="FootnoteReference"/>
        </w:rPr>
        <w:footnoteRef/>
      </w:r>
      <w:r>
        <w:t xml:space="preserve"> Ibid., </w:t>
      </w:r>
      <w:r w:rsidR="00FF58CC">
        <w:t>line 52 - 53</w:t>
      </w:r>
    </w:p>
  </w:footnote>
  <w:footnote w:id="26">
    <w:p w14:paraId="6EDBAE05" w14:textId="4870226D" w:rsidR="00B611AF" w:rsidRDefault="00B611AF">
      <w:pPr>
        <w:pStyle w:val="FootnoteText"/>
      </w:pPr>
      <w:r>
        <w:rPr>
          <w:rStyle w:val="FootnoteReference"/>
        </w:rPr>
        <w:footnoteRef/>
      </w:r>
      <w:r>
        <w:t xml:space="preserve"> Ibid., line 89</w:t>
      </w:r>
    </w:p>
  </w:footnote>
  <w:footnote w:id="27">
    <w:p w14:paraId="602406A7" w14:textId="1642956B" w:rsidR="00C203D8" w:rsidRDefault="00C203D8">
      <w:pPr>
        <w:pStyle w:val="FootnoteText"/>
      </w:pPr>
      <w:r>
        <w:rPr>
          <w:rStyle w:val="FootnoteReference"/>
        </w:rPr>
        <w:footnoteRef/>
      </w:r>
      <w:r>
        <w:t xml:space="preserve"> Ibid.</w:t>
      </w:r>
    </w:p>
  </w:footnote>
  <w:footnote w:id="28">
    <w:p w14:paraId="3A67B6E1" w14:textId="5B232D5E" w:rsidR="000A24DA" w:rsidRDefault="000A24DA">
      <w:pPr>
        <w:pStyle w:val="FootnoteText"/>
      </w:pPr>
      <w:r>
        <w:rPr>
          <w:rStyle w:val="FootnoteReference"/>
        </w:rPr>
        <w:footnoteRef/>
      </w:r>
      <w:r>
        <w:t xml:space="preserve"> Ibid., line </w:t>
      </w:r>
      <w:r w:rsidR="00795292">
        <w:t>56</w:t>
      </w:r>
    </w:p>
  </w:footnote>
  <w:footnote w:id="29">
    <w:p w14:paraId="585404EB" w14:textId="28A64FEB" w:rsidR="000A24DA" w:rsidRDefault="000A24DA">
      <w:pPr>
        <w:pStyle w:val="FootnoteText"/>
      </w:pPr>
      <w:r>
        <w:rPr>
          <w:rStyle w:val="FootnoteReference"/>
        </w:rPr>
        <w:footnoteRef/>
      </w:r>
      <w:r>
        <w:t xml:space="preserve"> </w:t>
      </w:r>
      <w:r w:rsidR="00795292">
        <w:t xml:space="preserve">Ibid., line </w:t>
      </w:r>
      <w:r w:rsidR="00607AA0">
        <w:t>27</w:t>
      </w:r>
    </w:p>
  </w:footnote>
  <w:footnote w:id="30">
    <w:p w14:paraId="7A3C294D" w14:textId="679F675C" w:rsidR="00607AA0" w:rsidRDefault="00607AA0">
      <w:pPr>
        <w:pStyle w:val="FootnoteText"/>
      </w:pPr>
      <w:r>
        <w:rPr>
          <w:rStyle w:val="FootnoteReference"/>
        </w:rPr>
        <w:footnoteRef/>
      </w:r>
      <w:r>
        <w:t xml:space="preserve"> </w:t>
      </w:r>
      <w:r w:rsidR="009C1930">
        <w:t>Ibid., line 21</w:t>
      </w:r>
    </w:p>
  </w:footnote>
  <w:footnote w:id="31">
    <w:p w14:paraId="118A1B7F" w14:textId="3C6C424C" w:rsidR="00B23712" w:rsidRDefault="00B23712">
      <w:pPr>
        <w:pStyle w:val="FootnoteText"/>
      </w:pPr>
      <w:r>
        <w:rPr>
          <w:rStyle w:val="FootnoteReference"/>
        </w:rPr>
        <w:footnoteRef/>
      </w:r>
      <w:r>
        <w:t xml:space="preserve"> Ibid., line </w:t>
      </w:r>
      <w:r w:rsidR="007169AA">
        <w:t>86</w:t>
      </w:r>
    </w:p>
  </w:footnote>
  <w:footnote w:id="32">
    <w:p w14:paraId="3A8CD985" w14:textId="40BD731F" w:rsidR="00575416" w:rsidRDefault="00575416">
      <w:pPr>
        <w:pStyle w:val="FootnoteText"/>
      </w:pPr>
      <w:r>
        <w:rPr>
          <w:rStyle w:val="FootnoteReference"/>
        </w:rPr>
        <w:footnoteRef/>
      </w:r>
      <w:r>
        <w:t xml:space="preserve"> </w:t>
      </w:r>
      <w:r w:rsidR="006A2DE3" w:rsidRPr="006A2DE3">
        <w:rPr>
          <w:i/>
        </w:rPr>
        <w:t>Beowulf,</w:t>
      </w:r>
      <w:r w:rsidR="006A2DE3">
        <w:t xml:space="preserve"> line</w:t>
      </w:r>
      <w:r w:rsidR="006A2DE3">
        <w:t xml:space="preserve"> </w:t>
      </w:r>
      <w:r w:rsidR="004C43FE">
        <w:t>1434</w:t>
      </w:r>
    </w:p>
  </w:footnote>
  <w:footnote w:id="33">
    <w:p w14:paraId="78039517" w14:textId="1504AA85" w:rsidR="00744BF1" w:rsidRDefault="00744BF1">
      <w:pPr>
        <w:pStyle w:val="FootnoteText"/>
      </w:pPr>
      <w:r>
        <w:rPr>
          <w:rStyle w:val="FootnoteReference"/>
        </w:rPr>
        <w:footnoteRef/>
      </w:r>
      <w:r>
        <w:t xml:space="preserve"> Homer</w:t>
      </w:r>
      <w:r w:rsidR="00235122">
        <w:t xml:space="preserve">, </w:t>
      </w:r>
      <w:r w:rsidR="00235122" w:rsidRPr="00D7763A">
        <w:rPr>
          <w:i/>
        </w:rPr>
        <w:t>The</w:t>
      </w:r>
      <w:r w:rsidRPr="00D7763A">
        <w:rPr>
          <w:i/>
        </w:rPr>
        <w:t xml:space="preserve"> Odyssey</w:t>
      </w:r>
      <w:r w:rsidR="00235122" w:rsidRPr="00D7763A">
        <w:rPr>
          <w:i/>
        </w:rPr>
        <w:t>,</w:t>
      </w:r>
      <w:r w:rsidR="00235122">
        <w:t xml:space="preserve"> translated by E. V. </w:t>
      </w:r>
      <w:proofErr w:type="spellStart"/>
      <w:r w:rsidR="00235122">
        <w:t>Rieu</w:t>
      </w:r>
      <w:proofErr w:type="spellEnd"/>
      <w:r w:rsidR="00235122">
        <w:t xml:space="preserve"> </w:t>
      </w:r>
      <w:r w:rsidR="00D7763A">
        <w:t xml:space="preserve">(Newcastle: University of Newcastle Upon Tyne, 1946) </w:t>
      </w:r>
      <w:r w:rsidR="00456406">
        <w:t>Book 1 line 20 - 21</w:t>
      </w:r>
    </w:p>
  </w:footnote>
  <w:footnote w:id="34">
    <w:p w14:paraId="0C3F0083" w14:textId="01538DB0" w:rsidR="00456406" w:rsidRDefault="00456406">
      <w:pPr>
        <w:pStyle w:val="FootnoteText"/>
      </w:pPr>
      <w:r>
        <w:rPr>
          <w:rStyle w:val="FootnoteReference"/>
        </w:rPr>
        <w:footnoteRef/>
      </w:r>
      <w:r>
        <w:t xml:space="preserve"> Ibid., Book 10 Line 503</w:t>
      </w:r>
    </w:p>
  </w:footnote>
  <w:footnote w:id="35">
    <w:p w14:paraId="2AE5494D" w14:textId="4820DB83" w:rsidR="00456406" w:rsidRDefault="00456406">
      <w:pPr>
        <w:pStyle w:val="FootnoteText"/>
      </w:pPr>
      <w:r>
        <w:rPr>
          <w:rStyle w:val="FootnoteReference"/>
        </w:rPr>
        <w:footnoteRef/>
      </w:r>
      <w:r>
        <w:t xml:space="preserve"> Ibid., Book 1</w:t>
      </w:r>
      <w:r w:rsidR="00464EAA">
        <w:t>1</w:t>
      </w:r>
      <w:r>
        <w:t xml:space="preserve"> Line </w:t>
      </w:r>
      <w:r w:rsidR="00510299">
        <w:t>93</w:t>
      </w:r>
    </w:p>
  </w:footnote>
  <w:footnote w:id="36">
    <w:p w14:paraId="67D92C6C" w14:textId="1BCF0C0F" w:rsidR="00DF771C" w:rsidRDefault="00DF771C">
      <w:pPr>
        <w:pStyle w:val="FootnoteText"/>
      </w:pPr>
      <w:r>
        <w:rPr>
          <w:rStyle w:val="FootnoteReference"/>
        </w:rPr>
        <w:footnoteRef/>
      </w:r>
      <w:r>
        <w:t xml:space="preserve"> </w:t>
      </w:r>
      <w:r w:rsidR="0089124E">
        <w:t xml:space="preserve">G. V. </w:t>
      </w:r>
      <w:r>
        <w:t>Smithers</w:t>
      </w:r>
      <w:r w:rsidR="0089124E">
        <w:t xml:space="preserve">, </w:t>
      </w:r>
      <w:r w:rsidR="0089124E" w:rsidRPr="0058319D">
        <w:rPr>
          <w:i/>
        </w:rPr>
        <w:t>The Making of Beowulf</w:t>
      </w:r>
      <w:r w:rsidR="0089124E">
        <w:t xml:space="preserve"> (Durham: University of Durham Publishing, </w:t>
      </w:r>
      <w:r w:rsidR="0058319D">
        <w:t>1961)</w:t>
      </w:r>
      <w:r>
        <w:t xml:space="preserve"> p.6</w:t>
      </w:r>
    </w:p>
  </w:footnote>
  <w:footnote w:id="37">
    <w:p w14:paraId="2562371A" w14:textId="375F6A9B" w:rsidR="006B3E92" w:rsidRDefault="006B3E92">
      <w:pPr>
        <w:pStyle w:val="FootnoteText"/>
      </w:pPr>
      <w:r>
        <w:rPr>
          <w:rStyle w:val="FootnoteReference"/>
        </w:rPr>
        <w:footnoteRef/>
      </w:r>
      <w:r>
        <w:t xml:space="preserve"> Ibid.</w:t>
      </w:r>
    </w:p>
  </w:footnote>
  <w:footnote w:id="38">
    <w:p w14:paraId="18BAABA8" w14:textId="191F1320" w:rsidR="004548D7" w:rsidRDefault="004548D7">
      <w:pPr>
        <w:pStyle w:val="FootnoteText"/>
      </w:pPr>
      <w:r>
        <w:rPr>
          <w:rStyle w:val="FootnoteReference"/>
        </w:rPr>
        <w:footnoteRef/>
      </w:r>
      <w:r>
        <w:t xml:space="preserve"> Ibid., p.7</w:t>
      </w:r>
    </w:p>
  </w:footnote>
  <w:footnote w:id="39">
    <w:p w14:paraId="6FCA27AB" w14:textId="5996FDBE" w:rsidR="00E14BAA" w:rsidRDefault="00E14BAA">
      <w:pPr>
        <w:pStyle w:val="FootnoteText"/>
      </w:pPr>
      <w:r>
        <w:rPr>
          <w:rStyle w:val="FootnoteReference"/>
        </w:rPr>
        <w:footnoteRef/>
      </w:r>
      <w:r>
        <w:t xml:space="preserve"> Ibid. </w:t>
      </w:r>
    </w:p>
  </w:footnote>
  <w:footnote w:id="40">
    <w:p w14:paraId="490F16CF" w14:textId="08421824" w:rsidR="003B3700" w:rsidRDefault="003B3700">
      <w:pPr>
        <w:pStyle w:val="FootnoteText"/>
      </w:pPr>
      <w:r>
        <w:rPr>
          <w:rStyle w:val="FootnoteReference"/>
        </w:rPr>
        <w:footnoteRef/>
      </w:r>
      <w:r>
        <w:t xml:space="preserve"> Ibid. </w:t>
      </w:r>
    </w:p>
  </w:footnote>
  <w:footnote w:id="41">
    <w:p w14:paraId="2E761519" w14:textId="208954E8" w:rsidR="002D3A04" w:rsidRDefault="002D3A04">
      <w:pPr>
        <w:pStyle w:val="FootnoteText"/>
      </w:pPr>
      <w:r>
        <w:rPr>
          <w:rStyle w:val="FootnoteReference"/>
        </w:rPr>
        <w:footnoteRef/>
      </w:r>
      <w:r>
        <w:t xml:space="preserve"> </w:t>
      </w:r>
      <w:r w:rsidR="002C2255" w:rsidRPr="006A2DE3">
        <w:rPr>
          <w:i/>
        </w:rPr>
        <w:t>Beowulf,</w:t>
      </w:r>
      <w:r w:rsidR="002C2255">
        <w:t xml:space="preserve"> translated by Michael Swanton (Manchester and New York: Manchester University Press, 1994) lines </w:t>
      </w:r>
      <w:r w:rsidR="00CC0E0E">
        <w:t>115 -117</w:t>
      </w:r>
    </w:p>
  </w:footnote>
  <w:footnote w:id="42">
    <w:p w14:paraId="1CCA9026" w14:textId="5E0F1857" w:rsidR="004578FB" w:rsidRDefault="004578FB">
      <w:pPr>
        <w:pStyle w:val="FootnoteText"/>
      </w:pPr>
      <w:r>
        <w:rPr>
          <w:rStyle w:val="FootnoteReference"/>
        </w:rPr>
        <w:footnoteRef/>
      </w:r>
      <w:r>
        <w:t xml:space="preserve"> </w:t>
      </w:r>
      <w:r w:rsidR="0058319D">
        <w:t xml:space="preserve">Smithers, </w:t>
      </w:r>
      <w:r w:rsidR="0058319D" w:rsidRPr="0058319D">
        <w:rPr>
          <w:i/>
        </w:rPr>
        <w:t>The Making of Beowulf</w:t>
      </w:r>
      <w:r w:rsidR="00D10080">
        <w:rPr>
          <w:i/>
        </w:rPr>
        <w:t>,</w:t>
      </w:r>
      <w:r w:rsidR="0058319D">
        <w:t xml:space="preserve"> p.6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6723C"/>
    <w:multiLevelType w:val="hybridMultilevel"/>
    <w:tmpl w:val="B4442A9A"/>
    <w:lvl w:ilvl="0" w:tplc="D570DD6A">
      <w:numFmt w:val="bullet"/>
      <w:lvlText w:val="-"/>
      <w:lvlJc w:val="left"/>
      <w:pPr>
        <w:ind w:left="6840" w:hanging="360"/>
      </w:pPr>
      <w:rPr>
        <w:rFonts w:ascii="Calibri" w:eastAsiaTheme="minorHAnsi" w:hAnsi="Calibri" w:cs="Calibri" w:hint="default"/>
      </w:rPr>
    </w:lvl>
    <w:lvl w:ilvl="1" w:tplc="08090003" w:tentative="1">
      <w:start w:val="1"/>
      <w:numFmt w:val="bullet"/>
      <w:lvlText w:val="o"/>
      <w:lvlJc w:val="left"/>
      <w:pPr>
        <w:ind w:left="7560" w:hanging="360"/>
      </w:pPr>
      <w:rPr>
        <w:rFonts w:ascii="Courier New" w:hAnsi="Courier New" w:cs="Courier New" w:hint="default"/>
      </w:rPr>
    </w:lvl>
    <w:lvl w:ilvl="2" w:tplc="08090005" w:tentative="1">
      <w:start w:val="1"/>
      <w:numFmt w:val="bullet"/>
      <w:lvlText w:val=""/>
      <w:lvlJc w:val="left"/>
      <w:pPr>
        <w:ind w:left="8280" w:hanging="360"/>
      </w:pPr>
      <w:rPr>
        <w:rFonts w:ascii="Wingdings" w:hAnsi="Wingdings" w:hint="default"/>
      </w:rPr>
    </w:lvl>
    <w:lvl w:ilvl="3" w:tplc="08090001" w:tentative="1">
      <w:start w:val="1"/>
      <w:numFmt w:val="bullet"/>
      <w:lvlText w:val=""/>
      <w:lvlJc w:val="left"/>
      <w:pPr>
        <w:ind w:left="9000" w:hanging="360"/>
      </w:pPr>
      <w:rPr>
        <w:rFonts w:ascii="Symbol" w:hAnsi="Symbol" w:hint="default"/>
      </w:rPr>
    </w:lvl>
    <w:lvl w:ilvl="4" w:tplc="08090003" w:tentative="1">
      <w:start w:val="1"/>
      <w:numFmt w:val="bullet"/>
      <w:lvlText w:val="o"/>
      <w:lvlJc w:val="left"/>
      <w:pPr>
        <w:ind w:left="9720" w:hanging="360"/>
      </w:pPr>
      <w:rPr>
        <w:rFonts w:ascii="Courier New" w:hAnsi="Courier New" w:cs="Courier New" w:hint="default"/>
      </w:rPr>
    </w:lvl>
    <w:lvl w:ilvl="5" w:tplc="08090005" w:tentative="1">
      <w:start w:val="1"/>
      <w:numFmt w:val="bullet"/>
      <w:lvlText w:val=""/>
      <w:lvlJc w:val="left"/>
      <w:pPr>
        <w:ind w:left="10440" w:hanging="360"/>
      </w:pPr>
      <w:rPr>
        <w:rFonts w:ascii="Wingdings" w:hAnsi="Wingdings" w:hint="default"/>
      </w:rPr>
    </w:lvl>
    <w:lvl w:ilvl="6" w:tplc="08090001" w:tentative="1">
      <w:start w:val="1"/>
      <w:numFmt w:val="bullet"/>
      <w:lvlText w:val=""/>
      <w:lvlJc w:val="left"/>
      <w:pPr>
        <w:ind w:left="11160" w:hanging="360"/>
      </w:pPr>
      <w:rPr>
        <w:rFonts w:ascii="Symbol" w:hAnsi="Symbol" w:hint="default"/>
      </w:rPr>
    </w:lvl>
    <w:lvl w:ilvl="7" w:tplc="08090003" w:tentative="1">
      <w:start w:val="1"/>
      <w:numFmt w:val="bullet"/>
      <w:lvlText w:val="o"/>
      <w:lvlJc w:val="left"/>
      <w:pPr>
        <w:ind w:left="11880" w:hanging="360"/>
      </w:pPr>
      <w:rPr>
        <w:rFonts w:ascii="Courier New" w:hAnsi="Courier New" w:cs="Courier New" w:hint="default"/>
      </w:rPr>
    </w:lvl>
    <w:lvl w:ilvl="8" w:tplc="08090005" w:tentative="1">
      <w:start w:val="1"/>
      <w:numFmt w:val="bullet"/>
      <w:lvlText w:val=""/>
      <w:lvlJc w:val="left"/>
      <w:pPr>
        <w:ind w:left="126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45D"/>
    <w:rsid w:val="00002DC0"/>
    <w:rsid w:val="0000545F"/>
    <w:rsid w:val="000102DE"/>
    <w:rsid w:val="00010E7A"/>
    <w:rsid w:val="00015826"/>
    <w:rsid w:val="000178E4"/>
    <w:rsid w:val="0002279C"/>
    <w:rsid w:val="00023361"/>
    <w:rsid w:val="00036300"/>
    <w:rsid w:val="00055A39"/>
    <w:rsid w:val="00064078"/>
    <w:rsid w:val="00065D8E"/>
    <w:rsid w:val="00075655"/>
    <w:rsid w:val="0007586B"/>
    <w:rsid w:val="00080734"/>
    <w:rsid w:val="00085041"/>
    <w:rsid w:val="000873BD"/>
    <w:rsid w:val="00094E8C"/>
    <w:rsid w:val="00094E9D"/>
    <w:rsid w:val="000975B0"/>
    <w:rsid w:val="000A24DA"/>
    <w:rsid w:val="000A27C0"/>
    <w:rsid w:val="000D5D19"/>
    <w:rsid w:val="000D7271"/>
    <w:rsid w:val="000E655F"/>
    <w:rsid w:val="000F2D45"/>
    <w:rsid w:val="000F32DA"/>
    <w:rsid w:val="001052C1"/>
    <w:rsid w:val="00140B8A"/>
    <w:rsid w:val="00144A9F"/>
    <w:rsid w:val="00145B3F"/>
    <w:rsid w:val="0015158B"/>
    <w:rsid w:val="0015348A"/>
    <w:rsid w:val="001538B1"/>
    <w:rsid w:val="001606E2"/>
    <w:rsid w:val="001629E4"/>
    <w:rsid w:val="00167FAE"/>
    <w:rsid w:val="00172978"/>
    <w:rsid w:val="001909DC"/>
    <w:rsid w:val="00192DAA"/>
    <w:rsid w:val="001A5F6A"/>
    <w:rsid w:val="001C081E"/>
    <w:rsid w:val="001E7608"/>
    <w:rsid w:val="00221F64"/>
    <w:rsid w:val="00227C0A"/>
    <w:rsid w:val="0023430A"/>
    <w:rsid w:val="00235122"/>
    <w:rsid w:val="002371F3"/>
    <w:rsid w:val="0024149C"/>
    <w:rsid w:val="00251461"/>
    <w:rsid w:val="002551FC"/>
    <w:rsid w:val="00297606"/>
    <w:rsid w:val="002A15B2"/>
    <w:rsid w:val="002A48E7"/>
    <w:rsid w:val="002C1FDA"/>
    <w:rsid w:val="002C2255"/>
    <w:rsid w:val="002C642F"/>
    <w:rsid w:val="002D3A04"/>
    <w:rsid w:val="002D50D6"/>
    <w:rsid w:val="002D64CA"/>
    <w:rsid w:val="002D7034"/>
    <w:rsid w:val="00311A37"/>
    <w:rsid w:val="0031220C"/>
    <w:rsid w:val="003151CE"/>
    <w:rsid w:val="00323954"/>
    <w:rsid w:val="003276CE"/>
    <w:rsid w:val="00327DA9"/>
    <w:rsid w:val="003360B2"/>
    <w:rsid w:val="00337226"/>
    <w:rsid w:val="00366650"/>
    <w:rsid w:val="003677EE"/>
    <w:rsid w:val="00367EB9"/>
    <w:rsid w:val="00370D2F"/>
    <w:rsid w:val="003865FF"/>
    <w:rsid w:val="00392BED"/>
    <w:rsid w:val="003A7710"/>
    <w:rsid w:val="003B18BF"/>
    <w:rsid w:val="003B3700"/>
    <w:rsid w:val="003B5D63"/>
    <w:rsid w:val="003B7A50"/>
    <w:rsid w:val="003D63BE"/>
    <w:rsid w:val="003E46EB"/>
    <w:rsid w:val="004006C6"/>
    <w:rsid w:val="00424455"/>
    <w:rsid w:val="004408CC"/>
    <w:rsid w:val="004443B4"/>
    <w:rsid w:val="004548D7"/>
    <w:rsid w:val="00456406"/>
    <w:rsid w:val="00456B92"/>
    <w:rsid w:val="004578FB"/>
    <w:rsid w:val="0046322F"/>
    <w:rsid w:val="00464EAA"/>
    <w:rsid w:val="00476DB8"/>
    <w:rsid w:val="00483AA4"/>
    <w:rsid w:val="004911E6"/>
    <w:rsid w:val="004B0F54"/>
    <w:rsid w:val="004B25D2"/>
    <w:rsid w:val="004B7FDA"/>
    <w:rsid w:val="004C1133"/>
    <w:rsid w:val="004C43FE"/>
    <w:rsid w:val="004D1980"/>
    <w:rsid w:val="004D63E3"/>
    <w:rsid w:val="004D70AA"/>
    <w:rsid w:val="004E4611"/>
    <w:rsid w:val="004E68F3"/>
    <w:rsid w:val="00510299"/>
    <w:rsid w:val="0051473F"/>
    <w:rsid w:val="00531C0B"/>
    <w:rsid w:val="00536BA0"/>
    <w:rsid w:val="00537551"/>
    <w:rsid w:val="00556FD8"/>
    <w:rsid w:val="0057253E"/>
    <w:rsid w:val="00575416"/>
    <w:rsid w:val="005801A3"/>
    <w:rsid w:val="0058319D"/>
    <w:rsid w:val="00597E49"/>
    <w:rsid w:val="005B135E"/>
    <w:rsid w:val="005B7BB8"/>
    <w:rsid w:val="005E27CB"/>
    <w:rsid w:val="005E5671"/>
    <w:rsid w:val="00603BDE"/>
    <w:rsid w:val="00607AA0"/>
    <w:rsid w:val="00620DF1"/>
    <w:rsid w:val="00621ECF"/>
    <w:rsid w:val="0063454E"/>
    <w:rsid w:val="006434BB"/>
    <w:rsid w:val="00646C9E"/>
    <w:rsid w:val="006533B4"/>
    <w:rsid w:val="006637AC"/>
    <w:rsid w:val="006657F4"/>
    <w:rsid w:val="006A10B2"/>
    <w:rsid w:val="006A2DE3"/>
    <w:rsid w:val="006A3D2E"/>
    <w:rsid w:val="006A7E59"/>
    <w:rsid w:val="006B3E92"/>
    <w:rsid w:val="006B44BA"/>
    <w:rsid w:val="006E4876"/>
    <w:rsid w:val="006F50D4"/>
    <w:rsid w:val="00706389"/>
    <w:rsid w:val="007132E4"/>
    <w:rsid w:val="007169AA"/>
    <w:rsid w:val="007255E7"/>
    <w:rsid w:val="007274E2"/>
    <w:rsid w:val="00727569"/>
    <w:rsid w:val="00744BF1"/>
    <w:rsid w:val="0075619D"/>
    <w:rsid w:val="007570FE"/>
    <w:rsid w:val="00773109"/>
    <w:rsid w:val="007812C0"/>
    <w:rsid w:val="007833DD"/>
    <w:rsid w:val="00795292"/>
    <w:rsid w:val="00795EBD"/>
    <w:rsid w:val="007A7819"/>
    <w:rsid w:val="007B1711"/>
    <w:rsid w:val="007C76FD"/>
    <w:rsid w:val="007D1F0A"/>
    <w:rsid w:val="007E75D5"/>
    <w:rsid w:val="007E7A16"/>
    <w:rsid w:val="007F00C6"/>
    <w:rsid w:val="007F22A5"/>
    <w:rsid w:val="007F46A1"/>
    <w:rsid w:val="008026EB"/>
    <w:rsid w:val="00823224"/>
    <w:rsid w:val="00844111"/>
    <w:rsid w:val="008510BD"/>
    <w:rsid w:val="0086123B"/>
    <w:rsid w:val="00864AC8"/>
    <w:rsid w:val="00864B41"/>
    <w:rsid w:val="00865F83"/>
    <w:rsid w:val="008738F3"/>
    <w:rsid w:val="0087677C"/>
    <w:rsid w:val="00881BA4"/>
    <w:rsid w:val="0089124E"/>
    <w:rsid w:val="008A6AE7"/>
    <w:rsid w:val="008B004F"/>
    <w:rsid w:val="008C2CEA"/>
    <w:rsid w:val="008D5B42"/>
    <w:rsid w:val="008D798B"/>
    <w:rsid w:val="008F5414"/>
    <w:rsid w:val="00912B7E"/>
    <w:rsid w:val="00915A2E"/>
    <w:rsid w:val="00922BFF"/>
    <w:rsid w:val="00923F20"/>
    <w:rsid w:val="00935C4D"/>
    <w:rsid w:val="00936123"/>
    <w:rsid w:val="00942E4F"/>
    <w:rsid w:val="00951163"/>
    <w:rsid w:val="0095536C"/>
    <w:rsid w:val="00994EA8"/>
    <w:rsid w:val="00997533"/>
    <w:rsid w:val="009A4C5E"/>
    <w:rsid w:val="009B1BB2"/>
    <w:rsid w:val="009B2C01"/>
    <w:rsid w:val="009C1930"/>
    <w:rsid w:val="009E066C"/>
    <w:rsid w:val="009E08FE"/>
    <w:rsid w:val="009F08E7"/>
    <w:rsid w:val="00A04E30"/>
    <w:rsid w:val="00A10D62"/>
    <w:rsid w:val="00A2608D"/>
    <w:rsid w:val="00A27A3A"/>
    <w:rsid w:val="00A750F4"/>
    <w:rsid w:val="00A94448"/>
    <w:rsid w:val="00AA092B"/>
    <w:rsid w:val="00AC2876"/>
    <w:rsid w:val="00AC622C"/>
    <w:rsid w:val="00AC670D"/>
    <w:rsid w:val="00AC7F47"/>
    <w:rsid w:val="00AD0AC6"/>
    <w:rsid w:val="00B15279"/>
    <w:rsid w:val="00B23712"/>
    <w:rsid w:val="00B24219"/>
    <w:rsid w:val="00B3436C"/>
    <w:rsid w:val="00B379AA"/>
    <w:rsid w:val="00B611AF"/>
    <w:rsid w:val="00B734CE"/>
    <w:rsid w:val="00B91981"/>
    <w:rsid w:val="00B95007"/>
    <w:rsid w:val="00BA7FB3"/>
    <w:rsid w:val="00BB3EDA"/>
    <w:rsid w:val="00BC077E"/>
    <w:rsid w:val="00BD06D9"/>
    <w:rsid w:val="00BF2DA3"/>
    <w:rsid w:val="00BF6417"/>
    <w:rsid w:val="00BF688B"/>
    <w:rsid w:val="00C020ED"/>
    <w:rsid w:val="00C05BA2"/>
    <w:rsid w:val="00C062F3"/>
    <w:rsid w:val="00C138F0"/>
    <w:rsid w:val="00C13B4F"/>
    <w:rsid w:val="00C203D8"/>
    <w:rsid w:val="00C218DC"/>
    <w:rsid w:val="00C278E5"/>
    <w:rsid w:val="00C3121B"/>
    <w:rsid w:val="00C32468"/>
    <w:rsid w:val="00C3526D"/>
    <w:rsid w:val="00C629C3"/>
    <w:rsid w:val="00C678F1"/>
    <w:rsid w:val="00C9245D"/>
    <w:rsid w:val="00CB1503"/>
    <w:rsid w:val="00CB533C"/>
    <w:rsid w:val="00CC0E0E"/>
    <w:rsid w:val="00CC6997"/>
    <w:rsid w:val="00CC6E9F"/>
    <w:rsid w:val="00CE5403"/>
    <w:rsid w:val="00CF50DD"/>
    <w:rsid w:val="00D10080"/>
    <w:rsid w:val="00D15A1F"/>
    <w:rsid w:val="00D31072"/>
    <w:rsid w:val="00D41327"/>
    <w:rsid w:val="00D437D2"/>
    <w:rsid w:val="00D43D8B"/>
    <w:rsid w:val="00D46118"/>
    <w:rsid w:val="00D60F85"/>
    <w:rsid w:val="00D65849"/>
    <w:rsid w:val="00D66B36"/>
    <w:rsid w:val="00D678C0"/>
    <w:rsid w:val="00D74531"/>
    <w:rsid w:val="00D7763A"/>
    <w:rsid w:val="00D943D4"/>
    <w:rsid w:val="00DB0B47"/>
    <w:rsid w:val="00DB634A"/>
    <w:rsid w:val="00DD50A1"/>
    <w:rsid w:val="00DD73F9"/>
    <w:rsid w:val="00DF771C"/>
    <w:rsid w:val="00E0039C"/>
    <w:rsid w:val="00E131DC"/>
    <w:rsid w:val="00E14BAA"/>
    <w:rsid w:val="00E21276"/>
    <w:rsid w:val="00E2138B"/>
    <w:rsid w:val="00E23495"/>
    <w:rsid w:val="00E35951"/>
    <w:rsid w:val="00E40EE5"/>
    <w:rsid w:val="00E578BC"/>
    <w:rsid w:val="00E721E6"/>
    <w:rsid w:val="00E7632C"/>
    <w:rsid w:val="00E959A0"/>
    <w:rsid w:val="00EA18A6"/>
    <w:rsid w:val="00EC2EB0"/>
    <w:rsid w:val="00ED3069"/>
    <w:rsid w:val="00F078D3"/>
    <w:rsid w:val="00F171F3"/>
    <w:rsid w:val="00F409C3"/>
    <w:rsid w:val="00F445B3"/>
    <w:rsid w:val="00F5371E"/>
    <w:rsid w:val="00F56EE7"/>
    <w:rsid w:val="00F71537"/>
    <w:rsid w:val="00F7388F"/>
    <w:rsid w:val="00F80413"/>
    <w:rsid w:val="00F85C9D"/>
    <w:rsid w:val="00F92A0E"/>
    <w:rsid w:val="00FA2373"/>
    <w:rsid w:val="00FA4ED3"/>
    <w:rsid w:val="00FC2797"/>
    <w:rsid w:val="00FD1300"/>
    <w:rsid w:val="00FD181A"/>
    <w:rsid w:val="00FD440F"/>
    <w:rsid w:val="00FE5A99"/>
    <w:rsid w:val="00FF58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F8F88"/>
  <w15:chartTrackingRefBased/>
  <w15:docId w15:val="{41ADA404-DD45-4B7E-B88A-B766B6BC4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3454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3454E"/>
    <w:rPr>
      <w:sz w:val="20"/>
      <w:szCs w:val="20"/>
    </w:rPr>
  </w:style>
  <w:style w:type="character" w:styleId="FootnoteReference">
    <w:name w:val="footnote reference"/>
    <w:basedOn w:val="DefaultParagraphFont"/>
    <w:uiPriority w:val="99"/>
    <w:semiHidden/>
    <w:unhideWhenUsed/>
    <w:rsid w:val="0063454E"/>
    <w:rPr>
      <w:vertAlign w:val="superscript"/>
    </w:rPr>
  </w:style>
  <w:style w:type="paragraph" w:styleId="ListParagraph">
    <w:name w:val="List Paragraph"/>
    <w:basedOn w:val="Normal"/>
    <w:uiPriority w:val="34"/>
    <w:qFormat/>
    <w:rsid w:val="00C020ED"/>
    <w:pPr>
      <w:ind w:left="720"/>
      <w:contextualSpacing/>
    </w:pPr>
  </w:style>
  <w:style w:type="character" w:styleId="Hyperlink">
    <w:name w:val="Hyperlink"/>
    <w:basedOn w:val="DefaultParagraphFont"/>
    <w:uiPriority w:val="99"/>
    <w:unhideWhenUsed/>
    <w:rsid w:val="00E23495"/>
    <w:rPr>
      <w:color w:val="0563C1" w:themeColor="hyperlink"/>
      <w:u w:val="single"/>
    </w:rPr>
  </w:style>
  <w:style w:type="character" w:styleId="UnresolvedMention">
    <w:name w:val="Unresolved Mention"/>
    <w:basedOn w:val="DefaultParagraphFont"/>
    <w:uiPriority w:val="99"/>
    <w:semiHidden/>
    <w:unhideWhenUsed/>
    <w:rsid w:val="00E2349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4363120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jstor.org/stable/436312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BB3AC-542C-4A00-B097-D31D4A1C6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817</TotalTime>
  <Pages>5</Pages>
  <Words>1866</Words>
  <Characters>10637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Jane Collins</dc:creator>
  <cp:keywords/>
  <dc:description/>
  <cp:lastModifiedBy>Bethany Jane Collins</cp:lastModifiedBy>
  <cp:revision>292</cp:revision>
  <dcterms:created xsi:type="dcterms:W3CDTF">2018-04-29T09:35:00Z</dcterms:created>
  <dcterms:modified xsi:type="dcterms:W3CDTF">2018-05-04T21:24:00Z</dcterms:modified>
</cp:coreProperties>
</file>