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A1D72F">
      <w:pPr>
        <w:pStyle w:val="8"/>
        <w:framePr w:wrap="auto" w:vAnchor="margin" w:hAnchor="text" w:yAlign="inline"/>
        <w:jc w:val="both"/>
      </w:pPr>
    </w:p>
    <w:p w14:paraId="00D6040A">
      <w:pPr>
        <w:pStyle w:val="8"/>
        <w:framePr w:wrap="auto" w:vAnchor="margin" w:hAnchor="text" w:yAlign="inline"/>
        <w:jc w:val="both"/>
      </w:pPr>
      <w:r>
        <w:rPr>
          <w:rtl w:val="0"/>
        </w:rPr>
        <w:t xml:space="preserve"> </w:t>
      </w:r>
    </w:p>
    <w:p w14:paraId="4D3EACDD">
      <w:pPr>
        <w:pStyle w:val="8"/>
        <w:framePr w:wrap="auto" w:vAnchor="margin" w:hAnchor="text" w:yAlign="inline"/>
        <w:jc w:val="center"/>
      </w:pPr>
      <w:r>
        <w:rPr>
          <w:rtl w:val="0"/>
        </w:rPr>
        <w:t xml:space="preserve"> </w:t>
      </w:r>
    </w:p>
    <w:p w14:paraId="5BA34603">
      <w:pPr>
        <w:pStyle w:val="8"/>
        <w:framePr w:wrap="auto" w:vAnchor="margin" w:hAnchor="text" w:yAlign="inline"/>
        <w:jc w:val="center"/>
      </w:pPr>
      <w:r>
        <w:rPr>
          <w:rtl w:val="0"/>
        </w:rPr>
        <w:t xml:space="preserve"> </w:t>
      </w:r>
    </w:p>
    <w:p w14:paraId="239FFA57">
      <w:pPr>
        <w:pStyle w:val="8"/>
        <w:framePr w:wrap="auto" w:vAnchor="margin" w:hAnchor="text" w:yAlign="inline"/>
        <w:jc w:val="center"/>
      </w:pPr>
      <w:r>
        <w:rPr>
          <w:rtl w:val="0"/>
        </w:rPr>
        <w:t xml:space="preserve"> </w:t>
      </w:r>
    </w:p>
    <w:p w14:paraId="3C7542A7">
      <w:pPr>
        <w:pStyle w:val="8"/>
        <w:framePr w:wrap="auto" w:vAnchor="margin" w:hAnchor="text" w:yAlign="inline"/>
        <w:jc w:val="center"/>
      </w:pPr>
      <w:r>
        <w:rPr>
          <w:rtl w:val="0"/>
        </w:rPr>
        <w:t xml:space="preserve"> </w:t>
      </w:r>
    </w:p>
    <w:p w14:paraId="44651CBE">
      <w:pPr>
        <w:pStyle w:val="8"/>
        <w:framePr w:wrap="auto" w:vAnchor="margin" w:hAnchor="text" w:yAlign="inline"/>
        <w:jc w:val="center"/>
      </w:pPr>
      <w:r>
        <w:rPr>
          <w:rtl w:val="0"/>
        </w:rPr>
        <w:t xml:space="preserve"> </w:t>
      </w:r>
    </w:p>
    <w:p w14:paraId="45BDD6F3">
      <w:pPr>
        <w:pStyle w:val="8"/>
        <w:framePr w:wrap="auto" w:vAnchor="margin" w:hAnchor="text" w:yAlign="inline"/>
        <w:jc w:val="center"/>
        <w:rPr>
          <w:rFonts w:ascii="Calibri" w:hAnsi="Calibri" w:eastAsia="Calibri" w:cs="Calibri"/>
          <w:sz w:val="44"/>
          <w:szCs w:val="44"/>
        </w:rPr>
      </w:pPr>
      <w:r>
        <w:rPr>
          <w:rFonts w:ascii="Calibri" w:hAnsi="Calibri"/>
          <w:sz w:val="44"/>
          <w:szCs w:val="44"/>
          <w:rtl w:val="0"/>
          <w:lang w:val="en-US"/>
        </w:rPr>
        <w:t>Andrea Matthews</w:t>
      </w:r>
    </w:p>
    <w:p w14:paraId="6D65C521">
      <w:pPr>
        <w:pStyle w:val="8"/>
        <w:framePr w:wrap="auto" w:vAnchor="margin" w:hAnchor="text" w:yAlign="inline"/>
        <w:jc w:val="center"/>
        <w:rPr>
          <w:rFonts w:ascii="Calibri" w:hAnsi="Calibri" w:eastAsia="Calibri" w:cs="Calibri"/>
          <w:sz w:val="44"/>
          <w:szCs w:val="44"/>
        </w:rPr>
      </w:pPr>
      <w:r>
        <w:rPr>
          <w:rFonts w:ascii="Calibri" w:hAnsi="Calibri"/>
          <w:sz w:val="44"/>
          <w:szCs w:val="44"/>
          <w:rtl w:val="0"/>
          <w:lang w:val="en-US"/>
        </w:rPr>
        <w:t>Student Number: 0850916</w:t>
      </w:r>
    </w:p>
    <w:p w14:paraId="666863A4">
      <w:pPr>
        <w:pStyle w:val="8"/>
        <w:framePr w:wrap="auto" w:vAnchor="margin" w:hAnchor="text" w:yAlign="inline"/>
        <w:jc w:val="center"/>
        <w:rPr>
          <w:rFonts w:ascii="Calibri" w:hAnsi="Calibri" w:eastAsia="Calibri" w:cs="Calibri"/>
          <w:sz w:val="44"/>
          <w:szCs w:val="44"/>
        </w:rPr>
      </w:pPr>
      <w:r>
        <w:rPr>
          <w:rFonts w:ascii="Calibri" w:hAnsi="Calibri"/>
          <w:sz w:val="44"/>
          <w:szCs w:val="44"/>
          <w:rtl w:val="0"/>
        </w:rPr>
        <w:t xml:space="preserve"> </w:t>
      </w:r>
    </w:p>
    <w:p w14:paraId="093165EB">
      <w:pPr>
        <w:pStyle w:val="8"/>
        <w:framePr w:wrap="auto" w:vAnchor="margin" w:hAnchor="text" w:yAlign="inline"/>
        <w:jc w:val="center"/>
        <w:rPr>
          <w:rFonts w:ascii="Calibri" w:hAnsi="Calibri" w:eastAsia="Calibri" w:cs="Calibri"/>
          <w:sz w:val="44"/>
          <w:szCs w:val="44"/>
        </w:rPr>
      </w:pPr>
      <w:r>
        <w:rPr>
          <w:rFonts w:ascii="Calibri" w:hAnsi="Calibri"/>
          <w:sz w:val="44"/>
          <w:szCs w:val="44"/>
          <w:rtl w:val="0"/>
          <w:lang w:val="en-US"/>
        </w:rPr>
        <w:t>Level 5 Associate Diploma in People Management</w:t>
      </w:r>
    </w:p>
    <w:p w14:paraId="63739D7A">
      <w:pPr>
        <w:pStyle w:val="8"/>
        <w:framePr w:wrap="auto" w:vAnchor="margin" w:hAnchor="text" w:yAlign="inline"/>
        <w:jc w:val="center"/>
        <w:rPr>
          <w:rFonts w:ascii="Calibri" w:hAnsi="Calibri" w:eastAsia="Calibri" w:cs="Calibri"/>
          <w:sz w:val="44"/>
          <w:szCs w:val="44"/>
        </w:rPr>
      </w:pPr>
      <w:r>
        <w:rPr>
          <w:rFonts w:ascii="Calibri" w:hAnsi="Calibri"/>
          <w:sz w:val="44"/>
          <w:szCs w:val="44"/>
          <w:rtl w:val="0"/>
        </w:rPr>
        <w:t xml:space="preserve"> </w:t>
      </w:r>
    </w:p>
    <w:p w14:paraId="66170ED5">
      <w:pPr>
        <w:pStyle w:val="8"/>
        <w:framePr w:wrap="auto" w:vAnchor="margin" w:hAnchor="text" w:yAlign="inline"/>
        <w:jc w:val="center"/>
        <w:rPr>
          <w:rFonts w:ascii="Calibri" w:hAnsi="Calibri" w:eastAsia="Calibri" w:cs="Calibri"/>
          <w:sz w:val="44"/>
          <w:szCs w:val="44"/>
        </w:rPr>
      </w:pPr>
      <w:r>
        <w:rPr>
          <w:rFonts w:ascii="Calibri" w:hAnsi="Calibri"/>
          <w:sz w:val="44"/>
          <w:szCs w:val="44"/>
          <w:rtl w:val="0"/>
          <w:lang w:val="en-US"/>
        </w:rPr>
        <w:t>Specialist Employment Law</w:t>
      </w:r>
    </w:p>
    <w:p w14:paraId="37822B9E">
      <w:pPr>
        <w:pStyle w:val="8"/>
        <w:framePr w:wrap="auto" w:vAnchor="margin" w:hAnchor="text" w:yAlign="inline"/>
        <w:jc w:val="center"/>
        <w:rPr>
          <w:rFonts w:ascii="Calibri" w:hAnsi="Calibri" w:eastAsia="Calibri" w:cs="Calibri"/>
          <w:sz w:val="28"/>
          <w:szCs w:val="28"/>
        </w:rPr>
      </w:pPr>
      <w:r>
        <w:rPr>
          <w:rFonts w:ascii="Calibri" w:hAnsi="Calibri"/>
          <w:sz w:val="28"/>
          <w:szCs w:val="28"/>
          <w:rtl w:val="0"/>
        </w:rPr>
        <w:t xml:space="preserve"> </w:t>
      </w:r>
    </w:p>
    <w:p w14:paraId="14BFD99A">
      <w:pPr>
        <w:pStyle w:val="8"/>
        <w:framePr w:wrap="auto" w:vAnchor="margin" w:hAnchor="text" w:yAlign="inline"/>
        <w:jc w:val="center"/>
        <w:rPr>
          <w:rFonts w:ascii="Calibri" w:hAnsi="Calibri" w:eastAsia="Calibri" w:cs="Calibri"/>
          <w:outline w:val="0"/>
          <w:color w:val="000000"/>
          <w:kern w:val="0"/>
          <w:sz w:val="44"/>
          <w:szCs w:val="44"/>
          <w:u w:color="000000"/>
        </w:rPr>
      </w:pPr>
      <w:r>
        <w:rPr>
          <w:rFonts w:ascii="Calibri" w:hAnsi="Calibri"/>
          <w:sz w:val="44"/>
          <w:szCs w:val="44"/>
          <w:rtl w:val="0"/>
        </w:rPr>
        <w:t>(</w:t>
      </w:r>
      <w:r>
        <w:rPr>
          <w:rFonts w:ascii="Calibri" w:hAnsi="Calibri"/>
          <w:outline w:val="0"/>
          <w:color w:val="000000"/>
          <w:kern w:val="0"/>
          <w:sz w:val="44"/>
          <w:szCs w:val="44"/>
          <w:u w:color="000000"/>
          <w:rtl w:val="0"/>
        </w:rPr>
        <w:t>50S01)</w:t>
      </w:r>
    </w:p>
    <w:p w14:paraId="40413728">
      <w:pPr>
        <w:pStyle w:val="8"/>
        <w:framePr w:wrap="auto" w:vAnchor="margin" w:hAnchor="text" w:yAlign="inline"/>
        <w:jc w:val="center"/>
        <w:rPr>
          <w:rFonts w:ascii="Calibri" w:hAnsi="Calibri" w:eastAsia="Calibri" w:cs="Calibri"/>
          <w:outline w:val="0"/>
          <w:color w:val="000000"/>
          <w:kern w:val="0"/>
          <w:sz w:val="44"/>
          <w:szCs w:val="44"/>
          <w:u w:color="000000"/>
        </w:rPr>
      </w:pPr>
      <w:r>
        <w:rPr>
          <w:rFonts w:ascii="Calibri" w:hAnsi="Calibri"/>
          <w:outline w:val="0"/>
          <w:color w:val="000000"/>
          <w:kern w:val="0"/>
          <w:sz w:val="44"/>
          <w:szCs w:val="44"/>
          <w:u w:color="000000"/>
          <w:rtl w:val="0"/>
        </w:rPr>
        <w:t xml:space="preserve"> </w:t>
      </w:r>
    </w:p>
    <w:p w14:paraId="7639D023">
      <w:pPr>
        <w:pStyle w:val="8"/>
        <w:framePr w:wrap="auto" w:vAnchor="margin" w:hAnchor="text" w:yAlign="inline"/>
        <w:jc w:val="center"/>
        <w:rPr>
          <w:rFonts w:hint="default" w:ascii="Calibri" w:hAnsi="Calibri" w:eastAsia="Calibri" w:cs="Calibri"/>
          <w:outline w:val="0"/>
          <w:color w:val="000000"/>
          <w:kern w:val="0"/>
          <w:sz w:val="44"/>
          <w:szCs w:val="44"/>
          <w:u w:color="000000"/>
          <w:lang w:val="en-GB"/>
        </w:rPr>
      </w:pPr>
      <w:r>
        <w:rPr>
          <w:rFonts w:ascii="Calibri" w:hAnsi="Calibri"/>
          <w:outline w:val="0"/>
          <w:color w:val="000000"/>
          <w:kern w:val="0"/>
          <w:sz w:val="44"/>
          <w:szCs w:val="44"/>
          <w:u w:color="000000"/>
          <w:rtl w:val="0"/>
          <w:lang w:val="en-US"/>
        </w:rPr>
        <w:t>Total word count</w:t>
      </w:r>
      <w:r>
        <w:rPr>
          <w:rFonts w:hint="default" w:ascii="Calibri" w:hAnsi="Calibri"/>
          <w:outline w:val="0"/>
          <w:color w:val="000000"/>
          <w:kern w:val="0"/>
          <w:sz w:val="44"/>
          <w:szCs w:val="44"/>
          <w:u w:color="000000"/>
          <w:rtl w:val="0"/>
          <w:lang w:val="en-GB"/>
        </w:rPr>
        <w:t xml:space="preserve"> 4156</w:t>
      </w:r>
    </w:p>
    <w:p w14:paraId="66845B12">
      <w:pPr>
        <w:pStyle w:val="8"/>
        <w:framePr w:wrap="auto" w:vAnchor="margin" w:hAnchor="text" w:yAlign="inline"/>
        <w:jc w:val="center"/>
        <w:rPr>
          <w:rFonts w:ascii="Calibri" w:hAnsi="Calibri" w:eastAsia="Calibri" w:cs="Calibri"/>
          <w:sz w:val="44"/>
          <w:szCs w:val="44"/>
        </w:rPr>
      </w:pPr>
      <w:r>
        <w:rPr>
          <w:rFonts w:ascii="Calibri" w:hAnsi="Calibri"/>
          <w:sz w:val="44"/>
          <w:szCs w:val="44"/>
          <w:rtl w:val="0"/>
        </w:rPr>
        <w:t xml:space="preserve"> </w:t>
      </w:r>
    </w:p>
    <w:p w14:paraId="3808C482">
      <w:pPr>
        <w:pStyle w:val="8"/>
        <w:framePr w:wrap="auto" w:vAnchor="margin" w:hAnchor="text" w:yAlign="inline"/>
        <w:rPr>
          <w:rFonts w:ascii="Calibri" w:hAnsi="Calibri" w:eastAsia="Calibri" w:cs="Calibri"/>
          <w:b/>
          <w:bCs/>
        </w:rPr>
      </w:pPr>
      <w:r>
        <w:rPr>
          <w:rFonts w:ascii="Calibri" w:hAnsi="Calibri"/>
          <w:b/>
          <w:bCs/>
          <w:rtl w:val="0"/>
        </w:rPr>
        <w:t xml:space="preserve"> </w:t>
      </w:r>
    </w:p>
    <w:p w14:paraId="732607E2">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177468C1">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4B84C4E5">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53E9C623">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6187A106">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4B4ADF30">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5EF32F0B">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7A52292F">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34B73206">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64941BC6">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0BF60742">
      <w:pPr>
        <w:pStyle w:val="8"/>
        <w:framePr w:wrap="auto" w:vAnchor="margin" w:hAnchor="text" w:yAlign="inline"/>
        <w:rPr>
          <w:rFonts w:ascii="Calibri" w:hAnsi="Calibri" w:eastAsia="Calibri" w:cs="Calibri"/>
          <w:kern w:val="0"/>
        </w:rPr>
      </w:pPr>
      <w:r>
        <w:rPr>
          <w:rFonts w:ascii="Calibri" w:hAnsi="Calibri"/>
          <w:kern w:val="0"/>
          <w:rtl w:val="0"/>
        </w:rPr>
        <w:t xml:space="preserve"> </w:t>
      </w:r>
    </w:p>
    <w:p w14:paraId="4D3B1C78">
      <w:pPr>
        <w:pStyle w:val="9"/>
        <w:framePr w:wrap="auto" w:vAnchor="margin" w:hAnchor="text" w:yAlign="inline"/>
        <w:rPr>
          <w:rFonts w:ascii="Trebuchet MS" w:hAnsi="Trebuchet MS" w:eastAsia="Trebuchet MS" w:cs="Trebuchet MS"/>
          <w:i/>
          <w:iCs/>
          <w:outline w:val="0"/>
          <w:color w:val="004147"/>
          <w:sz w:val="48"/>
          <w:szCs w:val="48"/>
          <w:u w:color="004147"/>
        </w:rPr>
      </w:pPr>
      <w:r>
        <w:rPr>
          <w:rFonts w:ascii="Trebuchet MS" w:hAnsi="Trebuchet MS"/>
          <w:i/>
          <w:iCs/>
          <w:outline w:val="0"/>
          <w:color w:val="004147"/>
          <w:sz w:val="48"/>
          <w:szCs w:val="48"/>
          <w:u w:color="004147"/>
          <w:rtl w:val="0"/>
          <w:lang w:val="en-US"/>
        </w:rPr>
        <w:t xml:space="preserve"> </w:t>
      </w:r>
    </w:p>
    <w:p w14:paraId="04DB3EF8">
      <w:pPr>
        <w:pStyle w:val="9"/>
        <w:framePr w:wrap="auto" w:vAnchor="margin" w:hAnchor="text" w:yAlign="inline"/>
        <w:rPr>
          <w:rFonts w:ascii="Trebuchet MS" w:hAnsi="Trebuchet MS" w:eastAsia="Trebuchet MS" w:cs="Trebuchet MS"/>
          <w:b/>
          <w:bCs/>
        </w:rPr>
      </w:pPr>
      <w:r>
        <w:rPr>
          <w:rFonts w:ascii="Trebuchet MS" w:hAnsi="Trebuchet MS"/>
          <w:b/>
          <w:bCs/>
          <w:rtl w:val="0"/>
          <w:lang w:val="en-US"/>
        </w:rPr>
        <w:t xml:space="preserve"> </w:t>
      </w:r>
    </w:p>
    <w:p w14:paraId="53DEA784">
      <w:pPr>
        <w:pStyle w:val="9"/>
        <w:framePr w:wrap="auto" w:vAnchor="margin" w:hAnchor="text" w:yAlign="inline"/>
        <w:rPr>
          <w:rFonts w:ascii="Trebuchet MS" w:hAnsi="Trebuchet MS" w:eastAsia="Trebuchet MS" w:cs="Trebuchet MS"/>
          <w:b/>
          <w:bCs/>
        </w:rPr>
      </w:pPr>
    </w:p>
    <w:p w14:paraId="3C0C69CB">
      <w:pPr>
        <w:pStyle w:val="9"/>
        <w:framePr w:wrap="auto" w:vAnchor="margin" w:hAnchor="text" w:yAlign="inline"/>
        <w:rPr>
          <w:rFonts w:ascii="Trebuchet MS" w:hAnsi="Trebuchet MS" w:eastAsia="Trebuchet MS" w:cs="Trebuchet MS"/>
          <w:b/>
          <w:bCs/>
        </w:rPr>
      </w:pPr>
    </w:p>
    <w:p w14:paraId="54731AAE">
      <w:pPr>
        <w:pStyle w:val="9"/>
        <w:framePr w:wrap="auto" w:vAnchor="margin" w:hAnchor="text" w:yAlign="inline"/>
        <w:rPr>
          <w:rFonts w:ascii="Trebuchet MS" w:hAnsi="Trebuchet MS" w:eastAsia="Trebuchet MS" w:cs="Trebuchet MS"/>
          <w:b/>
          <w:bCs/>
        </w:rPr>
      </w:pPr>
    </w:p>
    <w:p w14:paraId="67557961">
      <w:pPr>
        <w:pStyle w:val="9"/>
        <w:framePr w:wrap="auto" w:vAnchor="margin" w:hAnchor="text" w:yAlign="inline"/>
        <w:rPr>
          <w:rFonts w:ascii="Trebuchet MS" w:hAnsi="Trebuchet MS" w:eastAsia="Trebuchet MS" w:cs="Trebuchet MS"/>
          <w:b/>
          <w:bCs/>
        </w:rPr>
      </w:pPr>
      <w:r>
        <w:rPr>
          <w:rFonts w:ascii="Trebuchet MS" w:hAnsi="Trebuchet MS"/>
          <w:b/>
          <w:bCs/>
          <w:rtl w:val="0"/>
          <w:lang w:val="en-US"/>
        </w:rPr>
        <w:t xml:space="preserve"> </w:t>
      </w:r>
    </w:p>
    <w:p w14:paraId="69E50A5F">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Email 1 (AC 1.1)</w:t>
      </w:r>
    </w:p>
    <w:p w14:paraId="2C58B08E">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53AEF898">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37F2AB02">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118B8B66">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It is important that employment regulations are taken into considerations when making decisions to ensure that the l</w:t>
      </w:r>
      <w:r>
        <w:rPr>
          <w:rFonts w:hint="default" w:ascii="Calibri" w:hAnsi="Calibri"/>
          <w:sz w:val="24"/>
          <w:szCs w:val="24"/>
          <w:rtl w:val="0"/>
          <w:lang w:val="en-GB"/>
        </w:rPr>
        <w:t>egislation</w:t>
      </w:r>
      <w:r>
        <w:rPr>
          <w:rFonts w:ascii="Calibri" w:hAnsi="Calibri"/>
          <w:sz w:val="24"/>
          <w:szCs w:val="24"/>
          <w:rtl w:val="0"/>
          <w:lang w:val="en-US"/>
        </w:rPr>
        <w:t xml:space="preserve"> is being adhered to in the workplace. According to the CIPD (2025), in order to maintain an effective working relationship between employer and employee, a people professional is key to upholding and creating a positive environment, whilst protecting the rights of both employer and employees.  </w:t>
      </w:r>
    </w:p>
    <w:p w14:paraId="30FDB8C7">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0464972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The main aims and objectives of employment regulation is to ensure that employees are treated fairly in the workplace and are not discriminated against in any way, protecting them from harm. According to Daniels (2025, pg. 3) all environments require a set of rules to follow which shape the culture and well being especially in the workplace. An example of key legislation is the Equality Act 2010 which key aim is to protect workers from discrimination and being treated less favourably, for example, unfair dismissal, fair recruitment and selection and working time management (ACAS, 2024). As a responsible professional acting on behalf of both the employee and employer, the people person helps to oversee that the appropriate levels of power are maintained and mitigates against an unbalance in favour of employers. </w:t>
      </w:r>
    </w:p>
    <w:p w14:paraId="040F935D">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507B6C44">
      <w:pPr>
        <w:pStyle w:val="9"/>
        <w:framePr w:wrap="auto" w:vAnchor="margin" w:hAnchor="text" w:yAlign="inline"/>
        <w:rPr>
          <w:rFonts w:hint="default" w:ascii="Calibri" w:hAnsi="Calibri"/>
          <w:sz w:val="24"/>
          <w:szCs w:val="24"/>
          <w:rtl w:val="0"/>
          <w:lang w:val="en-GB"/>
        </w:rPr>
      </w:pPr>
      <w:r>
        <w:rPr>
          <w:rFonts w:hint="default" w:ascii="Calibri" w:hAnsi="Calibri"/>
          <w:sz w:val="24"/>
          <w:szCs w:val="24"/>
          <w:rtl w:val="0"/>
          <w:lang w:val="en-GB"/>
        </w:rPr>
        <w:t xml:space="preserve">Upholding these </w:t>
      </w:r>
      <w:r>
        <w:rPr>
          <w:rFonts w:ascii="Calibri" w:hAnsi="Calibri"/>
          <w:sz w:val="24"/>
          <w:szCs w:val="24"/>
          <w:rtl w:val="0"/>
          <w:lang w:val="en-US"/>
        </w:rPr>
        <w:t xml:space="preserve">regulations present some limitations to both the employee and employer. According to a report produced for the UK government  (Jordan </w:t>
      </w:r>
      <w:r>
        <w:rPr>
          <w:rFonts w:ascii="Calibri" w:hAnsi="Calibri"/>
          <w:i/>
          <w:iCs/>
          <w:sz w:val="24"/>
          <w:szCs w:val="24"/>
          <w:rtl w:val="0"/>
          <w:lang w:val="en-US"/>
        </w:rPr>
        <w:t>et al</w:t>
      </w:r>
      <w:r>
        <w:rPr>
          <w:rFonts w:ascii="Calibri" w:hAnsi="Calibri"/>
          <w:sz w:val="24"/>
          <w:szCs w:val="24"/>
          <w:rtl w:val="0"/>
          <w:lang w:val="en-US"/>
        </w:rPr>
        <w:t>, 2013, pp. 44-45), employers raised concerns about regulations being burdensome and costly. The bureaucracy involved can be time consuming and require financial investment to implement policies and procedures. It could be argued that if an employee was to later use an employment tribunal due to unfair dismissal for example, this could be even more draining financially for a business. Financial constraints can also inflate unemployment due to companies not wanting to invest in growth</w:t>
      </w:r>
      <w:r>
        <w:rPr>
          <w:rFonts w:hint="default" w:ascii="Calibri" w:hAnsi="Calibri"/>
          <w:sz w:val="24"/>
          <w:szCs w:val="24"/>
          <w:rtl w:val="0"/>
          <w:lang w:val="en-GB"/>
        </w:rPr>
        <w:t xml:space="preserve">. </w:t>
      </w:r>
    </w:p>
    <w:p w14:paraId="2EF013BA">
      <w:pPr>
        <w:pStyle w:val="9"/>
        <w:framePr w:wrap="auto" w:vAnchor="margin" w:hAnchor="text" w:yAlign="inline"/>
        <w:rPr>
          <w:rFonts w:hint="default" w:ascii="Calibri" w:hAnsi="Calibri"/>
          <w:sz w:val="24"/>
          <w:szCs w:val="24"/>
          <w:rtl w:val="0"/>
          <w:lang w:val="en-GB"/>
        </w:rPr>
      </w:pPr>
    </w:p>
    <w:p w14:paraId="2A2DD353">
      <w:pPr>
        <w:pStyle w:val="9"/>
        <w:framePr w:wrap="auto" w:vAnchor="margin" w:hAnchor="text" w:yAlign="inline"/>
        <w:rPr>
          <w:rFonts w:ascii="Calibri" w:hAnsi="Calibri" w:eastAsia="Calibri" w:cs="Calibri"/>
          <w:sz w:val="24"/>
          <w:szCs w:val="24"/>
        </w:rPr>
      </w:pPr>
      <w:r>
        <w:rPr>
          <w:rFonts w:hint="default" w:ascii="Calibri" w:hAnsi="Calibri"/>
          <w:sz w:val="24"/>
          <w:szCs w:val="24"/>
          <w:rtl w:val="0"/>
          <w:lang w:val="en-GB"/>
        </w:rPr>
        <w:t>I appreciate that having to deal with these issues are time consuming</w:t>
      </w:r>
      <w:r>
        <w:rPr>
          <w:rFonts w:ascii="Calibri" w:hAnsi="Calibri"/>
          <w:sz w:val="24"/>
          <w:szCs w:val="24"/>
          <w:rtl w:val="0"/>
          <w:lang w:val="en-US"/>
        </w:rPr>
        <w:t xml:space="preserve"> nevertheless,</w:t>
      </w:r>
      <w:r>
        <w:rPr>
          <w:rFonts w:hint="default" w:ascii="Calibri" w:hAnsi="Calibri"/>
          <w:sz w:val="24"/>
          <w:szCs w:val="24"/>
          <w:rtl w:val="0"/>
          <w:lang w:val="en-GB"/>
        </w:rPr>
        <w:t xml:space="preserve"> it is important</w:t>
      </w:r>
      <w:r>
        <w:rPr>
          <w:rFonts w:ascii="Calibri" w:hAnsi="Calibri"/>
          <w:sz w:val="24"/>
          <w:szCs w:val="24"/>
          <w:rtl w:val="0"/>
          <w:lang w:val="en-US"/>
        </w:rPr>
        <w:t xml:space="preserve"> </w:t>
      </w:r>
      <w:r>
        <w:rPr>
          <w:rFonts w:hint="default" w:ascii="Calibri" w:hAnsi="Calibri"/>
          <w:sz w:val="24"/>
          <w:szCs w:val="24"/>
          <w:rtl w:val="0"/>
          <w:lang w:val="en-GB"/>
        </w:rPr>
        <w:t>to follow</w:t>
      </w:r>
      <w:r>
        <w:rPr>
          <w:rFonts w:ascii="Calibri" w:hAnsi="Calibri"/>
          <w:sz w:val="24"/>
          <w:szCs w:val="24"/>
          <w:rtl w:val="0"/>
          <w:lang w:val="en-US"/>
        </w:rPr>
        <w:t xml:space="preserve"> these regulations  to create a more productive environment, enhancing staff well being by promoting fair working conditions. </w:t>
      </w:r>
    </w:p>
    <w:p w14:paraId="6CEF2A3A">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3E37122F">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4D3604E">
      <w:pPr>
        <w:pStyle w:val="9"/>
        <w:framePr w:wrap="auto" w:vAnchor="margin" w:hAnchor="text" w:yAlign="inline"/>
        <w:rPr>
          <w:rFonts w:ascii="Calibri" w:hAnsi="Calibri"/>
          <w:sz w:val="24"/>
          <w:szCs w:val="24"/>
          <w:rtl w:val="0"/>
          <w:lang w:val="en-US"/>
        </w:rPr>
      </w:pPr>
      <w:r>
        <w:rPr>
          <w:rFonts w:ascii="Calibri" w:hAnsi="Calibri"/>
          <w:sz w:val="24"/>
          <w:szCs w:val="24"/>
          <w:rtl w:val="0"/>
          <w:lang w:val="en-US"/>
        </w:rPr>
        <w:t xml:space="preserve"> </w:t>
      </w:r>
    </w:p>
    <w:p w14:paraId="4BA922CB">
      <w:pPr>
        <w:pStyle w:val="9"/>
        <w:framePr w:wrap="auto" w:vAnchor="margin" w:hAnchor="text" w:yAlign="inline"/>
        <w:rPr>
          <w:rFonts w:hint="default" w:ascii="Calibri" w:hAnsi="Calibri"/>
          <w:sz w:val="24"/>
          <w:szCs w:val="24"/>
          <w:rtl w:val="0"/>
          <w:lang w:val="en-GB"/>
        </w:rPr>
      </w:pPr>
    </w:p>
    <w:p w14:paraId="21837D15">
      <w:pPr>
        <w:pStyle w:val="9"/>
        <w:framePr w:wrap="auto" w:vAnchor="margin" w:hAnchor="text" w:yAlign="inline"/>
        <w:rPr>
          <w:rFonts w:ascii="Calibri" w:hAnsi="Calibri" w:eastAsia="Calibri" w:cs="Calibri"/>
          <w:b/>
          <w:bCs/>
          <w:sz w:val="24"/>
          <w:szCs w:val="24"/>
        </w:rPr>
      </w:pPr>
      <w:r>
        <w:rPr>
          <w:rFonts w:ascii="Calibri" w:hAnsi="Calibri"/>
          <w:sz w:val="24"/>
          <w:szCs w:val="24"/>
          <w:rtl w:val="0"/>
          <w:lang w:val="en-US"/>
        </w:rPr>
        <w:t xml:space="preserve"> </w:t>
      </w:r>
    </w:p>
    <w:p w14:paraId="2123F14F">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Email 2 (AC 1.2)</w:t>
      </w:r>
    </w:p>
    <w:p w14:paraId="0200E245">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497DC629">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You are asked to brief a senior manager in your team about the status of judgments made by the European Court of Justice (ECJ) prior to the UK's departure from the European Union in 2020. Do these remain good law?  Are they still binding on the UK courts?  Or can they now be disregarded?  He asks for an example by way of illustration. </w:t>
      </w:r>
    </w:p>
    <w:p w14:paraId="70380908">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1884D26D">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Prior to the UK</w:t>
      </w:r>
      <w:r>
        <w:rPr>
          <w:rFonts w:hint="default" w:ascii="Calibri" w:hAnsi="Calibri"/>
          <w:sz w:val="24"/>
          <w:szCs w:val="24"/>
          <w:rtl w:val="0"/>
          <w:lang w:val="en-US"/>
        </w:rPr>
        <w:t>’</w:t>
      </w:r>
      <w:r>
        <w:rPr>
          <w:rFonts w:ascii="Calibri" w:hAnsi="Calibri"/>
          <w:sz w:val="24"/>
          <w:szCs w:val="24"/>
          <w:rtl w:val="0"/>
          <w:lang w:val="en-US"/>
        </w:rPr>
        <w:t>s departure f</w:t>
      </w:r>
      <w:r>
        <w:rPr>
          <w:rFonts w:hint="default" w:ascii="Calibri" w:hAnsi="Calibri"/>
          <w:sz w:val="24"/>
          <w:szCs w:val="24"/>
          <w:rtl w:val="0"/>
          <w:lang w:val="en-GB"/>
        </w:rPr>
        <w:t>rom</w:t>
      </w:r>
      <w:r>
        <w:rPr>
          <w:rFonts w:ascii="Calibri" w:hAnsi="Calibri"/>
          <w:sz w:val="24"/>
          <w:szCs w:val="24"/>
          <w:rtl w:val="0"/>
          <w:lang w:val="en-US"/>
        </w:rPr>
        <w:t xml:space="preserve"> the European Union in 2020, the status of judgments made by the European Court of Justice (law derived form the European Union), had a direct impact on employment law that was used within the UK. For example, working time regulations, health and safety and parenting were matters that were derived from European Directives (Lewis, Sargeant and Schwab, 2023). Following the Brexit vote in 2016, as part of the European Union (Withdrawal) Act 2018, all existing EU law was copied into UK law. Immediately after Brexit, the law did not change but the UK did have the right to make any changes it felt necessary as part of the process of independence (Daniels, 2025). Prior to 2020, when following rules of law, the European Court of Justice (ECJ) remained supreme however as part of the Brexit agreement in December 2020 this is no longer the case as any new laws created in the EU after 1</w:t>
      </w:r>
      <w:r>
        <w:rPr>
          <w:rFonts w:ascii="Calibri" w:hAnsi="Calibri"/>
          <w:sz w:val="24"/>
          <w:szCs w:val="24"/>
          <w:vertAlign w:val="superscript"/>
          <w:rtl w:val="0"/>
          <w:lang w:val="en-US"/>
        </w:rPr>
        <w:t>st</w:t>
      </w:r>
      <w:r>
        <w:rPr>
          <w:rFonts w:ascii="Calibri" w:hAnsi="Calibri"/>
          <w:sz w:val="24"/>
          <w:szCs w:val="24"/>
          <w:rtl w:val="0"/>
          <w:lang w:val="en-US"/>
        </w:rPr>
        <w:t xml:space="preserve"> January 2021, are not required to be adapted by the UK (CIPD, 2024).</w:t>
      </w:r>
    </w:p>
    <w:p w14:paraId="468F6B45">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34FE673E">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Following the Withdrawal </w:t>
      </w:r>
      <w:r>
        <w:rPr>
          <w:rFonts w:hint="default" w:ascii="Calibri" w:hAnsi="Calibri"/>
          <w:sz w:val="24"/>
          <w:szCs w:val="24"/>
          <w:rtl w:val="0"/>
          <w:lang w:val="en-GB"/>
        </w:rPr>
        <w:t>A</w:t>
      </w:r>
      <w:r>
        <w:rPr>
          <w:rFonts w:ascii="Calibri" w:hAnsi="Calibri"/>
          <w:sz w:val="24"/>
          <w:szCs w:val="24"/>
          <w:rtl w:val="0"/>
          <w:lang w:val="en-US"/>
        </w:rPr>
        <w:t xml:space="preserve">greement in December 2020, in June 2023 the Retained EU Law Act was introduced to ensure continuity at the end of the transition period but also to outline the laws that the UK saved after Brexit (Department of Business and Trade, 2022). The laws that were retained still stand as good law and binding in UK courts until they are amended by any future governments.  The Employment Rights  (Amendment, Recovation and Transitional Provision) Regulations 2023 were introduced to manage rights including TUPE and working time practices which were two areas that the UK were previously unable to amend (Daniels, 2025). </w:t>
      </w:r>
    </w:p>
    <w:p w14:paraId="5CBF9F0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3DCC97CA">
      <w:pPr>
        <w:pStyle w:val="9"/>
        <w:framePr w:wrap="auto" w:vAnchor="margin" w:hAnchor="text" w:yAlign="inline"/>
        <w:rPr>
          <w:rFonts w:ascii="Calibri" w:hAnsi="Calibri"/>
          <w:sz w:val="24"/>
          <w:szCs w:val="24"/>
          <w:rtl w:val="0"/>
          <w:lang w:val="en-US"/>
        </w:rPr>
      </w:pPr>
      <w:r>
        <w:rPr>
          <w:rFonts w:ascii="Calibri" w:hAnsi="Calibri"/>
          <w:sz w:val="24"/>
          <w:szCs w:val="24"/>
          <w:rtl w:val="0"/>
          <w:lang w:val="en-US"/>
        </w:rPr>
        <w:t xml:space="preserve">A specific example of this is the calculation of annual leave. As part of the European Working Time Directive a worker is entitled to a minimum of 4 weeks annual leave, however in the UK from 2009, annual leave entitlement is 5.6 weeks, exceeding the directive set by the EU. It is the entitlement of workers to be paid a weeks pay for each week accrued. This can be difficult to calculate if working variable hours. Organisations use the calculation of 12.07% of the hours worked to calculate holiday pay. An example of where this can be illustrated using the Employment Rights Regulations 2023 is </w:t>
      </w:r>
      <w:r>
        <w:rPr>
          <w:rFonts w:ascii="Calibri" w:hAnsi="Calibri"/>
          <w:i/>
          <w:iCs/>
          <w:sz w:val="24"/>
          <w:szCs w:val="24"/>
          <w:rtl w:val="0"/>
          <w:lang w:val="en-US"/>
        </w:rPr>
        <w:t>Harper Trust V Brazel (2022) UKSC 2019/0209</w:t>
      </w:r>
      <w:r>
        <w:rPr>
          <w:rFonts w:ascii="Calibri" w:hAnsi="Calibri"/>
          <w:sz w:val="24"/>
          <w:szCs w:val="24"/>
          <w:rtl w:val="0"/>
          <w:lang w:val="en-US"/>
        </w:rPr>
        <w:t>. Brazel was a term time only music teacher working irregular hours. She was paid 12.07% of the hours she worked. She argued that if this was rate would be higher if it was calculated using an average of the hours worked over a 12 week period, treating her less favourably in comparison to full time workers. This issue was resolved by introducing rolled up holiday pay based on the average earnings including overtime, bonuses etc (Daniels, 2025).</w:t>
      </w:r>
    </w:p>
    <w:p w14:paraId="6DF509FA">
      <w:pPr>
        <w:pStyle w:val="9"/>
        <w:framePr w:wrap="auto" w:vAnchor="margin" w:hAnchor="text" w:yAlign="inline"/>
        <w:rPr>
          <w:rFonts w:ascii="Calibri" w:hAnsi="Calibri"/>
          <w:sz w:val="24"/>
          <w:szCs w:val="24"/>
          <w:rtl w:val="0"/>
          <w:lang w:val="en-US"/>
        </w:rPr>
      </w:pPr>
    </w:p>
    <w:p w14:paraId="69CBCB2D">
      <w:pPr>
        <w:pStyle w:val="9"/>
        <w:framePr w:wrap="auto" w:vAnchor="margin" w:hAnchor="text" w:yAlign="inline"/>
        <w:rPr>
          <w:rFonts w:ascii="Calibri" w:hAnsi="Calibri"/>
          <w:sz w:val="24"/>
          <w:szCs w:val="24"/>
          <w:rtl w:val="0"/>
          <w:lang w:val="en-US"/>
        </w:rPr>
      </w:pPr>
    </w:p>
    <w:p w14:paraId="4239C004">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 xml:space="preserve">Email 3 (AC 2.1) </w:t>
      </w:r>
    </w:p>
    <w:p w14:paraId="7C1D21ED">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7500F98F">
      <w:pPr>
        <w:pStyle w:val="9"/>
        <w:framePr w:wrap="auto" w:vAnchor="margin" w:hAnchor="text" w:yAlign="inline"/>
        <w:rPr>
          <w:rFonts w:ascii="Calibri" w:hAnsi="Calibri" w:eastAsia="Calibri" w:cs="Calibri"/>
          <w:sz w:val="24"/>
          <w:szCs w:val="24"/>
        </w:rPr>
      </w:pPr>
      <w:r>
        <w:rPr>
          <w:rFonts w:ascii="Calibri" w:hAnsi="Calibri"/>
          <w:b/>
          <w:bCs/>
          <w:sz w:val="24"/>
          <w:szCs w:val="24"/>
          <w:rtl w:val="0"/>
          <w:lang w:val="en-US"/>
        </w:rPr>
        <w:t>A colleague asks for advice about 'occupational requirements'. She wants to know when she may and may not seek to stipulate that a job in her directorate must be carried out either by a man or a woman. Explain this to her, considering the main principles of discrimination law in recruitment and selection in your email with reference to specific examples</w:t>
      </w:r>
      <w:r>
        <w:rPr>
          <w:rFonts w:ascii="Calibri" w:hAnsi="Calibri"/>
          <w:sz w:val="24"/>
          <w:szCs w:val="24"/>
          <w:rtl w:val="0"/>
          <w:lang w:val="en-US"/>
        </w:rPr>
        <w:t xml:space="preserve">.  </w:t>
      </w:r>
    </w:p>
    <w:p w14:paraId="3FB7D397">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2F9DF46E">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The Equality Act 2010 is in place to ensure that anyone who possess a characteristic set out within the legislation is protected from discrimination whether that is direct, indirect, victimisation or harassment. During the recruitment and selection process it is essential that people professionals adhere to and follow a process that is fair and provides equal opportunities to a range of applicants regardless of their individual characteristics. According to Unison (2024), </w:t>
      </w:r>
      <w:r>
        <w:rPr>
          <w:rFonts w:hint="default" w:ascii="Calibri" w:hAnsi="Calibri"/>
          <w:sz w:val="24"/>
          <w:szCs w:val="24"/>
          <w:rtl w:val="0"/>
          <w:lang w:val="en-US"/>
        </w:rPr>
        <w:t>‘</w:t>
      </w:r>
      <w:r>
        <w:rPr>
          <w:rFonts w:ascii="Calibri" w:hAnsi="Calibri"/>
          <w:sz w:val="24"/>
          <w:szCs w:val="24"/>
          <w:rtl w:val="0"/>
          <w:lang w:val="en-US"/>
        </w:rPr>
        <w:t xml:space="preserve">Unfair recruitment and selection procedures contribute to the </w:t>
      </w:r>
    </w:p>
    <w:p w14:paraId="45B910AF">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continuing gender, ethnicity and disability employment gaps</w:t>
      </w:r>
      <w:r>
        <w:rPr>
          <w:rFonts w:hint="default" w:ascii="Calibri" w:hAnsi="Calibri"/>
          <w:sz w:val="24"/>
          <w:szCs w:val="24"/>
          <w:rtl w:val="0"/>
          <w:lang w:val="en-US"/>
        </w:rPr>
        <w:t>’</w:t>
      </w:r>
      <w:r>
        <w:rPr>
          <w:rFonts w:ascii="Calibri" w:hAnsi="Calibri"/>
          <w:sz w:val="24"/>
          <w:szCs w:val="24"/>
          <w:rtl w:val="0"/>
          <w:lang w:val="en-US"/>
        </w:rPr>
        <w:t>. The consequences of not conducti</w:t>
      </w:r>
      <w:r>
        <w:rPr>
          <w:rFonts w:hint="default" w:ascii="Calibri" w:hAnsi="Calibri"/>
          <w:sz w:val="24"/>
          <w:szCs w:val="24"/>
          <w:rtl w:val="0"/>
          <w:lang w:val="en-GB"/>
        </w:rPr>
        <w:t>ng a</w:t>
      </w:r>
      <w:r>
        <w:rPr>
          <w:rFonts w:ascii="Calibri" w:hAnsi="Calibri"/>
          <w:sz w:val="24"/>
          <w:szCs w:val="24"/>
          <w:rtl w:val="0"/>
          <w:lang w:val="en-US"/>
        </w:rPr>
        <w:t xml:space="preserve"> fair process can be far reaching including a disengaged work force, reduction in productivity and potential to have claims set against you on the grounds of discrimination (ACAS, 2024).</w:t>
      </w:r>
    </w:p>
    <w:p w14:paraId="72775B00">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AA6E506">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Occupational requirements can be used within the recruitment and selection process if there is a specific need to recruit someone into a particular post</w:t>
      </w:r>
      <w:r>
        <w:rPr>
          <w:rFonts w:hint="default" w:ascii="Calibri" w:hAnsi="Calibri"/>
          <w:sz w:val="24"/>
          <w:szCs w:val="24"/>
          <w:rtl w:val="0"/>
          <w:lang w:val="en-GB"/>
        </w:rPr>
        <w:t>,</w:t>
      </w:r>
      <w:r>
        <w:rPr>
          <w:rFonts w:ascii="Calibri" w:hAnsi="Calibri"/>
          <w:sz w:val="24"/>
          <w:szCs w:val="24"/>
          <w:rtl w:val="0"/>
          <w:lang w:val="en-US"/>
        </w:rPr>
        <w:t xml:space="preserve"> dependent on one of the 9 protected characteristics set out in the Equality Act 2010. (Daniels, 2025). This may be seen as direct discrimination unless you can prove the specific need set out in the job description. It is essential that you can set a clear case to justify the grounds you are basing your judgement</w:t>
      </w:r>
      <w:r>
        <w:rPr>
          <w:rFonts w:hint="default" w:ascii="Calibri" w:hAnsi="Calibri"/>
          <w:sz w:val="24"/>
          <w:szCs w:val="24"/>
          <w:rtl w:val="0"/>
          <w:lang w:val="en-GB"/>
        </w:rPr>
        <w:t xml:space="preserve"> on</w:t>
      </w:r>
      <w:r>
        <w:rPr>
          <w:rFonts w:ascii="Calibri" w:hAnsi="Calibri"/>
          <w:sz w:val="24"/>
          <w:szCs w:val="24"/>
          <w:rtl w:val="0"/>
          <w:lang w:val="en-US"/>
        </w:rPr>
        <w:t xml:space="preserve"> and deem your decision necessary without causing detrimental damage to another protected group (ACAS, 2024).</w:t>
      </w:r>
    </w:p>
    <w:p w14:paraId="762D0502">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05EE0B8">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Some examples of when you are able to use occupational requirements within recruitment and selection based on sex are as follows: </w:t>
      </w:r>
    </w:p>
    <w:p w14:paraId="57EBA65F">
      <w:pPr>
        <w:pStyle w:val="9"/>
        <w:framePr w:wrap="auto" w:vAnchor="margin" w:hAnchor="text" w:yAlign="inline"/>
        <w:numPr>
          <w:ilvl w:val="0"/>
          <w:numId w:val="1"/>
        </w:numPr>
        <w:bidi w:val="0"/>
        <w:ind w:right="0"/>
        <w:jc w:val="left"/>
        <w:rPr>
          <w:rFonts w:ascii="Calibri" w:hAnsi="Calibri"/>
          <w:sz w:val="24"/>
          <w:szCs w:val="24"/>
          <w:rtl w:val="0"/>
          <w:lang w:val="en-US"/>
        </w:rPr>
      </w:pPr>
      <w:r>
        <w:rPr>
          <w:rFonts w:ascii="Calibri" w:hAnsi="Calibri"/>
          <w:sz w:val="24"/>
          <w:szCs w:val="24"/>
          <w:rtl w:val="0"/>
          <w:lang w:val="en-US"/>
        </w:rPr>
        <w:t>Providing health care services t</w:t>
      </w:r>
      <w:r>
        <w:rPr>
          <w:rFonts w:hint="default" w:ascii="Calibri" w:hAnsi="Calibri"/>
          <w:sz w:val="24"/>
          <w:szCs w:val="24"/>
          <w:rtl w:val="0"/>
          <w:lang w:val="en-GB"/>
        </w:rPr>
        <w:t>o</w:t>
      </w:r>
      <w:r>
        <w:rPr>
          <w:rFonts w:ascii="Calibri" w:hAnsi="Calibri"/>
          <w:sz w:val="24"/>
          <w:szCs w:val="24"/>
          <w:rtl w:val="0"/>
          <w:lang w:val="en-US"/>
        </w:rPr>
        <w:t xml:space="preserve"> a patien</w:t>
      </w:r>
      <w:r>
        <w:rPr>
          <w:rFonts w:hint="default" w:ascii="Calibri" w:hAnsi="Calibri"/>
          <w:sz w:val="24"/>
          <w:szCs w:val="24"/>
          <w:rtl w:val="0"/>
          <w:lang w:val="en-GB"/>
        </w:rPr>
        <w:t>t</w:t>
      </w:r>
      <w:r>
        <w:rPr>
          <w:rFonts w:ascii="Calibri" w:hAnsi="Calibri"/>
          <w:sz w:val="24"/>
          <w:szCs w:val="24"/>
          <w:rtl w:val="0"/>
          <w:lang w:val="en-US"/>
        </w:rPr>
        <w:t xml:space="preserve"> by someone of the same sex</w:t>
      </w:r>
    </w:p>
    <w:p w14:paraId="7DEE09EA">
      <w:pPr>
        <w:pStyle w:val="9"/>
        <w:framePr w:wrap="auto" w:vAnchor="margin" w:hAnchor="text" w:yAlign="inline"/>
        <w:numPr>
          <w:ilvl w:val="0"/>
          <w:numId w:val="1"/>
        </w:numPr>
        <w:bidi w:val="0"/>
        <w:ind w:right="0"/>
        <w:jc w:val="left"/>
        <w:rPr>
          <w:rFonts w:ascii="Calibri" w:hAnsi="Calibri"/>
          <w:sz w:val="24"/>
          <w:szCs w:val="24"/>
          <w:rtl w:val="0"/>
          <w:lang w:val="en-US"/>
        </w:rPr>
      </w:pPr>
      <w:r>
        <w:rPr>
          <w:rFonts w:ascii="Calibri" w:hAnsi="Calibri"/>
          <w:sz w:val="24"/>
          <w:szCs w:val="24"/>
          <w:rtl w:val="0"/>
          <w:lang w:val="en-US"/>
        </w:rPr>
        <w:t>Work in countries where certain roles are not permitted to be conducted by women</w:t>
      </w:r>
    </w:p>
    <w:p w14:paraId="58601171">
      <w:pPr>
        <w:pStyle w:val="9"/>
        <w:framePr w:wrap="auto" w:vAnchor="margin" w:hAnchor="text" w:yAlign="inline"/>
        <w:numPr>
          <w:ilvl w:val="0"/>
          <w:numId w:val="1"/>
        </w:numPr>
        <w:bidi w:val="0"/>
        <w:ind w:right="0"/>
        <w:jc w:val="left"/>
        <w:rPr>
          <w:rFonts w:ascii="Calibri" w:hAnsi="Calibri"/>
          <w:sz w:val="24"/>
          <w:szCs w:val="24"/>
          <w:rtl w:val="0"/>
          <w:lang w:val="en-US"/>
        </w:rPr>
      </w:pPr>
      <w:r>
        <w:rPr>
          <w:rFonts w:ascii="Calibri" w:hAnsi="Calibri"/>
          <w:sz w:val="24"/>
          <w:szCs w:val="24"/>
          <w:rtl w:val="0"/>
          <w:lang w:val="en-US"/>
        </w:rPr>
        <w:t>In certain work environments e.g women</w:t>
      </w:r>
      <w:r>
        <w:rPr>
          <w:rFonts w:hint="default" w:ascii="Calibri" w:hAnsi="Calibri"/>
          <w:sz w:val="24"/>
          <w:szCs w:val="24"/>
          <w:rtl w:val="0"/>
          <w:lang w:val="en-US"/>
        </w:rPr>
        <w:t>’</w:t>
      </w:r>
      <w:r>
        <w:rPr>
          <w:rFonts w:ascii="Calibri" w:hAnsi="Calibri"/>
          <w:sz w:val="24"/>
          <w:szCs w:val="24"/>
          <w:rtl w:val="0"/>
          <w:lang w:val="en-US"/>
        </w:rPr>
        <w:t>s refuges</w:t>
      </w:r>
    </w:p>
    <w:p w14:paraId="1CF77FA6">
      <w:pPr>
        <w:pStyle w:val="9"/>
        <w:framePr w:wrap="auto" w:vAnchor="margin" w:hAnchor="text" w:yAlign="inline"/>
        <w:numPr>
          <w:ilvl w:val="0"/>
          <w:numId w:val="1"/>
        </w:numPr>
        <w:bidi w:val="0"/>
        <w:ind w:right="0"/>
        <w:jc w:val="left"/>
        <w:rPr>
          <w:rFonts w:ascii="Calibri" w:hAnsi="Calibri"/>
          <w:sz w:val="24"/>
          <w:szCs w:val="24"/>
          <w:rtl w:val="0"/>
          <w:lang w:val="en-US"/>
        </w:rPr>
      </w:pPr>
      <w:r>
        <w:rPr>
          <w:rFonts w:ascii="Calibri" w:hAnsi="Calibri"/>
          <w:sz w:val="24"/>
          <w:szCs w:val="24"/>
          <w:rtl w:val="0"/>
          <w:lang w:val="en-US"/>
        </w:rPr>
        <w:t>Where there are no provisions to cater for those of an opposite sex within living arrangements.</w:t>
      </w:r>
    </w:p>
    <w:p w14:paraId="0F764001">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75359B07">
      <w:pPr>
        <w:pStyle w:val="5"/>
        <w:framePr w:wrap="auto" w:vAnchor="margin" w:hAnchor="text" w:yAlign="inline"/>
        <w:spacing w:before="0" w:after="375"/>
        <w:rPr>
          <w:rFonts w:ascii="Open Sans" w:hAnsi="Open Sans" w:eastAsia="Open Sans" w:cs="Open Sans"/>
          <w:outline w:val="0"/>
          <w:color w:val="000000"/>
          <w:sz w:val="29"/>
          <w:szCs w:val="29"/>
          <w:u w:color="000000"/>
        </w:rPr>
      </w:pPr>
      <w:r>
        <w:rPr>
          <w:rFonts w:ascii="Calibri" w:hAnsi="Calibri"/>
          <w:rtl w:val="0"/>
          <w:lang w:val="en-US"/>
        </w:rPr>
        <w:t xml:space="preserve">In conclusion, it is imperative that you can prove a legitimate aim to justify your decision, based on a particular business need and that you can be confident that it is </w:t>
      </w:r>
      <w:r>
        <w:rPr>
          <w:rFonts w:hint="default" w:ascii="Calibri" w:hAnsi="Calibri"/>
          <w:rtl w:val="0"/>
          <w:lang w:val="en-US"/>
        </w:rPr>
        <w:t>‘</w:t>
      </w:r>
      <w:r>
        <w:rPr>
          <w:rFonts w:ascii="Calibri" w:hAnsi="Calibri"/>
          <w:rtl w:val="0"/>
          <w:lang w:val="en-US"/>
        </w:rPr>
        <w:t>proportionate, appropriate and necessary</w:t>
      </w:r>
      <w:r>
        <w:rPr>
          <w:rFonts w:hint="default" w:ascii="Calibri" w:hAnsi="Calibri"/>
          <w:rtl w:val="0"/>
          <w:lang w:val="en-US"/>
        </w:rPr>
        <w:t xml:space="preserve">’ </w:t>
      </w:r>
      <w:r>
        <w:rPr>
          <w:rFonts w:ascii="Calibri" w:hAnsi="Calibri"/>
          <w:rtl w:val="0"/>
          <w:lang w:val="en-US"/>
        </w:rPr>
        <w:t xml:space="preserve">(ACAS, 2024). </w:t>
      </w:r>
    </w:p>
    <w:p w14:paraId="5D7B3512">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702195E8">
      <w:pPr>
        <w:pStyle w:val="9"/>
        <w:framePr w:wrap="auto" w:vAnchor="margin" w:hAnchor="text" w:yAlign="inline"/>
        <w:rPr>
          <w:rFonts w:ascii="Calibri" w:hAnsi="Calibri"/>
          <w:sz w:val="24"/>
          <w:szCs w:val="24"/>
          <w:rtl w:val="0"/>
          <w:lang w:val="en-US"/>
        </w:rPr>
      </w:pPr>
      <w:r>
        <w:rPr>
          <w:rFonts w:ascii="Calibri" w:hAnsi="Calibri"/>
          <w:sz w:val="24"/>
          <w:szCs w:val="24"/>
          <w:rtl w:val="0"/>
          <w:lang w:val="en-US"/>
        </w:rPr>
        <w:t xml:space="preserve"> </w:t>
      </w:r>
    </w:p>
    <w:p w14:paraId="2F3B5A98">
      <w:pPr>
        <w:pStyle w:val="9"/>
        <w:framePr w:wrap="auto" w:vAnchor="margin" w:hAnchor="text" w:yAlign="inline"/>
        <w:rPr>
          <w:rFonts w:hint="default" w:ascii="Calibri" w:hAnsi="Calibri"/>
          <w:sz w:val="24"/>
          <w:szCs w:val="24"/>
          <w:rtl w:val="0"/>
          <w:lang w:val="en-GB"/>
        </w:rPr>
      </w:pPr>
    </w:p>
    <w:p w14:paraId="2ACCECF1">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F9B80A0">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3F38720B">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Email 4 (AC 2.2)</w:t>
      </w:r>
    </w:p>
    <w:p w14:paraId="6D54AC9B">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2EC02E70">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3137072A">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46077213">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According to ACAS (2024), men and women are entitled to equal pay when carrying out similar work of equal value. </w:t>
      </w:r>
      <w:r>
        <w:rPr>
          <w:rFonts w:hint="default" w:ascii="Calibri" w:hAnsi="Calibri"/>
          <w:sz w:val="24"/>
          <w:szCs w:val="24"/>
          <w:rtl w:val="0"/>
          <w:lang w:val="en-GB"/>
        </w:rPr>
        <w:t xml:space="preserve">This </w:t>
      </w:r>
      <w:r>
        <w:rPr>
          <w:rFonts w:ascii="Calibri" w:hAnsi="Calibri"/>
          <w:sz w:val="24"/>
          <w:szCs w:val="24"/>
          <w:rtl w:val="0"/>
          <w:lang w:val="en-US"/>
        </w:rPr>
        <w:t>would apply is if a woman is treated less favourably than a man working in the same organisation in relation to pay conditions (the same could be said if vice versa):</w:t>
      </w:r>
    </w:p>
    <w:p w14:paraId="624DFBBD">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7985EE53">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Like work (work of the same or similar nature)</w:t>
      </w:r>
    </w:p>
    <w:p w14:paraId="7805B622">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Work rated as equivalent (decided as part of a job evaluation process)</w:t>
      </w:r>
    </w:p>
    <w:p w14:paraId="2DC61AAA">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Work of equal value (</w:t>
      </w:r>
      <w:r>
        <w:rPr>
          <w:rFonts w:hint="default" w:ascii="Calibri" w:hAnsi="Calibri"/>
          <w:sz w:val="24"/>
          <w:szCs w:val="24"/>
          <w:rtl w:val="0"/>
          <w:lang w:val="en-GB"/>
        </w:rPr>
        <w:t>where</w:t>
      </w:r>
      <w:r>
        <w:rPr>
          <w:rFonts w:ascii="Calibri" w:hAnsi="Calibri"/>
          <w:sz w:val="24"/>
          <w:szCs w:val="24"/>
          <w:rtl w:val="0"/>
          <w:lang w:val="en-US"/>
        </w:rPr>
        <w:t xml:space="preserve"> </w:t>
      </w:r>
      <w:r>
        <w:rPr>
          <w:rFonts w:hint="default" w:ascii="Calibri" w:hAnsi="Calibri"/>
          <w:sz w:val="24"/>
          <w:szCs w:val="24"/>
          <w:rtl w:val="0"/>
          <w:lang w:val="en-GB"/>
        </w:rPr>
        <w:t xml:space="preserve">there is </w:t>
      </w:r>
      <w:r>
        <w:rPr>
          <w:rFonts w:ascii="Calibri" w:hAnsi="Calibri"/>
          <w:sz w:val="24"/>
          <w:szCs w:val="24"/>
          <w:rtl w:val="0"/>
          <w:lang w:val="en-US"/>
        </w:rPr>
        <w:t>no other work to make a direct comparison) (Daniels, 2025 p.p 132).</w:t>
      </w:r>
    </w:p>
    <w:p w14:paraId="04AE39C2">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550A23F1">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If it is found that an organisation is not adhering to the requirements of equal pay legislation, an employee may bring a claim to an employment tribunal against the employer. An example of such a case can be found below:</w:t>
      </w:r>
    </w:p>
    <w:p w14:paraId="6B69E08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30BB2FBC">
      <w:pPr>
        <w:pStyle w:val="9"/>
        <w:framePr w:wrap="auto" w:vAnchor="margin" w:hAnchor="text" w:yAlign="inline"/>
        <w:rPr>
          <w:rFonts w:ascii="Calibri" w:hAnsi="Calibri" w:eastAsia="Calibri" w:cs="Calibri"/>
          <w:i/>
          <w:iCs/>
          <w:sz w:val="24"/>
          <w:szCs w:val="24"/>
        </w:rPr>
      </w:pPr>
      <w:r>
        <w:rPr>
          <w:rFonts w:ascii="Calibri" w:hAnsi="Calibri"/>
          <w:i/>
          <w:iCs/>
          <w:sz w:val="24"/>
          <w:szCs w:val="24"/>
          <w:rtl w:val="0"/>
          <w:lang w:val="en-US"/>
        </w:rPr>
        <w:t>Asda Stores Ltd v Brierley and others (2021) UKSC 10</w:t>
      </w:r>
    </w:p>
    <w:p w14:paraId="293512F3">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Female sales assistants in Asda Stores claimed that their work was of equal value to those men working in the warehouses who were being paid substantially more. The Supreme Court ruled that common terms of employment had been satisfied and that the women had a right to proceed to a tribunal claim (Daniels, 2025 p.p 134).</w:t>
      </w:r>
    </w:p>
    <w:p w14:paraId="55AE4F1F">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675F83C">
      <w:pPr>
        <w:pStyle w:val="9"/>
        <w:framePr w:wrap="auto" w:vAnchor="margin" w:hAnchor="text" w:yAlign="inline"/>
        <w:rPr>
          <w:rFonts w:ascii="Calibri" w:hAnsi="Calibri" w:eastAsia="Calibri" w:cs="Calibri"/>
          <w:sz w:val="24"/>
          <w:szCs w:val="24"/>
        </w:rPr>
      </w:pPr>
      <w:r>
        <w:rPr>
          <w:rFonts w:hint="default" w:ascii="Calibri" w:hAnsi="Calibri"/>
          <w:sz w:val="24"/>
          <w:szCs w:val="24"/>
          <w:rtl w:val="0"/>
          <w:lang w:val="en-GB"/>
        </w:rPr>
        <w:t>T</w:t>
      </w:r>
      <w:r>
        <w:rPr>
          <w:rFonts w:ascii="Calibri" w:hAnsi="Calibri"/>
          <w:sz w:val="24"/>
          <w:szCs w:val="24"/>
          <w:rtl w:val="0"/>
          <w:lang w:val="en-US"/>
        </w:rPr>
        <w:t>o upgrade two male HCA</w:t>
      </w:r>
      <w:r>
        <w:rPr>
          <w:rFonts w:hint="default" w:ascii="Calibri" w:hAnsi="Calibri"/>
          <w:sz w:val="24"/>
          <w:szCs w:val="24"/>
          <w:rtl w:val="0"/>
          <w:lang w:val="en-US"/>
        </w:rPr>
        <w:t>’</w:t>
      </w:r>
      <w:r>
        <w:rPr>
          <w:rFonts w:ascii="Calibri" w:hAnsi="Calibri"/>
          <w:sz w:val="24"/>
          <w:szCs w:val="24"/>
          <w:rtl w:val="0"/>
          <w:lang w:val="en-US"/>
        </w:rPr>
        <w:t xml:space="preserve">s you need to be able to prove that they are undertaking tasks within their role at a higher level of responsibility than all other grade A staff to award the pay increase and that you are able to justify reasons that the common terms are different. This is known as a </w:t>
      </w:r>
      <w:r>
        <w:rPr>
          <w:rFonts w:hint="default" w:ascii="Calibri" w:hAnsi="Calibri"/>
          <w:sz w:val="24"/>
          <w:szCs w:val="24"/>
          <w:rtl w:val="0"/>
          <w:lang w:val="en-US"/>
        </w:rPr>
        <w:t>‘</w:t>
      </w:r>
      <w:r>
        <w:rPr>
          <w:rFonts w:ascii="Calibri" w:hAnsi="Calibri"/>
          <w:sz w:val="24"/>
          <w:szCs w:val="24"/>
          <w:rtl w:val="0"/>
          <w:lang w:val="en-US"/>
        </w:rPr>
        <w:t>material factor</w:t>
      </w:r>
      <w:r>
        <w:rPr>
          <w:rFonts w:hint="default" w:ascii="Calibri" w:hAnsi="Calibri"/>
          <w:sz w:val="24"/>
          <w:szCs w:val="24"/>
          <w:rtl w:val="0"/>
          <w:lang w:val="en-US"/>
        </w:rPr>
        <w:t xml:space="preserve">’ </w:t>
      </w:r>
      <w:r>
        <w:rPr>
          <w:rFonts w:ascii="Calibri" w:hAnsi="Calibri"/>
          <w:sz w:val="24"/>
          <w:szCs w:val="24"/>
          <w:rtl w:val="0"/>
          <w:lang w:val="en-US"/>
        </w:rPr>
        <w:t xml:space="preserve">defence (Lewis </w:t>
      </w:r>
      <w:r>
        <w:rPr>
          <w:rFonts w:ascii="Calibri" w:hAnsi="Calibri"/>
          <w:i/>
          <w:iCs/>
          <w:sz w:val="24"/>
          <w:szCs w:val="24"/>
          <w:rtl w:val="0"/>
          <w:lang w:val="en-US"/>
        </w:rPr>
        <w:t xml:space="preserve">et al, </w:t>
      </w:r>
      <w:r>
        <w:rPr>
          <w:rFonts w:ascii="Calibri" w:hAnsi="Calibri"/>
          <w:sz w:val="24"/>
          <w:szCs w:val="24"/>
          <w:rtl w:val="0"/>
          <w:lang w:val="en-US"/>
        </w:rPr>
        <w:t>2023 p.p 175). Examples of this are:</w:t>
      </w:r>
    </w:p>
    <w:p w14:paraId="73DC28CB">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If an employee is better qualified and has better skills</w:t>
      </w:r>
    </w:p>
    <w:p w14:paraId="4F878468">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 xml:space="preserve">If a position is hard to recruit </w:t>
      </w:r>
    </w:p>
    <w:p w14:paraId="3E4B3816">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Location e.g London costs of living are higher</w:t>
      </w:r>
    </w:p>
    <w:p w14:paraId="14D26F50">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A particular shift is worthy of higher pay (ACAS, 2024).</w:t>
      </w:r>
    </w:p>
    <w:p w14:paraId="730C4161">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666023C">
      <w:pPr>
        <w:pStyle w:val="9"/>
        <w:framePr w:wrap="auto" w:vAnchor="margin" w:hAnchor="text" w:yAlign="inline"/>
        <w:rPr>
          <w:rFonts w:ascii="Calibri" w:hAnsi="Calibri"/>
          <w:sz w:val="24"/>
          <w:szCs w:val="24"/>
          <w:rtl w:val="0"/>
          <w:lang w:val="en-US"/>
        </w:rPr>
      </w:pPr>
      <w:r>
        <w:rPr>
          <w:rFonts w:ascii="Calibri" w:hAnsi="Calibri"/>
          <w:sz w:val="24"/>
          <w:szCs w:val="24"/>
          <w:rtl w:val="0"/>
          <w:lang w:val="en-US"/>
        </w:rPr>
        <w:t xml:space="preserve">Whilst using this argument, you must be able to demonstrate that the reasons for the decision are not directly or indirectly discriminative to the opposite sex. This is demonstrated within the case of </w:t>
      </w:r>
      <w:r>
        <w:rPr>
          <w:rFonts w:ascii="Calibri" w:hAnsi="Calibri"/>
          <w:i/>
          <w:iCs/>
          <w:sz w:val="24"/>
          <w:szCs w:val="24"/>
          <w:rtl w:val="0"/>
          <w:lang w:val="en-US"/>
        </w:rPr>
        <w:t>Cadman v Health and Safety Executive (2006) IRLR 969</w:t>
      </w:r>
      <w:r>
        <w:rPr>
          <w:rFonts w:ascii="Calibri" w:hAnsi="Calibri"/>
          <w:sz w:val="24"/>
          <w:szCs w:val="24"/>
          <w:rtl w:val="0"/>
          <w:lang w:val="en-US"/>
        </w:rPr>
        <w:t xml:space="preserve">. Cadman worked as a health and safety inspector. She was being paid less than two male colleagues. The employer justified the difference in pay as she had less service and experience. The CJEU ruled that the employer did not have to justify the difference in pay unless evidence showed that the the employer is acting unfairly. </w:t>
      </w:r>
    </w:p>
    <w:p w14:paraId="76536E33">
      <w:pPr>
        <w:pStyle w:val="9"/>
        <w:framePr w:wrap="auto" w:vAnchor="margin" w:hAnchor="text" w:yAlign="inline"/>
        <w:rPr>
          <w:rFonts w:ascii="Calibri" w:hAnsi="Calibri"/>
          <w:sz w:val="24"/>
          <w:szCs w:val="24"/>
          <w:rtl w:val="0"/>
          <w:lang w:val="en-US"/>
        </w:rPr>
      </w:pPr>
    </w:p>
    <w:p w14:paraId="10DCDB5B">
      <w:pPr>
        <w:pStyle w:val="9"/>
        <w:framePr w:wrap="auto" w:vAnchor="margin" w:hAnchor="text" w:yAlign="inline"/>
        <w:rPr>
          <w:rFonts w:hint="default" w:ascii="Calibri" w:hAnsi="Calibri"/>
          <w:sz w:val="24"/>
          <w:szCs w:val="24"/>
          <w:rtl w:val="0"/>
          <w:lang w:val="en-GB"/>
        </w:rPr>
      </w:pPr>
      <w:r>
        <w:rPr>
          <w:rFonts w:ascii="Calibri" w:hAnsi="Calibri"/>
          <w:sz w:val="24"/>
          <w:szCs w:val="24"/>
          <w:rtl w:val="0"/>
          <w:lang w:val="en-US"/>
        </w:rPr>
        <w:t xml:space="preserve">In conclusion, I would recommend that you carefully consider your decision to award the pay upgrade to ensure that you fully satisfy legal requirements relating to equal pay. </w:t>
      </w:r>
      <w:r>
        <w:rPr>
          <w:rFonts w:hint="default" w:ascii="Calibri" w:hAnsi="Calibri"/>
          <w:sz w:val="24"/>
          <w:szCs w:val="24"/>
          <w:rtl w:val="0"/>
          <w:lang w:val="en-GB"/>
        </w:rPr>
        <w:t xml:space="preserve">Therefore, my recommendation would be not to award the pay rise unless you can provide evidence inline with the material factors listed above,  that they are carrying out responsibilities in line with other B grade workers. </w:t>
      </w:r>
    </w:p>
    <w:p w14:paraId="674AA601">
      <w:pPr>
        <w:pStyle w:val="9"/>
        <w:framePr w:wrap="auto" w:vAnchor="margin" w:hAnchor="text" w:yAlign="inline"/>
        <w:rPr>
          <w:rFonts w:hint="default" w:ascii="Calibri" w:hAnsi="Calibri"/>
          <w:sz w:val="24"/>
          <w:szCs w:val="24"/>
          <w:rtl w:val="0"/>
          <w:lang w:val="en-GB"/>
        </w:rPr>
      </w:pPr>
    </w:p>
    <w:p w14:paraId="31017586">
      <w:pPr>
        <w:pStyle w:val="9"/>
        <w:framePr w:wrap="auto" w:vAnchor="margin" w:hAnchor="text" w:yAlign="inline"/>
        <w:rPr>
          <w:rFonts w:hint="default" w:ascii="Calibri" w:hAnsi="Calibri"/>
          <w:sz w:val="24"/>
          <w:szCs w:val="24"/>
          <w:rtl w:val="0"/>
          <w:lang w:val="en-GB"/>
        </w:rPr>
      </w:pPr>
    </w:p>
    <w:p w14:paraId="1764BDE9">
      <w:pPr>
        <w:pStyle w:val="9"/>
        <w:framePr w:wrap="auto" w:vAnchor="margin" w:hAnchor="text" w:yAlign="inline"/>
        <w:rPr>
          <w:rFonts w:hint="default" w:ascii="Calibri" w:hAnsi="Calibri"/>
          <w:sz w:val="24"/>
          <w:szCs w:val="24"/>
          <w:rtl w:val="0"/>
          <w:lang w:val="en-GB"/>
        </w:rPr>
      </w:pPr>
    </w:p>
    <w:p w14:paraId="27291377">
      <w:pPr>
        <w:pStyle w:val="9"/>
        <w:framePr w:wrap="auto" w:vAnchor="margin" w:hAnchor="text" w:yAlign="inline"/>
        <w:rPr>
          <w:rFonts w:hint="default" w:ascii="Calibri" w:hAnsi="Calibri"/>
          <w:sz w:val="24"/>
          <w:szCs w:val="24"/>
          <w:rtl w:val="0"/>
          <w:lang w:val="en-GB"/>
        </w:rPr>
      </w:pPr>
    </w:p>
    <w:p w14:paraId="3F92A2B6">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 xml:space="preserve">Email 5 (AC 3.1)    </w:t>
      </w:r>
    </w:p>
    <w:p w14:paraId="671CA4BB">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4FE787CD">
      <w:pPr>
        <w:pStyle w:val="9"/>
        <w:framePr w:wrap="auto" w:vAnchor="margin" w:hAnchor="text" w:yAlign="inline"/>
        <w:rPr>
          <w:rFonts w:ascii="Calibri" w:hAnsi="Calibri" w:eastAsia="Calibri" w:cs="Calibri"/>
          <w:sz w:val="24"/>
          <w:szCs w:val="24"/>
        </w:rPr>
      </w:pPr>
      <w:r>
        <w:rPr>
          <w:rFonts w:ascii="Calibri" w:hAnsi="Calibri"/>
          <w:b/>
          <w:bCs/>
          <w:sz w:val="24"/>
          <w:szCs w:val="24"/>
          <w:rtl w:val="0"/>
          <w:lang w:val="en-US"/>
        </w:rPr>
        <w:t>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w:t>
      </w:r>
      <w:r>
        <w:rPr>
          <w:rFonts w:ascii="Calibri" w:hAnsi="Calibri"/>
          <w:sz w:val="24"/>
          <w:szCs w:val="24"/>
          <w:rtl w:val="0"/>
          <w:lang w:val="en-US"/>
        </w:rPr>
        <w:t xml:space="preserve">. </w:t>
      </w:r>
    </w:p>
    <w:p w14:paraId="3594ECED">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08E25692">
      <w:pPr>
        <w:pStyle w:val="9"/>
        <w:framePr w:wrap="auto" w:vAnchor="margin" w:hAnchor="text" w:yAlign="inline"/>
        <w:rPr>
          <w:rFonts w:hint="default" w:ascii="Calibri" w:hAnsi="Calibri"/>
          <w:sz w:val="24"/>
          <w:szCs w:val="24"/>
          <w:rtl w:val="0"/>
          <w:lang w:val="en-GB"/>
        </w:rPr>
      </w:pPr>
      <w:r>
        <w:rPr>
          <w:rFonts w:ascii="Calibri" w:hAnsi="Calibri"/>
          <w:sz w:val="24"/>
          <w:szCs w:val="24"/>
          <w:rtl w:val="0"/>
          <w:lang w:val="en-US"/>
        </w:rPr>
        <w:t xml:space="preserve">An employee has the right to make a claim for constructive dismissal if they can prove that the employer has breached the employment contract.  The employee needs to prove that the breach has broken trust and confidence and that the employer no longer intends to abide by the original terms of employment (Lewis </w:t>
      </w:r>
      <w:r>
        <w:rPr>
          <w:rFonts w:ascii="Calibri" w:hAnsi="Calibri"/>
          <w:i/>
          <w:iCs/>
          <w:sz w:val="24"/>
          <w:szCs w:val="24"/>
          <w:rtl w:val="0"/>
          <w:lang w:val="en-US"/>
        </w:rPr>
        <w:t>at al</w:t>
      </w:r>
      <w:r>
        <w:rPr>
          <w:rFonts w:ascii="Calibri" w:hAnsi="Calibri"/>
          <w:sz w:val="24"/>
          <w:szCs w:val="24"/>
          <w:rtl w:val="0"/>
          <w:lang w:val="en-US"/>
        </w:rPr>
        <w:t xml:space="preserve">, 2023, p.p 298). </w:t>
      </w:r>
      <w:r>
        <w:rPr>
          <w:rFonts w:hint="default" w:ascii="Calibri" w:hAnsi="Calibri"/>
          <w:sz w:val="24"/>
          <w:szCs w:val="24"/>
          <w:rtl w:val="0"/>
          <w:lang w:val="en-GB"/>
        </w:rPr>
        <w:t>You can only claim a case of constructive dismissal if you are classified as an employee legally and have worked for the company for more than 2 year (ACAS, 2024).</w:t>
      </w:r>
    </w:p>
    <w:p w14:paraId="4C10B49C">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BD86E8B">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As part of a constructive dismissal claim, an employee has to demonstrate the following:</w:t>
      </w:r>
    </w:p>
    <w:p w14:paraId="2516E631">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The employer has committed a significant or fundamental breach of the employment contract</w:t>
      </w:r>
    </w:p>
    <w:p w14:paraId="621557CA">
      <w:pPr>
        <w:pStyle w:val="9"/>
        <w:framePr w:wrap="auto" w:vAnchor="margin" w:hAnchor="text" w:yAlign="inline"/>
        <w:numPr>
          <w:ilvl w:val="0"/>
          <w:numId w:val="2"/>
        </w:numPr>
        <w:bidi w:val="0"/>
        <w:ind w:right="0"/>
        <w:jc w:val="left"/>
        <w:rPr>
          <w:rFonts w:ascii="Calibri" w:hAnsi="Calibri"/>
          <w:sz w:val="24"/>
          <w:szCs w:val="24"/>
          <w:rtl w:val="0"/>
          <w:lang w:val="en-US"/>
        </w:rPr>
      </w:pPr>
      <w:r>
        <w:rPr>
          <w:rFonts w:ascii="Calibri" w:hAnsi="Calibri"/>
          <w:sz w:val="24"/>
          <w:szCs w:val="24"/>
          <w:rtl w:val="0"/>
          <w:lang w:val="en-US"/>
        </w:rPr>
        <w:t>The employee did not delay resigning and terminated their contract as a response to the breach (CIPD, 2024).</w:t>
      </w:r>
    </w:p>
    <w:p w14:paraId="62D027CE">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237D9B4A">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If an employer wishes to change working hours, it is a requirement that the employee is consulted as otherwise it can be seen that the change has been forced. If an employee further resists following a consultation there could be grounds for constructive dismissal unless the employer can demonstrate a strong business reason for the change to be made (Daniels, 2025).</w:t>
      </w:r>
    </w:p>
    <w:p w14:paraId="4F5C1170">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5A5EE0CE">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The employee should cite the breach of contract behind their reasoning for the resignation. If the claimant continues to work following the breach in question then it can be argued that they accepted the changes or that they are leaving for a different reason all together.  </w:t>
      </w:r>
    </w:p>
    <w:p w14:paraId="462A2F97">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From the last day of employment, the claimant has 3 months minus 1 day to make a claim (Citizens Advice Bureau, 2025). This can either be from the last day of the notice period or if no notice is provided, from the day that the resignation was submitted (ACAS, 2024). </w:t>
      </w:r>
    </w:p>
    <w:p w14:paraId="7234C4B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79DDF8C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An example of this can be seen in </w:t>
      </w:r>
      <w:r>
        <w:rPr>
          <w:rFonts w:ascii="Calibri" w:hAnsi="Calibri"/>
          <w:i/>
          <w:iCs/>
          <w:sz w:val="24"/>
          <w:szCs w:val="24"/>
          <w:rtl w:val="0"/>
          <w:lang w:val="en-US"/>
        </w:rPr>
        <w:t xml:space="preserve">Henry and others v London General Transport Services Ltd (2002) IRLR 472: </w:t>
      </w:r>
      <w:r>
        <w:rPr>
          <w:rFonts w:ascii="Calibri" w:hAnsi="Calibri"/>
          <w:sz w:val="24"/>
          <w:szCs w:val="24"/>
          <w:rtl w:val="0"/>
          <w:lang w:val="en-US"/>
        </w:rPr>
        <w:t>New working conditions were introduced by the employer such as rotas, holidays and pay. A petition was signed by the employees but they continued to work under the new arrangements. A claim for unlawful wage reductions was submitted 2 years following the changes. Their claim failed as they had taken so too long to register their objections and made little protest.</w:t>
      </w:r>
    </w:p>
    <w:p w14:paraId="2A7C81EF">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10012D0C">
      <w:pPr>
        <w:pStyle w:val="9"/>
        <w:framePr w:wrap="auto" w:vAnchor="margin" w:hAnchor="text" w:yAlign="inline"/>
        <w:rPr>
          <w:rFonts w:ascii="Calibri" w:hAnsi="Calibri" w:eastAsia="Calibri" w:cs="Calibri"/>
          <w:b/>
          <w:bCs/>
          <w:sz w:val="24"/>
          <w:szCs w:val="24"/>
        </w:rPr>
      </w:pPr>
    </w:p>
    <w:p w14:paraId="47B55C62">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Email 6 (AC 3.2)</w:t>
      </w:r>
    </w:p>
    <w:p w14:paraId="0D0DAAB2">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46E489F3">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14EE4BA8">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AE6A8C7">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As an employer, it is essential that a fair and clear process is followed while considering redundancies.  An organisation should only consider redundancies if the business is going through insolvency, a change of location or the number of roles are to be changed to complete certain work (ACAS, 2024). It is extremely important to be mindful of the consequences of rushing through a redundancy process. This can affect not only those involved in the redundancies but also to those who are not, having an impact on morale and productivity. It also helps to prevent claims for unfair dismissal further down the line. (CIPD, 2024). </w:t>
      </w:r>
    </w:p>
    <w:p w14:paraId="4C99CACC">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My recommendation would be to follow the key stages as outlined below:</w:t>
      </w:r>
    </w:p>
    <w:p w14:paraId="63B4B504">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BB81C81">
      <w:pPr>
        <w:pStyle w:val="9"/>
        <w:framePr w:wrap="auto" w:vAnchor="margin" w:hAnchor="text" w:yAlign="inline"/>
        <w:numPr>
          <w:ilvl w:val="0"/>
          <w:numId w:val="3"/>
        </w:numPr>
        <w:bidi w:val="0"/>
        <w:ind w:right="0"/>
        <w:jc w:val="left"/>
        <w:rPr>
          <w:rFonts w:ascii="Calibri" w:hAnsi="Calibri"/>
          <w:sz w:val="24"/>
          <w:szCs w:val="24"/>
          <w:rtl w:val="0"/>
          <w:lang w:val="en-US"/>
        </w:rPr>
      </w:pPr>
      <w:r>
        <w:rPr>
          <w:rFonts w:ascii="Calibri" w:hAnsi="Calibri"/>
          <w:sz w:val="24"/>
          <w:szCs w:val="24"/>
          <w:rtl w:val="0"/>
          <w:lang w:val="en-US"/>
        </w:rPr>
        <w:t>Inform employees - It is essential to establish clear line of communications to inform all staff of the requirements to make roles redundant. Areas that should be covered include reasons for and how many redundancies, the pool of roles that have been selected and what happens next.</w:t>
      </w:r>
    </w:p>
    <w:p w14:paraId="4D1EED2A">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3F6A154">
      <w:pPr>
        <w:pStyle w:val="9"/>
        <w:framePr w:wrap="auto" w:vAnchor="margin" w:hAnchor="text" w:yAlign="inline"/>
        <w:numPr>
          <w:ilvl w:val="0"/>
          <w:numId w:val="3"/>
        </w:numPr>
        <w:bidi w:val="0"/>
        <w:ind w:right="0"/>
        <w:jc w:val="left"/>
        <w:rPr>
          <w:rFonts w:ascii="Calibri" w:hAnsi="Calibri"/>
          <w:sz w:val="24"/>
          <w:szCs w:val="24"/>
          <w:rtl w:val="0"/>
          <w:lang w:val="en-US"/>
        </w:rPr>
      </w:pPr>
      <w:r>
        <w:rPr>
          <w:rFonts w:ascii="Calibri" w:hAnsi="Calibri"/>
          <w:sz w:val="24"/>
          <w:szCs w:val="24"/>
          <w:rtl w:val="0"/>
          <w:lang w:val="en-US"/>
        </w:rPr>
        <w:t xml:space="preserve">Consult employees - If 50 jobs are going to be made redundant, there is a requirement, as outlined in the Trade Union and Labour Relations (Consolidation) Act 1992, that a consultation period must be conducted over a period of a minimum of at least 30 days. This includes both collective consultation (with either Trade Union or employee representatives) and also on an individual basis with those affected. There is also a requirement for the organisation to inform the Secretary of State for Trade and Industry, completing the HR1 form. The consultations are to be held in the formative stage of the process and it is vital that no decisions are made at this point, allowing for employees to respond to all points raised during the consultation. As part of these discussions, the redundancy criteria and alternative employment options should be covered. An example of where the above was not followed was in the case of </w:t>
      </w:r>
      <w:r>
        <w:rPr>
          <w:rFonts w:ascii="Calibri" w:hAnsi="Calibri"/>
          <w:i/>
          <w:iCs/>
          <w:sz w:val="24"/>
          <w:szCs w:val="24"/>
          <w:rtl w:val="0"/>
          <w:lang w:val="en-US"/>
        </w:rPr>
        <w:t>Leicestershire County Council v Unison (2205) IRLR 920</w:t>
      </w:r>
      <w:r>
        <w:rPr>
          <w:rFonts w:ascii="Calibri" w:hAnsi="Calibri"/>
          <w:sz w:val="24"/>
          <w:szCs w:val="24"/>
          <w:rtl w:val="0"/>
          <w:lang w:val="en-US"/>
        </w:rPr>
        <w:t xml:space="preserve">.  Recommendations for redundancies were made following job evaluation exercise on 18 November. The decision to proceed with dismissals took place on 12 December. The EAT ruled that consultations should have taken place, starting from 18 November (Daniels, 2025 p.p 199 - 200). </w:t>
      </w:r>
    </w:p>
    <w:p w14:paraId="2DA28A68">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2062DEC">
      <w:pPr>
        <w:pStyle w:val="9"/>
        <w:framePr w:wrap="auto" w:vAnchor="margin" w:hAnchor="text" w:yAlign="inline"/>
        <w:numPr>
          <w:ilvl w:val="0"/>
          <w:numId w:val="3"/>
        </w:numPr>
        <w:bidi w:val="0"/>
        <w:ind w:right="0"/>
        <w:jc w:val="left"/>
        <w:rPr>
          <w:rFonts w:ascii="Calibri" w:hAnsi="Calibri"/>
          <w:sz w:val="24"/>
          <w:szCs w:val="24"/>
          <w:rtl w:val="0"/>
          <w:lang w:val="en-US"/>
        </w:rPr>
      </w:pPr>
      <w:r>
        <w:rPr>
          <w:rFonts w:ascii="Calibri" w:hAnsi="Calibri"/>
          <w:sz w:val="24"/>
          <w:szCs w:val="24"/>
          <w:rtl w:val="0"/>
          <w:lang w:val="en-US"/>
        </w:rPr>
        <w:t>Selection criteria for redundancy - Selection criteria must be fair and measurable to demonstrate that quantifiable data is being used to make decisions of redundancies. Examples of scoring could include:</w:t>
      </w:r>
    </w:p>
    <w:p w14:paraId="2172F395">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Standards of quality and performance of work</w:t>
      </w:r>
    </w:p>
    <w:p w14:paraId="7738AC1A">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Qualifications, skills and experience</w:t>
      </w:r>
    </w:p>
    <w:p w14:paraId="03FAF4BB">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Disciplinary record</w:t>
      </w:r>
    </w:p>
    <w:p w14:paraId="79E52D8B">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 xml:space="preserve">Absence record (Absences for maternity, pregnancy and disability are not to be used as scoring criteria not to discriminate against those with a protected characteristic.) In the case of </w:t>
      </w:r>
      <w:r>
        <w:rPr>
          <w:rFonts w:ascii="Calibri" w:hAnsi="Calibri"/>
          <w:i/>
          <w:iCs/>
          <w:sz w:val="24"/>
          <w:szCs w:val="24"/>
          <w:rtl w:val="0"/>
          <w:lang w:val="en-US"/>
        </w:rPr>
        <w:t>Williams V Compare Maxam (1982) IRLR 83</w:t>
      </w:r>
      <w:r>
        <w:rPr>
          <w:rFonts w:ascii="Calibri" w:hAnsi="Calibri"/>
          <w:sz w:val="24"/>
          <w:szCs w:val="24"/>
          <w:rtl w:val="0"/>
          <w:lang w:val="en-US"/>
        </w:rPr>
        <w:t>, the EAT found selection criteria was purely subjective and was based on long term viability. No attempt had been made to agree criteria with the Trade Union, therefore the decisions made were unfair.</w:t>
      </w:r>
    </w:p>
    <w:p w14:paraId="58451953">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1B87BE0D">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For those whose roles have been made redundant, compensation will need to be paid if employed for more than two continuous years. They are also entitled to time off to seek further employment  (Daniels, 2025). This is calculated based on someones age and their length of service. The maximum statutory pay for 1 week is </w:t>
      </w:r>
      <w:r>
        <w:rPr>
          <w:rFonts w:hint="default" w:ascii="Calibri" w:hAnsi="Calibri"/>
          <w:sz w:val="24"/>
          <w:szCs w:val="24"/>
          <w:rtl w:val="0"/>
          <w:lang w:val="en-US"/>
        </w:rPr>
        <w:t>£</w:t>
      </w:r>
      <w:r>
        <w:rPr>
          <w:rFonts w:ascii="Calibri" w:hAnsi="Calibri"/>
          <w:sz w:val="24"/>
          <w:szCs w:val="24"/>
          <w:rtl w:val="0"/>
          <w:lang w:val="en-US"/>
        </w:rPr>
        <w:t xml:space="preserve">700 and per year </w:t>
      </w:r>
      <w:r>
        <w:rPr>
          <w:rFonts w:hint="default" w:ascii="Calibri" w:hAnsi="Calibri"/>
          <w:sz w:val="24"/>
          <w:szCs w:val="24"/>
          <w:rtl w:val="0"/>
          <w:lang w:val="en-US"/>
        </w:rPr>
        <w:t>£</w:t>
      </w:r>
      <w:r>
        <w:rPr>
          <w:rFonts w:ascii="Calibri" w:hAnsi="Calibri"/>
          <w:sz w:val="24"/>
          <w:szCs w:val="24"/>
          <w:rtl w:val="0"/>
          <w:lang w:val="en-US"/>
        </w:rPr>
        <w:t>21,000 (ACAS, 2024).</w:t>
      </w:r>
    </w:p>
    <w:p w14:paraId="0895C214">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61930139">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600FF423">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1F30956D">
      <w:pPr>
        <w:pStyle w:val="9"/>
        <w:framePr w:wrap="auto" w:vAnchor="margin" w:hAnchor="text" w:yAlign="inline"/>
        <w:rPr>
          <w:rFonts w:ascii="Calibri" w:hAnsi="Calibri" w:eastAsia="Calibri" w:cs="Calibri"/>
          <w:b/>
          <w:bCs/>
          <w:sz w:val="24"/>
          <w:szCs w:val="24"/>
        </w:rPr>
      </w:pPr>
      <w:r>
        <w:rPr>
          <w:rFonts w:ascii="Calibri" w:hAnsi="Calibri"/>
          <w:b/>
          <w:bCs/>
          <w:outline w:val="0"/>
          <w:color w:val="004147"/>
          <w:sz w:val="24"/>
          <w:szCs w:val="24"/>
          <w:u w:color="004147"/>
          <w:rtl w:val="0"/>
          <w:lang w:val="en-US"/>
        </w:rPr>
        <w:t xml:space="preserve">Email 7 (AC 3.3) </w:t>
      </w:r>
      <w:r>
        <w:rPr>
          <w:rFonts w:ascii="Calibri" w:hAnsi="Calibri"/>
          <w:b/>
          <w:bCs/>
          <w:sz w:val="24"/>
          <w:szCs w:val="24"/>
          <w:rtl w:val="0"/>
          <w:lang w:val="en-US"/>
        </w:rPr>
        <w:t xml:space="preserve">  </w:t>
      </w:r>
    </w:p>
    <w:p w14:paraId="552FFCC9">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55F9E479">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    </w:t>
      </w:r>
    </w:p>
    <w:p w14:paraId="642A1DA8">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5A4A2053">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The Transfer of Undertakings (Protection of Employment) Regulations 1981 are used to protect employees rights when transferring to a new employer. There are 2 different types of transfers that are considered as part of these regulations:</w:t>
      </w:r>
    </w:p>
    <w:p w14:paraId="663AE00F">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When an organisation retains it</w:t>
      </w:r>
      <w:r>
        <w:rPr>
          <w:rFonts w:hint="default" w:ascii="Calibri" w:hAnsi="Calibri"/>
          <w:sz w:val="24"/>
          <w:szCs w:val="24"/>
          <w:rtl w:val="0"/>
          <w:lang w:val="en-US"/>
        </w:rPr>
        <w:t>’</w:t>
      </w:r>
      <w:r>
        <w:rPr>
          <w:rFonts w:ascii="Calibri" w:hAnsi="Calibri"/>
          <w:sz w:val="24"/>
          <w:szCs w:val="24"/>
          <w:rtl w:val="0"/>
          <w:lang w:val="en-US"/>
        </w:rPr>
        <w:t xml:space="preserve">s identify and in which  the economic entity is transferred </w:t>
      </w:r>
    </w:p>
    <w:p w14:paraId="1819A844">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A change of service provision (Daniels, 2025, p.p 209).</w:t>
      </w:r>
    </w:p>
    <w:p w14:paraId="2846D2EE">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10FB8B6C">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It is the responsibility for the employer making the transfer (old employer) and the employer taking on the transfer (new employer) to ensure that the regulations set within  TUPE are followed throughout the process. The regulations protect those that are classified as employees. In certain circumstances it can also cover those that are employed as workers. It is important to note that bank or agency workers are not covered (ACAS, 2024). </w:t>
      </w:r>
    </w:p>
    <w:p w14:paraId="0474401D">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FA0E57B">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The fundamental rights that employees have during and following this transfer is that they are entitled to the same terms and conditions, with continuity of employment (CIPD, 2024). All existing contractual rights are transferred to the new owner including the following:</w:t>
      </w:r>
    </w:p>
    <w:p w14:paraId="201508AD">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Unless there is an ETO (Economical, technological or organisational) reason that requires key changes with the organisation, changes in contract are prohibited. Some examples of ETO reasoning would be those relating to financial purposes, performance, changes to equipment or production processes or those relating to organisational structure</w:t>
      </w:r>
    </w:p>
    <w:p w14:paraId="6E221F07">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Continuity of service is upheld when contracts are transferred to new employer</w:t>
      </w:r>
    </w:p>
    <w:p w14:paraId="6CE6E06D">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Employees have the right to claim unfair dismissal if it can be proven that this was due to the transfer of employment (CIPD, 2024).</w:t>
      </w:r>
    </w:p>
    <w:p w14:paraId="193A90A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791A90B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An example of the above can be represented in the following cases:</w:t>
      </w:r>
    </w:p>
    <w:p w14:paraId="70B64BC2">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19BBB3E">
      <w:pPr>
        <w:pStyle w:val="9"/>
        <w:framePr w:wrap="auto" w:vAnchor="margin" w:hAnchor="text" w:yAlign="inline"/>
        <w:rPr>
          <w:rFonts w:ascii="Calibri" w:hAnsi="Calibri" w:eastAsia="Calibri" w:cs="Calibri"/>
          <w:sz w:val="24"/>
          <w:szCs w:val="24"/>
        </w:rPr>
      </w:pPr>
      <w:r>
        <w:rPr>
          <w:rFonts w:ascii="Calibri" w:hAnsi="Calibri"/>
          <w:i/>
          <w:iCs/>
          <w:sz w:val="24"/>
          <w:szCs w:val="24"/>
          <w:rtl w:val="0"/>
          <w:lang w:val="en-US"/>
        </w:rPr>
        <w:t xml:space="preserve">Inex Home Improvements Ltd v Hodgkins (2015) UKEAT/0329/14. </w:t>
      </w:r>
      <w:r>
        <w:rPr>
          <w:rFonts w:ascii="Calibri" w:hAnsi="Calibri"/>
          <w:sz w:val="24"/>
          <w:szCs w:val="24"/>
          <w:rtl w:val="0"/>
          <w:lang w:val="en-US"/>
        </w:rPr>
        <w:t>A group of employees successfully claimed that they should transfer to new employer  following a work transfer where they were laid off temporarily (Daniels, 2025, p.p 211).</w:t>
      </w:r>
    </w:p>
    <w:p w14:paraId="6F1DE618">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7298414C">
      <w:pPr>
        <w:pStyle w:val="9"/>
        <w:framePr w:wrap="auto" w:vAnchor="margin" w:hAnchor="text" w:yAlign="inline"/>
        <w:rPr>
          <w:rFonts w:ascii="Calibri" w:hAnsi="Calibri" w:eastAsia="Calibri" w:cs="Calibri"/>
          <w:sz w:val="24"/>
          <w:szCs w:val="24"/>
        </w:rPr>
      </w:pPr>
      <w:r>
        <w:rPr>
          <w:rFonts w:ascii="Calibri" w:hAnsi="Calibri"/>
          <w:i/>
          <w:iCs/>
          <w:sz w:val="24"/>
          <w:szCs w:val="24"/>
          <w:rtl w:val="0"/>
          <w:lang w:val="en-US"/>
        </w:rPr>
        <w:t xml:space="preserve">Whitehouse v Chas A Blatchford &amp; Sons Ltd (1999) IRLR 492. </w:t>
      </w:r>
      <w:r>
        <w:rPr>
          <w:rFonts w:ascii="Calibri" w:hAnsi="Calibri"/>
          <w:sz w:val="24"/>
          <w:szCs w:val="24"/>
          <w:rtl w:val="0"/>
          <w:lang w:val="en-US"/>
        </w:rPr>
        <w:t>As part of the transfer, a condition was that the costs of running the contract for certain hospital supplies would be reduced in line with a reduction in the hospitals budget. In order to save costs, a redundancy was made. The employee unsuccessfully claimed for unfair dismissal as the employer was able to prove that this was essential due to the economic conditions of the contract (Daniels, 2025, p.p 212).</w:t>
      </w:r>
    </w:p>
    <w:p w14:paraId="45E31E41">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09B7C8B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As part of the transfer, a consultation must take place. If an organisation has 50 or more employees, then it is requirement to consult with employee representatives e.g trade union. If there are 49 employees or less, then direct consultation can take place directly with those employees involved. This will involve the transferor passing on all information regarding the employees who will be involved in the transfer to the transferee. Such information should include details and reasons for the transfer (including legal, social and economical), the date in which it will take place and any measures that may affect the transferring employees, such as place of work, pay, hours of work, job descriptions, pensions and reporting lines (CIPD, 2024). </w:t>
      </w:r>
    </w:p>
    <w:p w14:paraId="6817891E">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003C7F3A">
      <w:pPr>
        <w:pStyle w:val="9"/>
        <w:framePr w:wrap="auto" w:vAnchor="margin" w:hAnchor="text" w:yAlign="inline"/>
        <w:rPr>
          <w:rFonts w:ascii="Calibri" w:hAnsi="Calibri"/>
          <w:b/>
          <w:bCs/>
          <w:sz w:val="24"/>
          <w:szCs w:val="24"/>
          <w:rtl w:val="0"/>
          <w:lang w:val="en-US"/>
        </w:rPr>
      </w:pPr>
      <w:r>
        <w:rPr>
          <w:rFonts w:ascii="Calibri" w:hAnsi="Calibri"/>
          <w:b/>
          <w:bCs/>
          <w:sz w:val="24"/>
          <w:szCs w:val="24"/>
          <w:rtl w:val="0"/>
          <w:lang w:val="en-US"/>
        </w:rPr>
        <w:t xml:space="preserve"> </w:t>
      </w:r>
    </w:p>
    <w:p w14:paraId="4E635326">
      <w:pPr>
        <w:pStyle w:val="9"/>
        <w:framePr w:wrap="auto" w:vAnchor="margin" w:hAnchor="text" w:yAlign="inline"/>
        <w:rPr>
          <w:rFonts w:ascii="Calibri" w:hAnsi="Calibri"/>
          <w:b/>
          <w:bCs/>
          <w:sz w:val="24"/>
          <w:szCs w:val="24"/>
          <w:rtl w:val="0"/>
          <w:lang w:val="en-US"/>
        </w:rPr>
      </w:pPr>
    </w:p>
    <w:p w14:paraId="409D2A68">
      <w:pPr>
        <w:pStyle w:val="9"/>
        <w:framePr w:wrap="auto" w:vAnchor="margin" w:hAnchor="text" w:yAlign="inline"/>
        <w:rPr>
          <w:rFonts w:ascii="Calibri" w:hAnsi="Calibri"/>
          <w:b/>
          <w:bCs/>
          <w:sz w:val="24"/>
          <w:szCs w:val="24"/>
          <w:rtl w:val="0"/>
          <w:lang w:val="en-US"/>
        </w:rPr>
      </w:pPr>
    </w:p>
    <w:p w14:paraId="456A8B9B">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Email 8 (AC 4.1)</w:t>
      </w:r>
    </w:p>
    <w:p w14:paraId="319B5715">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108D6B74">
      <w:pPr>
        <w:pStyle w:val="9"/>
        <w:framePr w:wrap="auto" w:vAnchor="margin" w:hAnchor="text" w:yAlign="inline"/>
        <w:rPr>
          <w:rFonts w:ascii="Calibri" w:hAnsi="Calibri" w:eastAsia="Calibri" w:cs="Calibri"/>
          <w:sz w:val="24"/>
          <w:szCs w:val="24"/>
        </w:rPr>
      </w:pPr>
      <w:r>
        <w:rPr>
          <w:rFonts w:ascii="Calibri" w:hAnsi="Calibri"/>
          <w:b/>
          <w:bCs/>
          <w:sz w:val="24"/>
          <w:szCs w:val="24"/>
          <w:rtl w:val="0"/>
          <w:lang w:val="en-US"/>
        </w:rPr>
        <w:t>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w:t>
      </w:r>
      <w:r>
        <w:rPr>
          <w:rFonts w:ascii="Calibri" w:hAnsi="Calibri"/>
          <w:sz w:val="24"/>
          <w:szCs w:val="24"/>
          <w:rtl w:val="0"/>
          <w:lang w:val="en-US"/>
        </w:rPr>
        <w:t xml:space="preserve">  </w:t>
      </w:r>
    </w:p>
    <w:p w14:paraId="00042AAA">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548BED4B">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In order to ensure that you are treating bank staff fairly and lawfully, it is important to follow legal guidelines set out when calculating holiday pay. According to GOV.UK, workers are entitled to a weeks pay for each week of annual leave that they take. Currently, the entitlement stands at 5.6 weeks per year. In order to calculate holiday pay the first step would be to calculate the weekly pay. This is used by working out their average pay over a 52 week period. If the worker has worked less than 52 weeks, the average pay should be worked out on how many weeks they have been employed for. For example, if a worker has only been employed for 16 weeks, the average pay week will be calculated based on this duration. If the worker was off for any reason, an earlier week should be used as part of the calculation but no further back than 104 weeks (ACAS, 2024). </w:t>
      </w:r>
    </w:p>
    <w:p w14:paraId="28B9BD5E">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5F557D6C">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4EC2515">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When determining the average it is important that the following is included in the average pay:</w:t>
      </w:r>
    </w:p>
    <w:p w14:paraId="2DC80475">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6A5C829">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Any commission or bonuses that are earned as a result of achieving set tasks</w:t>
      </w:r>
    </w:p>
    <w:p w14:paraId="6DDDC50C">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Any payments linked to the workers professional or personal status e.g qualifications, length of service and seniority</w:t>
      </w:r>
    </w:p>
    <w:p w14:paraId="52702378">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Uplift for shift working</w:t>
      </w:r>
    </w:p>
    <w:p w14:paraId="6838B882">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Any overtime payments that have been paid throughout the year (ACAS, 2024).</w:t>
      </w:r>
    </w:p>
    <w:p w14:paraId="268A6A86">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D579C5D">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The above is highlighted in the following case of </w:t>
      </w:r>
      <w:r>
        <w:rPr>
          <w:rFonts w:ascii="Calibri" w:hAnsi="Calibri"/>
          <w:i/>
          <w:iCs/>
          <w:sz w:val="24"/>
          <w:szCs w:val="24"/>
          <w:rtl w:val="0"/>
          <w:lang w:val="en-US"/>
        </w:rPr>
        <w:t xml:space="preserve">Flowers and others V East of England Ambulance Trust (2017) ET 3400310/2015 </w:t>
      </w:r>
      <w:r>
        <w:rPr>
          <w:rFonts w:ascii="Calibri" w:hAnsi="Calibri"/>
          <w:sz w:val="24"/>
          <w:szCs w:val="24"/>
          <w:rtl w:val="0"/>
          <w:lang w:val="en-US"/>
        </w:rPr>
        <w:t xml:space="preserve">where employees successfully argued payments received for covering shifts should be included when calculating their average pay (Daniels, 2025, p.p 112). </w:t>
      </w:r>
    </w:p>
    <w:p w14:paraId="28E8FD6C">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5DB74308">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It is also possible to have holiday pay rolled up. This would involve distributing holiday pay over a 12 month period and can be used by workers in replacement of being paid for annual leave when they take it (this is not applicable to employees). If this method is being used it is important to consider the following:</w:t>
      </w:r>
    </w:p>
    <w:p w14:paraId="2862D988">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7E47226">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A minimum of 12.07% is added to the workers pay in any given pay period e.g weekly or monthly which must be paid at the same time as any other work within that period</w:t>
      </w:r>
    </w:p>
    <w:p w14:paraId="6B7EE3AF">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This must be shown separately on the pay slip (ACAS, 2024).</w:t>
      </w:r>
    </w:p>
    <w:p w14:paraId="4B622D4C">
      <w:pPr>
        <w:pStyle w:val="9"/>
        <w:framePr w:wrap="auto" w:vAnchor="margin" w:hAnchor="text" w:yAlign="inline"/>
        <w:rPr>
          <w:rFonts w:ascii="Calibri" w:hAnsi="Calibri" w:eastAsia="Calibri" w:cs="Calibri"/>
          <w:b/>
          <w:bCs/>
          <w:sz w:val="24"/>
          <w:szCs w:val="24"/>
        </w:rPr>
      </w:pPr>
      <w:r>
        <w:rPr>
          <w:rFonts w:ascii="Calibri" w:hAnsi="Calibri"/>
          <w:sz w:val="24"/>
          <w:szCs w:val="24"/>
          <w:rtl w:val="0"/>
          <w:lang w:val="en-US"/>
        </w:rPr>
        <w:t xml:space="preserve"> </w:t>
      </w:r>
    </w:p>
    <w:p w14:paraId="00ACDD57">
      <w:pPr>
        <w:pStyle w:val="9"/>
        <w:framePr w:wrap="auto" w:vAnchor="margin" w:hAnchor="text" w:yAlign="inline"/>
        <w:rPr>
          <w:rFonts w:ascii="Calibri" w:hAnsi="Calibri" w:eastAsia="Calibri" w:cs="Calibri"/>
          <w:b/>
          <w:bCs/>
          <w:sz w:val="24"/>
          <w:szCs w:val="24"/>
        </w:rPr>
      </w:pPr>
    </w:p>
    <w:p w14:paraId="28C65072">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Email 9 (AC 4.2)</w:t>
      </w:r>
    </w:p>
    <w:p w14:paraId="27E96102">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062AE723">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7741774">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3E1F35C8">
      <w:pPr>
        <w:pStyle w:val="9"/>
        <w:framePr w:wrap="auto" w:vAnchor="margin" w:hAnchor="text" w:yAlign="inline"/>
        <w:rPr>
          <w:rFonts w:ascii="Calibri" w:hAnsi="Calibri" w:eastAsia="Calibri" w:cs="Calibri"/>
          <w:b/>
          <w:bCs/>
          <w:sz w:val="24"/>
          <w:szCs w:val="24"/>
        </w:rPr>
      </w:pPr>
      <w:r>
        <w:rPr>
          <w:rFonts w:ascii="Calibri" w:hAnsi="Calibri"/>
          <w:sz w:val="24"/>
          <w:szCs w:val="24"/>
          <w:rtl w:val="0"/>
          <w:lang w:val="en-US"/>
        </w:rPr>
        <w:t>There are some key differences between maternity and shared parental leave as outlined below:</w:t>
      </w:r>
    </w:p>
    <w:p w14:paraId="63C90E57">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08EF8DF7">
      <w:pPr>
        <w:pStyle w:val="9"/>
        <w:framePr w:wrap="auto" w:vAnchor="margin" w:hAnchor="text" w:yAlign="inline"/>
        <w:rPr>
          <w:rFonts w:ascii="Calibri" w:hAnsi="Calibri" w:eastAsia="Calibri" w:cs="Calibri"/>
          <w:sz w:val="24"/>
          <w:szCs w:val="24"/>
        </w:rPr>
      </w:pPr>
      <w:r>
        <w:rPr>
          <w:rFonts w:ascii="Calibri" w:hAnsi="Calibri"/>
          <w:b/>
          <w:bCs/>
          <w:sz w:val="24"/>
          <w:szCs w:val="24"/>
          <w:rtl w:val="0"/>
          <w:lang w:val="en-US"/>
        </w:rPr>
        <w:t xml:space="preserve">Maternity leave </w:t>
      </w:r>
      <w:r>
        <w:rPr>
          <w:rFonts w:ascii="Calibri" w:hAnsi="Calibri"/>
          <w:sz w:val="24"/>
          <w:szCs w:val="24"/>
          <w:rtl w:val="0"/>
          <w:lang w:val="en-US"/>
        </w:rPr>
        <w:t>- An expectant mother has the right to maternity leave in order to care for her newborn. Currently in the UK this consists of the following:</w:t>
      </w:r>
    </w:p>
    <w:p w14:paraId="1A6ED5F8">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 xml:space="preserve">Ordinary maternity leave - first 26 weeks (It is mandatory that you take 2 weeks off after the birth). </w:t>
      </w:r>
    </w:p>
    <w:p w14:paraId="70FB1140">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Additional maternity leave - last 26 weeks (GOV.UK, 2025).</w:t>
      </w:r>
    </w:p>
    <w:p w14:paraId="72BA8044">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414A638">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Statutory Maternity Pay is paid up to 39 weeks which consists of 90% of your earnings for the first 6 weeks and for the following 33 weeks either 90% of your weekly earnings or </w:t>
      </w:r>
      <w:r>
        <w:rPr>
          <w:rFonts w:hint="default" w:ascii="Calibri" w:hAnsi="Calibri"/>
          <w:sz w:val="24"/>
          <w:szCs w:val="24"/>
          <w:rtl w:val="0"/>
          <w:lang w:val="en-US"/>
        </w:rPr>
        <w:t>£</w:t>
      </w:r>
      <w:r>
        <w:rPr>
          <w:rFonts w:ascii="Calibri" w:hAnsi="Calibri"/>
          <w:sz w:val="24"/>
          <w:szCs w:val="24"/>
          <w:rtl w:val="0"/>
          <w:lang w:val="en-US"/>
        </w:rPr>
        <w:t xml:space="preserve">184.03 whichever is lower (GOV.UK, 2025). </w:t>
      </w:r>
    </w:p>
    <w:p w14:paraId="2862ED6F">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3FA1B43E">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The benefits of maternity leave, especially in the first 6 weeks is that the birthing parent will receive a higher rate of pay as opposed to what is paid during Shared Parental Leave as this is only </w:t>
      </w:r>
      <w:r>
        <w:rPr>
          <w:rFonts w:hint="default" w:ascii="Calibri" w:hAnsi="Calibri"/>
          <w:sz w:val="24"/>
          <w:szCs w:val="24"/>
          <w:rtl w:val="0"/>
          <w:lang w:val="en-US"/>
        </w:rPr>
        <w:t>£</w:t>
      </w:r>
      <w:r>
        <w:rPr>
          <w:rFonts w:ascii="Calibri" w:hAnsi="Calibri"/>
          <w:sz w:val="24"/>
          <w:szCs w:val="24"/>
          <w:rtl w:val="0"/>
          <w:lang w:val="en-US"/>
        </w:rPr>
        <w:t xml:space="preserve">184.03 (ACAS, 2025). </w:t>
      </w:r>
    </w:p>
    <w:p w14:paraId="5BE339E7">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44AD6549">
      <w:pPr>
        <w:pStyle w:val="9"/>
        <w:framePr w:wrap="auto" w:vAnchor="margin" w:hAnchor="text" w:yAlign="inline"/>
        <w:rPr>
          <w:rFonts w:ascii="Calibri" w:hAnsi="Calibri" w:eastAsia="Calibri" w:cs="Calibri"/>
          <w:sz w:val="24"/>
          <w:szCs w:val="24"/>
        </w:rPr>
      </w:pPr>
      <w:r>
        <w:rPr>
          <w:rFonts w:ascii="Calibri" w:hAnsi="Calibri"/>
          <w:b/>
          <w:bCs/>
          <w:sz w:val="24"/>
          <w:szCs w:val="24"/>
          <w:rtl w:val="0"/>
          <w:lang w:val="en-US"/>
        </w:rPr>
        <w:t>Shared parental leave</w:t>
      </w:r>
      <w:r>
        <w:rPr>
          <w:rFonts w:ascii="Calibri" w:hAnsi="Calibri"/>
          <w:sz w:val="24"/>
          <w:szCs w:val="24"/>
          <w:rtl w:val="0"/>
          <w:lang w:val="en-US"/>
        </w:rPr>
        <w:t xml:space="preserve">: This allows both parents to share up to 50 weeks of leave and receive up to 37 weeks pay between you. You can take the leave in different blocks or opt to have this all in one go. The shared parental leave available depends on the amount of maternity leave the parent has taken. Shared Parental Leave is paid at a rate of </w:t>
      </w:r>
      <w:r>
        <w:rPr>
          <w:rFonts w:hint="default" w:ascii="Calibri" w:hAnsi="Calibri"/>
          <w:sz w:val="24"/>
          <w:szCs w:val="24"/>
          <w:rtl w:val="0"/>
          <w:lang w:val="en-US"/>
        </w:rPr>
        <w:t>£</w:t>
      </w:r>
      <w:r>
        <w:rPr>
          <w:rFonts w:ascii="Calibri" w:hAnsi="Calibri"/>
          <w:sz w:val="24"/>
          <w:szCs w:val="24"/>
          <w:rtl w:val="0"/>
          <w:lang w:val="en-US"/>
        </w:rPr>
        <w:t>184.03.</w:t>
      </w:r>
    </w:p>
    <w:p w14:paraId="59E048D9">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31AD1DC8">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There are a number of benefits that Shared Parental Leave has including:</w:t>
      </w:r>
    </w:p>
    <w:p w14:paraId="7CF36F1A">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6C864C3A">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Both parents can be off at the same time</w:t>
      </w:r>
    </w:p>
    <w:p w14:paraId="67D21B62">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It allows the birthing parent to return early and then their partner can continue with parental leave</w:t>
      </w:r>
    </w:p>
    <w:p w14:paraId="60028F1E">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Both parents share leave and are off at different times</w:t>
      </w:r>
    </w:p>
    <w:p w14:paraId="6B0B6242">
      <w:pPr>
        <w:pStyle w:val="9"/>
        <w:framePr w:wrap="auto" w:vAnchor="margin" w:hAnchor="text" w:yAlign="inline"/>
        <w:numPr>
          <w:ilvl w:val="0"/>
          <w:numId w:val="4"/>
        </w:numPr>
        <w:bidi w:val="0"/>
        <w:ind w:right="0"/>
        <w:jc w:val="left"/>
        <w:rPr>
          <w:rFonts w:ascii="Calibri" w:hAnsi="Calibri"/>
          <w:sz w:val="24"/>
          <w:szCs w:val="24"/>
          <w:rtl w:val="0"/>
          <w:lang w:val="en-US"/>
        </w:rPr>
      </w:pPr>
      <w:r>
        <w:rPr>
          <w:rFonts w:ascii="Calibri" w:hAnsi="Calibri"/>
          <w:sz w:val="24"/>
          <w:szCs w:val="24"/>
          <w:rtl w:val="0"/>
          <w:lang w:val="en-US"/>
        </w:rPr>
        <w:t>It is flexible, meaning that the leave can be taken at anytime within the first year following the birth (ACAS, 2025).</w:t>
      </w:r>
    </w:p>
    <w:p w14:paraId="706C1F4E">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2A338093">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Some examples of how leave can be seen as follows:</w:t>
      </w:r>
    </w:p>
    <w:p w14:paraId="68AFC645">
      <w:pPr>
        <w:pStyle w:val="9"/>
        <w:framePr w:wrap="auto" w:vAnchor="margin" w:hAnchor="text" w:yAlign="inline"/>
        <w:numPr>
          <w:ilvl w:val="0"/>
          <w:numId w:val="5"/>
        </w:numPr>
        <w:bidi w:val="0"/>
        <w:ind w:right="0"/>
        <w:jc w:val="left"/>
        <w:rPr>
          <w:rFonts w:ascii="Calibri" w:hAnsi="Calibri"/>
          <w:sz w:val="24"/>
          <w:szCs w:val="24"/>
          <w:rtl w:val="0"/>
          <w:lang w:val="en-US"/>
        </w:rPr>
      </w:pPr>
      <w:r>
        <w:rPr>
          <w:rFonts w:ascii="Calibri" w:hAnsi="Calibri"/>
          <w:sz w:val="24"/>
          <w:szCs w:val="24"/>
          <w:rtl w:val="0"/>
          <w:lang w:val="en-US"/>
        </w:rPr>
        <w:t>Birth mother returns to work after 39 weeks. This still leaves 13 weeks of parental leave which the partner can take either after their paternity leave or after the mother returns to work.</w:t>
      </w:r>
    </w:p>
    <w:p w14:paraId="685C04DB">
      <w:pPr>
        <w:pStyle w:val="9"/>
        <w:framePr w:wrap="auto" w:vAnchor="margin" w:hAnchor="text" w:yAlign="inline"/>
        <w:numPr>
          <w:ilvl w:val="0"/>
          <w:numId w:val="5"/>
        </w:numPr>
        <w:bidi w:val="0"/>
        <w:ind w:right="0"/>
        <w:jc w:val="left"/>
        <w:rPr>
          <w:rFonts w:ascii="Calibri" w:hAnsi="Calibri"/>
          <w:sz w:val="24"/>
          <w:szCs w:val="24"/>
          <w:rtl w:val="0"/>
          <w:lang w:val="en-US"/>
        </w:rPr>
      </w:pPr>
      <w:r>
        <w:rPr>
          <w:rFonts w:ascii="Calibri" w:hAnsi="Calibri"/>
          <w:sz w:val="24"/>
          <w:szCs w:val="24"/>
          <w:rtl w:val="0"/>
          <w:lang w:val="en-US"/>
        </w:rPr>
        <w:t>The birthing partner ends her maternity leave at 26 weeks allowing her partner 26 weeks of work, which 13 weeks will be paid for.</w:t>
      </w:r>
    </w:p>
    <w:p w14:paraId="34C63B12">
      <w:pPr>
        <w:pStyle w:val="9"/>
        <w:framePr w:wrap="auto" w:vAnchor="margin" w:hAnchor="text" w:yAlign="inline"/>
        <w:numPr>
          <w:ilvl w:val="0"/>
          <w:numId w:val="5"/>
        </w:numPr>
        <w:bidi w:val="0"/>
        <w:ind w:right="0"/>
        <w:jc w:val="left"/>
        <w:rPr>
          <w:rFonts w:ascii="Calibri" w:hAnsi="Calibri"/>
          <w:sz w:val="24"/>
          <w:szCs w:val="24"/>
          <w:rtl w:val="0"/>
          <w:lang w:val="en-US"/>
        </w:rPr>
      </w:pPr>
      <w:r>
        <w:rPr>
          <w:rFonts w:ascii="Calibri" w:hAnsi="Calibri"/>
          <w:sz w:val="24"/>
          <w:szCs w:val="24"/>
          <w:rtl w:val="0"/>
          <w:lang w:val="en-US"/>
        </w:rPr>
        <w:t xml:space="preserve">The birthing partner returns to work after 26 weeks and the partner  takes their leave off in blocks e.g 13 weeks after paternity leave and 13 weeks after the mother has returned to work (Working Families, 2025). </w:t>
      </w:r>
    </w:p>
    <w:p w14:paraId="040FC846">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 </w:t>
      </w:r>
    </w:p>
    <w:p w14:paraId="1894B09D">
      <w:pPr>
        <w:pStyle w:val="9"/>
        <w:framePr w:wrap="auto" w:vAnchor="margin" w:hAnchor="text" w:yAlign="inline"/>
        <w:rPr>
          <w:rFonts w:ascii="Calibri" w:hAnsi="Calibri" w:eastAsia="Calibri" w:cs="Calibri"/>
          <w:sz w:val="24"/>
          <w:szCs w:val="24"/>
        </w:rPr>
      </w:pPr>
      <w:r>
        <w:rPr>
          <w:rFonts w:ascii="Calibri" w:hAnsi="Calibri"/>
          <w:sz w:val="24"/>
          <w:szCs w:val="24"/>
          <w:rtl w:val="0"/>
          <w:lang w:val="en-US"/>
        </w:rPr>
        <w:t xml:space="preserve">It is important to consider both options and decide what is best for the family unit and taking into account financial implications for each option. </w:t>
      </w:r>
    </w:p>
    <w:p w14:paraId="6DAF2B25">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445C7650">
      <w:pPr>
        <w:pStyle w:val="9"/>
        <w:framePr w:wrap="auto" w:vAnchor="margin" w:hAnchor="text" w:yAlign="inline"/>
        <w:rPr>
          <w:rFonts w:ascii="Calibri" w:hAnsi="Calibri" w:eastAsia="Calibri" w:cs="Calibri"/>
          <w:b/>
          <w:bCs/>
          <w:sz w:val="24"/>
          <w:szCs w:val="24"/>
        </w:rPr>
      </w:pPr>
      <w:r>
        <w:rPr>
          <w:rFonts w:ascii="Calibri" w:hAnsi="Calibri"/>
          <w:b/>
          <w:bCs/>
          <w:sz w:val="24"/>
          <w:szCs w:val="24"/>
          <w:rtl w:val="0"/>
          <w:lang w:val="en-US"/>
        </w:rPr>
        <w:t xml:space="preserve"> </w:t>
      </w:r>
    </w:p>
    <w:p w14:paraId="265E81B0">
      <w:pPr>
        <w:pStyle w:val="9"/>
        <w:framePr w:wrap="auto" w:vAnchor="margin" w:hAnchor="text" w:yAlign="inline"/>
        <w:rPr>
          <w:rFonts w:ascii="Calibri" w:hAnsi="Calibri" w:eastAsia="Calibri" w:cs="Calibri"/>
          <w:b/>
          <w:bCs/>
          <w:sz w:val="24"/>
          <w:szCs w:val="24"/>
        </w:rPr>
      </w:pPr>
    </w:p>
    <w:p w14:paraId="5B4C3A5C">
      <w:pPr>
        <w:pStyle w:val="9"/>
        <w:framePr w:wrap="auto" w:vAnchor="margin" w:hAnchor="text" w:yAlign="inline"/>
        <w:rPr>
          <w:rFonts w:ascii="Calibri" w:hAnsi="Calibri" w:eastAsia="Calibri" w:cs="Calibri"/>
          <w:b/>
          <w:bCs/>
          <w:outline w:val="0"/>
          <w:color w:val="004147"/>
          <w:sz w:val="24"/>
          <w:szCs w:val="24"/>
          <w:u w:color="004147"/>
        </w:rPr>
      </w:pPr>
      <w:r>
        <w:rPr>
          <w:rFonts w:ascii="Calibri" w:hAnsi="Calibri"/>
          <w:b/>
          <w:bCs/>
          <w:outline w:val="0"/>
          <w:color w:val="004147"/>
          <w:sz w:val="24"/>
          <w:szCs w:val="24"/>
          <w:u w:color="004147"/>
          <w:rtl w:val="0"/>
          <w:lang w:val="en-US"/>
        </w:rPr>
        <w:t>Email 10 (AC 4.3)</w:t>
      </w:r>
    </w:p>
    <w:p w14:paraId="121E6336">
      <w:pPr>
        <w:pStyle w:val="10"/>
        <w:framePr w:wrap="auto" w:vAnchor="margin" w:hAnchor="text" w:yAlign="inline"/>
        <w:spacing w:after="0"/>
        <w:rPr>
          <w:rFonts w:ascii="Calibri" w:hAnsi="Calibri" w:eastAsia="Calibri" w:cs="Calibri"/>
          <w:b/>
          <w:bCs/>
          <w:sz w:val="24"/>
          <w:szCs w:val="24"/>
        </w:rPr>
      </w:pPr>
      <w:r>
        <w:rPr>
          <w:rFonts w:ascii="Calibri" w:hAnsi="Calibri"/>
          <w:b/>
          <w:bCs/>
          <w:sz w:val="24"/>
          <w:szCs w:val="24"/>
          <w:rtl w:val="0"/>
          <w:lang w:val="en-U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66D5F812">
      <w:pPr>
        <w:pStyle w:val="10"/>
        <w:framePr w:wrap="auto" w:vAnchor="margin" w:hAnchor="text" w:yAlign="inline"/>
        <w:spacing w:after="0"/>
        <w:rPr>
          <w:rFonts w:ascii="Calibri" w:hAnsi="Calibri" w:eastAsia="Calibri" w:cs="Calibri"/>
          <w:sz w:val="24"/>
          <w:szCs w:val="24"/>
        </w:rPr>
      </w:pPr>
      <w:r>
        <w:rPr>
          <w:rFonts w:ascii="Calibri" w:hAnsi="Calibri"/>
          <w:sz w:val="24"/>
          <w:szCs w:val="24"/>
          <w:rtl w:val="0"/>
          <w:lang w:val="en-US"/>
        </w:rPr>
        <w:t>In April 2024, the Employment Relations (Flexible Working) Act 2023 was introduced which</w:t>
      </w:r>
      <w:r>
        <w:rPr>
          <w:rFonts w:hint="default" w:ascii="Calibri" w:hAnsi="Calibri"/>
          <w:sz w:val="24"/>
          <w:szCs w:val="24"/>
          <w:rtl w:val="0"/>
          <w:lang w:val="en-GB"/>
        </w:rPr>
        <w:t xml:space="preserve"> provided </w:t>
      </w:r>
      <w:r>
        <w:rPr>
          <w:rFonts w:ascii="Calibri" w:hAnsi="Calibri"/>
          <w:sz w:val="24"/>
          <w:szCs w:val="24"/>
          <w:rtl w:val="0"/>
          <w:lang w:val="en-US"/>
        </w:rPr>
        <w:t xml:space="preserve"> the right for an employee to request flexible working from the first day of their employment. This act enables an employee to request changes to their working conditions in the following areas:</w:t>
      </w:r>
    </w:p>
    <w:p w14:paraId="02692A9A">
      <w:pPr>
        <w:pStyle w:val="10"/>
        <w:framePr w:wrap="auto" w:vAnchor="margin" w:hAnchor="text" w:yAlign="inline"/>
        <w:numPr>
          <w:ilvl w:val="0"/>
          <w:numId w:val="6"/>
        </w:numPr>
        <w:bidi w:val="0"/>
        <w:spacing w:after="0"/>
        <w:ind w:right="0"/>
        <w:jc w:val="left"/>
        <w:rPr>
          <w:rFonts w:hint="default" w:ascii="Calibri" w:hAnsi="Calibri"/>
          <w:sz w:val="24"/>
          <w:szCs w:val="24"/>
          <w:rtl w:val="0"/>
          <w:lang w:val="en-US"/>
        </w:rPr>
      </w:pPr>
      <w:r>
        <w:rPr>
          <w:rFonts w:hint="default" w:ascii="Calibri" w:hAnsi="Calibri"/>
          <w:sz w:val="24"/>
          <w:szCs w:val="24"/>
          <w:rtl w:val="0"/>
          <w:lang w:val="en-US"/>
        </w:rPr>
        <w:t>‘</w:t>
      </w:r>
      <w:r>
        <w:rPr>
          <w:rFonts w:ascii="Calibri" w:hAnsi="Calibri"/>
          <w:sz w:val="24"/>
          <w:szCs w:val="24"/>
          <w:rtl w:val="0"/>
          <w:lang w:val="en-US"/>
        </w:rPr>
        <w:t>The hours they work</w:t>
      </w:r>
    </w:p>
    <w:p w14:paraId="39094959">
      <w:pPr>
        <w:pStyle w:val="10"/>
        <w:framePr w:wrap="auto" w:vAnchor="margin" w:hAnchor="text" w:yAlign="inline"/>
        <w:numPr>
          <w:ilvl w:val="0"/>
          <w:numId w:val="6"/>
        </w:numPr>
        <w:bidi w:val="0"/>
        <w:spacing w:after="0"/>
        <w:ind w:right="0"/>
        <w:jc w:val="left"/>
        <w:rPr>
          <w:rFonts w:ascii="Calibri" w:hAnsi="Calibri"/>
          <w:sz w:val="24"/>
          <w:szCs w:val="24"/>
          <w:rtl w:val="0"/>
          <w:lang w:val="en-US"/>
        </w:rPr>
      </w:pPr>
      <w:r>
        <w:rPr>
          <w:rFonts w:ascii="Calibri" w:hAnsi="Calibri"/>
          <w:sz w:val="24"/>
          <w:szCs w:val="24"/>
          <w:rtl w:val="0"/>
          <w:lang w:val="en-US"/>
        </w:rPr>
        <w:t>The times they work</w:t>
      </w:r>
    </w:p>
    <w:p w14:paraId="73254B3E">
      <w:pPr>
        <w:pStyle w:val="10"/>
        <w:framePr w:wrap="auto" w:vAnchor="margin" w:hAnchor="text" w:yAlign="inline"/>
        <w:numPr>
          <w:ilvl w:val="0"/>
          <w:numId w:val="6"/>
        </w:numPr>
        <w:bidi w:val="0"/>
        <w:spacing w:after="0"/>
        <w:ind w:right="0"/>
        <w:jc w:val="left"/>
        <w:rPr>
          <w:rFonts w:ascii="Calibri" w:hAnsi="Calibri"/>
          <w:sz w:val="24"/>
          <w:szCs w:val="24"/>
          <w:rtl w:val="0"/>
          <w:lang w:val="en-US"/>
        </w:rPr>
      </w:pPr>
      <w:r>
        <w:rPr>
          <w:rFonts w:ascii="Calibri" w:hAnsi="Calibri"/>
          <w:sz w:val="24"/>
          <w:szCs w:val="24"/>
          <w:rtl w:val="0"/>
          <w:lang w:val="en-US"/>
        </w:rPr>
        <w:t>The place they are required to work</w:t>
      </w:r>
      <w:r>
        <w:rPr>
          <w:rFonts w:hint="default" w:ascii="Calibri" w:hAnsi="Calibri"/>
          <w:sz w:val="24"/>
          <w:szCs w:val="24"/>
          <w:rtl w:val="0"/>
          <w:lang w:val="en-US"/>
        </w:rPr>
        <w:t xml:space="preserve">’ </w:t>
      </w:r>
      <w:r>
        <w:rPr>
          <w:rFonts w:ascii="Calibri" w:hAnsi="Calibri"/>
          <w:sz w:val="24"/>
          <w:szCs w:val="24"/>
          <w:rtl w:val="0"/>
          <w:lang w:val="en-US"/>
        </w:rPr>
        <w:t xml:space="preserve">(Daniels, 2025 p.p 71). </w:t>
      </w:r>
    </w:p>
    <w:p w14:paraId="5799929E">
      <w:pPr>
        <w:pStyle w:val="10"/>
        <w:framePr w:wrap="auto" w:vAnchor="margin" w:hAnchor="text" w:yAlign="inline"/>
        <w:spacing w:after="0"/>
        <w:rPr>
          <w:rFonts w:ascii="Calibri" w:hAnsi="Calibri" w:eastAsia="Calibri" w:cs="Calibri"/>
          <w:sz w:val="24"/>
          <w:szCs w:val="24"/>
        </w:rPr>
      </w:pPr>
      <w:r>
        <w:rPr>
          <w:rFonts w:hint="default" w:ascii="Calibri" w:hAnsi="Calibri"/>
          <w:sz w:val="24"/>
          <w:szCs w:val="24"/>
          <w:rtl w:val="0"/>
          <w:lang w:val="en-GB"/>
        </w:rPr>
        <w:t xml:space="preserve">It is the employers responsibility to follow the correct process in a reasonable manner when dealing with individual requests by considering the effects on both the employer and the employee and the impact it may have on others in doing so (ACAS,2024). </w:t>
      </w:r>
      <w:r>
        <w:rPr>
          <w:rFonts w:ascii="Calibri" w:hAnsi="Calibri"/>
          <w:sz w:val="24"/>
          <w:szCs w:val="24"/>
          <w:rtl w:val="0"/>
          <w:lang w:val="en-US"/>
        </w:rPr>
        <w:t xml:space="preserve"> There are many benefits to consider when considering a flexible working request:</w:t>
      </w:r>
    </w:p>
    <w:p w14:paraId="7ACF0421">
      <w:pPr>
        <w:pStyle w:val="10"/>
        <w:framePr w:wrap="auto" w:vAnchor="margin" w:hAnchor="text" w:yAlign="inline"/>
        <w:numPr>
          <w:ilvl w:val="0"/>
          <w:numId w:val="6"/>
        </w:numPr>
        <w:bidi w:val="0"/>
        <w:spacing w:after="0"/>
        <w:ind w:right="0"/>
        <w:jc w:val="left"/>
        <w:rPr>
          <w:rFonts w:ascii="Calibri" w:hAnsi="Calibri"/>
          <w:sz w:val="24"/>
          <w:szCs w:val="24"/>
          <w:rtl w:val="0"/>
          <w:lang w:val="en-US"/>
        </w:rPr>
      </w:pPr>
      <w:r>
        <w:rPr>
          <w:rFonts w:ascii="Calibri" w:hAnsi="Calibri"/>
          <w:sz w:val="24"/>
          <w:szCs w:val="24"/>
          <w:rtl w:val="0"/>
          <w:lang w:val="en-US"/>
        </w:rPr>
        <w:t xml:space="preserve">Improve morale and job satisfaction </w:t>
      </w:r>
    </w:p>
    <w:p w14:paraId="48088647">
      <w:pPr>
        <w:pStyle w:val="10"/>
        <w:framePr w:wrap="auto" w:vAnchor="margin" w:hAnchor="text" w:yAlign="inline"/>
        <w:numPr>
          <w:ilvl w:val="0"/>
          <w:numId w:val="6"/>
        </w:numPr>
        <w:bidi w:val="0"/>
        <w:spacing w:after="0"/>
        <w:ind w:right="0"/>
        <w:jc w:val="left"/>
        <w:rPr>
          <w:rFonts w:ascii="Calibri" w:hAnsi="Calibri"/>
          <w:sz w:val="24"/>
          <w:szCs w:val="24"/>
          <w:rtl w:val="0"/>
          <w:lang w:val="en-US"/>
        </w:rPr>
      </w:pPr>
      <w:r>
        <w:rPr>
          <w:rFonts w:ascii="Calibri" w:hAnsi="Calibri"/>
          <w:sz w:val="24"/>
          <w:szCs w:val="24"/>
          <w:rtl w:val="0"/>
          <w:lang w:val="en-US"/>
        </w:rPr>
        <w:t>Strengthen the talent pool</w:t>
      </w:r>
    </w:p>
    <w:p w14:paraId="187ED7CE">
      <w:pPr>
        <w:pStyle w:val="10"/>
        <w:framePr w:wrap="auto" w:vAnchor="margin" w:hAnchor="text" w:yAlign="inline"/>
        <w:numPr>
          <w:ilvl w:val="0"/>
          <w:numId w:val="6"/>
        </w:numPr>
        <w:bidi w:val="0"/>
        <w:spacing w:after="0"/>
        <w:ind w:right="0"/>
        <w:jc w:val="left"/>
        <w:rPr>
          <w:rFonts w:ascii="Calibri" w:hAnsi="Calibri"/>
          <w:sz w:val="24"/>
          <w:szCs w:val="24"/>
          <w:rtl w:val="0"/>
          <w:lang w:val="en-US"/>
        </w:rPr>
      </w:pPr>
      <w:r>
        <w:rPr>
          <w:rFonts w:ascii="Calibri" w:hAnsi="Calibri"/>
          <w:sz w:val="24"/>
          <w:szCs w:val="24"/>
          <w:rtl w:val="0"/>
          <w:lang w:val="en-US"/>
        </w:rPr>
        <w:t>Support employees worklife balance</w:t>
      </w:r>
    </w:p>
    <w:p w14:paraId="3B70F04F">
      <w:pPr>
        <w:pStyle w:val="10"/>
        <w:framePr w:wrap="auto" w:vAnchor="margin" w:hAnchor="text" w:yAlign="inline"/>
        <w:numPr>
          <w:ilvl w:val="0"/>
          <w:numId w:val="6"/>
        </w:numPr>
        <w:bidi w:val="0"/>
        <w:spacing w:after="0"/>
        <w:ind w:right="0"/>
        <w:jc w:val="left"/>
        <w:rPr>
          <w:rFonts w:ascii="Calibri" w:hAnsi="Calibri" w:eastAsia="Calibri" w:cs="Calibri"/>
          <w:sz w:val="24"/>
          <w:szCs w:val="24"/>
        </w:rPr>
      </w:pPr>
      <w:r>
        <w:rPr>
          <w:rFonts w:ascii="Calibri" w:hAnsi="Calibri"/>
          <w:sz w:val="24"/>
          <w:szCs w:val="24"/>
          <w:rtl w:val="0"/>
          <w:lang w:val="en-US"/>
        </w:rPr>
        <w:t>Helps to narrow the gender pay gap (CIPD,  2024).</w:t>
      </w:r>
    </w:p>
    <w:p w14:paraId="3EF50852">
      <w:pPr>
        <w:pStyle w:val="10"/>
        <w:framePr w:wrap="auto" w:vAnchor="margin" w:hAnchor="text" w:yAlign="inline"/>
        <w:numPr>
          <w:numId w:val="0"/>
        </w:numPr>
        <w:bidi w:val="0"/>
        <w:spacing w:after="0"/>
        <w:ind w:leftChars="0" w:right="0" w:rightChars="0"/>
        <w:jc w:val="left"/>
        <w:rPr>
          <w:rFonts w:ascii="Calibri" w:hAnsi="Calibri" w:eastAsia="Calibri" w:cs="Calibri"/>
          <w:sz w:val="24"/>
          <w:szCs w:val="24"/>
        </w:rPr>
      </w:pPr>
    </w:p>
    <w:p w14:paraId="6A004998">
      <w:pPr>
        <w:pStyle w:val="10"/>
        <w:framePr w:wrap="auto" w:vAnchor="margin" w:hAnchor="text" w:yAlign="inline"/>
        <w:spacing w:after="0"/>
        <w:rPr>
          <w:rFonts w:hint="default" w:ascii="Calibri" w:hAnsi="Calibri"/>
          <w:sz w:val="24"/>
          <w:szCs w:val="24"/>
          <w:rtl w:val="0"/>
          <w:lang w:val="en-GB"/>
        </w:rPr>
      </w:pPr>
      <w:r>
        <w:rPr>
          <w:rFonts w:ascii="Calibri" w:hAnsi="Calibri"/>
          <w:sz w:val="24"/>
          <w:szCs w:val="24"/>
          <w:rtl w:val="0"/>
          <w:lang w:val="en-US"/>
        </w:rPr>
        <w:t>The employer is obliged to provide an answer within 2 months.</w:t>
      </w:r>
      <w:r>
        <w:rPr>
          <w:rFonts w:hint="default" w:ascii="Calibri" w:hAnsi="Calibri"/>
          <w:sz w:val="24"/>
          <w:szCs w:val="24"/>
          <w:rtl w:val="0"/>
          <w:lang w:val="en-GB"/>
        </w:rPr>
        <w:t xml:space="preserve"> This time also needs to allow for any appeal to be considered.</w:t>
      </w:r>
      <w:r>
        <w:rPr>
          <w:rFonts w:ascii="Calibri" w:hAnsi="Calibri"/>
          <w:sz w:val="24"/>
          <w:szCs w:val="24"/>
          <w:rtl w:val="0"/>
          <w:lang w:val="en-US"/>
        </w:rPr>
        <w:t xml:space="preserve"> If the request is refused, a justified reason must be provided to support this decision</w:t>
      </w:r>
      <w:r>
        <w:rPr>
          <w:rFonts w:hint="default" w:ascii="Calibri" w:hAnsi="Calibri"/>
          <w:sz w:val="24"/>
          <w:szCs w:val="24"/>
          <w:rtl w:val="0"/>
          <w:lang w:val="en-GB"/>
        </w:rPr>
        <w:t xml:space="preserve"> and</w:t>
      </w:r>
      <w:r>
        <w:rPr>
          <w:rFonts w:ascii="Calibri" w:hAnsi="Calibri"/>
          <w:sz w:val="24"/>
          <w:szCs w:val="24"/>
          <w:rtl w:val="0"/>
          <w:lang w:val="en-US"/>
        </w:rPr>
        <w:t xml:space="preserve"> you must consult with the employee to discuss your reasons behind the decision (Citizens Advice,2025). </w:t>
      </w:r>
      <w:r>
        <w:rPr>
          <w:rFonts w:hint="default" w:ascii="Calibri" w:hAnsi="Calibri"/>
          <w:sz w:val="24"/>
          <w:szCs w:val="24"/>
          <w:rtl w:val="0"/>
          <w:lang w:val="en-GB"/>
        </w:rPr>
        <w:t>Reason to reject the request could be:</w:t>
      </w:r>
    </w:p>
    <w:p w14:paraId="0480B0C1">
      <w:pPr>
        <w:pStyle w:val="10"/>
        <w:framePr w:wrap="auto" w:vAnchor="margin" w:hAnchor="text" w:yAlign="inline"/>
        <w:numPr>
          <w:ilvl w:val="0"/>
          <w:numId w:val="7"/>
        </w:numPr>
        <w:spacing w:after="0"/>
        <w:ind w:left="420" w:leftChars="0" w:hanging="420" w:firstLineChars="0"/>
        <w:rPr>
          <w:rFonts w:hint="default" w:ascii="Calibri" w:hAnsi="Calibri"/>
          <w:sz w:val="24"/>
          <w:szCs w:val="24"/>
          <w:rtl w:val="0"/>
          <w:lang w:val="en-GB"/>
        </w:rPr>
      </w:pPr>
      <w:r>
        <w:rPr>
          <w:rFonts w:hint="default" w:ascii="Calibri" w:hAnsi="Calibri"/>
          <w:sz w:val="24"/>
          <w:szCs w:val="24"/>
          <w:rtl w:val="0"/>
          <w:lang w:val="en-GB"/>
        </w:rPr>
        <w:t>Performance and quality of work may suffer</w:t>
      </w:r>
    </w:p>
    <w:p w14:paraId="7F8F4D9E">
      <w:pPr>
        <w:pStyle w:val="10"/>
        <w:framePr w:wrap="auto" w:vAnchor="margin" w:hAnchor="text" w:yAlign="inline"/>
        <w:numPr>
          <w:ilvl w:val="0"/>
          <w:numId w:val="7"/>
        </w:numPr>
        <w:spacing w:after="0"/>
        <w:ind w:left="420" w:leftChars="0" w:hanging="420" w:firstLineChars="0"/>
        <w:rPr>
          <w:rFonts w:hint="default" w:ascii="Calibri" w:hAnsi="Calibri"/>
          <w:sz w:val="24"/>
          <w:szCs w:val="24"/>
          <w:rtl w:val="0"/>
          <w:lang w:val="en-GB"/>
        </w:rPr>
      </w:pPr>
      <w:r>
        <w:rPr>
          <w:rFonts w:hint="default" w:ascii="Calibri" w:hAnsi="Calibri"/>
          <w:sz w:val="24"/>
          <w:szCs w:val="24"/>
          <w:rtl w:val="0"/>
          <w:lang w:val="en-GB"/>
        </w:rPr>
        <w:t>Reduced ability to meet customer demand</w:t>
      </w:r>
    </w:p>
    <w:p w14:paraId="06C6CE36">
      <w:pPr>
        <w:pStyle w:val="10"/>
        <w:framePr w:wrap="auto" w:vAnchor="margin" w:hAnchor="text" w:yAlign="inline"/>
        <w:numPr>
          <w:ilvl w:val="0"/>
          <w:numId w:val="7"/>
        </w:numPr>
        <w:spacing w:after="0"/>
        <w:ind w:left="420" w:leftChars="0" w:hanging="420" w:firstLineChars="0"/>
        <w:rPr>
          <w:rFonts w:hint="default" w:ascii="Calibri" w:hAnsi="Calibri"/>
          <w:sz w:val="24"/>
          <w:szCs w:val="24"/>
          <w:rtl w:val="0"/>
          <w:lang w:val="en-GB"/>
        </w:rPr>
      </w:pPr>
      <w:r>
        <w:rPr>
          <w:rFonts w:hint="default" w:ascii="Calibri" w:hAnsi="Calibri"/>
          <w:sz w:val="24"/>
          <w:szCs w:val="24"/>
          <w:rtl w:val="0"/>
          <w:lang w:val="en-GB"/>
        </w:rPr>
        <w:t>Planned changes to business will not suit proposed way of working (ACAS, 2024).</w:t>
      </w:r>
    </w:p>
    <w:p w14:paraId="6FBF9215">
      <w:pPr>
        <w:pStyle w:val="10"/>
        <w:framePr w:wrap="auto" w:vAnchor="margin" w:hAnchor="text" w:yAlign="inline"/>
        <w:spacing w:after="0"/>
        <w:rPr>
          <w:rFonts w:ascii="Calibri" w:hAnsi="Calibri" w:eastAsia="Calibri" w:cs="Calibri"/>
          <w:sz w:val="24"/>
          <w:szCs w:val="24"/>
        </w:rPr>
      </w:pPr>
      <w:r>
        <w:rPr>
          <w:rFonts w:hint="default" w:ascii="Calibri" w:hAnsi="Calibri"/>
          <w:sz w:val="24"/>
          <w:szCs w:val="24"/>
          <w:rtl w:val="0"/>
          <w:lang w:val="en-GB"/>
        </w:rPr>
        <w:t xml:space="preserve">It is worth noting that it would not be acceptable to refuse this request based on not wanting others to make the same request. An example of this can be </w:t>
      </w:r>
      <w:r>
        <w:rPr>
          <w:rFonts w:ascii="Calibri" w:hAnsi="Calibri"/>
          <w:sz w:val="24"/>
          <w:szCs w:val="24"/>
          <w:rtl w:val="0"/>
          <w:lang w:val="en-US"/>
        </w:rPr>
        <w:t xml:space="preserve">illustrated in the case of </w:t>
      </w:r>
      <w:r>
        <w:rPr>
          <w:rFonts w:ascii="Calibri" w:hAnsi="Calibri"/>
          <w:i/>
          <w:iCs/>
          <w:sz w:val="24"/>
          <w:szCs w:val="24"/>
          <w:rtl w:val="0"/>
          <w:lang w:val="en-US"/>
        </w:rPr>
        <w:t xml:space="preserve">Commotion Ltd v Rutty (2006) ICR 290. </w:t>
      </w:r>
      <w:r>
        <w:rPr>
          <w:rFonts w:ascii="Calibri" w:hAnsi="Calibri"/>
          <w:sz w:val="24"/>
          <w:szCs w:val="24"/>
          <w:rtl w:val="0"/>
          <w:lang w:val="en-US"/>
        </w:rPr>
        <w:t>Rutty requested to reduce her hours to a three day work in order for her to care for her two year old granddaughter. The request was turned down due to the employer wanting everyone to work the same hours and didn</w:t>
      </w:r>
      <w:r>
        <w:rPr>
          <w:rFonts w:hint="default" w:ascii="Calibri" w:hAnsi="Calibri"/>
          <w:sz w:val="24"/>
          <w:szCs w:val="24"/>
          <w:rtl w:val="0"/>
          <w:lang w:val="en-US"/>
        </w:rPr>
        <w:t>’</w:t>
      </w:r>
      <w:r>
        <w:rPr>
          <w:rFonts w:ascii="Calibri" w:hAnsi="Calibri"/>
          <w:sz w:val="24"/>
          <w:szCs w:val="24"/>
          <w:rtl w:val="0"/>
          <w:lang w:val="en-US"/>
        </w:rPr>
        <w:t xml:space="preserve">t want this to have a direct impact on morale and team spirit. The EAT upheld the Employment Tribunals decision in that the reasons provided were not enough to refuse the request. a maximum of eight weeks pay (no more than </w:t>
      </w:r>
      <w:r>
        <w:rPr>
          <w:rFonts w:hint="default" w:ascii="Calibri" w:hAnsi="Calibri"/>
          <w:sz w:val="24"/>
          <w:szCs w:val="24"/>
          <w:rtl w:val="0"/>
          <w:lang w:val="en-US"/>
        </w:rPr>
        <w:t>£</w:t>
      </w:r>
      <w:r>
        <w:rPr>
          <w:rFonts w:ascii="Calibri" w:hAnsi="Calibri"/>
          <w:sz w:val="24"/>
          <w:szCs w:val="24"/>
          <w:rtl w:val="0"/>
          <w:lang w:val="en-US"/>
        </w:rPr>
        <w:t>700 per week) or enforce that the request is reconsidered if proven that an employer has not dealt correctly with the request (Daniels, 2025 p.p 72-73).</w:t>
      </w:r>
    </w:p>
    <w:p w14:paraId="1950F9B1">
      <w:pPr>
        <w:pStyle w:val="10"/>
        <w:framePr w:wrap="auto" w:vAnchor="margin" w:hAnchor="text" w:yAlign="inline"/>
        <w:spacing w:after="0"/>
        <w:rPr>
          <w:rFonts w:ascii="Calibri" w:hAnsi="Calibri" w:eastAsia="Calibri" w:cs="Calibri"/>
          <w:sz w:val="24"/>
          <w:szCs w:val="24"/>
        </w:rPr>
      </w:pPr>
      <w:r>
        <w:rPr>
          <w:rFonts w:ascii="Calibri" w:hAnsi="Calibri"/>
          <w:sz w:val="24"/>
          <w:szCs w:val="24"/>
          <w:rtl w:val="0"/>
          <w:lang w:val="en-US"/>
        </w:rPr>
        <w:t xml:space="preserve"> </w:t>
      </w:r>
    </w:p>
    <w:p w14:paraId="5A3D6F2C">
      <w:pPr>
        <w:pStyle w:val="10"/>
        <w:framePr w:wrap="auto" w:vAnchor="margin" w:hAnchor="text" w:yAlign="inline"/>
        <w:spacing w:after="0"/>
        <w:rPr>
          <w:rFonts w:ascii="Calibri" w:hAnsi="Calibri" w:eastAsia="Calibri" w:cs="Calibri"/>
          <w:sz w:val="24"/>
          <w:szCs w:val="24"/>
        </w:rPr>
      </w:pPr>
      <w:r>
        <w:rPr>
          <w:rFonts w:ascii="Calibri" w:hAnsi="Calibri"/>
          <w:sz w:val="24"/>
          <w:szCs w:val="24"/>
          <w:rtl w:val="0"/>
          <w:lang w:val="en-US"/>
        </w:rPr>
        <w:t xml:space="preserve"> </w:t>
      </w:r>
    </w:p>
    <w:p w14:paraId="2A01A9E2">
      <w:pPr>
        <w:pStyle w:val="10"/>
        <w:framePr w:wrap="auto" w:vAnchor="margin" w:hAnchor="text" w:yAlign="inline"/>
        <w:spacing w:after="0"/>
        <w:rPr>
          <w:rFonts w:ascii="Calibri" w:hAnsi="Calibri" w:eastAsia="Calibri" w:cs="Calibri"/>
          <w:sz w:val="24"/>
          <w:szCs w:val="24"/>
        </w:rPr>
      </w:pPr>
      <w:r>
        <w:rPr>
          <w:rFonts w:ascii="Calibri" w:hAnsi="Calibri"/>
          <w:sz w:val="24"/>
          <w:szCs w:val="24"/>
          <w:rtl w:val="0"/>
          <w:lang w:val="en-US"/>
        </w:rPr>
        <w:t xml:space="preserve"> </w:t>
      </w:r>
    </w:p>
    <w:p w14:paraId="19600B98">
      <w:pPr>
        <w:pStyle w:val="10"/>
        <w:framePr w:wrap="auto" w:vAnchor="margin" w:hAnchor="text" w:yAlign="inline"/>
        <w:spacing w:after="0"/>
        <w:rPr>
          <w:rFonts w:ascii="Calibri" w:hAnsi="Calibri" w:eastAsia="Calibri" w:cs="Calibri"/>
          <w:sz w:val="24"/>
          <w:szCs w:val="24"/>
        </w:rPr>
      </w:pPr>
      <w:r>
        <w:rPr>
          <w:rFonts w:ascii="Calibri" w:hAnsi="Calibri"/>
          <w:sz w:val="24"/>
          <w:szCs w:val="24"/>
          <w:rtl w:val="0"/>
          <w:lang w:val="en-US"/>
        </w:rPr>
        <w:t xml:space="preserve"> </w:t>
      </w:r>
    </w:p>
    <w:p w14:paraId="0F106238">
      <w:pPr>
        <w:pStyle w:val="10"/>
        <w:framePr w:wrap="auto" w:vAnchor="margin" w:hAnchor="text" w:yAlign="inline"/>
        <w:spacing w:after="0"/>
        <w:rPr>
          <w:rFonts w:ascii="Calibri" w:hAnsi="Calibri" w:eastAsia="Calibri" w:cs="Calibri"/>
        </w:rPr>
      </w:pPr>
      <w:r>
        <w:rPr>
          <w:rFonts w:ascii="Calibri" w:hAnsi="Calibri"/>
          <w:rtl w:val="0"/>
          <w:lang w:val="en-US"/>
        </w:rPr>
        <w:t xml:space="preserve"> </w:t>
      </w:r>
    </w:p>
    <w:p w14:paraId="54672EB7">
      <w:pPr>
        <w:pStyle w:val="10"/>
        <w:framePr w:wrap="auto" w:vAnchor="margin" w:hAnchor="text" w:yAlign="inline"/>
        <w:spacing w:before="0" w:after="0"/>
        <w:rPr>
          <w:rFonts w:ascii="Calibri" w:hAnsi="Calibri" w:eastAsia="Calibri" w:cs="Calibri"/>
        </w:rPr>
      </w:pPr>
      <w:r>
        <w:drawing>
          <wp:inline distT="0" distB="0" distL="0" distR="0">
            <wp:extent cx="5727065" cy="1155065"/>
            <wp:effectExtent l="0" t="0" r="0" b="0"/>
            <wp:docPr id="1073741825" name="officeArt object"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officeArt object" descr="A black screen with a black background&#10;&#10;AI-generated content may be incorrect."/>
                    <pic:cNvPicPr>
                      <a:picLocks noChangeAspect="1"/>
                    </pic:cNvPicPr>
                  </pic:nvPicPr>
                  <pic:blipFill>
                    <a:blip r:embed="rId8"/>
                    <a:stretch>
                      <a:fillRect/>
                    </a:stretch>
                  </pic:blipFill>
                  <pic:spPr>
                    <a:xfrm>
                      <a:off x="0" y="0"/>
                      <a:ext cx="5727573" cy="1155318"/>
                    </a:xfrm>
                    <a:prstGeom prst="rect">
                      <a:avLst/>
                    </a:prstGeom>
                    <a:ln w="12700" cap="flat">
                      <a:noFill/>
                      <a:miter lim="400000"/>
                      <a:headEnd/>
                      <a:tailEnd/>
                    </a:ln>
                    <a:effectLst/>
                  </pic:spPr>
                </pic:pic>
              </a:graphicData>
            </a:graphic>
          </wp:inline>
        </w:drawing>
      </w:r>
      <w:r>
        <w:rPr>
          <w:rFonts w:ascii="Calibri" w:hAnsi="Calibri"/>
          <w:rtl w:val="0"/>
          <w:lang w:val="en-US"/>
        </w:rPr>
        <w:t xml:space="preserve"> </w:t>
      </w:r>
    </w:p>
    <w:p w14:paraId="615E8DF5">
      <w:pPr>
        <w:pStyle w:val="8"/>
        <w:framePr w:wrap="auto" w:vAnchor="margin" w:hAnchor="text" w:yAlign="inline"/>
        <w:jc w:val="center"/>
        <w:rPr>
          <w:rFonts w:ascii="Calibri" w:hAnsi="Calibri" w:eastAsia="Calibri" w:cs="Calibri"/>
        </w:rPr>
      </w:pPr>
      <w:r>
        <w:rPr>
          <w:rFonts w:ascii="Calibri" w:hAnsi="Calibri"/>
          <w:rtl w:val="0"/>
        </w:rPr>
        <w:t xml:space="preserve"> </w:t>
      </w:r>
    </w:p>
    <w:p w14:paraId="1DF2CBC7">
      <w:pPr>
        <w:pStyle w:val="8"/>
        <w:framePr w:wrap="auto" w:vAnchor="margin" w:hAnchor="text" w:yAlign="inline"/>
        <w:jc w:val="center"/>
        <w:rPr>
          <w:rFonts w:ascii="Calibri" w:hAnsi="Calibri" w:eastAsia="Calibri" w:cs="Calibri"/>
        </w:rPr>
      </w:pPr>
      <w:r>
        <w:rPr>
          <w:rFonts w:ascii="Calibri" w:hAnsi="Calibri"/>
          <w:rtl w:val="0"/>
        </w:rPr>
        <w:t xml:space="preserve"> </w:t>
      </w:r>
    </w:p>
    <w:p w14:paraId="317AF2EF">
      <w:pPr>
        <w:pStyle w:val="8"/>
        <w:framePr w:wrap="auto" w:vAnchor="margin" w:hAnchor="text" w:yAlign="inline"/>
        <w:jc w:val="center"/>
        <w:rPr>
          <w:rFonts w:ascii="Calibri" w:hAnsi="Calibri" w:eastAsia="Calibri" w:cs="Calibri"/>
        </w:rPr>
      </w:pPr>
      <w:r>
        <w:rPr>
          <w:rFonts w:ascii="Calibri" w:hAnsi="Calibri"/>
          <w:rtl w:val="0"/>
        </w:rPr>
        <w:t xml:space="preserve"> </w:t>
      </w:r>
    </w:p>
    <w:p w14:paraId="2E596EF2">
      <w:pPr>
        <w:pStyle w:val="8"/>
        <w:framePr w:wrap="auto" w:vAnchor="margin" w:hAnchor="text" w:yAlign="inline"/>
        <w:jc w:val="center"/>
        <w:rPr>
          <w:rFonts w:ascii="Calibri" w:hAnsi="Calibri" w:eastAsia="Calibri" w:cs="Calibri"/>
        </w:rPr>
      </w:pPr>
      <w:r>
        <w:rPr>
          <w:rFonts w:ascii="Calibri" w:hAnsi="Calibri"/>
          <w:rtl w:val="0"/>
        </w:rPr>
        <w:t xml:space="preserve"> </w:t>
      </w:r>
    </w:p>
    <w:p w14:paraId="17FA57E0">
      <w:pPr>
        <w:pStyle w:val="8"/>
        <w:framePr w:wrap="auto" w:vAnchor="margin" w:hAnchor="text" w:yAlign="inline"/>
        <w:jc w:val="center"/>
        <w:rPr>
          <w:rFonts w:ascii="Calibri" w:hAnsi="Calibri" w:eastAsia="Calibri" w:cs="Calibri"/>
        </w:rPr>
      </w:pPr>
    </w:p>
    <w:p w14:paraId="22DCDCE5">
      <w:pPr>
        <w:pStyle w:val="8"/>
        <w:framePr w:wrap="auto" w:vAnchor="margin" w:hAnchor="text" w:yAlign="inline"/>
        <w:jc w:val="center"/>
        <w:rPr>
          <w:rFonts w:ascii="Calibri" w:hAnsi="Calibri" w:eastAsia="Calibri" w:cs="Calibri"/>
        </w:rPr>
      </w:pPr>
    </w:p>
    <w:p w14:paraId="00F317C4">
      <w:pPr>
        <w:pStyle w:val="8"/>
        <w:framePr w:wrap="auto" w:vAnchor="margin" w:hAnchor="text" w:yAlign="inline"/>
        <w:jc w:val="center"/>
        <w:rPr>
          <w:rFonts w:ascii="Calibri" w:hAnsi="Calibri" w:eastAsia="Calibri" w:cs="Calibri"/>
        </w:rPr>
      </w:pPr>
    </w:p>
    <w:p w14:paraId="0BE8EADF">
      <w:pPr>
        <w:pStyle w:val="8"/>
        <w:framePr w:wrap="auto" w:vAnchor="margin" w:hAnchor="text" w:yAlign="inline"/>
        <w:jc w:val="center"/>
        <w:rPr>
          <w:rFonts w:ascii="Calibri" w:hAnsi="Calibri" w:eastAsia="Calibri" w:cs="Calibri"/>
        </w:rPr>
      </w:pPr>
    </w:p>
    <w:p w14:paraId="30700BC1">
      <w:pPr>
        <w:pStyle w:val="8"/>
        <w:framePr w:wrap="auto" w:vAnchor="margin" w:hAnchor="text" w:yAlign="inline"/>
        <w:jc w:val="center"/>
        <w:rPr>
          <w:rFonts w:ascii="Calibri" w:hAnsi="Calibri" w:eastAsia="Calibri" w:cs="Calibri"/>
        </w:rPr>
      </w:pPr>
    </w:p>
    <w:p w14:paraId="2FBDD38E">
      <w:pPr>
        <w:pStyle w:val="8"/>
        <w:framePr w:wrap="auto" w:vAnchor="margin" w:hAnchor="text" w:yAlign="inline"/>
        <w:jc w:val="center"/>
        <w:rPr>
          <w:rFonts w:ascii="Calibri" w:hAnsi="Calibri" w:eastAsia="Calibri" w:cs="Calibri"/>
        </w:rPr>
      </w:pPr>
    </w:p>
    <w:p w14:paraId="5459AB60">
      <w:pPr>
        <w:pStyle w:val="8"/>
        <w:framePr w:wrap="auto" w:vAnchor="margin" w:hAnchor="text" w:yAlign="inline"/>
        <w:jc w:val="center"/>
        <w:rPr>
          <w:rFonts w:ascii="Calibri" w:hAnsi="Calibri" w:eastAsia="Calibri" w:cs="Calibri"/>
        </w:rPr>
      </w:pPr>
    </w:p>
    <w:p w14:paraId="68E25569">
      <w:pPr>
        <w:pStyle w:val="8"/>
        <w:framePr w:wrap="auto" w:vAnchor="margin" w:hAnchor="text" w:yAlign="inline"/>
        <w:jc w:val="center"/>
        <w:rPr>
          <w:rFonts w:ascii="Calibri" w:hAnsi="Calibri" w:eastAsia="Calibri" w:cs="Calibri"/>
        </w:rPr>
      </w:pPr>
    </w:p>
    <w:p w14:paraId="0702100F">
      <w:pPr>
        <w:pStyle w:val="8"/>
        <w:framePr w:wrap="auto" w:vAnchor="margin" w:hAnchor="text" w:yAlign="inline"/>
        <w:jc w:val="center"/>
        <w:rPr>
          <w:rFonts w:ascii="Calibri" w:hAnsi="Calibri" w:eastAsia="Calibri" w:cs="Calibri"/>
        </w:rPr>
      </w:pPr>
    </w:p>
    <w:p w14:paraId="31B338E0">
      <w:pPr>
        <w:pStyle w:val="8"/>
        <w:framePr w:wrap="auto" w:vAnchor="margin" w:hAnchor="text" w:yAlign="inline"/>
        <w:jc w:val="center"/>
        <w:rPr>
          <w:rFonts w:ascii="Calibri" w:hAnsi="Calibri" w:eastAsia="Calibri" w:cs="Calibri"/>
        </w:rPr>
      </w:pPr>
    </w:p>
    <w:p w14:paraId="0FB17EFD">
      <w:pPr>
        <w:pStyle w:val="8"/>
        <w:framePr w:wrap="auto" w:vAnchor="margin" w:hAnchor="text" w:yAlign="inline"/>
        <w:jc w:val="center"/>
        <w:rPr>
          <w:rFonts w:ascii="Calibri" w:hAnsi="Calibri" w:eastAsia="Calibri" w:cs="Calibri"/>
        </w:rPr>
      </w:pPr>
    </w:p>
    <w:p w14:paraId="60A75C8E">
      <w:pPr>
        <w:pStyle w:val="8"/>
        <w:framePr w:wrap="auto" w:vAnchor="margin" w:hAnchor="text" w:yAlign="inline"/>
        <w:jc w:val="center"/>
        <w:rPr>
          <w:rFonts w:ascii="Calibri" w:hAnsi="Calibri" w:eastAsia="Calibri" w:cs="Calibri"/>
        </w:rPr>
      </w:pPr>
    </w:p>
    <w:p w14:paraId="43D92F8D">
      <w:pPr>
        <w:pStyle w:val="8"/>
        <w:framePr w:wrap="auto" w:vAnchor="margin" w:hAnchor="text" w:yAlign="inline"/>
        <w:jc w:val="center"/>
        <w:rPr>
          <w:rFonts w:ascii="Calibri" w:hAnsi="Calibri" w:eastAsia="Calibri" w:cs="Calibri"/>
        </w:rPr>
      </w:pPr>
    </w:p>
    <w:p w14:paraId="26D0536C">
      <w:pPr>
        <w:pStyle w:val="8"/>
        <w:framePr w:wrap="auto" w:vAnchor="margin" w:hAnchor="text" w:yAlign="inline"/>
        <w:jc w:val="center"/>
        <w:rPr>
          <w:rFonts w:ascii="Calibri" w:hAnsi="Calibri" w:eastAsia="Calibri" w:cs="Calibri"/>
        </w:rPr>
      </w:pPr>
    </w:p>
    <w:p w14:paraId="5418ED55">
      <w:pPr>
        <w:pStyle w:val="8"/>
        <w:framePr w:wrap="auto" w:vAnchor="margin" w:hAnchor="text" w:yAlign="inline"/>
        <w:jc w:val="center"/>
        <w:rPr>
          <w:rFonts w:ascii="Calibri" w:hAnsi="Calibri" w:eastAsia="Calibri" w:cs="Calibri"/>
        </w:rPr>
      </w:pPr>
      <w:bookmarkStart w:id="0" w:name="_GoBack"/>
      <w:bookmarkEnd w:id="0"/>
    </w:p>
    <w:p w14:paraId="4981AACA">
      <w:pPr>
        <w:pStyle w:val="8"/>
        <w:framePr w:wrap="auto" w:vAnchor="margin" w:hAnchor="text" w:yAlign="inline"/>
        <w:jc w:val="center"/>
        <w:rPr>
          <w:rFonts w:ascii="Calibri" w:hAnsi="Calibri" w:eastAsia="Calibri" w:cs="Calibri"/>
        </w:rPr>
      </w:pPr>
    </w:p>
    <w:p w14:paraId="63A71587">
      <w:pPr>
        <w:pStyle w:val="8"/>
        <w:framePr w:wrap="auto" w:vAnchor="margin" w:hAnchor="text" w:yAlign="inline"/>
        <w:jc w:val="center"/>
        <w:rPr>
          <w:rFonts w:ascii="Calibri" w:hAnsi="Calibri" w:eastAsia="Calibri" w:cs="Calibri"/>
        </w:rPr>
      </w:pPr>
    </w:p>
    <w:p w14:paraId="750F0990">
      <w:pPr>
        <w:pStyle w:val="8"/>
        <w:framePr w:wrap="auto" w:vAnchor="margin" w:hAnchor="text" w:yAlign="inline"/>
        <w:jc w:val="center"/>
        <w:rPr>
          <w:rFonts w:ascii="Calibri" w:hAnsi="Calibri" w:eastAsia="Calibri" w:cs="Calibri"/>
        </w:rPr>
      </w:pPr>
      <w:r>
        <w:rPr>
          <w:rFonts w:ascii="Calibri" w:hAnsi="Calibri"/>
          <w:rtl w:val="0"/>
          <w:lang w:val="fr-FR"/>
        </w:rPr>
        <w:t>Bibliography</w:t>
      </w:r>
    </w:p>
    <w:p w14:paraId="6FFCADBF">
      <w:pPr>
        <w:pStyle w:val="8"/>
        <w:framePr w:wrap="auto" w:vAnchor="margin" w:hAnchor="text" w:yAlign="inline"/>
        <w:jc w:val="center"/>
        <w:rPr>
          <w:rFonts w:ascii="Calibri" w:hAnsi="Calibri" w:eastAsia="Calibri" w:cs="Calibri"/>
        </w:rPr>
      </w:pPr>
      <w:r>
        <w:rPr>
          <w:rFonts w:ascii="Calibri" w:hAnsi="Calibri"/>
          <w:rtl w:val="0"/>
        </w:rPr>
        <w:t xml:space="preserve"> </w:t>
      </w:r>
    </w:p>
    <w:p w14:paraId="7EBE3F79">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Equal Pay and the Law</w:t>
      </w:r>
      <w:r>
        <w:rPr>
          <w:rFonts w:ascii="Calibri" w:hAnsi="Calibri"/>
          <w:outline w:val="0"/>
          <w:color w:val="333333"/>
          <w:u w:color="333333"/>
          <w:shd w:val="clear" w:color="auto" w:fill="FBFBFB"/>
          <w:rtl w:val="0"/>
          <w:lang w:val="en-US"/>
        </w:rPr>
        <w:t>. https://www.acas.org.uk/equal-pay/equal-pay-law (Accessed: 17 February 2025).</w:t>
      </w:r>
    </w:p>
    <w:p w14:paraId="278769E0">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2CF16B6B">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 xml:space="preserve">Dismissals: Constructive Dismissals. </w:t>
      </w:r>
      <w:r>
        <w:rPr>
          <w:rFonts w:ascii="Calibri" w:hAnsi="Calibri"/>
          <w:outline w:val="0"/>
          <w:color w:val="333333"/>
          <w:u w:color="333333"/>
          <w:shd w:val="clear" w:color="auto" w:fill="FBFBFB"/>
          <w:rtl w:val="0"/>
          <w:lang w:val="en-US"/>
        </w:rPr>
        <w:t>Available at: https://www.acas.org.uk/dismissals/constructive-dismissal  (Accessed: 17 February 2025).</w:t>
      </w:r>
    </w:p>
    <w:p w14:paraId="4DC4C668">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730231F4">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Irregular Hours and  Part Year Workers Holiday Pay</w:t>
      </w:r>
      <w:r>
        <w:rPr>
          <w:rFonts w:ascii="Calibri" w:hAnsi="Calibri"/>
          <w:outline w:val="0"/>
          <w:color w:val="333333"/>
          <w:u w:color="333333"/>
          <w:shd w:val="clear" w:color="auto" w:fill="FBFBFB"/>
          <w:rtl w:val="0"/>
          <w:lang w:val="en-US"/>
        </w:rPr>
        <w:t>. Available at: https://www.acas.org.uk/irregular-hours-and-part-year-workers/calculating-holiday-pay (Accessed: 21 February 2025).</w:t>
      </w:r>
    </w:p>
    <w:p w14:paraId="3D924157">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0110762D">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Irregular Hours and  Part Year Workers Rolled Up Holiday Pay</w:t>
      </w:r>
      <w:r>
        <w:rPr>
          <w:rFonts w:ascii="Calibri" w:hAnsi="Calibri"/>
          <w:outline w:val="0"/>
          <w:color w:val="333333"/>
          <w:u w:color="333333"/>
          <w:shd w:val="clear" w:color="auto" w:fill="FBFBFB"/>
          <w:rtl w:val="0"/>
          <w:lang w:val="en-US"/>
        </w:rPr>
        <w:t>. Available at: https://www.acas.org.uk/irregular-hours-and-part-year-workers/rolled-up-holiday-pay (Accessed: 21 February 2025).</w:t>
      </w:r>
    </w:p>
    <w:p w14:paraId="0B00DF04">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00A21721">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Managing Staff Redundancies: Redundancy Pay</w:t>
      </w:r>
      <w:r>
        <w:rPr>
          <w:rFonts w:ascii="Calibri" w:hAnsi="Calibri"/>
          <w:outline w:val="0"/>
          <w:color w:val="333333"/>
          <w:u w:color="333333"/>
          <w:shd w:val="clear" w:color="auto" w:fill="FBFBFB"/>
          <w:rtl w:val="0"/>
          <w:lang w:val="en-US"/>
        </w:rPr>
        <w:t>. Available at:https://www.acas.org.uk/manage-staff-redundancies/work-out-redundancy-pay  (Accessed: 17 February 2025).</w:t>
      </w:r>
    </w:p>
    <w:p w14:paraId="3BAA0A1D">
      <w:pPr>
        <w:pStyle w:val="8"/>
        <w:framePr w:wrap="auto" w:vAnchor="margin" w:hAnchor="text" w:yAlign="inline"/>
        <w:rPr>
          <w:rFonts w:ascii="Calibri" w:hAnsi="Calibri" w:eastAsia="Calibri" w:cs="Calibri"/>
          <w:outline w:val="0"/>
          <w:color w:val="333333"/>
          <w:sz w:val="18"/>
          <w:szCs w:val="18"/>
          <w:u w:color="333333"/>
          <w:shd w:val="clear" w:color="auto" w:fill="FBFBFB"/>
        </w:rPr>
      </w:pPr>
      <w:r>
        <w:rPr>
          <w:rFonts w:ascii="Calibri" w:hAnsi="Calibri"/>
          <w:outline w:val="0"/>
          <w:color w:val="333333"/>
          <w:sz w:val="18"/>
          <w:szCs w:val="18"/>
          <w:u w:color="333333"/>
          <w:shd w:val="clear" w:color="auto" w:fill="FBFBFB"/>
          <w:rtl w:val="0"/>
        </w:rPr>
        <w:t xml:space="preserve"> </w:t>
      </w:r>
    </w:p>
    <w:p w14:paraId="3BB2F5DF">
      <w:pPr>
        <w:pStyle w:val="8"/>
        <w:framePr w:wrap="auto" w:vAnchor="margin" w:hAnchor="text" w:yAlign="inline"/>
        <w:rPr>
          <w:rFonts w:ascii="Calibri" w:hAnsi="Calibri" w:eastAsia="Calibri" w:cs="Calibri"/>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Recruitment: Following Discrimination Law</w:t>
      </w:r>
      <w:r>
        <w:rPr>
          <w:rFonts w:ascii="Calibri" w:hAnsi="Calibri"/>
          <w:outline w:val="0"/>
          <w:color w:val="333333"/>
          <w:u w:color="333333"/>
          <w:shd w:val="clear" w:color="auto" w:fill="FBFBFB"/>
          <w:rtl w:val="0"/>
          <w:lang w:val="en-US"/>
        </w:rPr>
        <w:t>. https://www.acas.org.uk/hiring-someone/follow-discrimination-law  (Accessed: 14 February, 2025).</w:t>
      </w:r>
    </w:p>
    <w:p w14:paraId="63ED7229">
      <w:pPr>
        <w:pStyle w:val="8"/>
        <w:framePr w:wrap="auto" w:vAnchor="margin" w:hAnchor="text" w:yAlign="inline"/>
        <w:jc w:val="center"/>
        <w:rPr>
          <w:rFonts w:ascii="Calibri" w:hAnsi="Calibri" w:eastAsia="Calibri" w:cs="Calibri"/>
        </w:rPr>
      </w:pPr>
      <w:r>
        <w:rPr>
          <w:rFonts w:ascii="Calibri" w:hAnsi="Calibri"/>
          <w:rtl w:val="0"/>
        </w:rPr>
        <w:t xml:space="preserve"> </w:t>
      </w:r>
    </w:p>
    <w:p w14:paraId="5BAE7016">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Recruitment: Using Protected Characteristics</w:t>
      </w:r>
      <w:r>
        <w:rPr>
          <w:rFonts w:ascii="Calibri" w:hAnsi="Calibri"/>
          <w:outline w:val="0"/>
          <w:color w:val="333333"/>
          <w:u w:color="333333"/>
          <w:shd w:val="clear" w:color="auto" w:fill="FBFBFB"/>
          <w:rtl w:val="0"/>
          <w:lang w:val="en-US"/>
        </w:rPr>
        <w:t>. https://www.acas.org.uk/hiring-someone/using-protected-characteristics  (Accessed: 14 February, 2025).</w:t>
      </w:r>
    </w:p>
    <w:p w14:paraId="00603765">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42AB4D44">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lang w:val="en-US"/>
        </w:rPr>
        <w:t>ACAS (2025) Shared Parental Leave and Pay: Howe Shared Parental Leave Works. Available at: https://www.acas.org.uk/shared-parental-leave-and-pay (Accessed: 21 February 2025).</w:t>
      </w:r>
    </w:p>
    <w:p w14:paraId="744696D7">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23ADBF40">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 xml:space="preserve">TUPE: What is a TUPE Transfer. </w:t>
      </w:r>
      <w:r>
        <w:rPr>
          <w:rFonts w:ascii="Calibri" w:hAnsi="Calibri"/>
          <w:outline w:val="0"/>
          <w:color w:val="333333"/>
          <w:u w:color="333333"/>
          <w:shd w:val="clear" w:color="auto" w:fill="FBFBFB"/>
          <w:rtl w:val="0"/>
          <w:lang w:val="en-US"/>
        </w:rPr>
        <w:t xml:space="preserve"> Available at: https://www.acas.org.uk/tupe/advice-for-employers-and-employees (Accessed: 20 February 2025).</w:t>
      </w:r>
    </w:p>
    <w:p w14:paraId="0DF94DDD">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5CBDB440">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ACAS (2024) </w:t>
      </w:r>
      <w:r>
        <w:rPr>
          <w:rFonts w:ascii="Calibri" w:hAnsi="Calibri"/>
          <w:i/>
          <w:iCs/>
          <w:outline w:val="0"/>
          <w:color w:val="333333"/>
          <w:u w:color="333333"/>
          <w:shd w:val="clear" w:color="auto" w:fill="FBFBFB"/>
          <w:rtl w:val="0"/>
          <w:lang w:val="en-US"/>
        </w:rPr>
        <w:t>Your Rights During Redundancy: When Redundancy Can Happen</w:t>
      </w:r>
      <w:r>
        <w:rPr>
          <w:rFonts w:ascii="Calibri" w:hAnsi="Calibri"/>
          <w:outline w:val="0"/>
          <w:color w:val="333333"/>
          <w:u w:color="333333"/>
          <w:shd w:val="clear" w:color="auto" w:fill="FBFBFB"/>
          <w:rtl w:val="0"/>
          <w:lang w:val="en-US"/>
        </w:rPr>
        <w:t>. Available at: https://www.acas.org.uk/your-rights-during-redundancy (Accessed: 17 February 2025).</w:t>
      </w:r>
    </w:p>
    <w:p w14:paraId="7E543B3C">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2AB6AE75">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CIPD (2024) </w:t>
      </w:r>
      <w:r>
        <w:rPr>
          <w:rFonts w:ascii="Calibri" w:hAnsi="Calibri"/>
          <w:i/>
          <w:iCs/>
          <w:outline w:val="0"/>
          <w:color w:val="333333"/>
          <w:u w:color="333333"/>
          <w:shd w:val="clear" w:color="auto" w:fill="FBFBFB"/>
          <w:rtl w:val="0"/>
          <w:lang w:val="en-US"/>
        </w:rPr>
        <w:t>Dismissal: UK Employment Law</w:t>
      </w:r>
      <w:r>
        <w:rPr>
          <w:rFonts w:ascii="Calibri" w:hAnsi="Calibri"/>
          <w:outline w:val="0"/>
          <w:color w:val="333333"/>
          <w:u w:color="333333"/>
          <w:shd w:val="clear" w:color="auto" w:fill="FBFBFB"/>
          <w:rtl w:val="0"/>
          <w:lang w:val="en-US"/>
        </w:rPr>
        <w:t>. Available at:  https://www.cipd.org/uk/knowledge/employment-law/dismissal/ (Accessed: 17 February 2025).</w:t>
      </w:r>
    </w:p>
    <w:p w14:paraId="407F4DC1">
      <w:pPr>
        <w:pStyle w:val="8"/>
        <w:framePr w:wrap="auto" w:vAnchor="margin" w:hAnchor="text" w:yAlign="inline"/>
        <w:jc w:val="center"/>
        <w:rPr>
          <w:rFonts w:ascii="Calibri" w:hAnsi="Calibri" w:eastAsia="Calibri" w:cs="Calibri"/>
        </w:rPr>
      </w:pPr>
      <w:r>
        <w:rPr>
          <w:rFonts w:ascii="Calibri" w:hAnsi="Calibri"/>
          <w:rtl w:val="0"/>
        </w:rPr>
        <w:t xml:space="preserve"> </w:t>
      </w:r>
    </w:p>
    <w:p w14:paraId="1B5D8732">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CIPD (2025) </w:t>
      </w:r>
      <w:r>
        <w:rPr>
          <w:rFonts w:ascii="Calibri" w:hAnsi="Calibri"/>
          <w:i/>
          <w:iCs/>
          <w:outline w:val="0"/>
          <w:color w:val="333333"/>
          <w:u w:color="333333"/>
          <w:shd w:val="clear" w:color="auto" w:fill="FBFBFB"/>
          <w:rtl w:val="0"/>
          <w:lang w:val="en-US"/>
        </w:rPr>
        <w:t>Employment Law</w:t>
      </w:r>
      <w:r>
        <w:rPr>
          <w:rFonts w:ascii="Calibri" w:hAnsi="Calibri"/>
          <w:outline w:val="0"/>
          <w:color w:val="333333"/>
          <w:u w:color="333333"/>
          <w:shd w:val="clear" w:color="auto" w:fill="FBFBFB"/>
          <w:rtl w:val="0"/>
          <w:lang w:val="en-US"/>
        </w:rPr>
        <w:t>. Available at: https://www.cipd.org/uk/knowledge/employment-law/ (Accessed: 14 February 2025).</w:t>
      </w:r>
    </w:p>
    <w:p w14:paraId="1CBA2E3D">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79285717">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CIPD (2024) </w:t>
      </w:r>
      <w:r>
        <w:rPr>
          <w:rFonts w:ascii="Calibri" w:hAnsi="Calibri"/>
          <w:i/>
          <w:iCs/>
          <w:outline w:val="0"/>
          <w:color w:val="333333"/>
          <w:u w:color="333333"/>
          <w:shd w:val="clear" w:color="auto" w:fill="FBFBFB"/>
          <w:rtl w:val="0"/>
          <w:lang w:val="en-US"/>
        </w:rPr>
        <w:t xml:space="preserve">Flexible Working: Guidance for People Professionals on Planning and Managing. </w:t>
      </w:r>
      <w:r>
        <w:rPr>
          <w:rFonts w:ascii="Calibri" w:hAnsi="Calibri"/>
          <w:outline w:val="0"/>
          <w:color w:val="333333"/>
          <w:u w:color="333333"/>
          <w:shd w:val="clear" w:color="auto" w:fill="FBFBFB"/>
          <w:rtl w:val="0"/>
          <w:lang w:val="en-US"/>
        </w:rPr>
        <w:t>Available at:https://www.cipd.org/uk/knowledge/guides/flexible-working/. (Accessed: 21 February 2025).</w:t>
      </w:r>
    </w:p>
    <w:p w14:paraId="3294D722">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6BA079BA">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CIPD (2024) </w:t>
      </w:r>
      <w:r>
        <w:rPr>
          <w:rFonts w:ascii="Calibri" w:hAnsi="Calibri"/>
          <w:i/>
          <w:iCs/>
          <w:outline w:val="0"/>
          <w:color w:val="333333"/>
          <w:u w:color="333333"/>
          <w:shd w:val="clear" w:color="auto" w:fill="FBFBFB"/>
          <w:rtl w:val="0"/>
          <w:lang w:val="en-US"/>
        </w:rPr>
        <w:t>Redundancy: Guide for People Professionals.</w:t>
      </w:r>
      <w:r>
        <w:rPr>
          <w:rFonts w:ascii="Calibri" w:hAnsi="Calibri"/>
          <w:outline w:val="0"/>
          <w:color w:val="333333"/>
          <w:u w:color="333333"/>
          <w:shd w:val="clear" w:color="auto" w:fill="FBFBFB"/>
          <w:rtl w:val="0"/>
          <w:lang w:val="en-US"/>
        </w:rPr>
        <w:t xml:space="preserve"> Available at:https://www.cipd.org/uk/knowledge/guides/managing-the-redundancy-process/#suitable (Accessed: 17 February 2025).</w:t>
      </w:r>
    </w:p>
    <w:p w14:paraId="4A92BDB8">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6825F8D6">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CIPD (2024) </w:t>
      </w:r>
      <w:r>
        <w:rPr>
          <w:rFonts w:ascii="Calibri" w:hAnsi="Calibri"/>
          <w:i/>
          <w:iCs/>
          <w:outline w:val="0"/>
          <w:color w:val="333333"/>
          <w:u w:color="333333"/>
          <w:shd w:val="clear" w:color="auto" w:fill="FBFBFB"/>
          <w:rtl w:val="0"/>
          <w:lang w:val="en-US"/>
        </w:rPr>
        <w:t xml:space="preserve">TUPE (Transfer of Undertakings): An Introduction </w:t>
      </w:r>
      <w:r>
        <w:rPr>
          <w:rFonts w:ascii="Calibri" w:hAnsi="Calibri"/>
          <w:outline w:val="0"/>
          <w:color w:val="333333"/>
          <w:u w:color="333333"/>
          <w:shd w:val="clear" w:color="auto" w:fill="FBFBFB"/>
          <w:rtl w:val="0"/>
          <w:lang w:val="en-US"/>
        </w:rPr>
        <w:t>. Available at: https://www.cipd.org/uk/knowledge/factsheets/tupe-factsheet/ (Accessed: 20 February 2025).</w:t>
      </w:r>
    </w:p>
    <w:p w14:paraId="78C1FB8F">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412C5AEA">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CIPD (2024) </w:t>
      </w:r>
      <w:r>
        <w:rPr>
          <w:rFonts w:ascii="Calibri" w:hAnsi="Calibri"/>
          <w:i/>
          <w:iCs/>
          <w:outline w:val="0"/>
          <w:color w:val="333333"/>
          <w:u w:color="333333"/>
          <w:shd w:val="clear" w:color="auto" w:fill="FBFBFB"/>
          <w:rtl w:val="0"/>
          <w:lang w:val="en-US"/>
        </w:rPr>
        <w:t>TUPE: UK Employment Law.</w:t>
      </w:r>
      <w:r>
        <w:rPr>
          <w:rFonts w:ascii="Calibri" w:hAnsi="Calibri"/>
          <w:outline w:val="0"/>
          <w:color w:val="333333"/>
          <w:u w:color="333333"/>
          <w:shd w:val="clear" w:color="auto" w:fill="FBFBFB"/>
          <w:rtl w:val="0"/>
          <w:lang w:val="en-US"/>
        </w:rPr>
        <w:t xml:space="preserve"> Available at: https://www.cipd.org/uk/knowledge/employment-law/tupe/#key-legal-principles (Accessed: 20 February 2025).</w:t>
      </w:r>
    </w:p>
    <w:p w14:paraId="2DB83B10">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71409A7B">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CIPD (2024) </w:t>
      </w:r>
      <w:r>
        <w:rPr>
          <w:rFonts w:ascii="Calibri" w:hAnsi="Calibri"/>
          <w:i/>
          <w:iCs/>
          <w:outline w:val="0"/>
          <w:color w:val="333333"/>
          <w:u w:color="333333"/>
          <w:shd w:val="clear" w:color="auto" w:fill="FBFBFB"/>
          <w:rtl w:val="0"/>
          <w:lang w:val="en-US"/>
        </w:rPr>
        <w:t>UK Employment Law and the EU</w:t>
      </w:r>
      <w:r>
        <w:rPr>
          <w:rFonts w:ascii="Calibri" w:hAnsi="Calibri"/>
          <w:outline w:val="0"/>
          <w:color w:val="333333"/>
          <w:u w:color="333333"/>
          <w:shd w:val="clear" w:color="auto" w:fill="FBFBFB"/>
          <w:rtl w:val="0"/>
          <w:lang w:val="en-US"/>
        </w:rPr>
        <w:t>. Available at:https://www.cipd.org/uk/knowledge/employment-law/uk-employment-law-eu/#legislation-overview  (Accessed: 14 February, 2025).</w:t>
      </w:r>
    </w:p>
    <w:p w14:paraId="4C1FCDDB">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5E0A3832">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lang w:val="en-US"/>
        </w:rPr>
        <w:t>Citizens Advice (2025)  Applying for Flexible Working. Available at: https://www.citizensadvice.org.uk/work/flexible-working/applying-for-flexible-working/. (Accessed: 21 February 2025).</w:t>
      </w:r>
    </w:p>
    <w:p w14:paraId="1B54225F">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77125AF1">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lang w:val="en-US"/>
        </w:rPr>
        <w:t xml:space="preserve">Citizens Advice (2025) </w:t>
      </w:r>
      <w:r>
        <w:rPr>
          <w:rFonts w:ascii="Calibri" w:hAnsi="Calibri"/>
          <w:i/>
          <w:iCs/>
          <w:outline w:val="0"/>
          <w:color w:val="333333"/>
          <w:u w:color="333333"/>
          <w:shd w:val="clear" w:color="auto" w:fill="FBFBFB"/>
          <w:rtl w:val="0"/>
          <w:lang w:val="en-US"/>
        </w:rPr>
        <w:t>Claiming Constructive Dismissal</w:t>
      </w:r>
      <w:r>
        <w:rPr>
          <w:rFonts w:ascii="Calibri" w:hAnsi="Calibri"/>
          <w:outline w:val="0"/>
          <w:color w:val="333333"/>
          <w:u w:color="333333"/>
          <w:shd w:val="clear" w:color="auto" w:fill="FBFBFB"/>
          <w:rtl w:val="0"/>
          <w:lang w:val="en-US"/>
        </w:rPr>
        <w:t>. Available at :  https://www.citizensadvice.org.uk/work/dismissal/check-your-rights-if-youre-dismissed/claiming-constructive-dismissal/#:~:text=You've%20got%203%20months,ended%20to%20start%20tribunal%20action.&amp;text=If%20you're%20a%20member,legal%20advice%20about%20your%20situation. (Accessed: 17 February 2025).</w:t>
      </w:r>
    </w:p>
    <w:p w14:paraId="61D697D5">
      <w:pPr>
        <w:pStyle w:val="8"/>
        <w:framePr w:wrap="auto" w:vAnchor="margin" w:hAnchor="text" w:yAlign="inline"/>
        <w:jc w:val="center"/>
        <w:rPr>
          <w:rFonts w:ascii="Calibri" w:hAnsi="Calibri" w:eastAsia="Calibri" w:cs="Calibri"/>
        </w:rPr>
      </w:pPr>
      <w:r>
        <w:rPr>
          <w:rFonts w:ascii="Calibri" w:hAnsi="Calibri"/>
          <w:rtl w:val="0"/>
        </w:rPr>
        <w:t xml:space="preserve"> </w:t>
      </w:r>
    </w:p>
    <w:p w14:paraId="7AED090D">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lang w:val="en-US"/>
        </w:rPr>
        <w:t xml:space="preserve">Daniels, K. (2025) Introduction to Employment Law: Fundamentals for HR and Business Students. 7th Edition. London: KoganPage. </w:t>
      </w:r>
    </w:p>
    <w:p w14:paraId="480383DF">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41F8804C">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lang w:val="en-US"/>
        </w:rPr>
        <w:t>Department of Business and Trade (2022).</w:t>
      </w:r>
      <w:r>
        <w:rPr>
          <w:rFonts w:ascii="Calibri" w:hAnsi="Calibri"/>
          <w:i/>
          <w:iCs/>
          <w:outline w:val="0"/>
          <w:color w:val="333333"/>
          <w:u w:color="333333"/>
          <w:shd w:val="clear" w:color="auto" w:fill="FBFBFB"/>
          <w:rtl w:val="0"/>
          <w:lang w:val="en-US"/>
        </w:rPr>
        <w:t xml:space="preserve"> Retained EU Law and Assimilated Law Dashboard</w:t>
      </w:r>
      <w:r>
        <w:rPr>
          <w:rFonts w:ascii="Calibri" w:hAnsi="Calibri"/>
          <w:outline w:val="0"/>
          <w:color w:val="333333"/>
          <w:u w:color="333333"/>
          <w:shd w:val="clear" w:color="auto" w:fill="FBFBFB"/>
          <w:rtl w:val="0"/>
          <w:lang w:val="en-US"/>
        </w:rPr>
        <w:t>. Available at: https://www.gov.uk/government/publications/retained-eu-law-dashboard  (Accessed: 14 February, 2025).</w:t>
      </w:r>
    </w:p>
    <w:p w14:paraId="21A2380C">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7BADBC4D">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GOV.UK (2025) </w:t>
      </w:r>
      <w:r>
        <w:rPr>
          <w:rFonts w:ascii="Calibri" w:hAnsi="Calibri"/>
          <w:i/>
          <w:iCs/>
          <w:outline w:val="0"/>
          <w:color w:val="333333"/>
          <w:u w:color="333333"/>
          <w:shd w:val="clear" w:color="auto" w:fill="FBFBFB"/>
          <w:rtl w:val="0"/>
          <w:lang w:val="en-US"/>
        </w:rPr>
        <w:t>Holiday Entitlement</w:t>
      </w:r>
      <w:r>
        <w:rPr>
          <w:rFonts w:ascii="Calibri" w:hAnsi="Calibri"/>
          <w:outline w:val="0"/>
          <w:color w:val="333333"/>
          <w:u w:color="333333"/>
          <w:shd w:val="clear" w:color="auto" w:fill="FBFBFB"/>
          <w:rtl w:val="0"/>
          <w:lang w:val="en-US"/>
        </w:rPr>
        <w:t>. Available at: https://www.gov.uk/holiday-entitlement-rights/holiday-pay-the-basics (Accessed: 21 February 2025).</w:t>
      </w:r>
    </w:p>
    <w:p w14:paraId="081C121D">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1BBBE3EA">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GOV.UK (2025) </w:t>
      </w:r>
      <w:r>
        <w:rPr>
          <w:rFonts w:ascii="Calibri" w:hAnsi="Calibri"/>
          <w:i/>
          <w:iCs/>
          <w:outline w:val="0"/>
          <w:color w:val="333333"/>
          <w:u w:color="333333"/>
          <w:shd w:val="clear" w:color="auto" w:fill="FBFBFB"/>
          <w:rtl w:val="0"/>
          <w:lang w:val="en-US"/>
        </w:rPr>
        <w:t>Maternity Pay and Leave</w:t>
      </w:r>
      <w:r>
        <w:rPr>
          <w:rFonts w:ascii="Calibri" w:hAnsi="Calibri"/>
          <w:outline w:val="0"/>
          <w:color w:val="333333"/>
          <w:u w:color="333333"/>
          <w:shd w:val="clear" w:color="auto" w:fill="FBFBFB"/>
          <w:rtl w:val="0"/>
          <w:lang w:val="en-US"/>
        </w:rPr>
        <w:t>. Available at: https://www.gov.uk/maternity-pay-leave/leave (Accessed: 21 February 2025).</w:t>
      </w:r>
    </w:p>
    <w:p w14:paraId="4844DA06">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28540211">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GOV.UK (2025) </w:t>
      </w:r>
      <w:r>
        <w:rPr>
          <w:rFonts w:ascii="Calibri" w:hAnsi="Calibri"/>
          <w:i/>
          <w:iCs/>
          <w:outline w:val="0"/>
          <w:color w:val="333333"/>
          <w:u w:color="333333"/>
          <w:shd w:val="clear" w:color="auto" w:fill="FBFBFB"/>
          <w:rtl w:val="0"/>
          <w:lang w:val="en-US"/>
        </w:rPr>
        <w:t>Redundancy: Your Rights</w:t>
      </w:r>
      <w:r>
        <w:rPr>
          <w:rFonts w:ascii="Calibri" w:hAnsi="Calibri"/>
          <w:outline w:val="0"/>
          <w:color w:val="333333"/>
          <w:u w:color="333333"/>
          <w:shd w:val="clear" w:color="auto" w:fill="FBFBFB"/>
          <w:rtl w:val="0"/>
          <w:lang w:val="en-US"/>
        </w:rPr>
        <w:t>. Available at: https://www.gov.uk/redundancy-your-rights  (Accessed: 17 February 2025).</w:t>
      </w:r>
    </w:p>
    <w:p w14:paraId="486E9FC7">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3080A161">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GOV.UK (2025) </w:t>
      </w:r>
      <w:r>
        <w:rPr>
          <w:rFonts w:ascii="Calibri" w:hAnsi="Calibri"/>
          <w:i/>
          <w:iCs/>
          <w:outline w:val="0"/>
          <w:color w:val="333333"/>
          <w:u w:color="333333"/>
          <w:shd w:val="clear" w:color="auto" w:fill="FBFBFB"/>
          <w:rtl w:val="0"/>
          <w:lang w:val="en-US"/>
        </w:rPr>
        <w:t>Shared Parental Leave and Pay</w:t>
      </w:r>
      <w:r>
        <w:rPr>
          <w:rFonts w:ascii="Calibri" w:hAnsi="Calibri"/>
          <w:outline w:val="0"/>
          <w:color w:val="333333"/>
          <w:u w:color="333333"/>
          <w:shd w:val="clear" w:color="auto" w:fill="FBFBFB"/>
          <w:rtl w:val="0"/>
          <w:lang w:val="en-US"/>
        </w:rPr>
        <w:t>. Available at:https://www.gov.uk/shared-parental-leave-and-pay (Accessed: 21 February 2025).</w:t>
      </w:r>
    </w:p>
    <w:p w14:paraId="36E13D82">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1F31F95B">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Jordan, E.  </w:t>
      </w:r>
      <w:r>
        <w:rPr>
          <w:rFonts w:ascii="Calibri" w:hAnsi="Calibri"/>
          <w:i/>
          <w:iCs/>
          <w:outline w:val="0"/>
          <w:color w:val="333333"/>
          <w:u w:color="333333"/>
          <w:shd w:val="clear" w:color="auto" w:fill="FBFBFB"/>
          <w:rtl w:val="0"/>
          <w:lang w:val="nl-NL"/>
        </w:rPr>
        <w:t>et al/</w:t>
      </w:r>
      <w:r>
        <w:rPr>
          <w:rFonts w:ascii="Calibri" w:hAnsi="Calibri"/>
          <w:outline w:val="0"/>
          <w:color w:val="333333"/>
          <w:u w:color="333333"/>
          <w:shd w:val="clear" w:color="auto" w:fill="FBFBFB"/>
          <w:rtl w:val="0"/>
          <w:lang w:val="en-US"/>
        </w:rPr>
        <w:t xml:space="preserve"> Department of Business and Trade(2013) </w:t>
      </w:r>
      <w:r>
        <w:rPr>
          <w:rFonts w:ascii="Calibri" w:hAnsi="Calibri"/>
          <w:i/>
          <w:iCs/>
          <w:outline w:val="0"/>
          <w:color w:val="333333"/>
          <w:u w:color="333333"/>
          <w:shd w:val="clear" w:color="auto" w:fill="FBFBFB"/>
          <w:rtl w:val="0"/>
          <w:lang w:val="en-US"/>
        </w:rPr>
        <w:t>Employment Relations Research Series 3</w:t>
      </w:r>
      <w:r>
        <w:rPr>
          <w:rFonts w:ascii="Calibri" w:hAnsi="Calibri"/>
          <w:outline w:val="0"/>
          <w:color w:val="333333"/>
          <w:u w:color="333333"/>
          <w:shd w:val="clear" w:color="auto" w:fill="FBFBFB"/>
          <w:rtl w:val="0"/>
          <w:lang w:val="en-US"/>
        </w:rPr>
        <w:t>.  Available at: https://assets.publishing.service.gov.uk/media/5a7ad803e5274a34770e77fd/13-638-employer-perceptions-and-the-impact-of-employment-regulation.pdf (Accessed: 14 February 2025).</w:t>
      </w:r>
    </w:p>
    <w:p w14:paraId="6D34F85C">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38DABB9E">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lang w:val="de-DE"/>
        </w:rPr>
        <w:t xml:space="preserve">Lewis, D., Sargeant, M., and Schwab, B. (2023) </w:t>
      </w:r>
      <w:r>
        <w:rPr>
          <w:rFonts w:ascii="Calibri" w:hAnsi="Calibri"/>
          <w:i/>
          <w:iCs/>
          <w:outline w:val="0"/>
          <w:color w:val="333333"/>
          <w:u w:color="333333"/>
          <w:shd w:val="clear" w:color="auto" w:fill="FBFBFB"/>
          <w:rtl w:val="0"/>
          <w:lang w:val="en-US"/>
        </w:rPr>
        <w:t>Employment Law: The Essentials</w:t>
      </w:r>
      <w:r>
        <w:rPr>
          <w:rFonts w:ascii="Calibri" w:hAnsi="Calibri"/>
          <w:outline w:val="0"/>
          <w:color w:val="333333"/>
          <w:u w:color="333333"/>
          <w:shd w:val="clear" w:color="auto" w:fill="FBFBFB"/>
          <w:rtl w:val="0"/>
          <w:lang w:val="en-US"/>
        </w:rPr>
        <w:t xml:space="preserve">. 16th Edition. London: KoganPage. </w:t>
      </w:r>
    </w:p>
    <w:p w14:paraId="1E0AA0C7">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2DB86469">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Unison (2024). </w:t>
      </w:r>
      <w:r>
        <w:rPr>
          <w:rFonts w:ascii="Calibri" w:hAnsi="Calibri"/>
          <w:i/>
          <w:iCs/>
          <w:outline w:val="0"/>
          <w:color w:val="333333"/>
          <w:u w:color="333333"/>
          <w:shd w:val="clear" w:color="auto" w:fill="FBFBFB"/>
          <w:rtl w:val="0"/>
          <w:lang w:val="en-US"/>
        </w:rPr>
        <w:t>Negotiating Fair Recruitment and Selection Procedures</w:t>
      </w:r>
      <w:r>
        <w:rPr>
          <w:rFonts w:ascii="Calibri" w:hAnsi="Calibri"/>
          <w:outline w:val="0"/>
          <w:color w:val="333333"/>
          <w:u w:color="333333"/>
          <w:shd w:val="clear" w:color="auto" w:fill="FBFBFB"/>
          <w:rtl w:val="0"/>
          <w:lang w:val="en-US"/>
        </w:rPr>
        <w:t>. Available at: https://www.unison.org.uk/content/uploads/2022/08/Negotiating-fair-recruitment-and-selection-procedures-Nov-2024.pdf  (Accessed: 14 February, 2025).</w:t>
      </w:r>
    </w:p>
    <w:p w14:paraId="36E6CF8A">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70A1855C">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lang w:val="en-US"/>
        </w:rPr>
        <w:t>Working Families (2025)  Shared Parental Leave: Sharing or Splitting up Leave. Available at: https://workingfamilies.org.uk/articles/shared-parental-leave-sharing-leave-with-a-partner-or-splitting-up-leave/#:~:text=Please%20note%20that%20as%20Statutory,least%20the%20first%206%20weeks. (Accessed: 21 February 2025).</w:t>
      </w:r>
    </w:p>
    <w:p w14:paraId="59233DE6">
      <w:pPr>
        <w:pStyle w:val="8"/>
        <w:framePr w:wrap="auto" w:vAnchor="margin" w:hAnchor="text" w:yAlign="inline"/>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02CF6CB2">
      <w:pPr>
        <w:pStyle w:val="8"/>
        <w:framePr w:wrap="auto" w:vAnchor="margin" w:hAnchor="text" w:yAlign="inline"/>
        <w:jc w:val="center"/>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0CAA3FB9">
      <w:pPr>
        <w:pStyle w:val="8"/>
        <w:framePr w:wrap="auto" w:vAnchor="margin" w:hAnchor="text" w:yAlign="inline"/>
        <w:jc w:val="both"/>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5C0734CA">
      <w:pPr>
        <w:pStyle w:val="8"/>
        <w:framePr w:wrap="auto" w:vAnchor="margin" w:hAnchor="text" w:yAlign="inline"/>
        <w:jc w:val="center"/>
        <w:rPr>
          <w:rFonts w:ascii="Calibri" w:hAnsi="Calibri" w:eastAsia="Calibri" w:cs="Calibri"/>
          <w:outline w:val="0"/>
          <w:color w:val="333333"/>
          <w:u w:color="333333"/>
          <w:shd w:val="clear" w:color="auto" w:fill="FBFBFB"/>
        </w:rPr>
      </w:pPr>
      <w:r>
        <w:rPr>
          <w:rFonts w:ascii="Calibri" w:hAnsi="Calibri"/>
          <w:outline w:val="0"/>
          <w:color w:val="333333"/>
          <w:u w:color="333333"/>
          <w:shd w:val="clear" w:color="auto" w:fill="FBFBFB"/>
          <w:rtl w:val="0"/>
        </w:rPr>
        <w:t xml:space="preserve"> </w:t>
      </w:r>
    </w:p>
    <w:p w14:paraId="0C07C507">
      <w:pPr>
        <w:pStyle w:val="8"/>
        <w:framePr w:wrap="auto" w:vAnchor="margin" w:hAnchor="text" w:yAlign="inline"/>
        <w:jc w:val="center"/>
        <w:rPr>
          <w:rFonts w:ascii="Calibri" w:hAnsi="Calibri" w:eastAsia="Calibri" w:cs="Calibri"/>
          <w:b/>
          <w:bCs/>
        </w:rPr>
      </w:pPr>
      <w:r>
        <w:rPr>
          <w:rFonts w:ascii="Calibri" w:hAnsi="Calibri"/>
          <w:b/>
          <w:bCs/>
          <w:rtl w:val="0"/>
          <w:lang w:val="en-US"/>
        </w:rPr>
        <w:t>List of Case Law Cited</w:t>
      </w:r>
    </w:p>
    <w:p w14:paraId="1A5F3DCF">
      <w:pPr>
        <w:pStyle w:val="8"/>
        <w:framePr w:wrap="auto" w:vAnchor="margin" w:hAnchor="text" w:yAlign="inline"/>
        <w:rPr>
          <w:rFonts w:ascii="Calibri" w:hAnsi="Calibri" w:eastAsia="Calibri" w:cs="Calibri"/>
        </w:rPr>
      </w:pPr>
      <w:r>
        <w:rPr>
          <w:rFonts w:ascii="Calibri" w:hAnsi="Calibri"/>
          <w:rtl w:val="0"/>
        </w:rPr>
        <w:t xml:space="preserve"> </w:t>
      </w:r>
    </w:p>
    <w:p w14:paraId="5D6C99F3">
      <w:pPr>
        <w:pStyle w:val="9"/>
        <w:framePr w:wrap="auto" w:vAnchor="margin" w:hAnchor="text" w:yAlign="inline"/>
        <w:rPr>
          <w:rFonts w:ascii="Calibri" w:hAnsi="Calibri" w:eastAsia="Calibri" w:cs="Calibri"/>
          <w:i/>
          <w:iCs/>
          <w:sz w:val="24"/>
          <w:szCs w:val="24"/>
        </w:rPr>
      </w:pPr>
      <w:r>
        <w:rPr>
          <w:rFonts w:ascii="Calibri" w:hAnsi="Calibri"/>
          <w:i/>
          <w:iCs/>
          <w:sz w:val="24"/>
          <w:szCs w:val="24"/>
          <w:rtl w:val="0"/>
          <w:lang w:val="en-US"/>
        </w:rPr>
        <w:t>Asda Stores Ltd v Brierley and others (2021) UKSC 10</w:t>
      </w:r>
    </w:p>
    <w:p w14:paraId="438BDA23">
      <w:pPr>
        <w:pStyle w:val="9"/>
        <w:framePr w:wrap="auto" w:vAnchor="margin" w:hAnchor="text" w:yAlign="inline"/>
        <w:rPr>
          <w:rFonts w:ascii="Calibri" w:hAnsi="Calibri" w:eastAsia="Calibri" w:cs="Calibri"/>
          <w:i/>
          <w:iCs/>
          <w:sz w:val="24"/>
          <w:szCs w:val="24"/>
        </w:rPr>
      </w:pPr>
      <w:r>
        <w:rPr>
          <w:rFonts w:ascii="Calibri" w:hAnsi="Calibri"/>
          <w:i/>
          <w:iCs/>
          <w:sz w:val="24"/>
          <w:szCs w:val="24"/>
          <w:rtl w:val="0"/>
          <w:lang w:val="en-US"/>
        </w:rPr>
        <w:t xml:space="preserve"> </w:t>
      </w:r>
    </w:p>
    <w:p w14:paraId="448EF8AE">
      <w:pPr>
        <w:pStyle w:val="9"/>
        <w:framePr w:wrap="auto" w:vAnchor="margin" w:hAnchor="text" w:yAlign="inline"/>
        <w:rPr>
          <w:rFonts w:ascii="Calibri" w:hAnsi="Calibri" w:eastAsia="Calibri" w:cs="Calibri"/>
          <w:i/>
          <w:iCs/>
          <w:sz w:val="24"/>
          <w:szCs w:val="24"/>
        </w:rPr>
      </w:pPr>
      <w:r>
        <w:rPr>
          <w:rFonts w:ascii="Calibri" w:hAnsi="Calibri"/>
          <w:i/>
          <w:iCs/>
          <w:sz w:val="24"/>
          <w:szCs w:val="24"/>
          <w:rtl w:val="0"/>
          <w:lang w:val="en-US"/>
        </w:rPr>
        <w:t>Cadman v Health and Safety Executive (2006) IRLR 969</w:t>
      </w:r>
    </w:p>
    <w:p w14:paraId="4F655706">
      <w:pPr>
        <w:pStyle w:val="9"/>
        <w:framePr w:wrap="auto" w:vAnchor="margin" w:hAnchor="text" w:yAlign="inline"/>
        <w:rPr>
          <w:rFonts w:ascii="Calibri" w:hAnsi="Calibri" w:eastAsia="Calibri" w:cs="Calibri"/>
          <w:i/>
          <w:iCs/>
          <w:sz w:val="24"/>
          <w:szCs w:val="24"/>
        </w:rPr>
      </w:pPr>
      <w:r>
        <w:rPr>
          <w:rFonts w:ascii="Calibri" w:hAnsi="Calibri"/>
          <w:i/>
          <w:iCs/>
          <w:sz w:val="24"/>
          <w:szCs w:val="24"/>
          <w:rtl w:val="0"/>
          <w:lang w:val="en-US"/>
        </w:rPr>
        <w:t xml:space="preserve"> </w:t>
      </w:r>
    </w:p>
    <w:p w14:paraId="770C0D94">
      <w:pPr>
        <w:pStyle w:val="9"/>
        <w:framePr w:wrap="auto" w:vAnchor="margin" w:hAnchor="text" w:yAlign="inline"/>
        <w:rPr>
          <w:rFonts w:ascii="Calibri" w:hAnsi="Calibri" w:eastAsia="Calibri" w:cs="Calibri"/>
          <w:i/>
          <w:iCs/>
          <w:sz w:val="24"/>
          <w:szCs w:val="24"/>
        </w:rPr>
      </w:pPr>
      <w:r>
        <w:rPr>
          <w:rFonts w:ascii="Calibri" w:hAnsi="Calibri"/>
          <w:i/>
          <w:iCs/>
          <w:sz w:val="24"/>
          <w:szCs w:val="24"/>
          <w:rtl w:val="0"/>
          <w:lang w:val="en-US"/>
        </w:rPr>
        <w:t>Commotion Ltd v Rutty (2006) ICR 290</w:t>
      </w:r>
    </w:p>
    <w:p w14:paraId="36388A96">
      <w:pPr>
        <w:pStyle w:val="9"/>
        <w:framePr w:wrap="auto" w:vAnchor="margin" w:hAnchor="text" w:yAlign="inline"/>
        <w:rPr>
          <w:rFonts w:ascii="Calibri" w:hAnsi="Calibri" w:eastAsia="Calibri" w:cs="Calibri"/>
          <w:i/>
          <w:iCs/>
          <w:sz w:val="24"/>
          <w:szCs w:val="24"/>
        </w:rPr>
      </w:pPr>
      <w:r>
        <w:rPr>
          <w:rFonts w:ascii="Calibri" w:hAnsi="Calibri"/>
          <w:i/>
          <w:iCs/>
          <w:sz w:val="24"/>
          <w:szCs w:val="24"/>
          <w:rtl w:val="0"/>
          <w:lang w:val="en-US"/>
        </w:rPr>
        <w:t xml:space="preserve"> </w:t>
      </w:r>
    </w:p>
    <w:p w14:paraId="541907AB">
      <w:pPr>
        <w:pStyle w:val="9"/>
        <w:framePr w:wrap="auto" w:vAnchor="margin" w:hAnchor="text" w:yAlign="inline"/>
        <w:rPr>
          <w:rFonts w:ascii="Calibri" w:hAnsi="Calibri" w:eastAsia="Calibri" w:cs="Calibri"/>
          <w:i/>
          <w:iCs/>
          <w:sz w:val="24"/>
          <w:szCs w:val="24"/>
        </w:rPr>
      </w:pPr>
      <w:r>
        <w:rPr>
          <w:rFonts w:ascii="Calibri" w:hAnsi="Calibri"/>
          <w:i/>
          <w:iCs/>
          <w:sz w:val="24"/>
          <w:szCs w:val="24"/>
          <w:rtl w:val="0"/>
          <w:lang w:val="en-US"/>
        </w:rPr>
        <w:t>Flowers and others V East of England Ambulance Trust (2017) ET 3400310/2015</w:t>
      </w:r>
    </w:p>
    <w:p w14:paraId="19DEBE50">
      <w:pPr>
        <w:pStyle w:val="8"/>
        <w:framePr w:wrap="auto" w:vAnchor="margin" w:hAnchor="text" w:yAlign="inline"/>
        <w:rPr>
          <w:rFonts w:ascii="Calibri" w:hAnsi="Calibri" w:eastAsia="Calibri" w:cs="Calibri"/>
        </w:rPr>
      </w:pPr>
      <w:r>
        <w:rPr>
          <w:rFonts w:ascii="Calibri" w:hAnsi="Calibri"/>
          <w:rtl w:val="0"/>
        </w:rPr>
        <w:t xml:space="preserve"> </w:t>
      </w:r>
    </w:p>
    <w:p w14:paraId="2AEAD539">
      <w:pPr>
        <w:pStyle w:val="8"/>
        <w:framePr w:wrap="auto" w:vAnchor="margin" w:hAnchor="text" w:yAlign="inline"/>
        <w:rPr>
          <w:rFonts w:ascii="Calibri" w:hAnsi="Calibri" w:eastAsia="Calibri" w:cs="Calibri"/>
          <w:i/>
          <w:iCs/>
        </w:rPr>
      </w:pPr>
      <w:r>
        <w:rPr>
          <w:rFonts w:ascii="Calibri" w:hAnsi="Calibri"/>
          <w:i/>
          <w:iCs/>
          <w:rtl w:val="0"/>
          <w:lang w:val="en-US"/>
        </w:rPr>
        <w:t>Harper Trust V Brazel (2022) UKSC 2019/0209</w:t>
      </w:r>
    </w:p>
    <w:p w14:paraId="286CD517">
      <w:pPr>
        <w:pStyle w:val="8"/>
        <w:framePr w:wrap="auto" w:vAnchor="margin" w:hAnchor="text" w:yAlign="inline"/>
        <w:rPr>
          <w:rFonts w:ascii="Calibri" w:hAnsi="Calibri" w:eastAsia="Calibri" w:cs="Calibri"/>
        </w:rPr>
      </w:pPr>
      <w:r>
        <w:rPr>
          <w:rFonts w:ascii="Calibri" w:hAnsi="Calibri"/>
          <w:rtl w:val="0"/>
        </w:rPr>
        <w:t xml:space="preserve"> </w:t>
      </w:r>
    </w:p>
    <w:p w14:paraId="7F5B2478">
      <w:pPr>
        <w:pStyle w:val="8"/>
        <w:framePr w:wrap="auto" w:vAnchor="margin" w:hAnchor="text" w:yAlign="inline"/>
        <w:rPr>
          <w:rFonts w:ascii="Calibri" w:hAnsi="Calibri" w:eastAsia="Calibri" w:cs="Calibri"/>
          <w:i/>
          <w:iCs/>
        </w:rPr>
      </w:pPr>
      <w:r>
        <w:rPr>
          <w:rFonts w:ascii="Calibri" w:hAnsi="Calibri"/>
          <w:rtl w:val="0"/>
        </w:rPr>
        <w:t xml:space="preserve"> </w:t>
      </w:r>
      <w:r>
        <w:rPr>
          <w:rFonts w:ascii="Calibri" w:hAnsi="Calibri"/>
          <w:i/>
          <w:iCs/>
          <w:rtl w:val="0"/>
          <w:lang w:val="en-US"/>
        </w:rPr>
        <w:t>Henry and others v London General Transport Services Ltd (2002) IRLR 472</w:t>
      </w:r>
    </w:p>
    <w:p w14:paraId="23687F6F">
      <w:pPr>
        <w:pStyle w:val="8"/>
        <w:framePr w:wrap="auto" w:vAnchor="margin" w:hAnchor="text" w:yAlign="inline"/>
        <w:rPr>
          <w:rFonts w:ascii="Calibri" w:hAnsi="Calibri" w:eastAsia="Calibri" w:cs="Calibri"/>
          <w:i/>
          <w:iCs/>
        </w:rPr>
      </w:pPr>
      <w:r>
        <w:rPr>
          <w:rFonts w:ascii="Calibri" w:hAnsi="Calibri"/>
          <w:i/>
          <w:iCs/>
          <w:rtl w:val="0"/>
        </w:rPr>
        <w:t xml:space="preserve"> </w:t>
      </w:r>
    </w:p>
    <w:p w14:paraId="4A7E8ED4">
      <w:pPr>
        <w:pStyle w:val="8"/>
        <w:framePr w:wrap="auto" w:vAnchor="margin" w:hAnchor="text" w:yAlign="inline"/>
        <w:rPr>
          <w:rFonts w:ascii="Calibri" w:hAnsi="Calibri" w:eastAsia="Calibri" w:cs="Calibri"/>
          <w:i/>
          <w:iCs/>
        </w:rPr>
      </w:pPr>
      <w:r>
        <w:rPr>
          <w:rFonts w:ascii="Calibri" w:hAnsi="Calibri"/>
          <w:i/>
          <w:iCs/>
          <w:rtl w:val="0"/>
          <w:lang w:val="en-US"/>
        </w:rPr>
        <w:t>Inex Home Improvements Ltd v Hodgkins (2015) UKEAT/0329/14</w:t>
      </w:r>
    </w:p>
    <w:p w14:paraId="7F7D36A9">
      <w:pPr>
        <w:pStyle w:val="8"/>
        <w:framePr w:wrap="auto" w:vAnchor="margin" w:hAnchor="text" w:yAlign="inline"/>
        <w:rPr>
          <w:rFonts w:ascii="Calibri" w:hAnsi="Calibri" w:eastAsia="Calibri" w:cs="Calibri"/>
          <w:i/>
          <w:iCs/>
        </w:rPr>
      </w:pPr>
      <w:r>
        <w:rPr>
          <w:rFonts w:ascii="Calibri" w:hAnsi="Calibri"/>
          <w:i/>
          <w:iCs/>
          <w:rtl w:val="0"/>
        </w:rPr>
        <w:t xml:space="preserve"> </w:t>
      </w:r>
    </w:p>
    <w:p w14:paraId="06245B13">
      <w:pPr>
        <w:pStyle w:val="8"/>
        <w:framePr w:wrap="auto" w:vAnchor="margin" w:hAnchor="text" w:yAlign="inline"/>
        <w:rPr>
          <w:rFonts w:ascii="Calibri" w:hAnsi="Calibri" w:eastAsia="Calibri" w:cs="Calibri"/>
          <w:i/>
          <w:iCs/>
        </w:rPr>
      </w:pPr>
      <w:r>
        <w:rPr>
          <w:rFonts w:ascii="Calibri" w:hAnsi="Calibri"/>
          <w:i/>
          <w:iCs/>
          <w:rtl w:val="0"/>
          <w:lang w:val="en-US"/>
        </w:rPr>
        <w:t>Leicestershire County Council v Unison (2205) IRLR 920</w:t>
      </w:r>
    </w:p>
    <w:p w14:paraId="6329F945">
      <w:pPr>
        <w:pStyle w:val="8"/>
        <w:framePr w:wrap="auto" w:vAnchor="margin" w:hAnchor="text" w:yAlign="inline"/>
        <w:rPr>
          <w:rFonts w:ascii="Calibri" w:hAnsi="Calibri" w:eastAsia="Calibri" w:cs="Calibri"/>
          <w:i/>
          <w:iCs/>
        </w:rPr>
      </w:pPr>
      <w:r>
        <w:rPr>
          <w:rFonts w:ascii="Calibri" w:hAnsi="Calibri"/>
          <w:i/>
          <w:iCs/>
          <w:rtl w:val="0"/>
        </w:rPr>
        <w:t xml:space="preserve"> </w:t>
      </w:r>
    </w:p>
    <w:p w14:paraId="1478AE83">
      <w:pPr>
        <w:pStyle w:val="8"/>
        <w:framePr w:wrap="auto" w:vAnchor="margin" w:hAnchor="text" w:yAlign="inline"/>
        <w:rPr>
          <w:rFonts w:ascii="Calibri" w:hAnsi="Calibri" w:eastAsia="Calibri" w:cs="Calibri"/>
          <w:i/>
          <w:iCs/>
        </w:rPr>
      </w:pPr>
      <w:r>
        <w:rPr>
          <w:rFonts w:ascii="Calibri" w:hAnsi="Calibri"/>
          <w:i/>
          <w:iCs/>
          <w:rtl w:val="0"/>
          <w:lang w:val="en-US"/>
        </w:rPr>
        <w:t>Whitehouse v Chas A Blatchford &amp; Sons Ltd (1999) IRLR 492</w:t>
      </w:r>
    </w:p>
    <w:p w14:paraId="1C5A5416">
      <w:pPr>
        <w:pStyle w:val="8"/>
        <w:framePr w:wrap="auto" w:vAnchor="margin" w:hAnchor="text" w:yAlign="inline"/>
        <w:rPr>
          <w:rFonts w:ascii="Calibri" w:hAnsi="Calibri" w:eastAsia="Calibri" w:cs="Calibri"/>
          <w:i/>
          <w:iCs/>
        </w:rPr>
      </w:pPr>
      <w:r>
        <w:rPr>
          <w:rFonts w:ascii="Calibri" w:hAnsi="Calibri"/>
          <w:i/>
          <w:iCs/>
          <w:rtl w:val="0"/>
        </w:rPr>
        <w:t xml:space="preserve"> </w:t>
      </w:r>
    </w:p>
    <w:p w14:paraId="76DBC775">
      <w:pPr>
        <w:pStyle w:val="8"/>
        <w:framePr w:wrap="auto" w:vAnchor="margin" w:hAnchor="text" w:yAlign="inline"/>
      </w:pPr>
      <w:r>
        <w:rPr>
          <w:rFonts w:ascii="Calibri" w:hAnsi="Calibri"/>
          <w:i/>
          <w:iCs/>
          <w:rtl w:val="0"/>
          <w:lang w:val="it-IT"/>
        </w:rPr>
        <w:t>Williams V Compare Maxam (1982) IRLR 83</w:t>
      </w:r>
    </w:p>
    <w:sectPr>
      <w:headerReference r:id="rId5" w:type="default"/>
      <w:footerReference r:id="rId6" w:type="default"/>
      <w:pgSz w:w="11900" w:h="16840"/>
      <w:pgMar w:top="1440" w:right="1440" w:bottom="1440" w:left="1440" w:header="708" w:footer="70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SimSun"/>
    <w:panose1 w:val="00000000000000000000"/>
    <w:charset w:val="86"/>
    <w:family w:val="roman"/>
    <w:pitch w:val="default"/>
    <w:sig w:usb0="00000000" w:usb1="00000000" w:usb2="00000000" w:usb3="00000000" w:csb0="00000000" w:csb1="00000000"/>
  </w:font>
  <w:font w:name="Helvetica Neue">
    <w:altName w:val="Times New Roman"/>
    <w:panose1 w:val="00000000000000000000"/>
    <w:charset w:val="00"/>
    <w:family w:val="roman"/>
    <w:pitch w:val="default"/>
    <w:sig w:usb0="00000000" w:usb1="00000000" w:usb2="00000000" w:usb3="00000000" w:csb0="00000000" w:csb1="00000000"/>
  </w:font>
  <w:font w:name="Aptos">
    <w:altName w:val="Segoe Print"/>
    <w:panose1 w:val="00000000000000000000"/>
    <w:charset w:val="00"/>
    <w:family w:val="roman"/>
    <w:pitch w:val="default"/>
    <w:sig w:usb0="00000000" w:usb1="00000000" w:usb2="00000000" w:usb3="00000000" w:csb0="00000000" w:csb1="00000000"/>
  </w:font>
  <w:font w:name="Trebuchet MS">
    <w:panose1 w:val="020B0603020202020204"/>
    <w:charset w:val="00"/>
    <w:family w:val="roman"/>
    <w:pitch w:val="default"/>
    <w:sig w:usb0="000006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 w:name="Open Sans">
    <w:altName w:val="Times New Roman"/>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0EF06">
    <w:pPr>
      <w:pStyle w:val="7"/>
      <w:framePr w:wrap="auto" w:vAnchor="margin" w:hAnchor="text" w:yAlign="inline"/>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5AF26">
    <w:pPr>
      <w:pStyle w:val="7"/>
      <w:framePr w:wrap="auto" w:vAnchor="margin" w:hAnchor="text" w:yAlign="inline"/>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120" w:hanging="12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decimal"/>
      <w:lvlText w:val="%2."/>
      <w:lvlJc w:val="left"/>
      <w:pPr>
        <w:ind w:left="14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decimal"/>
      <w:lvlText w:val="%3."/>
      <w:lvlJc w:val="left"/>
      <w:pPr>
        <w:ind w:left="21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8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decimal"/>
      <w:lvlText w:val="%5."/>
      <w:lvlJc w:val="left"/>
      <w:pPr>
        <w:ind w:left="360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decimal"/>
      <w:lvlText w:val="%6."/>
      <w:lvlJc w:val="left"/>
      <w:pPr>
        <w:ind w:left="43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0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decimal"/>
      <w:lvlText w:val="%8."/>
      <w:lvlJc w:val="left"/>
      <w:pPr>
        <w:ind w:left="57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decimal"/>
      <w:lvlText w:val="%9."/>
      <w:lvlJc w:val="left"/>
      <w:pPr>
        <w:ind w:left="64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BF205925"/>
    <w:multiLevelType w:val="multilevel"/>
    <w:tmpl w:val="BF205925"/>
    <w:lvl w:ilvl="0" w:tentative="0">
      <w:start w:val="1"/>
      <w:numFmt w:val="bullet"/>
      <w:lvlText w:val="●"/>
      <w:lvlJc w:val="left"/>
      <w:pPr>
        <w:ind w:left="42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
      <w:lvlJc w:val="left"/>
      <w:pPr>
        <w:tabs>
          <w:tab w:val="left" w:pos="420"/>
        </w:tabs>
        <w:ind w:left="114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tabs>
          <w:tab w:val="left" w:pos="420"/>
        </w:tabs>
        <w:ind w:left="186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tabs>
          <w:tab w:val="left" w:pos="420"/>
        </w:tabs>
        <w:ind w:left="258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
      <w:lvlJc w:val="left"/>
      <w:pPr>
        <w:tabs>
          <w:tab w:val="left" w:pos="420"/>
        </w:tabs>
        <w:ind w:left="330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tabs>
          <w:tab w:val="left" w:pos="420"/>
        </w:tabs>
        <w:ind w:left="402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tabs>
          <w:tab w:val="left" w:pos="420"/>
        </w:tabs>
        <w:ind w:left="474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
      <w:lvlJc w:val="left"/>
      <w:pPr>
        <w:tabs>
          <w:tab w:val="left" w:pos="420"/>
        </w:tabs>
        <w:ind w:left="546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tabs>
          <w:tab w:val="left" w:pos="420"/>
        </w:tabs>
        <w:ind w:left="618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CF092B84"/>
    <w:multiLevelType w:val="multilevel"/>
    <w:tmpl w:val="CF092B84"/>
    <w:lvl w:ilvl="0" w:tentative="0">
      <w:start w:val="1"/>
      <w:numFmt w:val="bullet"/>
      <w:lvlText w:val="●"/>
      <w:lvlJc w:val="left"/>
      <w:pPr>
        <w:ind w:left="42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
      <w:lvlJc w:val="left"/>
      <w:pPr>
        <w:tabs>
          <w:tab w:val="left" w:pos="420"/>
        </w:tabs>
        <w:ind w:left="114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tabs>
          <w:tab w:val="left" w:pos="420"/>
        </w:tabs>
        <w:ind w:left="186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tabs>
          <w:tab w:val="left" w:pos="420"/>
        </w:tabs>
        <w:ind w:left="258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
      <w:lvlJc w:val="left"/>
      <w:pPr>
        <w:tabs>
          <w:tab w:val="left" w:pos="420"/>
        </w:tabs>
        <w:ind w:left="330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tabs>
          <w:tab w:val="left" w:pos="420"/>
        </w:tabs>
        <w:ind w:left="402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tabs>
          <w:tab w:val="left" w:pos="420"/>
        </w:tabs>
        <w:ind w:left="474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
      <w:lvlJc w:val="left"/>
      <w:pPr>
        <w:tabs>
          <w:tab w:val="left" w:pos="420"/>
        </w:tabs>
        <w:ind w:left="546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tabs>
          <w:tab w:val="left" w:pos="420"/>
        </w:tabs>
        <w:ind w:left="618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FEE29441"/>
    <w:multiLevelType w:val="singleLevel"/>
    <w:tmpl w:val="FEE2944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0053208E"/>
    <w:multiLevelType w:val="multilevel"/>
    <w:tmpl w:val="0053208E"/>
    <w:lvl w:ilvl="0" w:tentative="0">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nsid w:val="03D62ECE"/>
    <w:multiLevelType w:val="multilevel"/>
    <w:tmpl w:val="03D62ECE"/>
    <w:lvl w:ilvl="0" w:tentative="0">
      <w:start w:val="1"/>
      <w:numFmt w:val="bullet"/>
      <w:lvlText w:val="●"/>
      <w:lvlJc w:val="left"/>
      <w:pPr>
        <w:ind w:left="42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
      <w:lvlJc w:val="left"/>
      <w:pPr>
        <w:tabs>
          <w:tab w:val="left" w:pos="420"/>
        </w:tabs>
        <w:ind w:left="114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tabs>
          <w:tab w:val="left" w:pos="420"/>
        </w:tabs>
        <w:ind w:left="186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tabs>
          <w:tab w:val="left" w:pos="420"/>
        </w:tabs>
        <w:ind w:left="258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
      <w:lvlJc w:val="left"/>
      <w:pPr>
        <w:tabs>
          <w:tab w:val="left" w:pos="420"/>
        </w:tabs>
        <w:ind w:left="330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tabs>
          <w:tab w:val="left" w:pos="420"/>
        </w:tabs>
        <w:ind w:left="402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tabs>
          <w:tab w:val="left" w:pos="420"/>
        </w:tabs>
        <w:ind w:left="474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
      <w:lvlJc w:val="left"/>
      <w:pPr>
        <w:tabs>
          <w:tab w:val="left" w:pos="420"/>
        </w:tabs>
        <w:ind w:left="546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tabs>
          <w:tab w:val="left" w:pos="420"/>
        </w:tabs>
        <w:ind w:left="6180" w:hanging="4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59ADCABA"/>
    <w:multiLevelType w:val="multilevel"/>
    <w:tmpl w:val="59ADCABA"/>
    <w:lvl w:ilvl="0" w:tentative="0">
      <w:start w:val="1"/>
      <w:numFmt w:val="decimal"/>
      <w:suff w:val="nothing"/>
      <w:lvlText w:val="%1."/>
      <w:lvlJc w:val="left"/>
      <w:pPr>
        <w:ind w:left="120" w:hanging="12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decimal"/>
      <w:lvlText w:val="%2."/>
      <w:lvlJc w:val="left"/>
      <w:pPr>
        <w:ind w:left="14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decimal"/>
      <w:lvlText w:val="%3."/>
      <w:lvlJc w:val="left"/>
      <w:pPr>
        <w:ind w:left="21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8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decimal"/>
      <w:lvlText w:val="%5."/>
      <w:lvlJc w:val="left"/>
      <w:pPr>
        <w:ind w:left="360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decimal"/>
      <w:lvlText w:val="%6."/>
      <w:lvlJc w:val="left"/>
      <w:pPr>
        <w:ind w:left="43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0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decimal"/>
      <w:lvlText w:val="%8."/>
      <w:lvlJc w:val="left"/>
      <w:pPr>
        <w:ind w:left="57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decimal"/>
      <w:lvlText w:val="%9."/>
      <w:lvlJc w:val="left"/>
      <w:pPr>
        <w:ind w:left="64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720"/>
  <w:noLineBreaksAfter w:lang="zh-CN" w:val="‘“(〔[{〈《「『【⦅〘〖«〝︵︷︹︻︽︿﹁﹃﹇﹙﹛﹝｢"/>
  <w:noLineBreaksBefore w:lang="zh-CN" w:val="’”)〕]}〉"/>
  <w:footnotePr>
    <w:footnote w:id="0"/>
    <w:footnote w:id="1"/>
  </w:footnotePr>
  <w:endnotePr>
    <w:endnote w:id="0"/>
    <w:endnote w:id="1"/>
  </w:endnotePr>
  <w:compat>
    <w:compatSetting w:name="compatibilityMode" w:uri="http://schemas.microsoft.com/office/word" w:val="15"/>
  </w:compat>
  <w:rsids>
    <w:rsidRoot w:val="00000000"/>
    <w:rsid w:val="1238091E"/>
    <w:rsid w:val="12CC2A49"/>
    <w:rsid w:val="1BD74BD8"/>
    <w:rsid w:val="23E427C1"/>
    <w:rsid w:val="2F9A4761"/>
    <w:rsid w:val="6FC06D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character" w:default="1" w:styleId="2">
    <w:name w:val="Default Paragraph Font"/>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uiPriority w:val="0"/>
    <w:rPr>
      <w:u w:val="single"/>
    </w:rPr>
  </w:style>
  <w:style w:type="paragraph" w:styleId="5">
    <w:name w:val="Normal (Web)"/>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00" w:beforeAutospacing="0" w:after="100" w:afterAutospacing="0" w:line="240" w:lineRule="auto"/>
      <w:ind w:left="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lang w:val="en-US"/>
    </w:rPr>
  </w:style>
  <w:style w:type="table" w:customStyle="1" w:styleId="6">
    <w:name w:val="Table Normal1"/>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7">
    <w:name w:val="Header &amp; Footer"/>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Helvetica Neue" w:hAnsi="Helvetica Neue" w:eastAsia="Arial Unicode MS" w:cs="Arial Unicode MS"/>
      <w:color w:val="000000"/>
      <w:spacing w:val="0"/>
      <w:w w:val="100"/>
      <w:kern w:val="0"/>
      <w:position w:val="0"/>
      <w:sz w:val="24"/>
      <w:szCs w:val="24"/>
      <w:u w:val="none" w:color="auto"/>
      <w:shd w:val="clear" w:color="auto" w:fill="auto"/>
      <w:vertAlign w:val="baseline"/>
    </w:rPr>
  </w:style>
  <w:style w:type="paragraph" w:customStyle="1" w:styleId="8">
    <w:name w:val="Body"/>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Aptos" w:hAnsi="Aptos" w:eastAsia="Aptos" w:cs="Aptos"/>
      <w:color w:val="000000"/>
      <w:spacing w:val="0"/>
      <w:w w:val="100"/>
      <w:kern w:val="2"/>
      <w:position w:val="0"/>
      <w:sz w:val="24"/>
      <w:szCs w:val="24"/>
      <w:u w:val="none" w:color="000000"/>
      <w:shd w:val="clear" w:color="auto" w:fill="auto"/>
      <w:vertAlign w:val="baseline"/>
    </w:rPr>
  </w:style>
  <w:style w:type="paragraph" w:customStyle="1" w:styleId="9">
    <w:name w:val="Body A"/>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56" w:lineRule="auto"/>
      <w:ind w:left="0" w:right="0" w:firstLine="0"/>
      <w:jc w:val="left"/>
      <w:outlineLvl w:val="9"/>
    </w:pPr>
    <w:rPr>
      <w:rFonts w:ascii="Arial" w:hAnsi="Arial" w:eastAsia="Arial Unicode MS" w:cs="Arial Unicode MS"/>
      <w:color w:val="000000"/>
      <w:spacing w:val="0"/>
      <w:w w:val="100"/>
      <w:kern w:val="0"/>
      <w:position w:val="0"/>
      <w:sz w:val="22"/>
      <w:szCs w:val="22"/>
      <w:u w:val="none" w:color="000000"/>
      <w:shd w:val="clear" w:color="auto" w:fill="auto"/>
      <w:vertAlign w:val="baseline"/>
      <w:lang w:val="en-US"/>
    </w:rPr>
  </w:style>
  <w:style w:type="paragraph" w:customStyle="1" w:styleId="10">
    <w:name w:val="List parag"/>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00" w:beforeAutospacing="0" w:after="120" w:afterAutospacing="0" w:line="264" w:lineRule="auto"/>
      <w:ind w:left="0" w:right="0" w:firstLine="0"/>
      <w:jc w:val="left"/>
      <w:outlineLvl w:val="9"/>
    </w:pPr>
    <w:rPr>
      <w:rFonts w:ascii="Arial" w:hAnsi="Arial" w:eastAsia="Arial Unicode MS" w:cs="Arial Unicode MS"/>
      <w:color w:val="000000"/>
      <w:spacing w:val="0"/>
      <w:w w:val="100"/>
      <w:kern w:val="0"/>
      <w:position w:val="0"/>
      <w:sz w:val="22"/>
      <w:szCs w:val="22"/>
      <w:u w:val="none" w:color="000000"/>
      <w:shd w:val="clear" w:color="auto" w:fill="auto"/>
      <w:vertAlign w:val="baseline"/>
      <w:lang w:val="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upright="0">
        <a:spAutoFit/>
      </a:bodyPr>
      <a:lstStyle/>
      <a:style>
        <a:lnRef idx="0">
          <a:srgbClr val="FFFFFF"/>
        </a:lnRef>
        <a:fillRef idx="0">
          <a:srgbClr val="FFFFFF"/>
        </a:fillRef>
        <a:effectRef idx="0">
          <a:srgbClr val="FFFFFF"/>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upright="0">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Pages>16</Pages>
  <TotalTime>26</TotalTime>
  <ScaleCrop>false</ScaleCrop>
  <LinksUpToDate>false</LinksUpToDate>
  <Application>WPS Office_12.2.0.20323_F1E327BC-269C-435d-A152-05C5408002CA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2025-03-05T20:38:00Z</dcterms:created>
  <dc:creator>andrea.matthews</dc:creator>
  <cp:lastModifiedBy>WPS_1727684645</cp:lastModifiedBy>
  <dcterms:modified xsi:type="dcterms:W3CDTF">2025-03-07T15:19:55Z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1033-12.2.0.20323</vt:lpwstr>
  </property>
  <property fmtid="{D5CDD505-2E9C-101B-9397-08002B2CF9AE}" pid="3" name="ICV">
    <vt:lpwstr>9FAD76FB09E84FCE90E7F12100DD1D53_13</vt:lpwstr>
  </property>
</Properties>
</file>