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r>
        <w:object w:dxaOrig="3685" w:dyaOrig="1539">
          <v:rect xmlns:o="urn:schemas-microsoft-com:office:office" xmlns:v="urn:schemas-microsoft-com:vml" id="rectole0000000000" style="width:184.250000pt;height:76.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tbl>
      <w:tblPr/>
      <w:tblGrid>
        <w:gridCol w:w="4460"/>
        <w:gridCol w:w="5888"/>
      </w:tblGrid>
      <w:tr>
        <w:trPr>
          <w:trHeight w:val="1" w:hRule="atLeast"/>
          <w:jc w:val="left"/>
        </w:trPr>
        <w:tc>
          <w:tcPr>
            <w:tcW w:w="4460" w:type="dxa"/>
            <w:tcBorders>
              <w:top w:val="single" w:color="000000" w:sz="5"/>
              <w:left w:val="single" w:color="000000" w:sz="5"/>
              <w:bottom w:val="single" w:color="000000" w:sz="5"/>
              <w:right w:val="single" w:color="000000" w:sz="5"/>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MODULE TITLE</w:t>
            </w:r>
          </w:p>
        </w:tc>
        <w:tc>
          <w:tcPr>
            <w:tcW w:w="5888" w:type="dxa"/>
            <w:tcBorders>
              <w:top w:val="single" w:color="000000" w:sz="5"/>
              <w:left w:val="single" w:color="000000" w:sz="5"/>
              <w:bottom w:val="single" w:color="000000" w:sz="5"/>
              <w:right w:val="single" w:color="000000" w:sz="5"/>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PROFESSIONALCAREER DEVELOPMENT</w:t>
            </w:r>
          </w:p>
        </w:tc>
      </w:tr>
      <w:tr>
        <w:trPr>
          <w:trHeight w:val="1" w:hRule="atLeast"/>
          <w:jc w:val="left"/>
        </w:trPr>
        <w:tc>
          <w:tcPr>
            <w:tcW w:w="4460" w:type="dxa"/>
            <w:tcBorders>
              <w:top w:val="single" w:color="000000" w:sz="5"/>
              <w:left w:val="single" w:color="000000" w:sz="5"/>
              <w:bottom w:val="single" w:color="000000" w:sz="5"/>
              <w:right w:val="single" w:color="000000" w:sz="5"/>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MODULE CODE</w:t>
            </w:r>
          </w:p>
        </w:tc>
        <w:tc>
          <w:tcPr>
            <w:tcW w:w="5888" w:type="dxa"/>
            <w:tcBorders>
              <w:top w:val="single" w:color="000000" w:sz="5"/>
              <w:left w:val="single" w:color="000000" w:sz="5"/>
              <w:bottom w:val="single" w:color="000000" w:sz="5"/>
              <w:right w:val="single" w:color="000000" w:sz="5"/>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BMSW4005</w:t>
            </w:r>
          </w:p>
        </w:tc>
      </w:tr>
      <w:tr>
        <w:trPr>
          <w:trHeight w:val="1" w:hRule="atLeast"/>
          <w:jc w:val="left"/>
        </w:trPr>
        <w:tc>
          <w:tcPr>
            <w:tcW w:w="4460" w:type="dxa"/>
            <w:tcBorders>
              <w:top w:val="single" w:color="000000" w:sz="5"/>
              <w:left w:val="single" w:color="000000" w:sz="5"/>
              <w:bottom w:val="single" w:color="000000" w:sz="5"/>
              <w:right w:val="single" w:color="000000" w:sz="5"/>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TERM</w:t>
            </w:r>
          </w:p>
        </w:tc>
        <w:tc>
          <w:tcPr>
            <w:tcW w:w="5888" w:type="dxa"/>
            <w:tcBorders>
              <w:top w:val="single" w:color="000000" w:sz="5"/>
              <w:left w:val="single" w:color="000000" w:sz="5"/>
              <w:bottom w:val="single" w:color="000000" w:sz="5"/>
              <w:right w:val="single" w:color="000000" w:sz="5"/>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TERM 3</w:t>
            </w:r>
          </w:p>
        </w:tc>
      </w:tr>
      <w:tr>
        <w:trPr>
          <w:trHeight w:val="1" w:hRule="atLeast"/>
          <w:jc w:val="left"/>
        </w:trPr>
        <w:tc>
          <w:tcPr>
            <w:tcW w:w="4460" w:type="dxa"/>
            <w:tcBorders>
              <w:top w:val="single" w:color="000000" w:sz="5"/>
              <w:left w:val="single" w:color="000000" w:sz="5"/>
              <w:bottom w:val="single" w:color="000000" w:sz="5"/>
              <w:right w:val="single" w:color="000000" w:sz="5"/>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LECTURER NAME</w:t>
            </w:r>
          </w:p>
        </w:tc>
        <w:tc>
          <w:tcPr>
            <w:tcW w:w="5888" w:type="dxa"/>
            <w:tcBorders>
              <w:top w:val="single" w:color="000000" w:sz="5"/>
              <w:left w:val="single" w:color="000000" w:sz="5"/>
              <w:bottom w:val="single" w:color="000000" w:sz="5"/>
              <w:right w:val="single" w:color="000000" w:sz="5"/>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JOANNA WALSH</w:t>
            </w:r>
          </w:p>
        </w:tc>
      </w:tr>
      <w:tr>
        <w:trPr>
          <w:trHeight w:val="1" w:hRule="atLeast"/>
          <w:jc w:val="left"/>
        </w:trPr>
        <w:tc>
          <w:tcPr>
            <w:tcW w:w="4460" w:type="dxa"/>
            <w:tcBorders>
              <w:top w:val="single" w:color="000000" w:sz="5"/>
              <w:left w:val="single" w:color="000000" w:sz="5"/>
              <w:bottom w:val="single" w:color="000000" w:sz="5"/>
              <w:right w:val="single" w:color="000000" w:sz="5"/>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STUDENT NAME</w:t>
            </w:r>
          </w:p>
        </w:tc>
        <w:tc>
          <w:tcPr>
            <w:tcW w:w="5888" w:type="dxa"/>
            <w:tcBorders>
              <w:top w:val="single" w:color="000000" w:sz="5"/>
              <w:left w:val="single" w:color="000000" w:sz="5"/>
              <w:bottom w:val="single" w:color="000000" w:sz="5"/>
              <w:right w:val="single" w:color="000000" w:sz="5"/>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MIRELA RADU </w:t>
            </w:r>
          </w:p>
        </w:tc>
      </w:tr>
      <w:tr>
        <w:trPr>
          <w:trHeight w:val="1" w:hRule="atLeast"/>
          <w:jc w:val="left"/>
        </w:trPr>
        <w:tc>
          <w:tcPr>
            <w:tcW w:w="4460" w:type="dxa"/>
            <w:tcBorders>
              <w:top w:val="single" w:color="000000" w:sz="5"/>
              <w:left w:val="single" w:color="000000" w:sz="5"/>
              <w:bottom w:val="single" w:color="000000" w:sz="5"/>
              <w:right w:val="single" w:color="000000" w:sz="5"/>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STUDENT ID </w:t>
            </w:r>
          </w:p>
        </w:tc>
        <w:tc>
          <w:tcPr>
            <w:tcW w:w="5888" w:type="dxa"/>
            <w:tcBorders>
              <w:top w:val="single" w:color="000000" w:sz="5"/>
              <w:left w:val="single" w:color="000000" w:sz="5"/>
              <w:bottom w:val="single" w:color="000000" w:sz="5"/>
              <w:right w:val="single" w:color="000000" w:sz="5"/>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1914030</w:t>
            </w:r>
          </w:p>
        </w:tc>
      </w:tr>
    </w:tbl>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200" w:line="276"/>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Personal reflection on the role play and career planning</w:t>
      </w:r>
    </w:p>
    <w:p>
      <w:pPr>
        <w:spacing w:before="0" w:after="200" w:line="276"/>
        <w:ind w:right="0" w:left="0" w:firstLine="0"/>
        <w:jc w:val="center"/>
        <w:rPr>
          <w:rFonts w:ascii="Arial" w:hAnsi="Arial" w:cs="Arial" w:eastAsia="Arial"/>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200" w:line="276"/>
        <w:ind w:right="0" w:left="0" w:firstLine="0"/>
        <w:jc w:val="both"/>
        <w:rPr>
          <w:rFonts w:ascii="Arial" w:hAnsi="Arial" w:cs="Arial" w:eastAsia="Arial"/>
          <w:color w:val="auto"/>
          <w:spacing w:val="0"/>
          <w:position w:val="0"/>
          <w:sz w:val="24"/>
          <w:shd w:fill="auto" w:val="clear"/>
        </w:rPr>
      </w:pPr>
    </w:p>
    <w:p>
      <w:pPr>
        <w:spacing w:before="300" w:after="40" w:line="276"/>
        <w:ind w:right="0" w:left="0" w:firstLine="0"/>
        <w:jc w:val="left"/>
        <w:rPr>
          <w:rFonts w:ascii="Arial" w:hAnsi="Arial" w:cs="Arial" w:eastAsia="Arial"/>
          <w:color w:val="auto"/>
          <w:spacing w:val="5"/>
          <w:position w:val="0"/>
          <w:sz w:val="32"/>
          <w:shd w:fill="auto" w:val="clear"/>
        </w:rPr>
      </w:pPr>
      <w:r>
        <w:rPr>
          <w:rFonts w:ascii="Arial" w:hAnsi="Arial" w:cs="Arial" w:eastAsia="Arial"/>
          <w:color w:val="auto"/>
          <w:spacing w:val="5"/>
          <w:position w:val="0"/>
          <w:sz w:val="32"/>
          <w:shd w:fill="auto" w:val="clear"/>
        </w:rPr>
        <w:t xml:space="preserve">Executive Summary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general, employability skills are the essential set of competencies and skills that most of the employers look for. These skills may vary from one sector to another; however, few competencies would remain consistent across all industries. Many of these skills also contribute positively to an efficient output in the working environment. In this regard, this paper is based on my reflection on a role-play activity. Considering my experience and wider literature, I will argue on the skills needed for efficient working and employability. I will also identify my areas of strengths and weaknesses along with an action plan for further development.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200" w:line="276"/>
        <w:ind w:right="0" w:left="0" w:firstLine="0"/>
        <w:jc w:val="both"/>
        <w:rPr>
          <w:rFonts w:ascii="Arial" w:hAnsi="Arial" w:cs="Arial" w:eastAsia="Arial"/>
          <w:color w:val="auto"/>
          <w:spacing w:val="0"/>
          <w:position w:val="0"/>
          <w:sz w:val="24"/>
          <w:shd w:fill="auto" w:val="clear"/>
        </w:rPr>
      </w:pPr>
    </w:p>
    <w:p>
      <w:pPr>
        <w:spacing w:before="300" w:after="40" w:line="276"/>
        <w:ind w:right="0" w:left="0" w:firstLine="0"/>
        <w:jc w:val="left"/>
        <w:rPr>
          <w:rFonts w:ascii="Arial" w:hAnsi="Arial" w:cs="Arial" w:eastAsia="Arial"/>
          <w:color w:val="auto"/>
          <w:spacing w:val="5"/>
          <w:position w:val="0"/>
          <w:sz w:val="32"/>
          <w:shd w:fill="auto" w:val="clear"/>
        </w:rPr>
      </w:pPr>
      <w:r>
        <w:rPr>
          <w:rFonts w:ascii="Arial" w:hAnsi="Arial" w:cs="Arial" w:eastAsia="Arial"/>
          <w:color w:val="auto"/>
          <w:spacing w:val="5"/>
          <w:position w:val="0"/>
          <w:sz w:val="32"/>
          <w:shd w:fill="auto" w:val="clear"/>
        </w:rPr>
        <w:t xml:space="preserve">Introduction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skills and competencies of an individual play a critical role in his or her contribution to the workplace (Crebert </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2004). In the dynamic employment markets of today, the importance of these skills and competencies is even higher because of a high degree of competition (Rosenberg, Heimler and Morote, 2012). In general, employability skills are the essential set of competencies and skills that most of the employers look for. These skills may vary from one sector to another; however, few competencies would remain consistent across all industries (Cranmer, 2006). For instance, employers would be interested to recruit someone that can be the best fit in their organisational culture. This will require an individual to be good in communication and interpersonal skills along with a high degree of adaptability (Mason, Williams and Cranmer, 2009). Other than this, reliability and willingness to learn would be another key trait that the employers would certainly consider to recruit someone. In addition to these basic set of skills, several other skills are pivotal to improve efficiency at the workplace (Acemoglu and Autor, 2011). In this regard, this report is based on my reflection on a role play. In the role play, I played the role of an interviewee and answered the question for a recruitment interview. In this report, I will share my experience of the role play, skills and competencies attained, my areas of strength and weaknesses along with an action plan. </w:t>
      </w:r>
    </w:p>
    <w:p>
      <w:pPr>
        <w:spacing w:before="300" w:after="40" w:line="276"/>
        <w:ind w:right="0" w:left="0" w:firstLine="0"/>
        <w:jc w:val="left"/>
        <w:rPr>
          <w:rFonts w:ascii="Arial" w:hAnsi="Arial" w:cs="Arial" w:eastAsia="Arial"/>
          <w:color w:val="auto"/>
          <w:spacing w:val="5"/>
          <w:position w:val="0"/>
          <w:sz w:val="32"/>
          <w:shd w:fill="auto" w:val="clear"/>
        </w:rPr>
      </w:pPr>
      <w:r>
        <w:rPr>
          <w:rFonts w:ascii="Arial" w:hAnsi="Arial" w:cs="Arial" w:eastAsia="Arial"/>
          <w:color w:val="auto"/>
          <w:spacing w:val="5"/>
          <w:position w:val="0"/>
          <w:sz w:val="32"/>
          <w:shd w:fill="auto" w:val="clear"/>
        </w:rPr>
        <w:t xml:space="preserve">Reflection on the role play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demonstrated in the earlier section, I played the role of an interviewee in the role-play task under consideration. It was a job interview and other student played the role of an employer. Starting from a basic personal introduction along with my abilities to fit in a particular job role, I have answered several questions. Overall, this role play was very effective to understand the environment maintained during a job interview and has helped me to overcome the fear factor associated with this. Besides, the questions asked during the role-play has also assisted me to understand the possible concerns of most of the employers along with key skills that would be required to work effectively in most of the workplaces. Although I confidently responded to most of the questions, there are several areas of further development that I identified after a critical review of my answers. Moreover, during the role play and considering the questions of the employer, I also performed online research to understand the skills and competencies that are typically required to work effectively. Along with this, I also performed research on employability skills in general. Based on my reflection during the role-play task under consideration along with research, the following sub-section provides the details of skills and competencies that I consider important to work effectively and efficiently. Followed by this, I will present my employment goals, which will help me to find the gaps based on which I can develop an action plan. </w:t>
      </w:r>
    </w:p>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0" w:line="276"/>
        <w:ind w:right="0" w:left="0" w:firstLine="0"/>
        <w:jc w:val="left"/>
        <w:rPr>
          <w:rFonts w:ascii="Arial" w:hAnsi="Arial" w:cs="Arial" w:eastAsia="Arial"/>
          <w:color w:val="auto"/>
          <w:spacing w:val="5"/>
          <w:position w:val="0"/>
          <w:sz w:val="28"/>
          <w:shd w:fill="auto" w:val="clear"/>
        </w:rPr>
      </w:pPr>
      <w:r>
        <w:rPr>
          <w:rFonts w:ascii="Arial" w:hAnsi="Arial" w:cs="Arial" w:eastAsia="Arial"/>
          <w:color w:val="auto"/>
          <w:spacing w:val="5"/>
          <w:position w:val="0"/>
          <w:sz w:val="28"/>
          <w:shd w:fill="auto" w:val="clear"/>
        </w:rPr>
        <w:t xml:space="preserve">Skills and competencies needed</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Typically, education and experience are considered as the first barrier that makes someone fit for a particular job role (James </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2013). In other words, this is just an entry card to appear in the job interview as highlighted by Tymon (2013). Wilton (2011), after surveying several employers in the United Kingdom concluded that most of the employers are willing to teach the job-related skills to newly recruited employees. They are relatively concerned about the fit of the person in their organisational culture and team as a whole (Galloway, 2017). For this purpose, several employability skills are common in almost every industry, but plays a critical role in getting someone selected for a job role and working effectively in their subsequent projects at the workplace (Maxwell and Broadbridge, 2017). After an analysis of my roleplay project along with online research, I have identified that following skills and competencies as essential: </w:t>
      </w:r>
    </w:p>
    <w:p>
      <w:pPr>
        <w:spacing w:before="0" w:after="0" w:line="276"/>
        <w:ind w:right="0" w:left="0" w:firstLine="0"/>
        <w:jc w:val="left"/>
        <w:rPr>
          <w:rFonts w:ascii="Arial" w:hAnsi="Arial" w:cs="Arial" w:eastAsia="Arial"/>
          <w:color w:val="auto"/>
          <w:spacing w:val="5"/>
          <w:position w:val="0"/>
          <w:sz w:val="24"/>
          <w:shd w:fill="auto" w:val="clear"/>
        </w:rPr>
      </w:pPr>
      <w:r>
        <w:rPr>
          <w:rFonts w:ascii="Arial" w:hAnsi="Arial" w:cs="Arial" w:eastAsia="Arial"/>
          <w:color w:val="auto"/>
          <w:spacing w:val="5"/>
          <w:position w:val="0"/>
          <w:sz w:val="24"/>
          <w:shd w:fill="auto" w:val="clear"/>
        </w:rPr>
        <w:t xml:space="preserve">Communication skills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Communication skills are essential for every job role and at every position within any business organisation. These skills can be broadly classified as written and verbal communication skills. To improve employability and to perform effectively at any particular job role, an individual must have strong communication and interpersonal skills (Durrani and Tariq, 2012). The research indicates that good communication skills often reduce inefficiencies by eliminating the risk of unclear instructions and subsequent problems caused by this (Wellman, 2010). Besides, this also helps to avoid any conflicts, which will improve overall bonding within the team members. </w:t>
      </w:r>
    </w:p>
    <w:p>
      <w:pPr>
        <w:spacing w:before="0" w:after="0" w:line="276"/>
        <w:ind w:right="0" w:left="0" w:firstLine="0"/>
        <w:jc w:val="left"/>
        <w:rPr>
          <w:rFonts w:ascii="Arial" w:hAnsi="Arial" w:cs="Arial" w:eastAsia="Arial"/>
          <w:color w:val="auto"/>
          <w:spacing w:val="5"/>
          <w:position w:val="0"/>
          <w:sz w:val="24"/>
          <w:shd w:fill="auto" w:val="clear"/>
        </w:rPr>
      </w:pPr>
      <w:r>
        <w:rPr>
          <w:rFonts w:ascii="Arial" w:hAnsi="Arial" w:cs="Arial" w:eastAsia="Arial"/>
          <w:color w:val="auto"/>
          <w:spacing w:val="5"/>
          <w:position w:val="0"/>
          <w:sz w:val="24"/>
          <w:shd w:fill="auto" w:val="clear"/>
        </w:rPr>
        <w:t xml:space="preserve">Emotional intelligence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Emotions play a major role in deciding the behaviour, actions and values and beliefs of the individuals. Emotional intelligence is a skill to manage one’s emotion effectively along with an ability to understand and manage other’s emotions as well (Minocha, Hristov and Leahy-Harland, 2018). This skill helps to predict the impact of any communication or decision on the business stakeholders (Sarkar </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2020). Based on this, it may help to pre-plan for any mitigation in case of any potential problem. This skill is also essential to maximise the efficiency at a workplace. </w:t>
      </w:r>
    </w:p>
    <w:p>
      <w:pPr>
        <w:spacing w:before="0" w:after="0" w:line="276"/>
        <w:ind w:right="0" w:left="0" w:firstLine="0"/>
        <w:jc w:val="left"/>
        <w:rPr>
          <w:rFonts w:ascii="Arial" w:hAnsi="Arial" w:cs="Arial" w:eastAsia="Arial"/>
          <w:color w:val="auto"/>
          <w:spacing w:val="5"/>
          <w:position w:val="0"/>
          <w:sz w:val="24"/>
          <w:shd w:fill="auto" w:val="clear"/>
        </w:rPr>
      </w:pPr>
      <w:r>
        <w:rPr>
          <w:rFonts w:ascii="Arial" w:hAnsi="Arial" w:cs="Arial" w:eastAsia="Arial"/>
          <w:color w:val="auto"/>
          <w:spacing w:val="5"/>
          <w:position w:val="0"/>
          <w:sz w:val="24"/>
          <w:shd w:fill="auto" w:val="clear"/>
        </w:rPr>
        <w:t xml:space="preserve">Customer centricity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Customers are considered as a heart of everything that business organisations do. Without customer satisfaction, no organisation can excel and might not even be able to maintain their business in a long-term scenario (Atkinson and Pennington, 2012). The competency of customer-centricity enables an individual to be aware of the customer needs and to provide services following that (Singh, Thambusamy and Ramly, 2014). This is not restricted to external customers; rather, this is also applied to the internal customers of an organisation. With effective customer-centricity skills, an individual employee would positively contribute towards organisational objectives. </w:t>
      </w:r>
    </w:p>
    <w:p>
      <w:pPr>
        <w:spacing w:before="0" w:after="0" w:line="276"/>
        <w:ind w:right="0" w:left="0" w:firstLine="0"/>
        <w:jc w:val="left"/>
        <w:rPr>
          <w:rFonts w:ascii="Arial" w:hAnsi="Arial" w:cs="Arial" w:eastAsia="Arial"/>
          <w:color w:val="auto"/>
          <w:spacing w:val="5"/>
          <w:position w:val="0"/>
          <w:sz w:val="24"/>
          <w:shd w:fill="auto" w:val="clear"/>
        </w:rPr>
      </w:pPr>
      <w:r>
        <w:rPr>
          <w:rFonts w:ascii="Arial" w:hAnsi="Arial" w:cs="Arial" w:eastAsia="Arial"/>
          <w:color w:val="auto"/>
          <w:spacing w:val="5"/>
          <w:position w:val="0"/>
          <w:sz w:val="24"/>
          <w:shd w:fill="auto" w:val="clear"/>
        </w:rPr>
        <w:t xml:space="preserve">Team-working</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Team-working skills are the ability of an individual to play his or her effective role within the team. Working individually and working in a team typically require different attitudes and behaviour (Szu-Fang, 2013). Usually, when working in a team, an individual must have the ability to bond well with other team members and instead of considering personal objectives, one should consider the broader objectives of the team (Ju, Zhang and Pacha, 2012; Farooqui and Nagendra, 2014). This is also one of the most demanded competencies in modern business organisations as the organisational objectives are linked with the objectives of different teams and their collective performance. </w:t>
      </w:r>
    </w:p>
    <w:p>
      <w:pPr>
        <w:spacing w:before="0" w:after="0" w:line="276"/>
        <w:ind w:right="0" w:left="0" w:firstLine="0"/>
        <w:jc w:val="left"/>
        <w:rPr>
          <w:rFonts w:ascii="Arial" w:hAnsi="Arial" w:cs="Arial" w:eastAsia="Arial"/>
          <w:color w:val="auto"/>
          <w:spacing w:val="5"/>
          <w:position w:val="0"/>
          <w:sz w:val="24"/>
          <w:shd w:fill="auto" w:val="clear"/>
        </w:rPr>
      </w:pPr>
      <w:r>
        <w:rPr>
          <w:rFonts w:ascii="Arial" w:hAnsi="Arial" w:cs="Arial" w:eastAsia="Arial"/>
          <w:color w:val="auto"/>
          <w:spacing w:val="5"/>
          <w:position w:val="0"/>
          <w:sz w:val="24"/>
          <w:shd w:fill="auto" w:val="clear"/>
        </w:rPr>
        <w:t xml:space="preserve">Negotiation skills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Due to different interests, diversity and the way of processing information, everyone may have their point of view. Negotiation skill is the ability of an individual to agree on a mutually agreeable decision in a conflicting situation (Cimatti, 2016). In modern businesses, this situation may arise at any front, i.e. within the teams, with suppliers or even with the customers. To improve the outcomes of such situations for businesses, negotiation skills are considered essential and employers are often interested to evaluate this skill at the recruitment stage. </w:t>
      </w:r>
    </w:p>
    <w:p>
      <w:pPr>
        <w:spacing w:before="300" w:after="40" w:line="276"/>
        <w:ind w:right="0" w:left="0" w:firstLine="0"/>
        <w:jc w:val="left"/>
        <w:rPr>
          <w:rFonts w:ascii="Arial" w:hAnsi="Arial" w:cs="Arial" w:eastAsia="Arial"/>
          <w:color w:val="auto"/>
          <w:spacing w:val="5"/>
          <w:position w:val="0"/>
          <w:sz w:val="32"/>
          <w:shd w:fill="auto" w:val="clear"/>
        </w:rPr>
      </w:pPr>
      <w:r>
        <w:rPr>
          <w:rFonts w:ascii="Arial" w:hAnsi="Arial" w:cs="Arial" w:eastAsia="Arial"/>
          <w:color w:val="auto"/>
          <w:spacing w:val="5"/>
          <w:position w:val="0"/>
          <w:sz w:val="32"/>
          <w:shd w:fill="auto" w:val="clear"/>
        </w:rPr>
        <w:t xml:space="preserve">Employment goals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When thinking about my employment goals, I am not restricted to a single profession or career. I have worked in a retail store for two years and then decided to move into the property sector. For my employment, what matters to me is the learning and new experiences. I cannot restrict myself to a single job that involves repetitive tasks throughout the day. By having experience in different sectors and workplaces, I want to pursue my career as a global manager with the ability to work in different industries for general management. Specifically, my employment goals are outlined as hereunder: </w:t>
      </w:r>
    </w:p>
    <w:p>
      <w:pPr>
        <w:numPr>
          <w:ilvl w:val="0"/>
          <w:numId w:val="39"/>
        </w:numPr>
        <w:spacing w:before="0" w:after="20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develop experience and expertise in different sectors related to the general management of the business. </w:t>
      </w:r>
    </w:p>
    <w:p>
      <w:pPr>
        <w:numPr>
          <w:ilvl w:val="0"/>
          <w:numId w:val="39"/>
        </w:numPr>
        <w:spacing w:before="0" w:after="20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have new experiences to improve my overall skills and competencies which will enable me to handle diverse situations being a global manager. </w:t>
      </w:r>
    </w:p>
    <w:p>
      <w:pPr>
        <w:numPr>
          <w:ilvl w:val="0"/>
          <w:numId w:val="39"/>
        </w:numPr>
        <w:spacing w:before="0" w:after="20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attain a leadership role in the next 8 years with an ability to handle a variety of business problems and diverse employees. </w:t>
      </w:r>
    </w:p>
    <w:p>
      <w:pPr>
        <w:numPr>
          <w:ilvl w:val="0"/>
          <w:numId w:val="39"/>
        </w:numPr>
        <w:spacing w:before="0" w:after="20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improve my earnings and be independent to support a reasonable lifestyle.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line with the employment objectives outlined above, the subsequent sections will first identify my strengths and areas of development. Based on this, I will present an action plan at the end of this report. </w:t>
      </w:r>
    </w:p>
    <w:p>
      <w:pPr>
        <w:spacing w:before="0" w:after="200" w:line="276"/>
        <w:ind w:right="0" w:left="0" w:firstLine="0"/>
        <w:jc w:val="both"/>
        <w:rPr>
          <w:rFonts w:ascii="Arial" w:hAnsi="Arial" w:cs="Arial" w:eastAsia="Arial"/>
          <w:color w:val="auto"/>
          <w:spacing w:val="0"/>
          <w:position w:val="0"/>
          <w:sz w:val="24"/>
          <w:shd w:fill="auto" w:val="clear"/>
        </w:rPr>
      </w:pPr>
    </w:p>
    <w:p>
      <w:pPr>
        <w:spacing w:before="300" w:after="40" w:line="276"/>
        <w:ind w:right="0" w:left="0" w:firstLine="0"/>
        <w:jc w:val="left"/>
        <w:rPr>
          <w:rFonts w:ascii="Arial" w:hAnsi="Arial" w:cs="Arial" w:eastAsia="Arial"/>
          <w:color w:val="auto"/>
          <w:spacing w:val="5"/>
          <w:position w:val="0"/>
          <w:sz w:val="32"/>
          <w:shd w:fill="auto" w:val="clear"/>
        </w:rPr>
      </w:pPr>
      <w:r>
        <w:rPr>
          <w:rFonts w:ascii="Arial" w:hAnsi="Arial" w:cs="Arial" w:eastAsia="Arial"/>
          <w:color w:val="auto"/>
          <w:spacing w:val="5"/>
          <w:position w:val="0"/>
          <w:sz w:val="32"/>
          <w:shd w:fill="auto" w:val="clear"/>
        </w:rPr>
        <w:t xml:space="preserve">Personal strengths and development areas</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After desk research and by reflecting on the role play, I have identified several strengths and areas that I need to work on further. In this regard, the following sub-sections present the details. </w:t>
      </w:r>
    </w:p>
    <w:p>
      <w:pPr>
        <w:spacing w:before="0" w:after="0" w:line="276"/>
        <w:ind w:right="0" w:left="0" w:firstLine="0"/>
        <w:jc w:val="left"/>
        <w:rPr>
          <w:rFonts w:ascii="Arial" w:hAnsi="Arial" w:cs="Arial" w:eastAsia="Arial"/>
          <w:color w:val="auto"/>
          <w:spacing w:val="5"/>
          <w:position w:val="0"/>
          <w:sz w:val="28"/>
          <w:shd w:fill="auto" w:val="clear"/>
        </w:rPr>
      </w:pPr>
      <w:r>
        <w:rPr>
          <w:rFonts w:ascii="Arial" w:hAnsi="Arial" w:cs="Arial" w:eastAsia="Arial"/>
          <w:color w:val="auto"/>
          <w:spacing w:val="5"/>
          <w:position w:val="0"/>
          <w:sz w:val="28"/>
          <w:shd w:fill="auto" w:val="clear"/>
        </w:rPr>
        <w:t xml:space="preserve">Strengths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One of my strengths is my written and verbal communication skills. As I have mentioned earlier, I am always open to new experiences and this made me a person who wants to talk to new people. I am always curious to know about people around myself and this has helped me to improve my knowledge about different cultures and societies. While communicating with people, this knowledge helps me to maintain adequate communication norms and style. I also maintain a blog and this is one of the major factors behind my good written communication skills. Aside from communication skill, I would consider flexibility and adaptability as one of my key strengths. With a willingness to be open to new challenges and situation, I am adaptable to any environment. This makes me fit for different working environment, cultures and business challenges. With flexibility, I am also open to working with people from different background and with a different skillset. This also makes be suitable for projects involving a multi-disciplinary team as I will be adaptable to the varied environment depending upon the nature of the project.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addition to communication and flexibility, I have also equipped with adequate computer skills. I believe this is one of the essential skills required in the 21</w:t>
      </w:r>
      <w:r>
        <w:rPr>
          <w:rFonts w:ascii="Arial" w:hAnsi="Arial" w:cs="Arial" w:eastAsia="Arial"/>
          <w:color w:val="auto"/>
          <w:spacing w:val="0"/>
          <w:position w:val="0"/>
          <w:sz w:val="24"/>
          <w:shd w:fill="auto" w:val="clear"/>
          <w:vertAlign w:val="superscript"/>
        </w:rPr>
        <w:t xml:space="preserve">st</w:t>
      </w:r>
      <w:r>
        <w:rPr>
          <w:rFonts w:ascii="Arial" w:hAnsi="Arial" w:cs="Arial" w:eastAsia="Arial"/>
          <w:color w:val="auto"/>
          <w:spacing w:val="0"/>
          <w:position w:val="0"/>
          <w:sz w:val="24"/>
          <w:shd w:fill="auto" w:val="clear"/>
        </w:rPr>
        <w:t xml:space="preserve"> century for every workplace. As the business operations and even personal interactions are moving to a digital space, having adequate knowledge of computer and other digital tools is critical. In addition to basic knowledge of computer, I am also interested in technology and my curiosity has always helped me to stay updated with any new entrant in the field of information technology. With this skill, I will be able to apply digital tools, which is a need of time, specifically considering the aftermaths of a global pandemic the world is going through.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Another prominent strength that I can highlight is the ability to manage and motivate people. Meeting and knowing people is one of my passions. I can manage a diverse team and with an ability to communicate better, I can engage them very well to outperform as a team. This is also one of the essentials skills in modern workplaces, where the performance of a team is much more important than the performance of individual employees. </w:t>
      </w:r>
    </w:p>
    <w:p>
      <w:pPr>
        <w:spacing w:before="0" w:after="0" w:line="276"/>
        <w:ind w:right="0" w:left="0" w:firstLine="0"/>
        <w:jc w:val="left"/>
        <w:rPr>
          <w:rFonts w:ascii="Arial" w:hAnsi="Arial" w:cs="Arial" w:eastAsia="Arial"/>
          <w:color w:val="auto"/>
          <w:spacing w:val="5"/>
          <w:position w:val="0"/>
          <w:sz w:val="28"/>
          <w:shd w:fill="auto" w:val="clear"/>
        </w:rPr>
      </w:pPr>
      <w:r>
        <w:rPr>
          <w:rFonts w:ascii="Arial" w:hAnsi="Arial" w:cs="Arial" w:eastAsia="Arial"/>
          <w:color w:val="auto"/>
          <w:spacing w:val="5"/>
          <w:position w:val="0"/>
          <w:sz w:val="28"/>
          <w:shd w:fill="auto" w:val="clear"/>
        </w:rPr>
        <w:t xml:space="preserve">Areas of development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addition to the identified strengths in the previous section, with my reflection of the role-play activity and overall analysis, I can identify the following areas of developments: </w:t>
      </w:r>
    </w:p>
    <w:p>
      <w:pPr>
        <w:numPr>
          <w:ilvl w:val="0"/>
          <w:numId w:val="47"/>
        </w:numPr>
        <w:spacing w:before="0" w:after="20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At times, I feel that I am over-confident and consider myself extra efficient in communication. This makes me dominant over the person sitting next to me and sometimes, this results in poor outcomes of communication. In relevant to this, I believe that I need to work on my listening skills to ensure the communication is balanced and outcomes areas required. </w:t>
      </w:r>
    </w:p>
    <w:p>
      <w:pPr>
        <w:numPr>
          <w:ilvl w:val="0"/>
          <w:numId w:val="47"/>
        </w:numPr>
        <w:spacing w:before="0" w:after="20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my quest to improve, I often seek perfection. Although this is required in some business processes, this makes things overly complex in most of the matters. I believe this is primarily because of my limited knowledge of operations at the grass-root level. Thus, I need to work on the operational and technical knowledge of the processes. </w:t>
      </w:r>
    </w:p>
    <w:p>
      <w:pPr>
        <w:spacing w:before="300" w:after="40" w:line="276"/>
        <w:ind w:right="0" w:left="0" w:firstLine="0"/>
        <w:jc w:val="left"/>
        <w:rPr>
          <w:rFonts w:ascii="Arial" w:hAnsi="Arial" w:cs="Arial" w:eastAsia="Arial"/>
          <w:color w:val="auto"/>
          <w:spacing w:val="5"/>
          <w:position w:val="0"/>
          <w:sz w:val="32"/>
          <w:shd w:fill="auto" w:val="clear"/>
        </w:rPr>
      </w:pPr>
      <w:r>
        <w:rPr>
          <w:rFonts w:ascii="Arial" w:hAnsi="Arial" w:cs="Arial" w:eastAsia="Arial"/>
          <w:color w:val="auto"/>
          <w:spacing w:val="5"/>
          <w:position w:val="0"/>
          <w:sz w:val="32"/>
          <w:shd w:fill="auto" w:val="clear"/>
        </w:rPr>
        <w:t xml:space="preserve">Action plan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From the previous section, I can identify listening skills and operational or technical knowledge as two key areas of development. In this regard, the following table presents an action plan for development in these areas: </w:t>
      </w:r>
    </w:p>
    <w:p>
      <w:pPr>
        <w:keepNext w:val="true"/>
        <w:spacing w:before="0" w:after="200" w:line="276"/>
        <w:ind w:right="0" w:left="0" w:firstLine="0"/>
        <w:jc w:val="both"/>
        <w:rPr>
          <w:rFonts w:ascii="Arial" w:hAnsi="Arial" w:cs="Arial" w:eastAsia="Arial"/>
          <w:b/>
          <w:caps w:val="true"/>
          <w:color w:val="auto"/>
          <w:spacing w:val="0"/>
          <w:position w:val="0"/>
          <w:sz w:val="16"/>
          <w:shd w:fill="auto" w:val="clear"/>
        </w:rPr>
      </w:pPr>
      <w:r>
        <w:rPr>
          <w:rFonts w:ascii="Arial" w:hAnsi="Arial" w:cs="Arial" w:eastAsia="Arial"/>
          <w:b/>
          <w:caps w:val="true"/>
          <w:color w:val="auto"/>
          <w:spacing w:val="0"/>
          <w:position w:val="0"/>
          <w:sz w:val="16"/>
          <w:shd w:fill="auto" w:val="clear"/>
        </w:rPr>
        <w:t xml:space="preserve">Table : Action plan for areas of development</w:t>
      </w:r>
    </w:p>
    <w:tbl>
      <w:tblPr/>
      <w:tblGrid>
        <w:gridCol w:w="2695"/>
        <w:gridCol w:w="4860"/>
        <w:gridCol w:w="1795"/>
      </w:tblGrid>
      <w:tr>
        <w:trPr>
          <w:trHeight w:val="1" w:hRule="atLeast"/>
          <w:jc w:val="left"/>
        </w:trPr>
        <w:tc>
          <w:tcPr>
            <w:tcW w:w="26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Area of development</w:t>
            </w:r>
          </w:p>
        </w:tc>
        <w:tc>
          <w:tcPr>
            <w:tcW w:w="48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Action plan</w:t>
            </w:r>
          </w:p>
        </w:tc>
        <w:tc>
          <w:tcPr>
            <w:tcW w:w="17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Timeline</w:t>
            </w:r>
          </w:p>
        </w:tc>
      </w:tr>
      <w:tr>
        <w:trPr>
          <w:trHeight w:val="1" w:hRule="atLeast"/>
          <w:jc w:val="left"/>
        </w:trPr>
        <w:tc>
          <w:tcPr>
            <w:tcW w:w="26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Listening skills</w:t>
            </w:r>
          </w:p>
        </w:tc>
        <w:tc>
          <w:tcPr>
            <w:tcW w:w="48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improve, I will start practising below: </w:t>
            </w:r>
          </w:p>
          <w:p>
            <w:pPr>
              <w:numPr>
                <w:ilvl w:val="0"/>
                <w:numId w:val="56"/>
              </w:numPr>
              <w:spacing w:before="0" w:after="0" w:line="24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Overhear the same songs. </w:t>
            </w:r>
          </w:p>
          <w:p>
            <w:pPr>
              <w:numPr>
                <w:ilvl w:val="0"/>
                <w:numId w:val="56"/>
              </w:numPr>
              <w:spacing w:before="0" w:after="0" w:line="24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Try reading and listening at the same time.</w:t>
            </w:r>
          </w:p>
          <w:p>
            <w:pPr>
              <w:numPr>
                <w:ilvl w:val="0"/>
                <w:numId w:val="56"/>
              </w:numPr>
              <w:spacing w:before="0" w:after="0" w:line="24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Watch training videos on active listening. </w:t>
            </w:r>
          </w:p>
          <w:p>
            <w:pPr>
              <w:numPr>
                <w:ilvl w:val="0"/>
                <w:numId w:val="56"/>
              </w:numPr>
              <w:spacing w:before="0" w:after="0" w:line="240"/>
              <w:ind w:right="0" w:left="720" w:hanging="360"/>
              <w:jc w:val="both"/>
              <w:rPr>
                <w:color w:val="auto"/>
                <w:spacing w:val="0"/>
                <w:position w:val="0"/>
              </w:rPr>
            </w:pPr>
            <w:r>
              <w:rPr>
                <w:rFonts w:ascii="Arial" w:hAnsi="Arial" w:cs="Arial" w:eastAsia="Arial"/>
                <w:color w:val="auto"/>
                <w:spacing w:val="0"/>
                <w:position w:val="0"/>
                <w:sz w:val="24"/>
                <w:shd w:fill="auto" w:val="clear"/>
              </w:rPr>
              <w:t xml:space="preserve">Start practising in day-to-day conversation. </w:t>
            </w:r>
          </w:p>
        </w:tc>
        <w:tc>
          <w:tcPr>
            <w:tcW w:w="17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Q1-2021</w:t>
            </w:r>
          </w:p>
        </w:tc>
      </w:tr>
      <w:tr>
        <w:trPr>
          <w:trHeight w:val="1" w:hRule="atLeast"/>
          <w:jc w:val="left"/>
        </w:trPr>
        <w:tc>
          <w:tcPr>
            <w:tcW w:w="26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Operational/technical knowledge </w:t>
            </w:r>
          </w:p>
        </w:tc>
        <w:tc>
          <w:tcPr>
            <w:tcW w:w="48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Improve connection with grass-root level operations and increase involvement in the operations instead of checking the management side only.</w:t>
            </w:r>
          </w:p>
        </w:tc>
        <w:tc>
          <w:tcPr>
            <w:tcW w:w="17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Immediate </w:t>
            </w:r>
          </w:p>
        </w:tc>
      </w:tr>
    </w:tbl>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200" w:line="276"/>
        <w:ind w:right="0" w:left="0" w:firstLine="0"/>
        <w:jc w:val="both"/>
        <w:rPr>
          <w:rFonts w:ascii="Arial" w:hAnsi="Arial" w:cs="Arial" w:eastAsia="Arial"/>
          <w:color w:val="auto"/>
          <w:spacing w:val="0"/>
          <w:position w:val="0"/>
          <w:sz w:val="24"/>
          <w:shd w:fill="auto" w:val="clear"/>
        </w:rPr>
      </w:pPr>
    </w:p>
    <w:p>
      <w:pPr>
        <w:spacing w:before="300" w:after="40" w:line="276"/>
        <w:ind w:right="0" w:left="0" w:firstLine="0"/>
        <w:jc w:val="left"/>
        <w:rPr>
          <w:rFonts w:ascii="Arial" w:hAnsi="Arial" w:cs="Arial" w:eastAsia="Arial"/>
          <w:color w:val="auto"/>
          <w:spacing w:val="5"/>
          <w:position w:val="0"/>
          <w:sz w:val="32"/>
          <w:shd w:fill="auto" w:val="clear"/>
        </w:rPr>
      </w:pPr>
      <w:r>
        <w:rPr>
          <w:rFonts w:ascii="Arial" w:hAnsi="Arial" w:cs="Arial" w:eastAsia="Arial"/>
          <w:color w:val="auto"/>
          <w:spacing w:val="5"/>
          <w:position w:val="0"/>
          <w:sz w:val="32"/>
          <w:shd w:fill="auto" w:val="clear"/>
        </w:rPr>
        <w:t xml:space="preserve">References </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Acemoglu, D. and Autor, D. (2011) </w:t>
      </w:r>
      <w:r>
        <w:rPr>
          <w:rFonts w:ascii="Arial" w:hAnsi="Arial" w:cs="Arial" w:eastAsia="Arial"/>
          <w:i/>
          <w:color w:val="auto"/>
          <w:spacing w:val="0"/>
          <w:position w:val="0"/>
          <w:sz w:val="24"/>
          <w:shd w:fill="auto" w:val="clear"/>
        </w:rPr>
        <w:t xml:space="preserve">Skills, tasks and technologies: Implications for employment and earnings</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Handbook of Labor Economics</w:t>
      </w:r>
      <w:r>
        <w:rPr>
          <w:rFonts w:ascii="Arial" w:hAnsi="Arial" w:cs="Arial" w:eastAsia="Arial"/>
          <w:color w:val="auto"/>
          <w:spacing w:val="0"/>
          <w:position w:val="0"/>
          <w:sz w:val="24"/>
          <w:shd w:fill="auto" w:val="clear"/>
        </w:rPr>
        <w:t xml:space="preserve">. doi: 10.1016/S0169-7218(11)02410-5.</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Atkinson, H. and Pennington, M. (2012) ‘Unemployment of engineering graduates: The key issues’, </w:t>
      </w:r>
      <w:r>
        <w:rPr>
          <w:rFonts w:ascii="Arial" w:hAnsi="Arial" w:cs="Arial" w:eastAsia="Arial"/>
          <w:i/>
          <w:color w:val="auto"/>
          <w:spacing w:val="0"/>
          <w:position w:val="0"/>
          <w:sz w:val="24"/>
          <w:shd w:fill="auto" w:val="clear"/>
        </w:rPr>
        <w:t xml:space="preserve">Engineering Education</w:t>
      </w:r>
      <w:r>
        <w:rPr>
          <w:rFonts w:ascii="Arial" w:hAnsi="Arial" w:cs="Arial" w:eastAsia="Arial"/>
          <w:color w:val="auto"/>
          <w:spacing w:val="0"/>
          <w:position w:val="0"/>
          <w:sz w:val="24"/>
          <w:shd w:fill="auto" w:val="clear"/>
        </w:rPr>
        <w:t xml:space="preserve">. doi: 10.11120/ened.2012.07020007.</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Cimatti, B. (2016) ‘Definition, development, assessment of soft skills and their role for the quality of organizations and enterprises’, </w:t>
      </w:r>
      <w:r>
        <w:rPr>
          <w:rFonts w:ascii="Arial" w:hAnsi="Arial" w:cs="Arial" w:eastAsia="Arial"/>
          <w:i/>
          <w:color w:val="auto"/>
          <w:spacing w:val="0"/>
          <w:position w:val="0"/>
          <w:sz w:val="24"/>
          <w:shd w:fill="auto" w:val="clear"/>
        </w:rPr>
        <w:t xml:space="preserve">International Journal for Quality Research</w:t>
      </w:r>
      <w:r>
        <w:rPr>
          <w:rFonts w:ascii="Arial" w:hAnsi="Arial" w:cs="Arial" w:eastAsia="Arial"/>
          <w:color w:val="auto"/>
          <w:spacing w:val="0"/>
          <w:position w:val="0"/>
          <w:sz w:val="24"/>
          <w:shd w:fill="auto" w:val="clear"/>
        </w:rPr>
        <w:t xml:space="preserve">. doi: 10.18421/IJQR10.01-05.</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Cranmer, S. (2006) ‘Enhancing graduate employability: Best intentions and mixed outcomes’, </w:t>
      </w:r>
      <w:r>
        <w:rPr>
          <w:rFonts w:ascii="Arial" w:hAnsi="Arial" w:cs="Arial" w:eastAsia="Arial"/>
          <w:i/>
          <w:color w:val="auto"/>
          <w:spacing w:val="0"/>
          <w:position w:val="0"/>
          <w:sz w:val="24"/>
          <w:shd w:fill="auto" w:val="clear"/>
        </w:rPr>
        <w:t xml:space="preserve">Studies in Higher Education</w:t>
      </w:r>
      <w:r>
        <w:rPr>
          <w:rFonts w:ascii="Arial" w:hAnsi="Arial" w:cs="Arial" w:eastAsia="Arial"/>
          <w:color w:val="auto"/>
          <w:spacing w:val="0"/>
          <w:position w:val="0"/>
          <w:sz w:val="24"/>
          <w:shd w:fill="auto" w:val="clear"/>
        </w:rPr>
        <w:t xml:space="preserve">. doi: 10.1080/03075070600572041.</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Crebert, G. </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(2004) ‘Developing generic skills at university, during work placement and in employment: Graduates’ perceptions’, </w:t>
      </w:r>
      <w:r>
        <w:rPr>
          <w:rFonts w:ascii="Arial" w:hAnsi="Arial" w:cs="Arial" w:eastAsia="Arial"/>
          <w:i/>
          <w:color w:val="auto"/>
          <w:spacing w:val="0"/>
          <w:position w:val="0"/>
          <w:sz w:val="24"/>
          <w:shd w:fill="auto" w:val="clear"/>
        </w:rPr>
        <w:t xml:space="preserve">Higher Education Research and Development</w:t>
      </w:r>
      <w:r>
        <w:rPr>
          <w:rFonts w:ascii="Arial" w:hAnsi="Arial" w:cs="Arial" w:eastAsia="Arial"/>
          <w:color w:val="auto"/>
          <w:spacing w:val="0"/>
          <w:position w:val="0"/>
          <w:sz w:val="24"/>
          <w:shd w:fill="auto" w:val="clear"/>
        </w:rPr>
        <w:t xml:space="preserve">. doi: 10.1080/0729436042000206636.</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Durrani, N. and Tariq, V. N. (2012) ‘The role of numeracy skills in graduate employability’, </w:t>
      </w:r>
      <w:r>
        <w:rPr>
          <w:rFonts w:ascii="Arial" w:hAnsi="Arial" w:cs="Arial" w:eastAsia="Arial"/>
          <w:i/>
          <w:color w:val="auto"/>
          <w:spacing w:val="0"/>
          <w:position w:val="0"/>
          <w:sz w:val="24"/>
          <w:shd w:fill="auto" w:val="clear"/>
        </w:rPr>
        <w:t xml:space="preserve">Education and Training</w:t>
      </w:r>
      <w:r>
        <w:rPr>
          <w:rFonts w:ascii="Arial" w:hAnsi="Arial" w:cs="Arial" w:eastAsia="Arial"/>
          <w:color w:val="auto"/>
          <w:spacing w:val="0"/>
          <w:position w:val="0"/>
          <w:sz w:val="24"/>
          <w:shd w:fill="auto" w:val="clear"/>
        </w:rPr>
        <w:t xml:space="preserve">. doi: 10.1108/00400911211244704.</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Farooqui, M. S. and Nagendra, A. (2014) ‘The Impact of Person Organization Fit on Job Satisfaction and Performance of the Employees’, </w:t>
      </w:r>
      <w:r>
        <w:rPr>
          <w:rFonts w:ascii="Arial" w:hAnsi="Arial" w:cs="Arial" w:eastAsia="Arial"/>
          <w:i/>
          <w:color w:val="auto"/>
          <w:spacing w:val="0"/>
          <w:position w:val="0"/>
          <w:sz w:val="24"/>
          <w:shd w:fill="auto" w:val="clear"/>
        </w:rPr>
        <w:t xml:space="preserve">Procedia Economics and Finance</w:t>
      </w:r>
      <w:r>
        <w:rPr>
          <w:rFonts w:ascii="Arial" w:hAnsi="Arial" w:cs="Arial" w:eastAsia="Arial"/>
          <w:color w:val="auto"/>
          <w:spacing w:val="0"/>
          <w:position w:val="0"/>
          <w:sz w:val="24"/>
          <w:shd w:fill="auto" w:val="clear"/>
        </w:rPr>
        <w:t xml:space="preserve">. doi: 10.1016/s2212-5671(14)00182-8.</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Galloway, K. W. (2017) ‘Undergraduate perceptions of value: Degree skills and career skills’, </w:t>
      </w:r>
      <w:r>
        <w:rPr>
          <w:rFonts w:ascii="Arial" w:hAnsi="Arial" w:cs="Arial" w:eastAsia="Arial"/>
          <w:i/>
          <w:color w:val="auto"/>
          <w:spacing w:val="0"/>
          <w:position w:val="0"/>
          <w:sz w:val="24"/>
          <w:shd w:fill="auto" w:val="clear"/>
        </w:rPr>
        <w:t xml:space="preserve">Chemistry Education Research and Practice</w:t>
      </w:r>
      <w:r>
        <w:rPr>
          <w:rFonts w:ascii="Arial" w:hAnsi="Arial" w:cs="Arial" w:eastAsia="Arial"/>
          <w:color w:val="auto"/>
          <w:spacing w:val="0"/>
          <w:position w:val="0"/>
          <w:sz w:val="24"/>
          <w:shd w:fill="auto" w:val="clear"/>
        </w:rPr>
        <w:t xml:space="preserve">. doi: 10.1039/c7rp00011a.</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James, S. </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(2013) ‘What we know and what we need to know about graduate skills’, </w:t>
      </w:r>
      <w:r>
        <w:rPr>
          <w:rFonts w:ascii="Arial" w:hAnsi="Arial" w:cs="Arial" w:eastAsia="Arial"/>
          <w:i/>
          <w:color w:val="auto"/>
          <w:spacing w:val="0"/>
          <w:position w:val="0"/>
          <w:sz w:val="24"/>
          <w:shd w:fill="auto" w:val="clear"/>
        </w:rPr>
        <w:t xml:space="preserve">Work, Employment and Society</w:t>
      </w:r>
      <w:r>
        <w:rPr>
          <w:rFonts w:ascii="Arial" w:hAnsi="Arial" w:cs="Arial" w:eastAsia="Arial"/>
          <w:color w:val="auto"/>
          <w:spacing w:val="0"/>
          <w:position w:val="0"/>
          <w:sz w:val="24"/>
          <w:shd w:fill="auto" w:val="clear"/>
        </w:rPr>
        <w:t xml:space="preserve">. doi: 10.1177/0950017013500116.</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Ju, S., Zhang, D. and Pacha, J. (2012) ‘Employability Skills Valued by Employers as Important for Entry-Level Employees With and Without Disabilities’, </w:t>
      </w:r>
      <w:r>
        <w:rPr>
          <w:rFonts w:ascii="Arial" w:hAnsi="Arial" w:cs="Arial" w:eastAsia="Arial"/>
          <w:i/>
          <w:color w:val="auto"/>
          <w:spacing w:val="0"/>
          <w:position w:val="0"/>
          <w:sz w:val="24"/>
          <w:shd w:fill="auto" w:val="clear"/>
        </w:rPr>
        <w:t xml:space="preserve">Career Development for Exceptional Individuals</w:t>
      </w:r>
      <w:r>
        <w:rPr>
          <w:rFonts w:ascii="Arial" w:hAnsi="Arial" w:cs="Arial" w:eastAsia="Arial"/>
          <w:color w:val="auto"/>
          <w:spacing w:val="0"/>
          <w:position w:val="0"/>
          <w:sz w:val="24"/>
          <w:shd w:fill="auto" w:val="clear"/>
        </w:rPr>
        <w:t xml:space="preserve">. doi: 10.1177/0885728811419167.</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Mason, G., Williams, G. and Cranmer, S. (2009) ‘Employability skills initiatives in higher education: What effects do they have on graduate labour market outcomes?’, </w:t>
      </w:r>
      <w:r>
        <w:rPr>
          <w:rFonts w:ascii="Arial" w:hAnsi="Arial" w:cs="Arial" w:eastAsia="Arial"/>
          <w:i/>
          <w:color w:val="auto"/>
          <w:spacing w:val="0"/>
          <w:position w:val="0"/>
          <w:sz w:val="24"/>
          <w:shd w:fill="auto" w:val="clear"/>
        </w:rPr>
        <w:t xml:space="preserve">Education Economics</w:t>
      </w:r>
      <w:r>
        <w:rPr>
          <w:rFonts w:ascii="Arial" w:hAnsi="Arial" w:cs="Arial" w:eastAsia="Arial"/>
          <w:color w:val="auto"/>
          <w:spacing w:val="0"/>
          <w:position w:val="0"/>
          <w:sz w:val="24"/>
          <w:shd w:fill="auto" w:val="clear"/>
        </w:rPr>
        <w:t xml:space="preserve">. doi: 10.1080/09645290802028315.</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Maxwell, G. A. and Broadbridge, A. M. (2017) ‘Generation Ys’ employment expectations: UK undergraduates’ opinions on enjoyment, opportunity and progression’, </w:t>
      </w:r>
      <w:r>
        <w:rPr>
          <w:rFonts w:ascii="Arial" w:hAnsi="Arial" w:cs="Arial" w:eastAsia="Arial"/>
          <w:i/>
          <w:color w:val="auto"/>
          <w:spacing w:val="0"/>
          <w:position w:val="0"/>
          <w:sz w:val="24"/>
          <w:shd w:fill="auto" w:val="clear"/>
        </w:rPr>
        <w:t xml:space="preserve">Studies in Higher Education</w:t>
      </w:r>
      <w:r>
        <w:rPr>
          <w:rFonts w:ascii="Arial" w:hAnsi="Arial" w:cs="Arial" w:eastAsia="Arial"/>
          <w:color w:val="auto"/>
          <w:spacing w:val="0"/>
          <w:position w:val="0"/>
          <w:sz w:val="24"/>
          <w:shd w:fill="auto" w:val="clear"/>
        </w:rPr>
        <w:t xml:space="preserve">. doi: 10.1080/03075079.2016.1141403.</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Minocha, S., Hristov, D. and Leahy-Harland, S. (2018) ‘Re: Developing future-ready global workforce: A case study from a leading UK university’, </w:t>
      </w:r>
      <w:r>
        <w:rPr>
          <w:rFonts w:ascii="Arial" w:hAnsi="Arial" w:cs="Arial" w:eastAsia="Arial"/>
          <w:i/>
          <w:color w:val="auto"/>
          <w:spacing w:val="0"/>
          <w:position w:val="0"/>
          <w:sz w:val="24"/>
          <w:shd w:fill="auto" w:val="clear"/>
        </w:rPr>
        <w:t xml:space="preserve">International Journal of Management Education</w:t>
      </w:r>
      <w:r>
        <w:rPr>
          <w:rFonts w:ascii="Arial" w:hAnsi="Arial" w:cs="Arial" w:eastAsia="Arial"/>
          <w:color w:val="auto"/>
          <w:spacing w:val="0"/>
          <w:position w:val="0"/>
          <w:sz w:val="24"/>
          <w:shd w:fill="auto" w:val="clear"/>
        </w:rPr>
        <w:t xml:space="preserve">. doi: 10.1016/j.ijme.2018.03.002.</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Rosenberg, S., Heimler, R. and Morote, E. (2012) ‘Basic employability skills: A triangular design approach’, </w:t>
      </w:r>
      <w:r>
        <w:rPr>
          <w:rFonts w:ascii="Arial" w:hAnsi="Arial" w:cs="Arial" w:eastAsia="Arial"/>
          <w:i/>
          <w:color w:val="auto"/>
          <w:spacing w:val="0"/>
          <w:position w:val="0"/>
          <w:sz w:val="24"/>
          <w:shd w:fill="auto" w:val="clear"/>
        </w:rPr>
        <w:t xml:space="preserve">Education + Training</w:t>
      </w:r>
      <w:r>
        <w:rPr>
          <w:rFonts w:ascii="Arial" w:hAnsi="Arial" w:cs="Arial" w:eastAsia="Arial"/>
          <w:color w:val="auto"/>
          <w:spacing w:val="0"/>
          <w:position w:val="0"/>
          <w:sz w:val="24"/>
          <w:shd w:fill="auto" w:val="clear"/>
        </w:rPr>
        <w:t xml:space="preserve">. doi: 10.1108/00400911211198869.</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Sarkar, M. </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(2020) ‘Academics’ perspectives of the teaching and development of generic employability skills in science curricula’, </w:t>
      </w:r>
      <w:r>
        <w:rPr>
          <w:rFonts w:ascii="Arial" w:hAnsi="Arial" w:cs="Arial" w:eastAsia="Arial"/>
          <w:i/>
          <w:color w:val="auto"/>
          <w:spacing w:val="0"/>
          <w:position w:val="0"/>
          <w:sz w:val="24"/>
          <w:shd w:fill="auto" w:val="clear"/>
        </w:rPr>
        <w:t xml:space="preserve">Higher Education Research and Development</w:t>
      </w:r>
      <w:r>
        <w:rPr>
          <w:rFonts w:ascii="Arial" w:hAnsi="Arial" w:cs="Arial" w:eastAsia="Arial"/>
          <w:color w:val="auto"/>
          <w:spacing w:val="0"/>
          <w:position w:val="0"/>
          <w:sz w:val="24"/>
          <w:shd w:fill="auto" w:val="clear"/>
        </w:rPr>
        <w:t xml:space="preserve">. doi: 10.1080/07294360.2019.1664998.</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Singh, P., Thambusamy, R. X. and Ramly, M. A. (2014) ‘Fit or Unfit? Perspectives of Employers and University Instructors of Graduates’ Generic Skills’, </w:t>
      </w:r>
      <w:r>
        <w:rPr>
          <w:rFonts w:ascii="Arial" w:hAnsi="Arial" w:cs="Arial" w:eastAsia="Arial"/>
          <w:i/>
          <w:color w:val="auto"/>
          <w:spacing w:val="0"/>
          <w:position w:val="0"/>
          <w:sz w:val="24"/>
          <w:shd w:fill="auto" w:val="clear"/>
        </w:rPr>
        <w:t xml:space="preserve">Procedia - Social and Behavioral Sciences</w:t>
      </w:r>
      <w:r>
        <w:rPr>
          <w:rFonts w:ascii="Arial" w:hAnsi="Arial" w:cs="Arial" w:eastAsia="Arial"/>
          <w:color w:val="auto"/>
          <w:spacing w:val="0"/>
          <w:position w:val="0"/>
          <w:sz w:val="24"/>
          <w:shd w:fill="auto" w:val="clear"/>
        </w:rPr>
        <w:t xml:space="preserve">. doi: 10.1016/j.sbspro.2014.01.1429.</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Szu-Fang, C. (2013) ‘Essential skills for leadership effectiveness in diverse workplace development’, </w:t>
      </w:r>
      <w:r>
        <w:rPr>
          <w:rFonts w:ascii="Arial" w:hAnsi="Arial" w:cs="Arial" w:eastAsia="Arial"/>
          <w:i/>
          <w:color w:val="auto"/>
          <w:spacing w:val="0"/>
          <w:position w:val="0"/>
          <w:sz w:val="24"/>
          <w:shd w:fill="auto" w:val="clear"/>
        </w:rPr>
        <w:t xml:space="preserve">Online Journal for Workforce Education and Development</w:t>
      </w:r>
      <w:r>
        <w:rPr>
          <w:rFonts w:ascii="Arial" w:hAnsi="Arial" w:cs="Arial" w:eastAsia="Arial"/>
          <w:color w:val="auto"/>
          <w:spacing w:val="0"/>
          <w:position w:val="0"/>
          <w:sz w:val="24"/>
          <w:shd w:fill="auto" w:val="clear"/>
        </w:rPr>
        <w:t xml:space="preserve">.</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Tymon, A. (2013) ‘The student perspective on employability’, </w:t>
      </w:r>
      <w:r>
        <w:rPr>
          <w:rFonts w:ascii="Arial" w:hAnsi="Arial" w:cs="Arial" w:eastAsia="Arial"/>
          <w:i/>
          <w:color w:val="auto"/>
          <w:spacing w:val="0"/>
          <w:position w:val="0"/>
          <w:sz w:val="24"/>
          <w:shd w:fill="auto" w:val="clear"/>
        </w:rPr>
        <w:t xml:space="preserve">Studies in Higher Education</w:t>
      </w:r>
      <w:r>
        <w:rPr>
          <w:rFonts w:ascii="Arial" w:hAnsi="Arial" w:cs="Arial" w:eastAsia="Arial"/>
          <w:color w:val="auto"/>
          <w:spacing w:val="0"/>
          <w:position w:val="0"/>
          <w:sz w:val="24"/>
          <w:shd w:fill="auto" w:val="clear"/>
        </w:rPr>
        <w:t xml:space="preserve">. doi: 10.1080/03075079.2011.604408.</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Wellman, N. (2010) ‘The employability attributes required of new marketing graduates’, </w:t>
      </w:r>
      <w:r>
        <w:rPr>
          <w:rFonts w:ascii="Arial" w:hAnsi="Arial" w:cs="Arial" w:eastAsia="Arial"/>
          <w:i/>
          <w:color w:val="auto"/>
          <w:spacing w:val="0"/>
          <w:position w:val="0"/>
          <w:sz w:val="24"/>
          <w:shd w:fill="auto" w:val="clear"/>
        </w:rPr>
        <w:t xml:space="preserve">Marketing Intelligence and Planning</w:t>
      </w:r>
      <w:r>
        <w:rPr>
          <w:rFonts w:ascii="Arial" w:hAnsi="Arial" w:cs="Arial" w:eastAsia="Arial"/>
          <w:color w:val="auto"/>
          <w:spacing w:val="0"/>
          <w:position w:val="0"/>
          <w:sz w:val="24"/>
          <w:shd w:fill="auto" w:val="clear"/>
        </w:rPr>
        <w:t xml:space="preserve">. doi: 10.1108/02634501011086490.</w:t>
      </w:r>
    </w:p>
    <w:p>
      <w:pPr>
        <w:spacing w:before="0" w:after="20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Wilton, N. (2011) ‘Do employability skills really matter in the UK graduate labour market? the case of business and management graduates’, </w:t>
      </w:r>
      <w:r>
        <w:rPr>
          <w:rFonts w:ascii="Arial" w:hAnsi="Arial" w:cs="Arial" w:eastAsia="Arial"/>
          <w:i/>
          <w:color w:val="auto"/>
          <w:spacing w:val="0"/>
          <w:position w:val="0"/>
          <w:sz w:val="24"/>
          <w:shd w:fill="auto" w:val="clear"/>
        </w:rPr>
        <w:t xml:space="preserve">Work, Employment and Society</w:t>
      </w:r>
      <w:r>
        <w:rPr>
          <w:rFonts w:ascii="Arial" w:hAnsi="Arial" w:cs="Arial" w:eastAsia="Arial"/>
          <w:color w:val="auto"/>
          <w:spacing w:val="0"/>
          <w:position w:val="0"/>
          <w:sz w:val="24"/>
          <w:shd w:fill="auto" w:val="clear"/>
        </w:rPr>
        <w:t xml:space="preserve">. doi: 10.1177/0950017010389244.</w:t>
      </w:r>
    </w:p>
    <w:p>
      <w:pPr>
        <w:spacing w:before="0" w:after="200" w:line="276"/>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39">
    <w:abstractNumId w:val="12"/>
  </w:num>
  <w:num w:numId="47">
    <w:abstractNumId w:val="6"/>
  </w:num>
  <w:num w:numId="5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