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140787"/>
        <w:docPartObj>
          <w:docPartGallery w:val="Cover Pages"/>
          <w:docPartUnique/>
        </w:docPartObj>
      </w:sdtPr>
      <w:sdtEndPr>
        <w:rPr>
          <w:rFonts w:ascii="Arial" w:eastAsia="Arial Nova" w:hAnsi="Arial" w:cs="Arial"/>
          <w:sz w:val="22"/>
          <w:szCs w:val="22"/>
        </w:rPr>
      </w:sdtEndPr>
      <w:sdtContent>
        <w:p w14:paraId="43BFA444" w14:textId="2DFF694A" w:rsidR="002C4A56" w:rsidRDefault="002C4A56">
          <w:r>
            <w:rPr>
              <w:noProof/>
            </w:rPr>
            <mc:AlternateContent>
              <mc:Choice Requires="wpg">
                <w:drawing>
                  <wp:anchor distT="0" distB="0" distL="114300" distR="114300" simplePos="0" relativeHeight="251661312" behindDoc="0" locked="0" layoutInCell="1" allowOverlap="1" wp14:anchorId="2A0D8A77" wp14:editId="6A3AD2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3436620"/>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343662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BCAB493" id="Group 157" o:spid="_x0000_s1026" style="position:absolute;margin-left:0;margin-top:0;width:8in;height:270.6pt;z-index:251661312;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xh/u11wAAAAYBAAAPAAAAZHJz&#10;L2Rvd25yZXYueG1sTI/BTsMwEETvSPyDtUjcqOOIoirEqQoSdyhRz5t4SaLG68h2m5Svx+UCl5FG&#10;s5p5W24XO4oz+TA41qBWGQji1pmBOw3159vDBkSIyAZHx6ThQgG21e1NiYVxM3/QeR87kUo4FKih&#10;j3EqpAxtTxbDyk3EKfty3mJM1nfSeJxTuR1lnmVP0uLAaaHHiV57ao/7k9Xw4ljJ4I1XTU315Xs+&#10;vG/Yan1/t+yeQURa4t8xXPETOlSJqXEnNkGMGtIj8VevmVrnyTca1o8qB1mV8j9+9Q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u2CbbhwUAAH4bAAAOAAAAAAAA&#10;AAAAAAAAADoCAABkcnMvZTJvRG9jLnhtbFBLAQItAAoAAAAAAAAAIQCbGxQRaGQAAGhkAAAUAAAA&#10;AAAAAAAAAAAAAO0HAABkcnMvbWVkaWEvaW1hZ2UxLnBuZ1BLAQItABQABgAIAAAAIQAxh/u11wAA&#10;AAYBAAAPAAAAAAAAAAAAAAAAAId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06449AC" w14:textId="560CB43C" w:rsidR="002C4A56" w:rsidRDefault="007B01CF">
          <w:pPr>
            <w:rPr>
              <w:rFonts w:ascii="Arial" w:eastAsia="Arial Nova" w:hAnsi="Arial" w:cs="Arial"/>
              <w:sz w:val="22"/>
              <w:szCs w:val="22"/>
            </w:rPr>
          </w:pPr>
          <w:r>
            <w:rPr>
              <w:noProof/>
            </w:rPr>
            <mc:AlternateContent>
              <mc:Choice Requires="wps">
                <w:drawing>
                  <wp:anchor distT="0" distB="0" distL="114300" distR="114300" simplePos="0" relativeHeight="251655168" behindDoc="0" locked="0" layoutInCell="1" allowOverlap="1" wp14:anchorId="20764A6D" wp14:editId="308CFE9F">
                    <wp:simplePos x="0" y="0"/>
                    <wp:positionH relativeFrom="page">
                      <wp:posOffset>160020</wp:posOffset>
                    </wp:positionH>
                    <wp:positionV relativeFrom="page">
                      <wp:posOffset>2202180</wp:posOffset>
                    </wp:positionV>
                    <wp:extent cx="6705600" cy="38100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705600" cy="3810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36F9D" w14:textId="7D0AE8BD" w:rsidR="002C4A56" w:rsidRDefault="00D34B59" w:rsidP="0087175A">
                                <w:pPr>
                                  <w:jc w:val="center"/>
                                  <w:rPr>
                                    <w:color w:val="156082" w:themeColor="accent1"/>
                                    <w:sz w:val="64"/>
                                    <w:szCs w:val="64"/>
                                  </w:rPr>
                                </w:pPr>
                                <w:sdt>
                                  <w:sdtPr>
                                    <w:rPr>
                                      <w:rFonts w:ascii="Arial" w:hAnsi="Arial" w:cs="Arial"/>
                                      <w:b/>
                                      <w:bCs/>
                                      <w:cap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3B99" w:rsidRPr="007B01CF">
                                      <w:rPr>
                                        <w:rFonts w:ascii="Arial" w:hAnsi="Arial" w:cs="Arial"/>
                                        <w:b/>
                                        <w:bCs/>
                                        <w:caps/>
                                        <w:sz w:val="48"/>
                                        <w:szCs w:val="48"/>
                                      </w:rPr>
                                      <w:t>S</w:t>
                                    </w:r>
                                    <w:r w:rsidR="002B6C9A" w:rsidRPr="007B01CF">
                                      <w:rPr>
                                        <w:rFonts w:ascii="Arial" w:hAnsi="Arial" w:cs="Arial"/>
                                        <w:b/>
                                        <w:bCs/>
                                        <w:caps/>
                                        <w:sz w:val="48"/>
                                        <w:szCs w:val="48"/>
                                      </w:rPr>
                                      <w:t>trategic</w:t>
                                    </w:r>
                                    <w:r w:rsidR="0087175A" w:rsidRPr="007B01CF">
                                      <w:rPr>
                                        <w:rFonts w:ascii="Arial" w:hAnsi="Arial" w:cs="Arial"/>
                                        <w:b/>
                                        <w:bCs/>
                                        <w:caps/>
                                        <w:sz w:val="48"/>
                                        <w:szCs w:val="48"/>
                                      </w:rPr>
                                      <w:t xml:space="preserve"> Management for business</w:t>
                                    </w:r>
                                    <w:r w:rsidR="006969D1" w:rsidRPr="007B01CF">
                                      <w:rPr>
                                        <w:rFonts w:ascii="Arial" w:hAnsi="Arial" w:cs="Arial"/>
                                        <w:b/>
                                        <w:bCs/>
                                        <w:caps/>
                                        <w:sz w:val="48"/>
                                        <w:szCs w:val="48"/>
                                      </w:rPr>
                                      <w:br/>
                                    </w:r>
                                    <w:r w:rsidR="007B01CF" w:rsidRPr="007B01CF">
                                      <w:rPr>
                                        <w:rFonts w:ascii="Arial" w:hAnsi="Arial" w:cs="Arial"/>
                                        <w:b/>
                                        <w:bCs/>
                                        <w:sz w:val="48"/>
                                        <w:szCs w:val="48"/>
                                      </w:rPr>
                                      <w:t>Individual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1DB226" w14:textId="358CE34B" w:rsidR="002C4A56" w:rsidRDefault="0012266D" w:rsidP="0012266D">
                                    <w:pPr>
                                      <w:jc w:val="center"/>
                                      <w:rPr>
                                        <w:smallCaps/>
                                        <w:color w:val="404040" w:themeColor="text1" w:themeTint="BF"/>
                                        <w:sz w:val="36"/>
                                        <w:szCs w:val="36"/>
                                      </w:rPr>
                                    </w:pPr>
                                    <w:r>
                                      <w:rPr>
                                        <w:color w:val="404040" w:themeColor="text1" w:themeTint="BF"/>
                                        <w:sz w:val="36"/>
                                        <w:szCs w:val="36"/>
                                      </w:rPr>
                                      <w:t>LCLM6001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0764A6D" id="_x0000_t202" coordsize="21600,21600" o:spt="202" path="m,l,21600r21600,l21600,xe">
                    <v:stroke joinstyle="miter"/>
                    <v:path gradientshapeok="t" o:connecttype="rect"/>
                  </v:shapetype>
                  <v:shape id="Text Box 163" o:spid="_x0000_s1026" type="#_x0000_t202" style="position:absolute;margin-left:12.6pt;margin-top:173.4pt;width:528pt;height:300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" filled="f" stroked="f" strokeweight=".5pt">
                    <v:textbox inset="126pt,0,54pt,0">
                      <w:txbxContent>
                        <w:p w14:paraId="2B436F9D" w14:textId="7D0AE8BD" w:rsidR="002C4A56" w:rsidRDefault="002C4A56" w:rsidP="0087175A">
                          <w:pPr>
                            <w:jc w:val="center"/>
                            <w:rPr>
                              <w:color w:val="156082" w:themeColor="accent1"/>
                              <w:sz w:val="64"/>
                              <w:szCs w:val="64"/>
                            </w:rPr>
                          </w:pPr>
                          <w:sdt>
                            <w:sdtPr>
                              <w:rPr>
                                <w:rFonts w:ascii="Arial" w:hAnsi="Arial" w:cs="Arial"/>
                                <w:b/>
                                <w:bCs/>
                                <w:cap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3B99" w:rsidRPr="007B01CF">
                                <w:rPr>
                                  <w:rFonts w:ascii="Arial" w:hAnsi="Arial" w:cs="Arial"/>
                                  <w:b/>
                                  <w:bCs/>
                                  <w:caps/>
                                  <w:sz w:val="48"/>
                                  <w:szCs w:val="48"/>
                                </w:rPr>
                                <w:t>S</w:t>
                              </w:r>
                              <w:r w:rsidR="002B6C9A" w:rsidRPr="007B01CF">
                                <w:rPr>
                                  <w:rFonts w:ascii="Arial" w:hAnsi="Arial" w:cs="Arial"/>
                                  <w:b/>
                                  <w:bCs/>
                                  <w:caps/>
                                  <w:sz w:val="48"/>
                                  <w:szCs w:val="48"/>
                                </w:rPr>
                                <w:t>trategic</w:t>
                              </w:r>
                              <w:r w:rsidR="0087175A" w:rsidRPr="007B01CF">
                                <w:rPr>
                                  <w:rFonts w:ascii="Arial" w:hAnsi="Arial" w:cs="Arial"/>
                                  <w:b/>
                                  <w:bCs/>
                                  <w:caps/>
                                  <w:sz w:val="48"/>
                                  <w:szCs w:val="48"/>
                                </w:rPr>
                                <w:t xml:space="preserve"> Management for business</w:t>
                              </w:r>
                              <w:r w:rsidR="006969D1" w:rsidRPr="007B01CF">
                                <w:rPr>
                                  <w:rFonts w:ascii="Arial" w:hAnsi="Arial" w:cs="Arial"/>
                                  <w:b/>
                                  <w:bCs/>
                                  <w:caps/>
                                  <w:sz w:val="48"/>
                                  <w:szCs w:val="48"/>
                                </w:rPr>
                                <w:br/>
                              </w:r>
                              <w:r w:rsidR="007B01CF" w:rsidRPr="007B01CF">
                                <w:rPr>
                                  <w:rFonts w:ascii="Arial" w:hAnsi="Arial" w:cs="Arial"/>
                                  <w:b/>
                                  <w:bCs/>
                                  <w:sz w:val="48"/>
                                  <w:szCs w:val="48"/>
                                </w:rPr>
                                <w:t>Individual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1DB226" w14:textId="358CE34B" w:rsidR="002C4A56" w:rsidRDefault="0012266D" w:rsidP="0012266D">
                              <w:pPr>
                                <w:jc w:val="center"/>
                                <w:rPr>
                                  <w:smallCaps/>
                                  <w:color w:val="404040" w:themeColor="text1" w:themeTint="BF"/>
                                  <w:sz w:val="36"/>
                                  <w:szCs w:val="36"/>
                                </w:rPr>
                              </w:pPr>
                              <w:r>
                                <w:rPr>
                                  <w:color w:val="404040" w:themeColor="text1" w:themeTint="BF"/>
                                  <w:sz w:val="36"/>
                                  <w:szCs w:val="36"/>
                                </w:rPr>
                                <w:t>LCLM6001</w:t>
                              </w:r>
                            </w:p>
                          </w:sdtContent>
                        </w:sdt>
                      </w:txbxContent>
                    </v:textbox>
                    <w10:wrap type="square" anchorx="page" anchory="page"/>
                  </v:shape>
                </w:pict>
              </mc:Fallback>
            </mc:AlternateContent>
          </w:r>
          <w:r w:rsidR="006969D1" w:rsidRPr="00F03595">
            <w:rPr>
              <w:rFonts w:ascii="Arial" w:hAnsi="Arial" w:cs="Arial"/>
              <w:noProof/>
              <w:sz w:val="20"/>
              <w:szCs w:val="20"/>
            </w:rPr>
            <mc:AlternateContent>
              <mc:Choice Requires="wps">
                <w:drawing>
                  <wp:anchor distT="45720" distB="45720" distL="114300" distR="114300" simplePos="0" relativeHeight="251674624" behindDoc="0" locked="0" layoutInCell="1" allowOverlap="1" wp14:anchorId="2DB43C95" wp14:editId="7D011A93">
                    <wp:simplePos x="0" y="0"/>
                    <wp:positionH relativeFrom="margin">
                      <wp:posOffset>2590800</wp:posOffset>
                    </wp:positionH>
                    <wp:positionV relativeFrom="paragraph">
                      <wp:posOffset>7573010</wp:posOffset>
                    </wp:positionV>
                    <wp:extent cx="3133090" cy="952500"/>
                    <wp:effectExtent l="0" t="0" r="101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090" cy="952500"/>
                            </a:xfrm>
                            <a:prstGeom prst="rect">
                              <a:avLst/>
                            </a:prstGeom>
                            <a:solidFill>
                              <a:srgbClr val="FFFFFF"/>
                            </a:solidFill>
                            <a:ln w="9525">
                              <a:solidFill>
                                <a:srgbClr val="000000"/>
                              </a:solidFill>
                              <a:miter lim="800000"/>
                              <a:headEnd/>
                              <a:tailEnd/>
                            </a:ln>
                          </wps:spPr>
                          <wps:txbx>
                            <w:txbxContent>
                              <w:p w14:paraId="56B33207" w14:textId="109592C0" w:rsidR="00F03595" w:rsidRPr="006969D1" w:rsidRDefault="00ED5EE3">
                                <w:pPr>
                                  <w:rPr>
                                    <w:rFonts w:ascii="Arial" w:hAnsi="Arial" w:cs="Arial"/>
                                    <w:sz w:val="22"/>
                                    <w:szCs w:val="22"/>
                                  </w:rPr>
                                </w:pPr>
                                <w:r w:rsidRPr="006969D1">
                                  <w:rPr>
                                    <w:rFonts w:ascii="Arial" w:hAnsi="Arial" w:cs="Arial"/>
                                    <w:sz w:val="22"/>
                                    <w:szCs w:val="22"/>
                                  </w:rPr>
                                  <w:t xml:space="preserve">Student: Svetlana </w:t>
                                </w:r>
                                <w:proofErr w:type="spellStart"/>
                                <w:r w:rsidRPr="006969D1">
                                  <w:rPr>
                                    <w:rFonts w:ascii="Arial" w:hAnsi="Arial" w:cs="Arial"/>
                                    <w:sz w:val="22"/>
                                    <w:szCs w:val="22"/>
                                  </w:rPr>
                                  <w:t>Boaghe</w:t>
                                </w:r>
                                <w:proofErr w:type="spellEnd"/>
                                <w:r w:rsidRPr="006969D1">
                                  <w:rPr>
                                    <w:rFonts w:ascii="Arial" w:hAnsi="Arial" w:cs="Arial"/>
                                    <w:sz w:val="22"/>
                                    <w:szCs w:val="22"/>
                                  </w:rPr>
                                  <w:t xml:space="preserve"> 2332687</w:t>
                                </w:r>
                              </w:p>
                              <w:p w14:paraId="6238A146" w14:textId="27159785" w:rsidR="00ED5EE3" w:rsidRPr="006969D1" w:rsidRDefault="00245CEB">
                                <w:pPr>
                                  <w:rPr>
                                    <w:rFonts w:ascii="Arial" w:hAnsi="Arial" w:cs="Arial"/>
                                    <w:sz w:val="22"/>
                                    <w:szCs w:val="22"/>
                                  </w:rPr>
                                </w:pPr>
                                <w:r w:rsidRPr="006969D1">
                                  <w:rPr>
                                    <w:rFonts w:ascii="Arial" w:hAnsi="Arial" w:cs="Arial"/>
                                    <w:sz w:val="22"/>
                                    <w:szCs w:val="22"/>
                                  </w:rPr>
                                  <w:t xml:space="preserve">Tutor: </w:t>
                                </w:r>
                                <w:proofErr w:type="spellStart"/>
                                <w:r w:rsidR="00AC4009" w:rsidRPr="006969D1">
                                  <w:rPr>
                                    <w:rFonts w:ascii="Arial" w:hAnsi="Arial" w:cs="Arial"/>
                                    <w:sz w:val="22"/>
                                    <w:szCs w:val="22"/>
                                  </w:rPr>
                                  <w:t>Munodzinesa</w:t>
                                </w:r>
                                <w:proofErr w:type="spellEnd"/>
                                <w:r w:rsidR="00AC4009" w:rsidRPr="006969D1">
                                  <w:rPr>
                                    <w:rFonts w:ascii="Arial" w:hAnsi="Arial" w:cs="Arial"/>
                                    <w:sz w:val="22"/>
                                    <w:szCs w:val="22"/>
                                  </w:rPr>
                                  <w:t xml:space="preserve"> </w:t>
                                </w:r>
                                <w:proofErr w:type="spellStart"/>
                                <w:r w:rsidR="00AC4009" w:rsidRPr="006969D1">
                                  <w:rPr>
                                    <w:rFonts w:ascii="Arial" w:hAnsi="Arial" w:cs="Arial"/>
                                    <w:sz w:val="22"/>
                                    <w:szCs w:val="22"/>
                                  </w:rPr>
                                  <w:t>Zuwirai</w:t>
                                </w:r>
                                <w:proofErr w:type="spellEnd"/>
                              </w:p>
                              <w:p w14:paraId="37DC4820" w14:textId="0F5C7D8B" w:rsidR="00F03595" w:rsidRPr="006969D1" w:rsidRDefault="00943174">
                                <w:pPr>
                                  <w:rPr>
                                    <w:rFonts w:ascii="Arial" w:hAnsi="Arial" w:cs="Arial"/>
                                    <w:sz w:val="22"/>
                                    <w:szCs w:val="22"/>
                                  </w:rPr>
                                </w:pPr>
                                <w:r w:rsidRPr="006969D1">
                                  <w:rPr>
                                    <w:rFonts w:ascii="Arial" w:hAnsi="Arial" w:cs="Arial"/>
                                    <w:sz w:val="22"/>
                                    <w:szCs w:val="22"/>
                                  </w:rPr>
                                  <w:t>Date: 13/07/2026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43C95" id="Text Box 2" o:spid="_x0000_s1027" type="#_x0000_t202" style="position:absolute;margin-left:204pt;margin-top:596.3pt;width:246.7pt;height:7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">
                    <v:textbox>
                      <w:txbxContent>
                        <w:p w14:paraId="56B33207" w14:textId="109592C0" w:rsidR="00F03595" w:rsidRPr="006969D1" w:rsidRDefault="00ED5EE3">
                          <w:pPr>
                            <w:rPr>
                              <w:rFonts w:ascii="Arial" w:hAnsi="Arial" w:cs="Arial"/>
                              <w:sz w:val="22"/>
                              <w:szCs w:val="22"/>
                            </w:rPr>
                          </w:pPr>
                          <w:r w:rsidRPr="006969D1">
                            <w:rPr>
                              <w:rFonts w:ascii="Arial" w:hAnsi="Arial" w:cs="Arial"/>
                              <w:sz w:val="22"/>
                              <w:szCs w:val="22"/>
                            </w:rPr>
                            <w:t xml:space="preserve">Student: Svetlana </w:t>
                          </w:r>
                          <w:proofErr w:type="spellStart"/>
                          <w:r w:rsidRPr="006969D1">
                            <w:rPr>
                              <w:rFonts w:ascii="Arial" w:hAnsi="Arial" w:cs="Arial"/>
                              <w:sz w:val="22"/>
                              <w:szCs w:val="22"/>
                            </w:rPr>
                            <w:t>Boaghe</w:t>
                          </w:r>
                          <w:proofErr w:type="spellEnd"/>
                          <w:r w:rsidRPr="006969D1">
                            <w:rPr>
                              <w:rFonts w:ascii="Arial" w:hAnsi="Arial" w:cs="Arial"/>
                              <w:sz w:val="22"/>
                              <w:szCs w:val="22"/>
                            </w:rPr>
                            <w:t xml:space="preserve"> 2332687</w:t>
                          </w:r>
                        </w:p>
                        <w:p w14:paraId="6238A146" w14:textId="27159785" w:rsidR="00ED5EE3" w:rsidRPr="006969D1" w:rsidRDefault="00245CEB">
                          <w:pPr>
                            <w:rPr>
                              <w:rFonts w:ascii="Arial" w:hAnsi="Arial" w:cs="Arial"/>
                              <w:sz w:val="22"/>
                              <w:szCs w:val="22"/>
                            </w:rPr>
                          </w:pPr>
                          <w:r w:rsidRPr="006969D1">
                            <w:rPr>
                              <w:rFonts w:ascii="Arial" w:hAnsi="Arial" w:cs="Arial"/>
                              <w:sz w:val="22"/>
                              <w:szCs w:val="22"/>
                            </w:rPr>
                            <w:t xml:space="preserve">Tutor: </w:t>
                          </w:r>
                          <w:proofErr w:type="spellStart"/>
                          <w:r w:rsidR="00AC4009" w:rsidRPr="006969D1">
                            <w:rPr>
                              <w:rFonts w:ascii="Arial" w:hAnsi="Arial" w:cs="Arial"/>
                              <w:sz w:val="22"/>
                              <w:szCs w:val="22"/>
                            </w:rPr>
                            <w:t>Munodzinesa</w:t>
                          </w:r>
                          <w:proofErr w:type="spellEnd"/>
                          <w:r w:rsidR="00AC4009" w:rsidRPr="006969D1">
                            <w:rPr>
                              <w:rFonts w:ascii="Arial" w:hAnsi="Arial" w:cs="Arial"/>
                              <w:sz w:val="22"/>
                              <w:szCs w:val="22"/>
                            </w:rPr>
                            <w:t xml:space="preserve"> </w:t>
                          </w:r>
                          <w:proofErr w:type="spellStart"/>
                          <w:r w:rsidR="00AC4009" w:rsidRPr="006969D1">
                            <w:rPr>
                              <w:rFonts w:ascii="Arial" w:hAnsi="Arial" w:cs="Arial"/>
                              <w:sz w:val="22"/>
                              <w:szCs w:val="22"/>
                            </w:rPr>
                            <w:t>Zuwirai</w:t>
                          </w:r>
                          <w:proofErr w:type="spellEnd"/>
                        </w:p>
                        <w:p w14:paraId="37DC4820" w14:textId="0F5C7D8B" w:rsidR="00F03595" w:rsidRPr="006969D1" w:rsidRDefault="00943174">
                          <w:pPr>
                            <w:rPr>
                              <w:rFonts w:ascii="Arial" w:hAnsi="Arial" w:cs="Arial"/>
                              <w:sz w:val="22"/>
                              <w:szCs w:val="22"/>
                            </w:rPr>
                          </w:pPr>
                          <w:r w:rsidRPr="006969D1">
                            <w:rPr>
                              <w:rFonts w:ascii="Arial" w:hAnsi="Arial" w:cs="Arial"/>
                              <w:sz w:val="22"/>
                              <w:szCs w:val="22"/>
                            </w:rPr>
                            <w:t>Date: 13/07/2026</w:t>
                          </w:r>
                        </w:p>
                      </w:txbxContent>
                    </v:textbox>
                    <w10:wrap type="square" anchorx="margin"/>
                  </v:shape>
                </w:pict>
              </mc:Fallback>
            </mc:AlternateContent>
          </w:r>
          <w:r w:rsidR="002C4A56">
            <w:rPr>
              <w:rFonts w:ascii="Arial" w:eastAsia="Arial Nova" w:hAnsi="Arial" w:cs="Arial"/>
              <w:sz w:val="22"/>
              <w:szCs w:val="22"/>
            </w:rPr>
            <w:br w:type="page"/>
          </w:r>
        </w:p>
      </w:sdtContent>
    </w:sdt>
    <w:p w14:paraId="78C2B7BE" w14:textId="4B7D685B" w:rsidR="00F03595" w:rsidRDefault="00F03595" w:rsidP="00026BB3">
      <w:pPr>
        <w:pStyle w:val="TOCHeading"/>
        <w:jc w:val="center"/>
        <w:rPr>
          <w:rFonts w:ascii="Arial" w:eastAsiaTheme="minorEastAsia" w:hAnsi="Arial" w:cs="Arial"/>
          <w:color w:val="auto"/>
          <w:sz w:val="20"/>
          <w:szCs w:val="20"/>
          <w:lang w:val="en-GB" w:eastAsia="ja-JP"/>
        </w:rPr>
      </w:pPr>
    </w:p>
    <w:sdt>
      <w:sdtPr>
        <w:rPr>
          <w:rFonts w:ascii="Arial" w:eastAsiaTheme="minorEastAsia" w:hAnsi="Arial" w:cs="Arial"/>
          <w:color w:val="auto"/>
          <w:sz w:val="20"/>
          <w:szCs w:val="20"/>
          <w:lang w:val="en-GB" w:eastAsia="ja-JP"/>
        </w:rPr>
        <w:id w:val="-1572276895"/>
        <w:docPartObj>
          <w:docPartGallery w:val="Table of Contents"/>
          <w:docPartUnique/>
        </w:docPartObj>
      </w:sdtPr>
      <w:sdtEndPr>
        <w:rPr>
          <w:rFonts w:asciiTheme="minorHAnsi" w:hAnsiTheme="minorHAnsi" w:cstheme="minorBidi"/>
          <w:b/>
          <w:bCs/>
          <w:noProof/>
          <w:sz w:val="24"/>
          <w:szCs w:val="24"/>
        </w:rPr>
      </w:sdtEndPr>
      <w:sdtContent>
        <w:p w14:paraId="27408FDF" w14:textId="65513DF4" w:rsidR="00C24C55" w:rsidRPr="00724883" w:rsidRDefault="001E5915" w:rsidP="00026BB3">
          <w:pPr>
            <w:pStyle w:val="TOCHeading"/>
            <w:jc w:val="center"/>
            <w:rPr>
              <w:rFonts w:ascii="Arial" w:hAnsi="Arial" w:cs="Arial"/>
              <w:b/>
              <w:bCs/>
              <w:color w:val="auto"/>
              <w:sz w:val="20"/>
              <w:szCs w:val="20"/>
            </w:rPr>
          </w:pPr>
          <w:r w:rsidRPr="00724883">
            <w:rPr>
              <w:rFonts w:ascii="Arial" w:hAnsi="Arial" w:cs="Arial"/>
              <w:b/>
              <w:bCs/>
              <w:color w:val="auto"/>
              <w:sz w:val="20"/>
              <w:szCs w:val="20"/>
            </w:rPr>
            <w:t xml:space="preserve">Table of </w:t>
          </w:r>
          <w:r w:rsidR="00C24C55" w:rsidRPr="00724883">
            <w:rPr>
              <w:rFonts w:ascii="Arial" w:hAnsi="Arial" w:cs="Arial"/>
              <w:b/>
              <w:bCs/>
              <w:color w:val="auto"/>
              <w:sz w:val="20"/>
              <w:szCs w:val="20"/>
            </w:rPr>
            <w:t>Contents</w:t>
          </w:r>
        </w:p>
        <w:p w14:paraId="07A2E62B" w14:textId="1D72C4FB" w:rsidR="0011470A" w:rsidRDefault="00C24C55">
          <w:pPr>
            <w:pStyle w:val="TOC1"/>
            <w:tabs>
              <w:tab w:val="right" w:leader="dot" w:pos="9016"/>
            </w:tabs>
            <w:rPr>
              <w:rFonts w:cstheme="minorBidi"/>
              <w:noProof/>
              <w:kern w:val="2"/>
              <w:sz w:val="24"/>
              <w:szCs w:val="24"/>
              <w:lang w:val="en-GB" w:eastAsia="en-GB"/>
              <w14:ligatures w14:val="standardContextual"/>
            </w:rPr>
          </w:pPr>
          <w:r w:rsidRPr="00724883">
            <w:rPr>
              <w:rFonts w:ascii="Arial" w:hAnsi="Arial" w:cs="Arial"/>
              <w:sz w:val="20"/>
              <w:szCs w:val="20"/>
            </w:rPr>
            <w:fldChar w:fldCharType="begin"/>
          </w:r>
          <w:r w:rsidRPr="00724883">
            <w:rPr>
              <w:rFonts w:ascii="Arial" w:hAnsi="Arial" w:cs="Arial"/>
              <w:sz w:val="20"/>
              <w:szCs w:val="20"/>
            </w:rPr>
            <w:instrText xml:space="preserve"> TOC \o "1-3" \h \z \u </w:instrText>
          </w:r>
          <w:r w:rsidRPr="00724883">
            <w:rPr>
              <w:rFonts w:ascii="Arial" w:hAnsi="Arial" w:cs="Arial"/>
              <w:sz w:val="20"/>
              <w:szCs w:val="20"/>
            </w:rPr>
            <w:fldChar w:fldCharType="separate"/>
          </w:r>
          <w:hyperlink w:anchor="_Toc234790262" w:history="1">
            <w:r w:rsidR="0011470A" w:rsidRPr="00331914">
              <w:rPr>
                <w:rStyle w:val="Hyperlink"/>
                <w:rFonts w:ascii="Arial" w:hAnsi="Arial" w:cs="Arial"/>
                <w:b/>
                <w:bCs/>
                <w:noProof/>
              </w:rPr>
              <w:t>1.Executive Summary</w:t>
            </w:r>
            <w:r w:rsidR="0011470A">
              <w:rPr>
                <w:noProof/>
                <w:webHidden/>
              </w:rPr>
              <w:tab/>
            </w:r>
            <w:r w:rsidR="0011470A">
              <w:rPr>
                <w:noProof/>
                <w:webHidden/>
              </w:rPr>
              <w:fldChar w:fldCharType="begin"/>
            </w:r>
            <w:r w:rsidR="0011470A">
              <w:rPr>
                <w:noProof/>
                <w:webHidden/>
              </w:rPr>
              <w:instrText xml:space="preserve"> PAGEREF _Toc234790262 \h </w:instrText>
            </w:r>
            <w:r w:rsidR="0011470A">
              <w:rPr>
                <w:noProof/>
                <w:webHidden/>
              </w:rPr>
            </w:r>
            <w:r w:rsidR="0011470A">
              <w:rPr>
                <w:noProof/>
                <w:webHidden/>
              </w:rPr>
              <w:fldChar w:fldCharType="separate"/>
            </w:r>
            <w:r w:rsidR="0011470A">
              <w:rPr>
                <w:noProof/>
                <w:webHidden/>
              </w:rPr>
              <w:t>2</w:t>
            </w:r>
            <w:r w:rsidR="0011470A">
              <w:rPr>
                <w:noProof/>
                <w:webHidden/>
              </w:rPr>
              <w:fldChar w:fldCharType="end"/>
            </w:r>
          </w:hyperlink>
        </w:p>
        <w:p w14:paraId="0F64A6A9" w14:textId="0E9DC536"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63" w:history="1">
            <w:r w:rsidRPr="00331914">
              <w:rPr>
                <w:rStyle w:val="Hyperlink"/>
                <w:rFonts w:ascii="Arial" w:hAnsi="Arial" w:cs="Arial"/>
                <w:b/>
                <w:bCs/>
                <w:noProof/>
              </w:rPr>
              <w:t>2.Introduction</w:t>
            </w:r>
            <w:r>
              <w:rPr>
                <w:noProof/>
                <w:webHidden/>
              </w:rPr>
              <w:tab/>
            </w:r>
            <w:r>
              <w:rPr>
                <w:noProof/>
                <w:webHidden/>
              </w:rPr>
              <w:fldChar w:fldCharType="begin"/>
            </w:r>
            <w:r>
              <w:rPr>
                <w:noProof/>
                <w:webHidden/>
              </w:rPr>
              <w:instrText xml:space="preserve"> PAGEREF _Toc234790263 \h </w:instrText>
            </w:r>
            <w:r>
              <w:rPr>
                <w:noProof/>
                <w:webHidden/>
              </w:rPr>
            </w:r>
            <w:r>
              <w:rPr>
                <w:noProof/>
                <w:webHidden/>
              </w:rPr>
              <w:fldChar w:fldCharType="separate"/>
            </w:r>
            <w:r>
              <w:rPr>
                <w:noProof/>
                <w:webHidden/>
              </w:rPr>
              <w:t>2</w:t>
            </w:r>
            <w:r>
              <w:rPr>
                <w:noProof/>
                <w:webHidden/>
              </w:rPr>
              <w:fldChar w:fldCharType="end"/>
            </w:r>
          </w:hyperlink>
        </w:p>
        <w:p w14:paraId="235A6D39" w14:textId="768F7C35"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64" w:history="1">
            <w:r w:rsidRPr="00331914">
              <w:rPr>
                <w:rStyle w:val="Hyperlink"/>
                <w:rFonts w:ascii="Arial" w:eastAsia="Arial Nova" w:hAnsi="Arial" w:cs="Arial"/>
                <w:b/>
                <w:bCs/>
                <w:noProof/>
              </w:rPr>
              <w:t>3. Evaluation of the Current Market Situation</w:t>
            </w:r>
            <w:r>
              <w:rPr>
                <w:noProof/>
                <w:webHidden/>
              </w:rPr>
              <w:tab/>
            </w:r>
            <w:r>
              <w:rPr>
                <w:noProof/>
                <w:webHidden/>
              </w:rPr>
              <w:fldChar w:fldCharType="begin"/>
            </w:r>
            <w:r>
              <w:rPr>
                <w:noProof/>
                <w:webHidden/>
              </w:rPr>
              <w:instrText xml:space="preserve"> PAGEREF _Toc234790264 \h </w:instrText>
            </w:r>
            <w:r>
              <w:rPr>
                <w:noProof/>
                <w:webHidden/>
              </w:rPr>
            </w:r>
            <w:r>
              <w:rPr>
                <w:noProof/>
                <w:webHidden/>
              </w:rPr>
              <w:fldChar w:fldCharType="separate"/>
            </w:r>
            <w:r>
              <w:rPr>
                <w:noProof/>
                <w:webHidden/>
              </w:rPr>
              <w:t>3</w:t>
            </w:r>
            <w:r>
              <w:rPr>
                <w:noProof/>
                <w:webHidden/>
              </w:rPr>
              <w:fldChar w:fldCharType="end"/>
            </w:r>
          </w:hyperlink>
        </w:p>
        <w:p w14:paraId="5F1CF6A7" w14:textId="15AEAEF3"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65" w:history="1">
            <w:r w:rsidRPr="00331914">
              <w:rPr>
                <w:rStyle w:val="Hyperlink"/>
                <w:rFonts w:ascii="Arial" w:eastAsia="Arial Nova" w:hAnsi="Arial" w:cs="Arial"/>
                <w:b/>
                <w:bCs/>
                <w:noProof/>
              </w:rPr>
              <w:t>3.1 Strategic Context</w:t>
            </w:r>
            <w:r>
              <w:rPr>
                <w:noProof/>
                <w:webHidden/>
              </w:rPr>
              <w:tab/>
            </w:r>
            <w:r>
              <w:rPr>
                <w:noProof/>
                <w:webHidden/>
              </w:rPr>
              <w:fldChar w:fldCharType="begin"/>
            </w:r>
            <w:r>
              <w:rPr>
                <w:noProof/>
                <w:webHidden/>
              </w:rPr>
              <w:instrText xml:space="preserve"> PAGEREF _Toc234790265 \h </w:instrText>
            </w:r>
            <w:r>
              <w:rPr>
                <w:noProof/>
                <w:webHidden/>
              </w:rPr>
            </w:r>
            <w:r>
              <w:rPr>
                <w:noProof/>
                <w:webHidden/>
              </w:rPr>
              <w:fldChar w:fldCharType="separate"/>
            </w:r>
            <w:r>
              <w:rPr>
                <w:noProof/>
                <w:webHidden/>
              </w:rPr>
              <w:t>3</w:t>
            </w:r>
            <w:r>
              <w:rPr>
                <w:noProof/>
                <w:webHidden/>
              </w:rPr>
              <w:fldChar w:fldCharType="end"/>
            </w:r>
          </w:hyperlink>
        </w:p>
        <w:p w14:paraId="752F416D" w14:textId="1392F44F"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66" w:history="1">
            <w:r w:rsidRPr="00331914">
              <w:rPr>
                <w:rStyle w:val="Hyperlink"/>
                <w:rFonts w:ascii="Arial" w:hAnsi="Arial" w:cs="Arial"/>
                <w:b/>
                <w:bCs/>
                <w:noProof/>
              </w:rPr>
              <w:t>3.2 PESTEL Analysis</w:t>
            </w:r>
            <w:r>
              <w:rPr>
                <w:noProof/>
                <w:webHidden/>
              </w:rPr>
              <w:tab/>
            </w:r>
            <w:r>
              <w:rPr>
                <w:noProof/>
                <w:webHidden/>
              </w:rPr>
              <w:fldChar w:fldCharType="begin"/>
            </w:r>
            <w:r>
              <w:rPr>
                <w:noProof/>
                <w:webHidden/>
              </w:rPr>
              <w:instrText xml:space="preserve"> PAGEREF _Toc234790266 \h </w:instrText>
            </w:r>
            <w:r>
              <w:rPr>
                <w:noProof/>
                <w:webHidden/>
              </w:rPr>
            </w:r>
            <w:r>
              <w:rPr>
                <w:noProof/>
                <w:webHidden/>
              </w:rPr>
              <w:fldChar w:fldCharType="separate"/>
            </w:r>
            <w:r>
              <w:rPr>
                <w:noProof/>
                <w:webHidden/>
              </w:rPr>
              <w:t>3</w:t>
            </w:r>
            <w:r>
              <w:rPr>
                <w:noProof/>
                <w:webHidden/>
              </w:rPr>
              <w:fldChar w:fldCharType="end"/>
            </w:r>
          </w:hyperlink>
        </w:p>
        <w:p w14:paraId="30EDEDDB" w14:textId="7F4D0E09"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67" w:history="1">
            <w:r w:rsidRPr="00331914">
              <w:rPr>
                <w:rStyle w:val="Hyperlink"/>
                <w:rFonts w:ascii="Arial" w:hAnsi="Arial" w:cs="Arial"/>
                <w:b/>
                <w:bCs/>
                <w:noProof/>
              </w:rPr>
              <w:t>Critical analysis</w:t>
            </w:r>
            <w:r>
              <w:rPr>
                <w:noProof/>
                <w:webHidden/>
              </w:rPr>
              <w:tab/>
            </w:r>
            <w:r>
              <w:rPr>
                <w:noProof/>
                <w:webHidden/>
              </w:rPr>
              <w:fldChar w:fldCharType="begin"/>
            </w:r>
            <w:r>
              <w:rPr>
                <w:noProof/>
                <w:webHidden/>
              </w:rPr>
              <w:instrText xml:space="preserve"> PAGEREF _Toc234790267 \h </w:instrText>
            </w:r>
            <w:r>
              <w:rPr>
                <w:noProof/>
                <w:webHidden/>
              </w:rPr>
            </w:r>
            <w:r>
              <w:rPr>
                <w:noProof/>
                <w:webHidden/>
              </w:rPr>
              <w:fldChar w:fldCharType="separate"/>
            </w:r>
            <w:r>
              <w:rPr>
                <w:noProof/>
                <w:webHidden/>
              </w:rPr>
              <w:t>3</w:t>
            </w:r>
            <w:r>
              <w:rPr>
                <w:noProof/>
                <w:webHidden/>
              </w:rPr>
              <w:fldChar w:fldCharType="end"/>
            </w:r>
          </w:hyperlink>
        </w:p>
        <w:p w14:paraId="32CABCC2" w14:textId="575BDDFB"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68" w:history="1">
            <w:r w:rsidRPr="00331914">
              <w:rPr>
                <w:rStyle w:val="Hyperlink"/>
                <w:rFonts w:ascii="Arial" w:hAnsi="Arial" w:cs="Arial"/>
                <w:b/>
                <w:bCs/>
                <w:noProof/>
              </w:rPr>
              <w:t>3.4 SWOT Analysis</w:t>
            </w:r>
            <w:r>
              <w:rPr>
                <w:noProof/>
                <w:webHidden/>
              </w:rPr>
              <w:tab/>
            </w:r>
            <w:r>
              <w:rPr>
                <w:noProof/>
                <w:webHidden/>
              </w:rPr>
              <w:fldChar w:fldCharType="begin"/>
            </w:r>
            <w:r>
              <w:rPr>
                <w:noProof/>
                <w:webHidden/>
              </w:rPr>
              <w:instrText xml:space="preserve"> PAGEREF _Toc234790268 \h </w:instrText>
            </w:r>
            <w:r>
              <w:rPr>
                <w:noProof/>
                <w:webHidden/>
              </w:rPr>
            </w:r>
            <w:r>
              <w:rPr>
                <w:noProof/>
                <w:webHidden/>
              </w:rPr>
              <w:fldChar w:fldCharType="separate"/>
            </w:r>
            <w:r>
              <w:rPr>
                <w:noProof/>
                <w:webHidden/>
              </w:rPr>
              <w:t>4</w:t>
            </w:r>
            <w:r>
              <w:rPr>
                <w:noProof/>
                <w:webHidden/>
              </w:rPr>
              <w:fldChar w:fldCharType="end"/>
            </w:r>
          </w:hyperlink>
        </w:p>
        <w:p w14:paraId="26B81BEB" w14:textId="493EF65B"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69" w:history="1">
            <w:r w:rsidRPr="00331914">
              <w:rPr>
                <w:rStyle w:val="Hyperlink"/>
                <w:rFonts w:ascii="Arial" w:eastAsia="Arial Nova" w:hAnsi="Arial" w:cs="Arial"/>
                <w:b/>
                <w:bCs/>
                <w:noProof/>
              </w:rPr>
              <w:t>3.5 TOWS Matrix</w:t>
            </w:r>
            <w:r>
              <w:rPr>
                <w:noProof/>
                <w:webHidden/>
              </w:rPr>
              <w:tab/>
            </w:r>
            <w:r>
              <w:rPr>
                <w:noProof/>
                <w:webHidden/>
              </w:rPr>
              <w:fldChar w:fldCharType="begin"/>
            </w:r>
            <w:r>
              <w:rPr>
                <w:noProof/>
                <w:webHidden/>
              </w:rPr>
              <w:instrText xml:space="preserve"> PAGEREF _Toc234790269 \h </w:instrText>
            </w:r>
            <w:r>
              <w:rPr>
                <w:noProof/>
                <w:webHidden/>
              </w:rPr>
            </w:r>
            <w:r>
              <w:rPr>
                <w:noProof/>
                <w:webHidden/>
              </w:rPr>
              <w:fldChar w:fldCharType="separate"/>
            </w:r>
            <w:r>
              <w:rPr>
                <w:noProof/>
                <w:webHidden/>
              </w:rPr>
              <w:t>5</w:t>
            </w:r>
            <w:r>
              <w:rPr>
                <w:noProof/>
                <w:webHidden/>
              </w:rPr>
              <w:fldChar w:fldCharType="end"/>
            </w:r>
          </w:hyperlink>
        </w:p>
        <w:p w14:paraId="0013DE1E" w14:textId="6B3AB01A"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70" w:history="1">
            <w:r w:rsidRPr="00331914">
              <w:rPr>
                <w:rStyle w:val="Hyperlink"/>
                <w:rFonts w:ascii="Arial" w:eastAsia="Arial Nova" w:hAnsi="Arial" w:cs="Arial"/>
                <w:b/>
                <w:bCs/>
                <w:noProof/>
              </w:rPr>
              <w:t>4. Strategic Growth Options and Proposed Strategy</w:t>
            </w:r>
            <w:r>
              <w:rPr>
                <w:noProof/>
                <w:webHidden/>
              </w:rPr>
              <w:tab/>
            </w:r>
            <w:r>
              <w:rPr>
                <w:noProof/>
                <w:webHidden/>
              </w:rPr>
              <w:fldChar w:fldCharType="begin"/>
            </w:r>
            <w:r>
              <w:rPr>
                <w:noProof/>
                <w:webHidden/>
              </w:rPr>
              <w:instrText xml:space="preserve"> PAGEREF _Toc234790270 \h </w:instrText>
            </w:r>
            <w:r>
              <w:rPr>
                <w:noProof/>
                <w:webHidden/>
              </w:rPr>
            </w:r>
            <w:r>
              <w:rPr>
                <w:noProof/>
                <w:webHidden/>
              </w:rPr>
              <w:fldChar w:fldCharType="separate"/>
            </w:r>
            <w:r>
              <w:rPr>
                <w:noProof/>
                <w:webHidden/>
              </w:rPr>
              <w:t>6</w:t>
            </w:r>
            <w:r>
              <w:rPr>
                <w:noProof/>
                <w:webHidden/>
              </w:rPr>
              <w:fldChar w:fldCharType="end"/>
            </w:r>
          </w:hyperlink>
        </w:p>
        <w:p w14:paraId="153CCCEA" w14:textId="45DB239B"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1" w:history="1">
            <w:r w:rsidRPr="00331914">
              <w:rPr>
                <w:rStyle w:val="Hyperlink"/>
                <w:rFonts w:ascii="Arial" w:eastAsia="Arial Nova" w:hAnsi="Arial" w:cs="Arial"/>
                <w:b/>
                <w:bCs/>
                <w:noProof/>
              </w:rPr>
              <w:t>4.1 Evaluation of Strategic Growth Options</w:t>
            </w:r>
            <w:r>
              <w:rPr>
                <w:noProof/>
                <w:webHidden/>
              </w:rPr>
              <w:tab/>
            </w:r>
            <w:r>
              <w:rPr>
                <w:noProof/>
                <w:webHidden/>
              </w:rPr>
              <w:fldChar w:fldCharType="begin"/>
            </w:r>
            <w:r>
              <w:rPr>
                <w:noProof/>
                <w:webHidden/>
              </w:rPr>
              <w:instrText xml:space="preserve"> PAGEREF _Toc234790271 \h </w:instrText>
            </w:r>
            <w:r>
              <w:rPr>
                <w:noProof/>
                <w:webHidden/>
              </w:rPr>
            </w:r>
            <w:r>
              <w:rPr>
                <w:noProof/>
                <w:webHidden/>
              </w:rPr>
              <w:fldChar w:fldCharType="separate"/>
            </w:r>
            <w:r>
              <w:rPr>
                <w:noProof/>
                <w:webHidden/>
              </w:rPr>
              <w:t>6</w:t>
            </w:r>
            <w:r>
              <w:rPr>
                <w:noProof/>
                <w:webHidden/>
              </w:rPr>
              <w:fldChar w:fldCharType="end"/>
            </w:r>
          </w:hyperlink>
        </w:p>
        <w:p w14:paraId="588DE055" w14:textId="109567C8"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2" w:history="1">
            <w:r w:rsidRPr="00331914">
              <w:rPr>
                <w:rStyle w:val="Hyperlink"/>
                <w:rFonts w:ascii="Arial" w:eastAsia="Arial Nova" w:hAnsi="Arial" w:cs="Arial"/>
                <w:b/>
                <w:bCs/>
                <w:noProof/>
              </w:rPr>
              <w:t>4.2 Market Penetration</w:t>
            </w:r>
            <w:r>
              <w:rPr>
                <w:noProof/>
                <w:webHidden/>
              </w:rPr>
              <w:tab/>
            </w:r>
            <w:r>
              <w:rPr>
                <w:noProof/>
                <w:webHidden/>
              </w:rPr>
              <w:fldChar w:fldCharType="begin"/>
            </w:r>
            <w:r>
              <w:rPr>
                <w:noProof/>
                <w:webHidden/>
              </w:rPr>
              <w:instrText xml:space="preserve"> PAGEREF _Toc234790272 \h </w:instrText>
            </w:r>
            <w:r>
              <w:rPr>
                <w:noProof/>
                <w:webHidden/>
              </w:rPr>
            </w:r>
            <w:r>
              <w:rPr>
                <w:noProof/>
                <w:webHidden/>
              </w:rPr>
              <w:fldChar w:fldCharType="separate"/>
            </w:r>
            <w:r>
              <w:rPr>
                <w:noProof/>
                <w:webHidden/>
              </w:rPr>
              <w:t>6</w:t>
            </w:r>
            <w:r>
              <w:rPr>
                <w:noProof/>
                <w:webHidden/>
              </w:rPr>
              <w:fldChar w:fldCharType="end"/>
            </w:r>
          </w:hyperlink>
        </w:p>
        <w:p w14:paraId="55E414A2" w14:textId="7CB52207"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3" w:history="1">
            <w:r w:rsidRPr="00331914">
              <w:rPr>
                <w:rStyle w:val="Hyperlink"/>
                <w:rFonts w:ascii="Arial" w:eastAsia="Arial Nova" w:hAnsi="Arial" w:cs="Arial"/>
                <w:b/>
                <w:bCs/>
                <w:noProof/>
              </w:rPr>
              <w:t>4.3 Market Development</w:t>
            </w:r>
            <w:r>
              <w:rPr>
                <w:noProof/>
                <w:webHidden/>
              </w:rPr>
              <w:tab/>
            </w:r>
            <w:r>
              <w:rPr>
                <w:noProof/>
                <w:webHidden/>
              </w:rPr>
              <w:fldChar w:fldCharType="begin"/>
            </w:r>
            <w:r>
              <w:rPr>
                <w:noProof/>
                <w:webHidden/>
              </w:rPr>
              <w:instrText xml:space="preserve"> PAGEREF _Toc234790273 \h </w:instrText>
            </w:r>
            <w:r>
              <w:rPr>
                <w:noProof/>
                <w:webHidden/>
              </w:rPr>
            </w:r>
            <w:r>
              <w:rPr>
                <w:noProof/>
                <w:webHidden/>
              </w:rPr>
              <w:fldChar w:fldCharType="separate"/>
            </w:r>
            <w:r>
              <w:rPr>
                <w:noProof/>
                <w:webHidden/>
              </w:rPr>
              <w:t>7</w:t>
            </w:r>
            <w:r>
              <w:rPr>
                <w:noProof/>
                <w:webHidden/>
              </w:rPr>
              <w:fldChar w:fldCharType="end"/>
            </w:r>
          </w:hyperlink>
        </w:p>
        <w:p w14:paraId="29F866DD" w14:textId="08493488"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4" w:history="1">
            <w:r w:rsidRPr="00331914">
              <w:rPr>
                <w:rStyle w:val="Hyperlink"/>
                <w:rFonts w:ascii="Arial" w:eastAsia="Arial Nova" w:hAnsi="Arial" w:cs="Arial"/>
                <w:b/>
                <w:bCs/>
                <w:noProof/>
              </w:rPr>
              <w:t>4.4 Diversification</w:t>
            </w:r>
            <w:r>
              <w:rPr>
                <w:noProof/>
                <w:webHidden/>
              </w:rPr>
              <w:tab/>
            </w:r>
            <w:r>
              <w:rPr>
                <w:noProof/>
                <w:webHidden/>
              </w:rPr>
              <w:fldChar w:fldCharType="begin"/>
            </w:r>
            <w:r>
              <w:rPr>
                <w:noProof/>
                <w:webHidden/>
              </w:rPr>
              <w:instrText xml:space="preserve"> PAGEREF _Toc234790274 \h </w:instrText>
            </w:r>
            <w:r>
              <w:rPr>
                <w:noProof/>
                <w:webHidden/>
              </w:rPr>
            </w:r>
            <w:r>
              <w:rPr>
                <w:noProof/>
                <w:webHidden/>
              </w:rPr>
              <w:fldChar w:fldCharType="separate"/>
            </w:r>
            <w:r>
              <w:rPr>
                <w:noProof/>
                <w:webHidden/>
              </w:rPr>
              <w:t>7</w:t>
            </w:r>
            <w:r>
              <w:rPr>
                <w:noProof/>
                <w:webHidden/>
              </w:rPr>
              <w:fldChar w:fldCharType="end"/>
            </w:r>
          </w:hyperlink>
        </w:p>
        <w:p w14:paraId="398F0839" w14:textId="3A1C8FD9"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5" w:history="1">
            <w:r w:rsidRPr="00331914">
              <w:rPr>
                <w:rStyle w:val="Hyperlink"/>
                <w:rFonts w:ascii="Arial" w:eastAsia="Arial Nova" w:hAnsi="Arial" w:cs="Arial"/>
                <w:b/>
                <w:bCs/>
                <w:noProof/>
              </w:rPr>
              <w:t>4.5 Justification of the Preferred Strategy</w:t>
            </w:r>
            <w:r>
              <w:rPr>
                <w:noProof/>
                <w:webHidden/>
              </w:rPr>
              <w:tab/>
            </w:r>
            <w:r>
              <w:rPr>
                <w:noProof/>
                <w:webHidden/>
              </w:rPr>
              <w:fldChar w:fldCharType="begin"/>
            </w:r>
            <w:r>
              <w:rPr>
                <w:noProof/>
                <w:webHidden/>
              </w:rPr>
              <w:instrText xml:space="preserve"> PAGEREF _Toc234790275 \h </w:instrText>
            </w:r>
            <w:r>
              <w:rPr>
                <w:noProof/>
                <w:webHidden/>
              </w:rPr>
            </w:r>
            <w:r>
              <w:rPr>
                <w:noProof/>
                <w:webHidden/>
              </w:rPr>
              <w:fldChar w:fldCharType="separate"/>
            </w:r>
            <w:r>
              <w:rPr>
                <w:noProof/>
                <w:webHidden/>
              </w:rPr>
              <w:t>7</w:t>
            </w:r>
            <w:r>
              <w:rPr>
                <w:noProof/>
                <w:webHidden/>
              </w:rPr>
              <w:fldChar w:fldCharType="end"/>
            </w:r>
          </w:hyperlink>
        </w:p>
        <w:p w14:paraId="3F3B47AD" w14:textId="1E417D66"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76" w:history="1">
            <w:r w:rsidRPr="00331914">
              <w:rPr>
                <w:rStyle w:val="Hyperlink"/>
                <w:rFonts w:ascii="Arial" w:eastAsia="Arial Nova" w:hAnsi="Arial" w:cs="Arial"/>
                <w:b/>
                <w:bCs/>
                <w:noProof/>
              </w:rPr>
              <w:t>5. Strategy Evaluation</w:t>
            </w:r>
            <w:r>
              <w:rPr>
                <w:noProof/>
                <w:webHidden/>
              </w:rPr>
              <w:tab/>
            </w:r>
            <w:r>
              <w:rPr>
                <w:noProof/>
                <w:webHidden/>
              </w:rPr>
              <w:fldChar w:fldCharType="begin"/>
            </w:r>
            <w:r>
              <w:rPr>
                <w:noProof/>
                <w:webHidden/>
              </w:rPr>
              <w:instrText xml:space="preserve"> PAGEREF _Toc234790276 \h </w:instrText>
            </w:r>
            <w:r>
              <w:rPr>
                <w:noProof/>
                <w:webHidden/>
              </w:rPr>
            </w:r>
            <w:r>
              <w:rPr>
                <w:noProof/>
                <w:webHidden/>
              </w:rPr>
              <w:fldChar w:fldCharType="separate"/>
            </w:r>
            <w:r>
              <w:rPr>
                <w:noProof/>
                <w:webHidden/>
              </w:rPr>
              <w:t>8</w:t>
            </w:r>
            <w:r>
              <w:rPr>
                <w:noProof/>
                <w:webHidden/>
              </w:rPr>
              <w:fldChar w:fldCharType="end"/>
            </w:r>
          </w:hyperlink>
        </w:p>
        <w:p w14:paraId="603990F0" w14:textId="7C8CBFDD"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7" w:history="1">
            <w:r w:rsidRPr="00331914">
              <w:rPr>
                <w:rStyle w:val="Hyperlink"/>
                <w:rFonts w:ascii="Arial" w:eastAsia="Arial Nova" w:hAnsi="Arial" w:cs="Arial"/>
                <w:b/>
                <w:bCs/>
                <w:noProof/>
              </w:rPr>
              <w:t>5.1 Suitability</w:t>
            </w:r>
            <w:r>
              <w:rPr>
                <w:noProof/>
                <w:webHidden/>
              </w:rPr>
              <w:tab/>
            </w:r>
            <w:r>
              <w:rPr>
                <w:noProof/>
                <w:webHidden/>
              </w:rPr>
              <w:fldChar w:fldCharType="begin"/>
            </w:r>
            <w:r>
              <w:rPr>
                <w:noProof/>
                <w:webHidden/>
              </w:rPr>
              <w:instrText xml:space="preserve"> PAGEREF _Toc234790277 \h </w:instrText>
            </w:r>
            <w:r>
              <w:rPr>
                <w:noProof/>
                <w:webHidden/>
              </w:rPr>
            </w:r>
            <w:r>
              <w:rPr>
                <w:noProof/>
                <w:webHidden/>
              </w:rPr>
              <w:fldChar w:fldCharType="separate"/>
            </w:r>
            <w:r>
              <w:rPr>
                <w:noProof/>
                <w:webHidden/>
              </w:rPr>
              <w:t>8</w:t>
            </w:r>
            <w:r>
              <w:rPr>
                <w:noProof/>
                <w:webHidden/>
              </w:rPr>
              <w:fldChar w:fldCharType="end"/>
            </w:r>
          </w:hyperlink>
        </w:p>
        <w:p w14:paraId="1B7A1FE8" w14:textId="0755301C"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8" w:history="1">
            <w:r w:rsidRPr="00331914">
              <w:rPr>
                <w:rStyle w:val="Hyperlink"/>
                <w:rFonts w:ascii="Arial" w:eastAsia="Arial Nova" w:hAnsi="Arial" w:cs="Arial"/>
                <w:b/>
                <w:bCs/>
                <w:noProof/>
              </w:rPr>
              <w:t>5.2 Feasibility</w:t>
            </w:r>
            <w:r>
              <w:rPr>
                <w:noProof/>
                <w:webHidden/>
              </w:rPr>
              <w:tab/>
            </w:r>
            <w:r>
              <w:rPr>
                <w:noProof/>
                <w:webHidden/>
              </w:rPr>
              <w:fldChar w:fldCharType="begin"/>
            </w:r>
            <w:r>
              <w:rPr>
                <w:noProof/>
                <w:webHidden/>
              </w:rPr>
              <w:instrText xml:space="preserve"> PAGEREF _Toc234790278 \h </w:instrText>
            </w:r>
            <w:r>
              <w:rPr>
                <w:noProof/>
                <w:webHidden/>
              </w:rPr>
            </w:r>
            <w:r>
              <w:rPr>
                <w:noProof/>
                <w:webHidden/>
              </w:rPr>
              <w:fldChar w:fldCharType="separate"/>
            </w:r>
            <w:r>
              <w:rPr>
                <w:noProof/>
                <w:webHidden/>
              </w:rPr>
              <w:t>10</w:t>
            </w:r>
            <w:r>
              <w:rPr>
                <w:noProof/>
                <w:webHidden/>
              </w:rPr>
              <w:fldChar w:fldCharType="end"/>
            </w:r>
          </w:hyperlink>
        </w:p>
        <w:p w14:paraId="3726BD28" w14:textId="693D6B9A"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79" w:history="1">
            <w:r w:rsidRPr="00331914">
              <w:rPr>
                <w:rStyle w:val="Hyperlink"/>
                <w:rFonts w:ascii="Arial" w:eastAsia="Arial Nova" w:hAnsi="Arial" w:cs="Arial"/>
                <w:b/>
                <w:bCs/>
                <w:noProof/>
              </w:rPr>
              <w:t>5.3 Acceptability</w:t>
            </w:r>
            <w:r>
              <w:rPr>
                <w:noProof/>
                <w:webHidden/>
              </w:rPr>
              <w:tab/>
            </w:r>
            <w:r>
              <w:rPr>
                <w:noProof/>
                <w:webHidden/>
              </w:rPr>
              <w:fldChar w:fldCharType="begin"/>
            </w:r>
            <w:r>
              <w:rPr>
                <w:noProof/>
                <w:webHidden/>
              </w:rPr>
              <w:instrText xml:space="preserve"> PAGEREF _Toc234790279 \h </w:instrText>
            </w:r>
            <w:r>
              <w:rPr>
                <w:noProof/>
                <w:webHidden/>
              </w:rPr>
            </w:r>
            <w:r>
              <w:rPr>
                <w:noProof/>
                <w:webHidden/>
              </w:rPr>
              <w:fldChar w:fldCharType="separate"/>
            </w:r>
            <w:r>
              <w:rPr>
                <w:noProof/>
                <w:webHidden/>
              </w:rPr>
              <w:t>10</w:t>
            </w:r>
            <w:r>
              <w:rPr>
                <w:noProof/>
                <w:webHidden/>
              </w:rPr>
              <w:fldChar w:fldCharType="end"/>
            </w:r>
          </w:hyperlink>
        </w:p>
        <w:p w14:paraId="64337202" w14:textId="1F977367"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80" w:history="1">
            <w:r w:rsidRPr="00331914">
              <w:rPr>
                <w:rStyle w:val="Hyperlink"/>
                <w:rFonts w:ascii="Arial" w:eastAsia="Arial Nova" w:hAnsi="Arial" w:cs="Arial"/>
                <w:b/>
                <w:bCs/>
                <w:noProof/>
              </w:rPr>
              <w:t>5.4 Overall SFA Evaluation</w:t>
            </w:r>
            <w:r>
              <w:rPr>
                <w:noProof/>
                <w:webHidden/>
              </w:rPr>
              <w:tab/>
            </w:r>
            <w:r>
              <w:rPr>
                <w:noProof/>
                <w:webHidden/>
              </w:rPr>
              <w:fldChar w:fldCharType="begin"/>
            </w:r>
            <w:r>
              <w:rPr>
                <w:noProof/>
                <w:webHidden/>
              </w:rPr>
              <w:instrText xml:space="preserve"> PAGEREF _Toc234790280 \h </w:instrText>
            </w:r>
            <w:r>
              <w:rPr>
                <w:noProof/>
                <w:webHidden/>
              </w:rPr>
            </w:r>
            <w:r>
              <w:rPr>
                <w:noProof/>
                <w:webHidden/>
              </w:rPr>
              <w:fldChar w:fldCharType="separate"/>
            </w:r>
            <w:r>
              <w:rPr>
                <w:noProof/>
                <w:webHidden/>
              </w:rPr>
              <w:t>10</w:t>
            </w:r>
            <w:r>
              <w:rPr>
                <w:noProof/>
                <w:webHidden/>
              </w:rPr>
              <w:fldChar w:fldCharType="end"/>
            </w:r>
          </w:hyperlink>
        </w:p>
        <w:p w14:paraId="24A9A5B3" w14:textId="0E93ED3A"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81" w:history="1">
            <w:r w:rsidRPr="00331914">
              <w:rPr>
                <w:rStyle w:val="Hyperlink"/>
                <w:rFonts w:eastAsia="Arial Nova"/>
                <w:b/>
                <w:bCs/>
                <w:noProof/>
              </w:rPr>
              <w:t>6. Stakeholder Analysis</w:t>
            </w:r>
            <w:r>
              <w:rPr>
                <w:noProof/>
                <w:webHidden/>
              </w:rPr>
              <w:tab/>
            </w:r>
            <w:r>
              <w:rPr>
                <w:noProof/>
                <w:webHidden/>
              </w:rPr>
              <w:fldChar w:fldCharType="begin"/>
            </w:r>
            <w:r>
              <w:rPr>
                <w:noProof/>
                <w:webHidden/>
              </w:rPr>
              <w:instrText xml:space="preserve"> PAGEREF _Toc234790281 \h </w:instrText>
            </w:r>
            <w:r>
              <w:rPr>
                <w:noProof/>
                <w:webHidden/>
              </w:rPr>
            </w:r>
            <w:r>
              <w:rPr>
                <w:noProof/>
                <w:webHidden/>
              </w:rPr>
              <w:fldChar w:fldCharType="separate"/>
            </w:r>
            <w:r>
              <w:rPr>
                <w:noProof/>
                <w:webHidden/>
              </w:rPr>
              <w:t>11</w:t>
            </w:r>
            <w:r>
              <w:rPr>
                <w:noProof/>
                <w:webHidden/>
              </w:rPr>
              <w:fldChar w:fldCharType="end"/>
            </w:r>
          </w:hyperlink>
        </w:p>
        <w:p w14:paraId="1B4677E1" w14:textId="190E3ED8"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82" w:history="1">
            <w:r w:rsidRPr="00331914">
              <w:rPr>
                <w:rStyle w:val="Hyperlink"/>
                <w:rFonts w:eastAsia="Arial Nova"/>
                <w:b/>
                <w:bCs/>
                <w:noProof/>
              </w:rPr>
              <w:t>6.1 Stakeholder Impact and Engagement</w:t>
            </w:r>
            <w:r>
              <w:rPr>
                <w:noProof/>
                <w:webHidden/>
              </w:rPr>
              <w:tab/>
            </w:r>
            <w:r>
              <w:rPr>
                <w:noProof/>
                <w:webHidden/>
              </w:rPr>
              <w:fldChar w:fldCharType="begin"/>
            </w:r>
            <w:r>
              <w:rPr>
                <w:noProof/>
                <w:webHidden/>
              </w:rPr>
              <w:instrText xml:space="preserve"> PAGEREF _Toc234790282 \h </w:instrText>
            </w:r>
            <w:r>
              <w:rPr>
                <w:noProof/>
                <w:webHidden/>
              </w:rPr>
            </w:r>
            <w:r>
              <w:rPr>
                <w:noProof/>
                <w:webHidden/>
              </w:rPr>
              <w:fldChar w:fldCharType="separate"/>
            </w:r>
            <w:r>
              <w:rPr>
                <w:noProof/>
                <w:webHidden/>
              </w:rPr>
              <w:t>12</w:t>
            </w:r>
            <w:r>
              <w:rPr>
                <w:noProof/>
                <w:webHidden/>
              </w:rPr>
              <w:fldChar w:fldCharType="end"/>
            </w:r>
          </w:hyperlink>
        </w:p>
        <w:p w14:paraId="7971C0E3" w14:textId="213280BD"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83" w:history="1">
            <w:r w:rsidRPr="00331914">
              <w:rPr>
                <w:rStyle w:val="Hyperlink"/>
                <w:rFonts w:ascii="Arial" w:eastAsia="Arial Nova" w:hAnsi="Arial" w:cs="Arial"/>
                <w:b/>
                <w:bCs/>
                <w:noProof/>
              </w:rPr>
              <w:t>6.2 Overall Stakeholder Assessment</w:t>
            </w:r>
            <w:r>
              <w:rPr>
                <w:noProof/>
                <w:webHidden/>
              </w:rPr>
              <w:tab/>
            </w:r>
            <w:r>
              <w:rPr>
                <w:noProof/>
                <w:webHidden/>
              </w:rPr>
              <w:fldChar w:fldCharType="begin"/>
            </w:r>
            <w:r>
              <w:rPr>
                <w:noProof/>
                <w:webHidden/>
              </w:rPr>
              <w:instrText xml:space="preserve"> PAGEREF _Toc234790283 \h </w:instrText>
            </w:r>
            <w:r>
              <w:rPr>
                <w:noProof/>
                <w:webHidden/>
              </w:rPr>
            </w:r>
            <w:r>
              <w:rPr>
                <w:noProof/>
                <w:webHidden/>
              </w:rPr>
              <w:fldChar w:fldCharType="separate"/>
            </w:r>
            <w:r>
              <w:rPr>
                <w:noProof/>
                <w:webHidden/>
              </w:rPr>
              <w:t>12</w:t>
            </w:r>
            <w:r>
              <w:rPr>
                <w:noProof/>
                <w:webHidden/>
              </w:rPr>
              <w:fldChar w:fldCharType="end"/>
            </w:r>
          </w:hyperlink>
        </w:p>
        <w:p w14:paraId="1C01AF9D" w14:textId="6A682E59"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84" w:history="1">
            <w:r w:rsidRPr="00331914">
              <w:rPr>
                <w:rStyle w:val="Hyperlink"/>
                <w:rFonts w:ascii="Arial" w:eastAsia="Arial Nova" w:hAnsi="Arial" w:cs="Arial"/>
                <w:b/>
                <w:bCs/>
                <w:noProof/>
              </w:rPr>
              <w:t>7. Implementation and Monitoring</w:t>
            </w:r>
            <w:r>
              <w:rPr>
                <w:noProof/>
                <w:webHidden/>
              </w:rPr>
              <w:tab/>
            </w:r>
            <w:r>
              <w:rPr>
                <w:noProof/>
                <w:webHidden/>
              </w:rPr>
              <w:fldChar w:fldCharType="begin"/>
            </w:r>
            <w:r>
              <w:rPr>
                <w:noProof/>
                <w:webHidden/>
              </w:rPr>
              <w:instrText xml:space="preserve"> PAGEREF _Toc234790284 \h </w:instrText>
            </w:r>
            <w:r>
              <w:rPr>
                <w:noProof/>
                <w:webHidden/>
              </w:rPr>
            </w:r>
            <w:r>
              <w:rPr>
                <w:noProof/>
                <w:webHidden/>
              </w:rPr>
              <w:fldChar w:fldCharType="separate"/>
            </w:r>
            <w:r>
              <w:rPr>
                <w:noProof/>
                <w:webHidden/>
              </w:rPr>
              <w:t>12</w:t>
            </w:r>
            <w:r>
              <w:rPr>
                <w:noProof/>
                <w:webHidden/>
              </w:rPr>
              <w:fldChar w:fldCharType="end"/>
            </w:r>
          </w:hyperlink>
        </w:p>
        <w:p w14:paraId="07BAEA4A" w14:textId="22500B6E"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85" w:history="1">
            <w:r w:rsidRPr="00331914">
              <w:rPr>
                <w:rStyle w:val="Hyperlink"/>
                <w:rFonts w:ascii="Arial" w:eastAsia="Arial Nova" w:hAnsi="Arial" w:cs="Arial"/>
                <w:b/>
                <w:bCs/>
                <w:noProof/>
              </w:rPr>
              <w:t>7.1 Implementation Plan</w:t>
            </w:r>
            <w:r>
              <w:rPr>
                <w:noProof/>
                <w:webHidden/>
              </w:rPr>
              <w:tab/>
            </w:r>
            <w:r>
              <w:rPr>
                <w:noProof/>
                <w:webHidden/>
              </w:rPr>
              <w:fldChar w:fldCharType="begin"/>
            </w:r>
            <w:r>
              <w:rPr>
                <w:noProof/>
                <w:webHidden/>
              </w:rPr>
              <w:instrText xml:space="preserve"> PAGEREF _Toc234790285 \h </w:instrText>
            </w:r>
            <w:r>
              <w:rPr>
                <w:noProof/>
                <w:webHidden/>
              </w:rPr>
            </w:r>
            <w:r>
              <w:rPr>
                <w:noProof/>
                <w:webHidden/>
              </w:rPr>
              <w:fldChar w:fldCharType="separate"/>
            </w:r>
            <w:r>
              <w:rPr>
                <w:noProof/>
                <w:webHidden/>
              </w:rPr>
              <w:t>13</w:t>
            </w:r>
            <w:r>
              <w:rPr>
                <w:noProof/>
                <w:webHidden/>
              </w:rPr>
              <w:fldChar w:fldCharType="end"/>
            </w:r>
          </w:hyperlink>
        </w:p>
        <w:p w14:paraId="28BABA9A" w14:textId="09193FCF"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86" w:history="1">
            <w:r w:rsidRPr="00331914">
              <w:rPr>
                <w:rStyle w:val="Hyperlink"/>
                <w:rFonts w:ascii="Arial" w:eastAsia="Arial Nova" w:hAnsi="Arial" w:cs="Arial"/>
                <w:b/>
                <w:bCs/>
                <w:noProof/>
              </w:rPr>
              <w:t>7.2 Monitoring and KPIs</w:t>
            </w:r>
            <w:r>
              <w:rPr>
                <w:noProof/>
                <w:webHidden/>
              </w:rPr>
              <w:tab/>
            </w:r>
            <w:r>
              <w:rPr>
                <w:noProof/>
                <w:webHidden/>
              </w:rPr>
              <w:fldChar w:fldCharType="begin"/>
            </w:r>
            <w:r>
              <w:rPr>
                <w:noProof/>
                <w:webHidden/>
              </w:rPr>
              <w:instrText xml:space="preserve"> PAGEREF _Toc234790286 \h </w:instrText>
            </w:r>
            <w:r>
              <w:rPr>
                <w:noProof/>
                <w:webHidden/>
              </w:rPr>
            </w:r>
            <w:r>
              <w:rPr>
                <w:noProof/>
                <w:webHidden/>
              </w:rPr>
              <w:fldChar w:fldCharType="separate"/>
            </w:r>
            <w:r>
              <w:rPr>
                <w:noProof/>
                <w:webHidden/>
              </w:rPr>
              <w:t>16</w:t>
            </w:r>
            <w:r>
              <w:rPr>
                <w:noProof/>
                <w:webHidden/>
              </w:rPr>
              <w:fldChar w:fldCharType="end"/>
            </w:r>
          </w:hyperlink>
        </w:p>
        <w:p w14:paraId="1E9575BF" w14:textId="42127D7C"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87" w:history="1">
            <w:r w:rsidRPr="00331914">
              <w:rPr>
                <w:rStyle w:val="Hyperlink"/>
                <w:rFonts w:ascii="Arial" w:eastAsia="Arial Nova" w:hAnsi="Arial" w:cs="Arial"/>
                <w:b/>
                <w:bCs/>
                <w:noProof/>
              </w:rPr>
              <w:t>7.3 Governance and Review</w:t>
            </w:r>
            <w:r>
              <w:rPr>
                <w:noProof/>
                <w:webHidden/>
              </w:rPr>
              <w:tab/>
            </w:r>
            <w:r>
              <w:rPr>
                <w:noProof/>
                <w:webHidden/>
              </w:rPr>
              <w:fldChar w:fldCharType="begin"/>
            </w:r>
            <w:r>
              <w:rPr>
                <w:noProof/>
                <w:webHidden/>
              </w:rPr>
              <w:instrText xml:space="preserve"> PAGEREF _Toc234790287 \h </w:instrText>
            </w:r>
            <w:r>
              <w:rPr>
                <w:noProof/>
                <w:webHidden/>
              </w:rPr>
            </w:r>
            <w:r>
              <w:rPr>
                <w:noProof/>
                <w:webHidden/>
              </w:rPr>
              <w:fldChar w:fldCharType="separate"/>
            </w:r>
            <w:r>
              <w:rPr>
                <w:noProof/>
                <w:webHidden/>
              </w:rPr>
              <w:t>16</w:t>
            </w:r>
            <w:r>
              <w:rPr>
                <w:noProof/>
                <w:webHidden/>
              </w:rPr>
              <w:fldChar w:fldCharType="end"/>
            </w:r>
          </w:hyperlink>
        </w:p>
        <w:p w14:paraId="66D2E505" w14:textId="67D2471F"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88" w:history="1">
            <w:r w:rsidRPr="00331914">
              <w:rPr>
                <w:rStyle w:val="Hyperlink"/>
                <w:rFonts w:ascii="Arial" w:eastAsia="Arial Nova" w:hAnsi="Arial" w:cs="Arial"/>
                <w:b/>
                <w:bCs/>
                <w:noProof/>
              </w:rPr>
              <w:t>8. Conclusion</w:t>
            </w:r>
            <w:r>
              <w:rPr>
                <w:noProof/>
                <w:webHidden/>
              </w:rPr>
              <w:tab/>
            </w:r>
            <w:r>
              <w:rPr>
                <w:noProof/>
                <w:webHidden/>
              </w:rPr>
              <w:fldChar w:fldCharType="begin"/>
            </w:r>
            <w:r>
              <w:rPr>
                <w:noProof/>
                <w:webHidden/>
              </w:rPr>
              <w:instrText xml:space="preserve"> PAGEREF _Toc234790288 \h </w:instrText>
            </w:r>
            <w:r>
              <w:rPr>
                <w:noProof/>
                <w:webHidden/>
              </w:rPr>
            </w:r>
            <w:r>
              <w:rPr>
                <w:noProof/>
                <w:webHidden/>
              </w:rPr>
              <w:fldChar w:fldCharType="separate"/>
            </w:r>
            <w:r>
              <w:rPr>
                <w:noProof/>
                <w:webHidden/>
              </w:rPr>
              <w:t>16</w:t>
            </w:r>
            <w:r>
              <w:rPr>
                <w:noProof/>
                <w:webHidden/>
              </w:rPr>
              <w:fldChar w:fldCharType="end"/>
            </w:r>
          </w:hyperlink>
        </w:p>
        <w:p w14:paraId="43A8D957" w14:textId="463A8890"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89" w:history="1">
            <w:r w:rsidRPr="0033191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_Toc234790289 \h </w:instrText>
            </w:r>
            <w:r>
              <w:rPr>
                <w:noProof/>
                <w:webHidden/>
              </w:rPr>
            </w:r>
            <w:r>
              <w:rPr>
                <w:noProof/>
                <w:webHidden/>
              </w:rPr>
              <w:fldChar w:fldCharType="separate"/>
            </w:r>
            <w:r>
              <w:rPr>
                <w:noProof/>
                <w:webHidden/>
              </w:rPr>
              <w:t>17</w:t>
            </w:r>
            <w:r>
              <w:rPr>
                <w:noProof/>
                <w:webHidden/>
              </w:rPr>
              <w:fldChar w:fldCharType="end"/>
            </w:r>
          </w:hyperlink>
        </w:p>
        <w:p w14:paraId="3FA6C75B" w14:textId="66A4180F" w:rsidR="0011470A" w:rsidRDefault="0011470A">
          <w:pPr>
            <w:pStyle w:val="TOC1"/>
            <w:tabs>
              <w:tab w:val="right" w:leader="dot" w:pos="9016"/>
            </w:tabs>
            <w:rPr>
              <w:rFonts w:cstheme="minorBidi"/>
              <w:noProof/>
              <w:kern w:val="2"/>
              <w:sz w:val="24"/>
              <w:szCs w:val="24"/>
              <w:lang w:val="en-GB" w:eastAsia="en-GB"/>
              <w14:ligatures w14:val="standardContextual"/>
            </w:rPr>
          </w:pPr>
          <w:hyperlink w:anchor="_Toc234790290" w:history="1">
            <w:r w:rsidRPr="00331914">
              <w:rPr>
                <w:rStyle w:val="Hyperlink"/>
                <w:rFonts w:ascii="Arial" w:eastAsia="Arial Nova" w:hAnsi="Arial" w:cs="Arial"/>
                <w:b/>
                <w:bCs/>
                <w:noProof/>
              </w:rPr>
              <w:t>Appendices</w:t>
            </w:r>
            <w:r>
              <w:rPr>
                <w:noProof/>
                <w:webHidden/>
              </w:rPr>
              <w:tab/>
            </w:r>
            <w:r>
              <w:rPr>
                <w:noProof/>
                <w:webHidden/>
              </w:rPr>
              <w:fldChar w:fldCharType="begin"/>
            </w:r>
            <w:r>
              <w:rPr>
                <w:noProof/>
                <w:webHidden/>
              </w:rPr>
              <w:instrText xml:space="preserve"> PAGEREF _Toc234790290 \h </w:instrText>
            </w:r>
            <w:r>
              <w:rPr>
                <w:noProof/>
                <w:webHidden/>
              </w:rPr>
            </w:r>
            <w:r>
              <w:rPr>
                <w:noProof/>
                <w:webHidden/>
              </w:rPr>
              <w:fldChar w:fldCharType="separate"/>
            </w:r>
            <w:r>
              <w:rPr>
                <w:noProof/>
                <w:webHidden/>
              </w:rPr>
              <w:t>19</w:t>
            </w:r>
            <w:r>
              <w:rPr>
                <w:noProof/>
                <w:webHidden/>
              </w:rPr>
              <w:fldChar w:fldCharType="end"/>
            </w:r>
          </w:hyperlink>
        </w:p>
        <w:p w14:paraId="7C3AC559" w14:textId="56EC1B19"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91" w:history="1">
            <w:r w:rsidRPr="00331914">
              <w:rPr>
                <w:rStyle w:val="Hyperlink"/>
                <w:rFonts w:ascii="Arial" w:eastAsia="Arial Nova" w:hAnsi="Arial" w:cs="Arial"/>
                <w:b/>
                <w:bCs/>
                <w:noProof/>
              </w:rPr>
              <w:t>Appendix 1: PESTEL Analysis</w:t>
            </w:r>
            <w:r>
              <w:rPr>
                <w:noProof/>
                <w:webHidden/>
              </w:rPr>
              <w:tab/>
            </w:r>
            <w:r>
              <w:rPr>
                <w:noProof/>
                <w:webHidden/>
              </w:rPr>
              <w:fldChar w:fldCharType="begin"/>
            </w:r>
            <w:r>
              <w:rPr>
                <w:noProof/>
                <w:webHidden/>
              </w:rPr>
              <w:instrText xml:space="preserve"> PAGEREF _Toc234790291 \h </w:instrText>
            </w:r>
            <w:r>
              <w:rPr>
                <w:noProof/>
                <w:webHidden/>
              </w:rPr>
            </w:r>
            <w:r>
              <w:rPr>
                <w:noProof/>
                <w:webHidden/>
              </w:rPr>
              <w:fldChar w:fldCharType="separate"/>
            </w:r>
            <w:r>
              <w:rPr>
                <w:noProof/>
                <w:webHidden/>
              </w:rPr>
              <w:t>19</w:t>
            </w:r>
            <w:r>
              <w:rPr>
                <w:noProof/>
                <w:webHidden/>
              </w:rPr>
              <w:fldChar w:fldCharType="end"/>
            </w:r>
          </w:hyperlink>
        </w:p>
        <w:p w14:paraId="75B1D89F" w14:textId="1D95BDB3"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92" w:history="1">
            <w:r w:rsidRPr="00331914">
              <w:rPr>
                <w:rStyle w:val="Hyperlink"/>
                <w:rFonts w:ascii="Arial" w:hAnsi="Arial" w:cs="Arial"/>
                <w:b/>
                <w:bCs/>
                <w:noProof/>
              </w:rPr>
              <w:t xml:space="preserve">Appendix 2: </w:t>
            </w:r>
            <w:r w:rsidRPr="00331914">
              <w:rPr>
                <w:rStyle w:val="Hyperlink"/>
                <w:rFonts w:ascii="Arial" w:eastAsia="Arial Nova" w:hAnsi="Arial" w:cs="Arial"/>
                <w:b/>
                <w:bCs/>
                <w:noProof/>
              </w:rPr>
              <w:t>Porter's Five Forces Analysis</w:t>
            </w:r>
            <w:r>
              <w:rPr>
                <w:noProof/>
                <w:webHidden/>
              </w:rPr>
              <w:tab/>
            </w:r>
            <w:r>
              <w:rPr>
                <w:noProof/>
                <w:webHidden/>
              </w:rPr>
              <w:fldChar w:fldCharType="begin"/>
            </w:r>
            <w:r>
              <w:rPr>
                <w:noProof/>
                <w:webHidden/>
              </w:rPr>
              <w:instrText xml:space="preserve"> PAGEREF _Toc234790292 \h </w:instrText>
            </w:r>
            <w:r>
              <w:rPr>
                <w:noProof/>
                <w:webHidden/>
              </w:rPr>
            </w:r>
            <w:r>
              <w:rPr>
                <w:noProof/>
                <w:webHidden/>
              </w:rPr>
              <w:fldChar w:fldCharType="separate"/>
            </w:r>
            <w:r>
              <w:rPr>
                <w:noProof/>
                <w:webHidden/>
              </w:rPr>
              <w:t>20</w:t>
            </w:r>
            <w:r>
              <w:rPr>
                <w:noProof/>
                <w:webHidden/>
              </w:rPr>
              <w:fldChar w:fldCharType="end"/>
            </w:r>
          </w:hyperlink>
        </w:p>
        <w:p w14:paraId="42D03E2D" w14:textId="2149303A"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93" w:history="1">
            <w:r w:rsidRPr="00331914">
              <w:rPr>
                <w:rStyle w:val="Hyperlink"/>
                <w:rFonts w:ascii="Arial" w:hAnsi="Arial" w:cs="Arial"/>
                <w:b/>
                <w:bCs/>
                <w:noProof/>
              </w:rPr>
              <w:t xml:space="preserve">Appendix 3: </w:t>
            </w:r>
            <w:r w:rsidRPr="00331914">
              <w:rPr>
                <w:rStyle w:val="Hyperlink"/>
                <w:rFonts w:ascii="Arial" w:eastAsia="Arial Nova" w:hAnsi="Arial" w:cs="Arial"/>
                <w:b/>
                <w:bCs/>
                <w:noProof/>
              </w:rPr>
              <w:t>SWOT Analysis</w:t>
            </w:r>
            <w:r>
              <w:rPr>
                <w:noProof/>
                <w:webHidden/>
              </w:rPr>
              <w:tab/>
            </w:r>
            <w:r>
              <w:rPr>
                <w:noProof/>
                <w:webHidden/>
              </w:rPr>
              <w:fldChar w:fldCharType="begin"/>
            </w:r>
            <w:r>
              <w:rPr>
                <w:noProof/>
                <w:webHidden/>
              </w:rPr>
              <w:instrText xml:space="preserve"> PAGEREF _Toc234790293 \h </w:instrText>
            </w:r>
            <w:r>
              <w:rPr>
                <w:noProof/>
                <w:webHidden/>
              </w:rPr>
            </w:r>
            <w:r>
              <w:rPr>
                <w:noProof/>
                <w:webHidden/>
              </w:rPr>
              <w:fldChar w:fldCharType="separate"/>
            </w:r>
            <w:r>
              <w:rPr>
                <w:noProof/>
                <w:webHidden/>
              </w:rPr>
              <w:t>21</w:t>
            </w:r>
            <w:r>
              <w:rPr>
                <w:noProof/>
                <w:webHidden/>
              </w:rPr>
              <w:fldChar w:fldCharType="end"/>
            </w:r>
          </w:hyperlink>
        </w:p>
        <w:p w14:paraId="49EE2C46" w14:textId="1B1B7FB9" w:rsidR="0011470A" w:rsidRDefault="0011470A">
          <w:pPr>
            <w:pStyle w:val="TOC2"/>
            <w:tabs>
              <w:tab w:val="right" w:leader="dot" w:pos="9016"/>
            </w:tabs>
            <w:rPr>
              <w:rFonts w:cstheme="minorBidi"/>
              <w:noProof/>
              <w:kern w:val="2"/>
              <w:sz w:val="24"/>
              <w:szCs w:val="24"/>
              <w:lang w:val="en-GB" w:eastAsia="en-GB"/>
              <w14:ligatures w14:val="standardContextual"/>
            </w:rPr>
          </w:pPr>
          <w:hyperlink w:anchor="_Toc234790294" w:history="1">
            <w:r w:rsidRPr="00331914">
              <w:rPr>
                <w:rStyle w:val="Hyperlink"/>
                <w:rFonts w:ascii="Arial" w:hAnsi="Arial" w:cs="Arial"/>
                <w:b/>
                <w:bCs/>
                <w:noProof/>
              </w:rPr>
              <w:t>Appendix 4: Ansoff Matrix</w:t>
            </w:r>
            <w:r>
              <w:rPr>
                <w:noProof/>
                <w:webHidden/>
              </w:rPr>
              <w:tab/>
            </w:r>
            <w:r>
              <w:rPr>
                <w:noProof/>
                <w:webHidden/>
              </w:rPr>
              <w:fldChar w:fldCharType="begin"/>
            </w:r>
            <w:r>
              <w:rPr>
                <w:noProof/>
                <w:webHidden/>
              </w:rPr>
              <w:instrText xml:space="preserve"> PAGEREF _Toc234790294 \h </w:instrText>
            </w:r>
            <w:r>
              <w:rPr>
                <w:noProof/>
                <w:webHidden/>
              </w:rPr>
            </w:r>
            <w:r>
              <w:rPr>
                <w:noProof/>
                <w:webHidden/>
              </w:rPr>
              <w:fldChar w:fldCharType="separate"/>
            </w:r>
            <w:r>
              <w:rPr>
                <w:noProof/>
                <w:webHidden/>
              </w:rPr>
              <w:t>22</w:t>
            </w:r>
            <w:r>
              <w:rPr>
                <w:noProof/>
                <w:webHidden/>
              </w:rPr>
              <w:fldChar w:fldCharType="end"/>
            </w:r>
          </w:hyperlink>
        </w:p>
        <w:p w14:paraId="6169BC37" w14:textId="512550CC" w:rsidR="001E5915" w:rsidRDefault="00C24C55" w:rsidP="00742325">
          <w:r w:rsidRPr="00724883">
            <w:rPr>
              <w:rFonts w:ascii="Arial" w:hAnsi="Arial" w:cs="Arial"/>
              <w:b/>
              <w:bCs/>
              <w:noProof/>
              <w:sz w:val="20"/>
              <w:szCs w:val="20"/>
            </w:rPr>
            <w:fldChar w:fldCharType="end"/>
          </w:r>
        </w:p>
      </w:sdtContent>
    </w:sdt>
    <w:p w14:paraId="03B8A5A5" w14:textId="5E852ED5" w:rsidR="001C25ED" w:rsidRPr="00313D18" w:rsidRDefault="001C25ED" w:rsidP="001C25ED">
      <w:pPr>
        <w:pStyle w:val="Heading1"/>
        <w:rPr>
          <w:rFonts w:ascii="Arial" w:hAnsi="Arial" w:cs="Arial"/>
          <w:b/>
          <w:bCs/>
          <w:color w:val="auto"/>
          <w:sz w:val="28"/>
          <w:szCs w:val="28"/>
        </w:rPr>
      </w:pPr>
      <w:bookmarkStart w:id="0" w:name="_Toc234790262"/>
      <w:r>
        <w:rPr>
          <w:rFonts w:ascii="Arial" w:hAnsi="Arial" w:cs="Arial"/>
          <w:b/>
          <w:bCs/>
          <w:color w:val="auto"/>
          <w:sz w:val="28"/>
          <w:szCs w:val="28"/>
        </w:rPr>
        <w:lastRenderedPageBreak/>
        <w:t>1</w:t>
      </w:r>
      <w:r w:rsidRPr="00313D18">
        <w:rPr>
          <w:rFonts w:ascii="Arial" w:hAnsi="Arial" w:cs="Arial"/>
          <w:b/>
          <w:bCs/>
          <w:color w:val="auto"/>
          <w:sz w:val="28"/>
          <w:szCs w:val="28"/>
        </w:rPr>
        <w:t>.Executive Summary</w:t>
      </w:r>
      <w:bookmarkEnd w:id="0"/>
    </w:p>
    <w:p w14:paraId="5DB76216" w14:textId="77777777" w:rsidR="001C25ED" w:rsidRPr="00FB3357" w:rsidRDefault="001C25ED" w:rsidP="001C25ED">
      <w:pPr>
        <w:spacing w:before="240" w:after="240"/>
        <w:jc w:val="both"/>
        <w:rPr>
          <w:rFonts w:ascii="Arial" w:hAnsi="Arial" w:cs="Arial"/>
          <w:sz w:val="22"/>
          <w:szCs w:val="22"/>
        </w:rPr>
      </w:pPr>
      <w:r w:rsidRPr="00FB3357">
        <w:rPr>
          <w:rFonts w:ascii="Arial" w:eastAsia="Arial Nova" w:hAnsi="Arial" w:cs="Arial"/>
          <w:sz w:val="22"/>
          <w:szCs w:val="22"/>
        </w:rPr>
        <w:t>This report evaluates VodafoneThree's strategic position following the Vodafone–Three merger and recommends a growth strategy to strengthen the organisation's long-term competitive advantage within the UK telecommunications market. The report supports the Board by recommending a strategy capable of converting the benefits of the merger into sustainable long-term growth.</w:t>
      </w:r>
    </w:p>
    <w:p w14:paraId="5F3ADA34" w14:textId="77777777" w:rsidR="001C25ED" w:rsidRPr="00FB3357" w:rsidRDefault="001C25ED" w:rsidP="001C25ED">
      <w:pPr>
        <w:spacing w:before="240" w:after="240"/>
        <w:jc w:val="both"/>
        <w:rPr>
          <w:rFonts w:ascii="Arial" w:hAnsi="Arial" w:cs="Arial"/>
          <w:sz w:val="22"/>
          <w:szCs w:val="22"/>
        </w:rPr>
      </w:pPr>
      <w:r w:rsidRPr="00FB3357">
        <w:rPr>
          <w:rFonts w:ascii="Arial" w:eastAsia="Arial Nova" w:hAnsi="Arial" w:cs="Arial"/>
          <w:sz w:val="22"/>
          <w:szCs w:val="22"/>
        </w:rPr>
        <w:t>The report supports the Board by recommending a strategy capable of converting the benefits of the merger into sustainable long-term growth. These findings informed the evaluation of strategic growth options using the Ansoff Matrix and Porter's Generic Strategies.</w:t>
      </w:r>
    </w:p>
    <w:p w14:paraId="6FD1F287" w14:textId="77777777" w:rsidR="001C25ED" w:rsidRPr="00FB3357" w:rsidRDefault="001C25ED" w:rsidP="001C25ED">
      <w:pPr>
        <w:spacing w:before="240" w:after="240"/>
        <w:jc w:val="both"/>
        <w:rPr>
          <w:rFonts w:ascii="Arial" w:eastAsia="Arial Nova" w:hAnsi="Arial" w:cs="Arial"/>
          <w:sz w:val="22"/>
          <w:szCs w:val="22"/>
        </w:rPr>
      </w:pPr>
      <w:r w:rsidRPr="00FB3357">
        <w:rPr>
          <w:rFonts w:ascii="Arial" w:eastAsia="Arial Nova" w:hAnsi="Arial" w:cs="Arial"/>
          <w:sz w:val="22"/>
          <w:szCs w:val="22"/>
        </w:rPr>
        <w:t>Four strategic options were evaluated using the Ansoff Matrix, with product development emerging as the preferred strategy. The subsequent SFA assessment confirmed that the recommendation is suitable, feasible and acceptable.</w:t>
      </w:r>
    </w:p>
    <w:p w14:paraId="0528CE47" w14:textId="31ABD7AA" w:rsidR="001C25ED" w:rsidRPr="00276761" w:rsidRDefault="001C25ED" w:rsidP="00276761">
      <w:pPr>
        <w:spacing w:before="240" w:after="240"/>
        <w:jc w:val="both"/>
        <w:rPr>
          <w:rFonts w:ascii="Arial" w:eastAsia="Arial Nova" w:hAnsi="Arial" w:cs="Arial"/>
          <w:sz w:val="22"/>
          <w:szCs w:val="22"/>
        </w:rPr>
      </w:pPr>
      <w:r w:rsidRPr="00FB3357">
        <w:rPr>
          <w:rFonts w:ascii="Arial" w:eastAsia="Arial Nova" w:hAnsi="Arial" w:cs="Arial"/>
          <w:sz w:val="22"/>
          <w:szCs w:val="22"/>
        </w:rPr>
        <w:t>Implementation is supported by a phased roadmap, stakeholder engagement plan and SMART KPIs to monitor delivery and support continuous improvement.</w:t>
      </w:r>
    </w:p>
    <w:p w14:paraId="53CE3ABA" w14:textId="7C48D790" w:rsidR="001D36E8" w:rsidRPr="005055FA" w:rsidRDefault="001C25ED" w:rsidP="00FB3357">
      <w:pPr>
        <w:pStyle w:val="Heading1"/>
        <w:rPr>
          <w:rFonts w:ascii="Arial" w:hAnsi="Arial" w:cs="Arial"/>
          <w:b/>
          <w:bCs/>
          <w:color w:val="auto"/>
          <w:sz w:val="28"/>
          <w:szCs w:val="28"/>
        </w:rPr>
      </w:pPr>
      <w:bookmarkStart w:id="1" w:name="_Toc234790263"/>
      <w:r>
        <w:rPr>
          <w:rFonts w:ascii="Arial" w:hAnsi="Arial" w:cs="Arial"/>
          <w:b/>
          <w:bCs/>
          <w:color w:val="auto"/>
          <w:sz w:val="28"/>
          <w:szCs w:val="28"/>
        </w:rPr>
        <w:t>2</w:t>
      </w:r>
      <w:r w:rsidR="737527DD" w:rsidRPr="005055FA">
        <w:rPr>
          <w:rFonts w:ascii="Arial" w:hAnsi="Arial" w:cs="Arial"/>
          <w:b/>
          <w:bCs/>
          <w:color w:val="auto"/>
          <w:sz w:val="28"/>
          <w:szCs w:val="28"/>
        </w:rPr>
        <w:t>.</w:t>
      </w:r>
      <w:r w:rsidR="37E3E707" w:rsidRPr="005055FA">
        <w:rPr>
          <w:rFonts w:ascii="Arial" w:hAnsi="Arial" w:cs="Arial"/>
          <w:b/>
          <w:bCs/>
          <w:color w:val="auto"/>
          <w:sz w:val="28"/>
          <w:szCs w:val="28"/>
        </w:rPr>
        <w:t>Introduction</w:t>
      </w:r>
      <w:bookmarkEnd w:id="1"/>
    </w:p>
    <w:p w14:paraId="46C0DED0" w14:textId="77777777" w:rsidR="004B7026" w:rsidRDefault="004B7026" w:rsidP="00FB3357">
      <w:pPr>
        <w:spacing w:before="240" w:after="240"/>
        <w:jc w:val="both"/>
        <w:rPr>
          <w:rFonts w:ascii="Arial" w:hAnsi="Arial" w:cs="Arial"/>
          <w:sz w:val="22"/>
          <w:szCs w:val="22"/>
        </w:rPr>
      </w:pPr>
      <w:r w:rsidRPr="004B7026">
        <w:rPr>
          <w:rFonts w:ascii="Arial" w:hAnsi="Arial" w:cs="Arial"/>
          <w:sz w:val="22"/>
          <w:szCs w:val="22"/>
        </w:rPr>
        <w:t>Vodafone is one of the world's leading telecommunications companies, providing mobile, broadband and digital connectivity services across Europe and Africa (Vodafone Group Plc, 2025). Its purpose is to connect for a better future by delivering trusted connectivity, digital innovation and sustainable value. This strategic focus aligns with the importance of digital transformation and innovation in sustaining competitive advantage (Vodafone Group Plc, 2025; Warner and Wäger, 2019).</w:t>
      </w:r>
    </w:p>
    <w:p w14:paraId="59209039" w14:textId="50FE4C45" w:rsidR="00FF2D0D" w:rsidRPr="00FB3357" w:rsidRDefault="00F56F42" w:rsidP="00FB3357">
      <w:pPr>
        <w:spacing w:before="240" w:after="240"/>
        <w:jc w:val="both"/>
        <w:rPr>
          <w:rFonts w:ascii="Arial" w:hAnsi="Arial" w:cs="Arial"/>
          <w:sz w:val="22"/>
          <w:szCs w:val="22"/>
        </w:rPr>
      </w:pPr>
      <w:r w:rsidRPr="00FB3357">
        <w:rPr>
          <w:rFonts w:ascii="Arial" w:hAnsi="Arial" w:cs="Arial"/>
          <w:sz w:val="22"/>
          <w:szCs w:val="22"/>
        </w:rPr>
        <w:t>In the UK, the completion of the VodafoneThree merger in 2025 created VodafoneThree, the country's largest mobile network operator by customer base. The merger combines complementary spectrum assets, network infrastructure and customer portfolios while supporting a planned £11 billion investment in digital infrastructure to accelerate 5G deployment and strengthen the UK's digital economy (Competition and Markets Authority [CMA], 2024; Vodafone Group Plc, 2025). It also reflects wider industry consolidation to increase investment capacity and meet growing demand for advanced digital connectivity.</w:t>
      </w:r>
    </w:p>
    <w:p w14:paraId="65B650AC" w14:textId="20F72DC7" w:rsidR="000D0488" w:rsidRPr="00FB3357" w:rsidRDefault="00373124" w:rsidP="00FB3357">
      <w:pPr>
        <w:spacing w:before="240" w:after="240"/>
        <w:jc w:val="both"/>
        <w:rPr>
          <w:rFonts w:ascii="Arial" w:hAnsi="Arial" w:cs="Arial"/>
          <w:sz w:val="22"/>
          <w:szCs w:val="22"/>
        </w:rPr>
      </w:pPr>
      <w:r w:rsidRPr="00373124">
        <w:rPr>
          <w:rFonts w:ascii="Arial" w:hAnsi="Arial" w:cs="Arial"/>
          <w:sz w:val="22"/>
          <w:szCs w:val="22"/>
        </w:rPr>
        <w:t>Despite these opportunities, VodafoneThree must convert merger-created scale into sustainable competitive advantage within a mature and highly regulated telecommunications market. Previous mergers, such as the Daimler–Chrysler merger, demonstrate that expected synergies may not be realised when organisational integration and cultural alignment are poorly managed (</w:t>
      </w:r>
      <w:proofErr w:type="spellStart"/>
      <w:r w:rsidRPr="00373124">
        <w:rPr>
          <w:rFonts w:ascii="Arial" w:hAnsi="Arial" w:cs="Arial"/>
          <w:sz w:val="22"/>
          <w:szCs w:val="22"/>
        </w:rPr>
        <w:t>Badrtalei</w:t>
      </w:r>
      <w:proofErr w:type="spellEnd"/>
      <w:r w:rsidRPr="00373124">
        <w:rPr>
          <w:rFonts w:ascii="Arial" w:hAnsi="Arial" w:cs="Arial"/>
          <w:sz w:val="22"/>
          <w:szCs w:val="22"/>
        </w:rPr>
        <w:t xml:space="preserve"> and Bates, 2007). Although VodafoneThree operates in a different industry, both mergers involve the integration of two established organisations with different systems, processes and corporate cultures. Long-term success will therefore depend on effective integration, innovation and service differentiation while meeting evolving customer expectations and regulatory requirements</w:t>
      </w:r>
      <w:r w:rsidR="00CB6F7A" w:rsidRPr="00FB3357">
        <w:rPr>
          <w:rFonts w:ascii="Arial" w:hAnsi="Arial" w:cs="Arial"/>
          <w:sz w:val="22"/>
          <w:szCs w:val="22"/>
        </w:rPr>
        <w:t>.</w:t>
      </w:r>
    </w:p>
    <w:p w14:paraId="668A01DF" w14:textId="13CDA3A9" w:rsidR="00742325" w:rsidRPr="00FB3357" w:rsidRDefault="00A85726" w:rsidP="00FB3357">
      <w:pPr>
        <w:spacing w:before="240" w:after="240"/>
        <w:jc w:val="both"/>
        <w:rPr>
          <w:rFonts w:ascii="Arial" w:hAnsi="Arial" w:cs="Arial"/>
          <w:sz w:val="22"/>
          <w:szCs w:val="22"/>
        </w:rPr>
      </w:pPr>
      <w:r w:rsidRPr="00FB3357">
        <w:rPr>
          <w:rFonts w:ascii="Arial" w:hAnsi="Arial" w:cs="Arial"/>
          <w:sz w:val="22"/>
          <w:szCs w:val="22"/>
        </w:rPr>
        <w:t xml:space="preserve">This consultancy report evaluates VodafoneThree's strategic position and recommends an evidence-based growth strategy. PESTEL, Porter's Five Forces, SWOT, TOWS, the Ansoff </w:t>
      </w:r>
      <w:r w:rsidRPr="00FB3357">
        <w:rPr>
          <w:rFonts w:ascii="Arial" w:hAnsi="Arial" w:cs="Arial"/>
          <w:sz w:val="22"/>
          <w:szCs w:val="22"/>
        </w:rPr>
        <w:lastRenderedPageBreak/>
        <w:t>Matrix and the Suitability, Feasibility and Acceptability (SFA) framework are applied to evaluate the business environment, assess strategic options and justify the preferred recommendation.</w:t>
      </w:r>
    </w:p>
    <w:p w14:paraId="49DD1C05" w14:textId="6B14E2C6" w:rsidR="00742325" w:rsidRPr="00742325" w:rsidRDefault="00276761" w:rsidP="00742325">
      <w:pPr>
        <w:pStyle w:val="Heading1"/>
        <w:spacing w:after="240" w:line="278" w:lineRule="auto"/>
        <w:rPr>
          <w:rFonts w:ascii="Arial" w:eastAsia="Arial Nova" w:hAnsi="Arial" w:cs="Arial"/>
          <w:b/>
          <w:bCs/>
          <w:color w:val="auto"/>
          <w:sz w:val="28"/>
          <w:szCs w:val="28"/>
        </w:rPr>
      </w:pPr>
      <w:bookmarkStart w:id="2" w:name="_Toc234790264"/>
      <w:r>
        <w:rPr>
          <w:rFonts w:ascii="Arial" w:eastAsia="Arial Nova" w:hAnsi="Arial" w:cs="Arial"/>
          <w:b/>
          <w:bCs/>
          <w:color w:val="auto"/>
          <w:sz w:val="28"/>
          <w:szCs w:val="28"/>
        </w:rPr>
        <w:t>3</w:t>
      </w:r>
      <w:r w:rsidR="1252739D" w:rsidRPr="005055FA">
        <w:rPr>
          <w:rFonts w:ascii="Arial" w:eastAsia="Arial Nova" w:hAnsi="Arial" w:cs="Arial"/>
          <w:b/>
          <w:bCs/>
          <w:color w:val="auto"/>
          <w:sz w:val="28"/>
          <w:szCs w:val="28"/>
        </w:rPr>
        <w:t>. Evaluation of the Current Market Situation</w:t>
      </w:r>
      <w:bookmarkEnd w:id="2"/>
    </w:p>
    <w:p w14:paraId="7E59DFAF" w14:textId="21EE6E32" w:rsidR="00DD480C" w:rsidRPr="00DD480C" w:rsidRDefault="0076399C" w:rsidP="00DD480C">
      <w:r>
        <w:t>This chapter</w:t>
      </w:r>
      <w:r w:rsidR="004B0186">
        <w:t xml:space="preserve"> evaluates VodafoneThree’s</w:t>
      </w:r>
      <w:r w:rsidR="00A912CF">
        <w:t xml:space="preserve"> external environment and internal capabilities following the Vodafone</w:t>
      </w:r>
      <w:r w:rsidR="00EF3E6A">
        <w:t xml:space="preserve">Three merger. PESTEL, Porter’s Five Forces, </w:t>
      </w:r>
      <w:r w:rsidR="00A90393">
        <w:t>SWOT and TOWS are applied to identify the strategic issues influencing future growth.</w:t>
      </w:r>
    </w:p>
    <w:p w14:paraId="43D8CFE8" w14:textId="6A34A54A" w:rsidR="001D36E8" w:rsidRPr="00FB3357" w:rsidRDefault="00276761" w:rsidP="00FB3357">
      <w:pPr>
        <w:pStyle w:val="Heading2"/>
        <w:spacing w:before="299" w:after="299"/>
        <w:jc w:val="both"/>
        <w:rPr>
          <w:rFonts w:ascii="Arial" w:eastAsia="Arial Nova" w:hAnsi="Arial" w:cs="Arial"/>
          <w:b/>
          <w:bCs/>
          <w:color w:val="auto"/>
          <w:sz w:val="22"/>
          <w:szCs w:val="22"/>
        </w:rPr>
      </w:pPr>
      <w:bookmarkStart w:id="3" w:name="_Toc234790265"/>
      <w:r>
        <w:rPr>
          <w:rFonts w:ascii="Arial" w:eastAsia="Arial Nova" w:hAnsi="Arial" w:cs="Arial"/>
          <w:b/>
          <w:bCs/>
          <w:color w:val="auto"/>
          <w:sz w:val="22"/>
          <w:szCs w:val="22"/>
        </w:rPr>
        <w:t>3</w:t>
      </w:r>
      <w:r w:rsidR="1252739D" w:rsidRPr="00FB3357">
        <w:rPr>
          <w:rFonts w:ascii="Arial" w:eastAsia="Arial Nova" w:hAnsi="Arial" w:cs="Arial"/>
          <w:b/>
          <w:bCs/>
          <w:color w:val="auto"/>
          <w:sz w:val="22"/>
          <w:szCs w:val="22"/>
        </w:rPr>
        <w:t>.1 Strategic Context</w:t>
      </w:r>
      <w:bookmarkEnd w:id="3"/>
    </w:p>
    <w:p w14:paraId="1D014F27" w14:textId="6600F82B" w:rsidR="001D36E8" w:rsidRPr="00FB3357" w:rsidRDefault="00125AD9" w:rsidP="00FB3357">
      <w:pPr>
        <w:spacing w:before="240" w:after="240"/>
        <w:jc w:val="both"/>
        <w:rPr>
          <w:rFonts w:ascii="Arial" w:hAnsi="Arial" w:cs="Arial"/>
          <w:sz w:val="22"/>
          <w:szCs w:val="22"/>
        </w:rPr>
      </w:pPr>
      <w:r w:rsidRPr="00FB3357">
        <w:rPr>
          <w:rFonts w:ascii="Arial" w:eastAsia="Arial Nova" w:hAnsi="Arial" w:cs="Arial"/>
          <w:sz w:val="22"/>
          <w:szCs w:val="22"/>
        </w:rPr>
        <w:t xml:space="preserve">The completion of the VodafoneThree merger has reshaped Vodafone UK's competitive position by creating VodafoneThree, the UK's largest mobile network operator by customer base. The merger provides complementary spectrum assets, wider network coverage and greater financial capacity to support the planned £11 billion investment in next-generation digital infrastructure (Competition and Markets Authority [CMA], 2024; Vodafone Group Plc, 2025). However, these resources alone do not create sustainable competitive advantage. </w:t>
      </w:r>
      <w:r w:rsidR="007A0564" w:rsidRPr="00FB3357">
        <w:rPr>
          <w:rFonts w:ascii="Arial" w:eastAsia="Arial Nova" w:hAnsi="Arial" w:cs="Arial"/>
          <w:sz w:val="22"/>
          <w:szCs w:val="22"/>
        </w:rPr>
        <w:t>According to the Resource-Based View, sustainable competitive advantage arises when valuable resources are effectively integrated and difficult for competitors to replicate (Barney, 1991). Consequently, VodafoneThree's success will depend on converting its enlarged scale into superior customer value rather than relying solely on expanded infrastructure.</w:t>
      </w:r>
    </w:p>
    <w:p w14:paraId="24441878" w14:textId="11C69028" w:rsidR="001D36E8" w:rsidRDefault="001152A2"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The UK telecommunications market remains mature, capital-intensive and highly competitive</w:t>
      </w:r>
      <w:r w:rsidR="1252739D" w:rsidRPr="00FB3357">
        <w:rPr>
          <w:rFonts w:ascii="Arial" w:eastAsia="Arial Nova" w:hAnsi="Arial" w:cs="Arial"/>
          <w:sz w:val="22"/>
          <w:szCs w:val="22"/>
        </w:rPr>
        <w:t>. Furthermore,</w:t>
      </w:r>
      <w:r w:rsidR="00815AD6" w:rsidRPr="00FB3357">
        <w:rPr>
          <w:rFonts w:ascii="Arial" w:eastAsia="Arial Nova" w:hAnsi="Arial" w:cs="Arial"/>
          <w:sz w:val="22"/>
          <w:szCs w:val="22"/>
        </w:rPr>
        <w:t xml:space="preserve"> t</w:t>
      </w:r>
      <w:r w:rsidR="00400D70" w:rsidRPr="00FB3357">
        <w:rPr>
          <w:rFonts w:ascii="Arial" w:eastAsia="Arial Nova" w:hAnsi="Arial" w:cs="Arial"/>
          <w:sz w:val="22"/>
          <w:szCs w:val="22"/>
        </w:rPr>
        <w:t>he merger commitments imposed by the CMA require VodafoneThree to demonstrate measurable improvements in network quality, investment delivery and consumer outcomes (CMA, 2024). Accordingly, long-term success will depend on combining operational integration with innovation, customer-focused differentiation and regulatory compliance.</w:t>
      </w:r>
    </w:p>
    <w:p w14:paraId="1E453E15" w14:textId="5D5C1F79" w:rsidR="004B61DE" w:rsidRDefault="00276761" w:rsidP="0027499E">
      <w:pPr>
        <w:pStyle w:val="Heading2"/>
        <w:spacing w:after="240" w:line="278" w:lineRule="auto"/>
        <w:rPr>
          <w:rFonts w:ascii="Arial" w:hAnsi="Arial" w:cs="Arial"/>
          <w:b/>
          <w:bCs/>
          <w:color w:val="auto"/>
          <w:sz w:val="22"/>
          <w:szCs w:val="22"/>
        </w:rPr>
      </w:pPr>
      <w:bookmarkStart w:id="4" w:name="_Toc234790266"/>
      <w:r>
        <w:rPr>
          <w:rFonts w:ascii="Arial" w:hAnsi="Arial" w:cs="Arial"/>
          <w:b/>
          <w:bCs/>
          <w:color w:val="auto"/>
          <w:sz w:val="22"/>
          <w:szCs w:val="22"/>
        </w:rPr>
        <w:t>3</w:t>
      </w:r>
      <w:r w:rsidR="00967CF8" w:rsidRPr="00B61DFB">
        <w:rPr>
          <w:rFonts w:ascii="Arial" w:hAnsi="Arial" w:cs="Arial"/>
          <w:b/>
          <w:bCs/>
          <w:color w:val="auto"/>
          <w:sz w:val="22"/>
          <w:szCs w:val="22"/>
        </w:rPr>
        <w:t>.2 PESTEL Analysis</w:t>
      </w:r>
      <w:bookmarkEnd w:id="4"/>
    </w:p>
    <w:p w14:paraId="032D0497" w14:textId="3FCB8804" w:rsidR="00D10B23" w:rsidRPr="00B61DFB" w:rsidRDefault="00D10B23" w:rsidP="002C00EF">
      <w:pPr>
        <w:spacing w:after="240" w:line="278" w:lineRule="auto"/>
        <w:rPr>
          <w:rFonts w:ascii="Arial" w:hAnsi="Arial" w:cs="Arial"/>
          <w:sz w:val="22"/>
          <w:szCs w:val="22"/>
        </w:rPr>
      </w:pPr>
      <w:r w:rsidRPr="00D10B23">
        <w:rPr>
          <w:rFonts w:ascii="Arial" w:hAnsi="Arial" w:cs="Arial"/>
          <w:sz w:val="22"/>
          <w:szCs w:val="22"/>
        </w:rPr>
        <w:t>The detailed PESTEL analysis is presented in Figure A1 (Appendix 1).</w:t>
      </w:r>
    </w:p>
    <w:p w14:paraId="28038142" w14:textId="0818E91D" w:rsidR="00B15968" w:rsidRPr="0059063F" w:rsidRDefault="00B15968" w:rsidP="0059063F">
      <w:pPr>
        <w:pStyle w:val="Heading2"/>
        <w:rPr>
          <w:rFonts w:ascii="Arial" w:hAnsi="Arial" w:cs="Arial"/>
          <w:b/>
          <w:bCs/>
          <w:color w:val="auto"/>
          <w:sz w:val="22"/>
          <w:szCs w:val="22"/>
        </w:rPr>
      </w:pPr>
      <w:bookmarkStart w:id="5" w:name="_Toc234790267"/>
      <w:r w:rsidRPr="0059063F">
        <w:rPr>
          <w:rFonts w:ascii="Arial" w:hAnsi="Arial" w:cs="Arial"/>
          <w:b/>
          <w:bCs/>
          <w:color w:val="auto"/>
          <w:sz w:val="22"/>
          <w:szCs w:val="22"/>
        </w:rPr>
        <w:t>Critical analysis</w:t>
      </w:r>
      <w:bookmarkEnd w:id="5"/>
    </w:p>
    <w:p w14:paraId="0D92E48C" w14:textId="77777777" w:rsidR="0063484D" w:rsidRPr="00FB3357" w:rsidRDefault="006D21C7"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The PESTEL analysis indicates that political, technological and legal factors will have the greatest influence on VodafoneThree's future performance. The CMA's conditional approval provides greater investment certainty while imposing legally binding commitments relating to network deployment, consumer protection and competition (Competition and Markets Authority [CMA], 2024). Consequently, competitive advantage will depend on improving service quality and consumer outcomes as well as network expansion</w:t>
      </w:r>
      <w:r w:rsidR="0063484D" w:rsidRPr="00FB3357">
        <w:rPr>
          <w:rFonts w:ascii="Arial" w:eastAsia="Arial Nova" w:hAnsi="Arial" w:cs="Arial"/>
          <w:sz w:val="22"/>
          <w:szCs w:val="22"/>
        </w:rPr>
        <w:t xml:space="preserve">. </w:t>
      </w:r>
    </w:p>
    <w:p w14:paraId="2C48F520" w14:textId="77777777" w:rsidR="0063484D" w:rsidRPr="00FB3357" w:rsidRDefault="00D64A7E"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Inflation, high capital expenditure and pressure on household spending continue to constrain profitability, increasing the importance of post-merger efficiencies and higher-value enterprise services. At the same time, rising customer expectations for reliable connectivity and digital services reinforce customer experience as an increasingly important source of differentiation.</w:t>
      </w:r>
    </w:p>
    <w:p w14:paraId="435C7C10" w14:textId="77777777" w:rsidR="00CD71F9" w:rsidRDefault="00CD71F9"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lastRenderedPageBreak/>
        <w:t>Technological developments, particularly 5G, AI and IoT, create significant opportunities to diversify enterprise revenues (Vodafone Group Plc, 2025). However, rapid innovation reduces the sustainability of infrastructure-based advantages, while environmental and legal pressures increase the importance of energy efficiency, cybersecurity and regulatory compliance.</w:t>
      </w:r>
    </w:p>
    <w:p w14:paraId="12ED7DA9" w14:textId="3BCBE74A" w:rsidR="00D708CA" w:rsidRDefault="00C672C6" w:rsidP="00FB3357">
      <w:pPr>
        <w:spacing w:before="240" w:after="240"/>
        <w:jc w:val="both"/>
        <w:rPr>
          <w:rFonts w:ascii="Arial" w:eastAsia="Arial Nova" w:hAnsi="Arial" w:cs="Arial"/>
          <w:sz w:val="22"/>
          <w:szCs w:val="22"/>
        </w:rPr>
      </w:pPr>
      <w:r>
        <w:rPr>
          <w:rFonts w:ascii="Arial" w:eastAsia="Arial Nova" w:hAnsi="Arial" w:cs="Arial"/>
          <w:b/>
          <w:bCs/>
          <w:sz w:val="22"/>
          <w:szCs w:val="22"/>
        </w:rPr>
        <w:t>3</w:t>
      </w:r>
      <w:r w:rsidR="003014B3" w:rsidRPr="003014B3">
        <w:rPr>
          <w:rFonts w:ascii="Arial" w:eastAsia="Arial Nova" w:hAnsi="Arial" w:cs="Arial"/>
          <w:b/>
          <w:bCs/>
          <w:sz w:val="22"/>
          <w:szCs w:val="22"/>
        </w:rPr>
        <w:t>.3 Porter's Five Forces Analysis</w:t>
      </w:r>
    </w:p>
    <w:p w14:paraId="529A625B" w14:textId="36D1784B" w:rsidR="00955B1A" w:rsidRPr="00FB3357" w:rsidRDefault="00AA7294" w:rsidP="00FB3357">
      <w:pPr>
        <w:spacing w:before="240" w:after="240"/>
        <w:jc w:val="both"/>
        <w:rPr>
          <w:rFonts w:ascii="Arial" w:eastAsia="Arial Nova" w:hAnsi="Arial" w:cs="Arial"/>
          <w:sz w:val="22"/>
          <w:szCs w:val="22"/>
        </w:rPr>
      </w:pPr>
      <w:r w:rsidRPr="00AA7294">
        <w:rPr>
          <w:rFonts w:ascii="Arial" w:eastAsia="Arial Nova" w:hAnsi="Arial" w:cs="Arial"/>
          <w:sz w:val="22"/>
          <w:szCs w:val="22"/>
        </w:rPr>
        <w:t>The detailed Porter's Five Forces analysis supporting this discussion is presented in Figure A2 (Appendix 2)</w:t>
      </w:r>
      <w:r w:rsidR="00F96355" w:rsidRPr="00F96355">
        <w:rPr>
          <w:rFonts w:ascii="Arial" w:eastAsia="Arial Nova" w:hAnsi="Arial" w:cs="Arial"/>
          <w:sz w:val="22"/>
          <w:szCs w:val="22"/>
        </w:rPr>
        <w:t>.</w:t>
      </w:r>
    </w:p>
    <w:p w14:paraId="06DCEEA7" w14:textId="61BC2368" w:rsidR="001D36E8" w:rsidRPr="00FB3357" w:rsidRDefault="0959DEAD" w:rsidP="00FB3357">
      <w:pPr>
        <w:spacing w:before="240" w:after="240"/>
        <w:jc w:val="both"/>
        <w:rPr>
          <w:rFonts w:ascii="Arial" w:hAnsi="Arial" w:cs="Arial"/>
          <w:sz w:val="22"/>
          <w:szCs w:val="22"/>
        </w:rPr>
      </w:pPr>
      <w:r w:rsidRPr="00FB3357">
        <w:rPr>
          <w:rFonts w:ascii="Arial" w:eastAsia="Arial Nova" w:hAnsi="Arial" w:cs="Arial"/>
          <w:sz w:val="22"/>
          <w:szCs w:val="22"/>
        </w:rPr>
        <w:t xml:space="preserve">The analysis indicates that the UK telecommunications market remains highly competitive, with </w:t>
      </w:r>
      <w:r w:rsidRPr="00FB3357">
        <w:rPr>
          <w:rFonts w:ascii="Arial" w:eastAsia="Arial Nova" w:hAnsi="Arial" w:cs="Arial"/>
          <w:b/>
          <w:bCs/>
          <w:sz w:val="22"/>
          <w:szCs w:val="22"/>
        </w:rPr>
        <w:t>industry rivalry representing the strongest force</w:t>
      </w:r>
      <w:r w:rsidRPr="00FB3357">
        <w:rPr>
          <w:rFonts w:ascii="Arial" w:eastAsia="Arial Nova" w:hAnsi="Arial" w:cs="Arial"/>
          <w:sz w:val="22"/>
          <w:szCs w:val="22"/>
        </w:rPr>
        <w:t>. Established operators continue to compete aggressively through pricing strategies, network investment, bundled services and customer experience, reducing opportunities for sustained price-based differentiation. Although the VodafoneThree merger strengthens market share and operational scale, competitors such as BT/EE and Virgin Media O2 continue investing heavily in 5G infrastructure and digital services, limiting the competitive advantage created by the merger alone. Consequently, VodafoneThree must compete through innovation, enterprise connectivity and service differentiation rather than relying solely on economies of scale.</w:t>
      </w:r>
    </w:p>
    <w:p w14:paraId="661D1D3A" w14:textId="28D6CB3B" w:rsidR="001D36E8" w:rsidRPr="00FB3357" w:rsidRDefault="0959DEAD" w:rsidP="00FB3357">
      <w:pPr>
        <w:spacing w:before="240" w:after="240"/>
        <w:jc w:val="both"/>
        <w:rPr>
          <w:rFonts w:ascii="Arial" w:hAnsi="Arial" w:cs="Arial"/>
          <w:sz w:val="22"/>
          <w:szCs w:val="22"/>
        </w:rPr>
      </w:pPr>
      <w:r w:rsidRPr="00FB3357">
        <w:rPr>
          <w:rFonts w:ascii="Arial" w:eastAsia="Arial Nova" w:hAnsi="Arial" w:cs="Arial"/>
          <w:b/>
          <w:bCs/>
          <w:sz w:val="22"/>
          <w:szCs w:val="22"/>
        </w:rPr>
        <w:t>Buyer power</w:t>
      </w:r>
      <w:r w:rsidRPr="00FB3357">
        <w:rPr>
          <w:rFonts w:ascii="Arial" w:eastAsia="Arial Nova" w:hAnsi="Arial" w:cs="Arial"/>
          <w:sz w:val="22"/>
          <w:szCs w:val="22"/>
        </w:rPr>
        <w:t xml:space="preserve"> also remains relatively high due to low switching costs, price transparency and the availability of comparable mobile and broadband services. This increases pressure to improve customer retention through network quality, integrated digital solutions and value-added services rather than short-term promotional pricing. In contrast, the </w:t>
      </w:r>
      <w:r w:rsidRPr="00FB3357">
        <w:rPr>
          <w:rFonts w:ascii="Arial" w:eastAsia="Arial Nova" w:hAnsi="Arial" w:cs="Arial"/>
          <w:b/>
          <w:bCs/>
          <w:sz w:val="22"/>
          <w:szCs w:val="22"/>
        </w:rPr>
        <w:t>threat of new entrants</w:t>
      </w:r>
      <w:r w:rsidRPr="00FB3357">
        <w:rPr>
          <w:rFonts w:ascii="Arial" w:eastAsia="Arial Nova" w:hAnsi="Arial" w:cs="Arial"/>
          <w:sz w:val="22"/>
          <w:szCs w:val="22"/>
        </w:rPr>
        <w:t xml:space="preserve"> remains comparatively low because significant capital investment, spectrum licensing requirements and regulatory barriers restrict market entry. However, digital service providers and mobile virtual network operators (MVNOs) continue to intensify competition in selected market segments, demonstrating that competitive threats increasingly originate from innovative business models rather than traditional infrastructure ownership.</w:t>
      </w:r>
    </w:p>
    <w:p w14:paraId="53A811E8" w14:textId="57C84EC1" w:rsidR="001D36E8" w:rsidRPr="00FB3357" w:rsidRDefault="0959DEAD" w:rsidP="00FB3357">
      <w:pPr>
        <w:spacing w:before="240" w:after="240"/>
        <w:jc w:val="both"/>
        <w:rPr>
          <w:rFonts w:ascii="Arial" w:hAnsi="Arial" w:cs="Arial"/>
          <w:sz w:val="22"/>
          <w:szCs w:val="22"/>
        </w:rPr>
      </w:pPr>
      <w:r w:rsidRPr="00FB3357">
        <w:rPr>
          <w:rFonts w:ascii="Arial" w:eastAsia="Arial Nova" w:hAnsi="Arial" w:cs="Arial"/>
          <w:sz w:val="22"/>
          <w:szCs w:val="22"/>
        </w:rPr>
        <w:t xml:space="preserve">While </w:t>
      </w:r>
      <w:r w:rsidRPr="00FB3357">
        <w:rPr>
          <w:rFonts w:ascii="Arial" w:eastAsia="Arial Nova" w:hAnsi="Arial" w:cs="Arial"/>
          <w:b/>
          <w:bCs/>
          <w:sz w:val="22"/>
          <w:szCs w:val="22"/>
        </w:rPr>
        <w:t>supplier power</w:t>
      </w:r>
      <w:r w:rsidRPr="00FB3357">
        <w:rPr>
          <w:rFonts w:ascii="Arial" w:eastAsia="Arial Nova" w:hAnsi="Arial" w:cs="Arial"/>
          <w:sz w:val="22"/>
          <w:szCs w:val="22"/>
        </w:rPr>
        <w:t xml:space="preserve"> is moderated by VodafoneThree's increased purchasing scale following the merger, dependence on a limited number of technology and network equipment providers continues to create operational and technological risks. Similarly, the </w:t>
      </w:r>
      <w:r w:rsidRPr="00FB3357">
        <w:rPr>
          <w:rFonts w:ascii="Arial" w:eastAsia="Arial Nova" w:hAnsi="Arial" w:cs="Arial"/>
          <w:b/>
          <w:bCs/>
          <w:sz w:val="22"/>
          <w:szCs w:val="22"/>
        </w:rPr>
        <w:t>threat of substitutes</w:t>
      </w:r>
      <w:r w:rsidRPr="00FB3357">
        <w:rPr>
          <w:rFonts w:ascii="Arial" w:eastAsia="Arial Nova" w:hAnsi="Arial" w:cs="Arial"/>
          <w:sz w:val="22"/>
          <w:szCs w:val="22"/>
        </w:rPr>
        <w:t xml:space="preserve"> is increasing as internet-based communication platforms reduce demand for traditional voice and messaging services, reinforcing the need to expand higher-value enterprise connectivity, IoT and AI-enabled digital solutions.</w:t>
      </w:r>
    </w:p>
    <w:p w14:paraId="5309EB40" w14:textId="33235697" w:rsidR="001D36E8" w:rsidRDefault="006A6595"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Porter's Five Forces evaluates external competition, while the SWOT analysis integrates these findings with VodafoneThree's internal capabilities</w:t>
      </w:r>
      <w:r w:rsidR="0959DEAD" w:rsidRPr="00FB3357">
        <w:rPr>
          <w:rFonts w:ascii="Arial" w:eastAsia="Arial Nova" w:hAnsi="Arial" w:cs="Arial"/>
          <w:sz w:val="22"/>
          <w:szCs w:val="22"/>
        </w:rPr>
        <w:t>.</w:t>
      </w:r>
    </w:p>
    <w:p w14:paraId="635BCF3E" w14:textId="658F1A9B" w:rsidR="00B92BC3" w:rsidRPr="00F87A22" w:rsidRDefault="00900188" w:rsidP="00F87A22">
      <w:pPr>
        <w:pStyle w:val="Heading2"/>
        <w:rPr>
          <w:rFonts w:ascii="Arial" w:hAnsi="Arial" w:cs="Arial"/>
          <w:b/>
          <w:bCs/>
          <w:color w:val="auto"/>
          <w:sz w:val="22"/>
          <w:szCs w:val="22"/>
        </w:rPr>
      </w:pPr>
      <w:bookmarkStart w:id="6" w:name="_Toc234790268"/>
      <w:r w:rsidRPr="00F87A22">
        <w:rPr>
          <w:rFonts w:ascii="Arial" w:hAnsi="Arial" w:cs="Arial"/>
          <w:b/>
          <w:bCs/>
          <w:color w:val="auto"/>
          <w:sz w:val="22"/>
          <w:szCs w:val="22"/>
        </w:rPr>
        <w:t>3.4 SWOT Analysis</w:t>
      </w:r>
      <w:bookmarkEnd w:id="6"/>
    </w:p>
    <w:p w14:paraId="4AA02D16" w14:textId="53CE7B02" w:rsidR="00900188" w:rsidRPr="00FB3357" w:rsidRDefault="001346E1" w:rsidP="00FB3357">
      <w:pPr>
        <w:spacing w:before="240" w:after="240"/>
        <w:jc w:val="both"/>
        <w:rPr>
          <w:rFonts w:ascii="Arial" w:hAnsi="Arial" w:cs="Arial"/>
          <w:sz w:val="22"/>
          <w:szCs w:val="22"/>
        </w:rPr>
      </w:pPr>
      <w:r w:rsidRPr="001346E1">
        <w:rPr>
          <w:rFonts w:ascii="Arial" w:hAnsi="Arial" w:cs="Arial"/>
          <w:sz w:val="22"/>
          <w:szCs w:val="22"/>
        </w:rPr>
        <w:t>The detailed SWOT analysis supporting this discussion is presented in Figure A3 (Appendix 3)</w:t>
      </w:r>
      <w:r w:rsidR="00CC1EC1" w:rsidRPr="00CC1EC1">
        <w:rPr>
          <w:rFonts w:ascii="Arial" w:hAnsi="Arial" w:cs="Arial"/>
          <w:sz w:val="22"/>
          <w:szCs w:val="22"/>
        </w:rPr>
        <w:t>.</w:t>
      </w:r>
    </w:p>
    <w:p w14:paraId="7A598270" w14:textId="7DBB233F" w:rsidR="001D36E8" w:rsidRPr="00FB3357" w:rsidRDefault="0959DEAD" w:rsidP="00FB3357">
      <w:pPr>
        <w:spacing w:before="240" w:after="240"/>
        <w:jc w:val="both"/>
        <w:rPr>
          <w:rFonts w:ascii="Arial" w:hAnsi="Arial" w:cs="Arial"/>
          <w:sz w:val="22"/>
          <w:szCs w:val="22"/>
        </w:rPr>
      </w:pPr>
      <w:r w:rsidRPr="00FB3357">
        <w:rPr>
          <w:rFonts w:ascii="Arial" w:eastAsia="Arial Nova" w:hAnsi="Arial" w:cs="Arial"/>
          <w:sz w:val="22"/>
          <w:szCs w:val="22"/>
        </w:rPr>
        <w:t>The analysis demonstrates that VodafoneThree's</w:t>
      </w:r>
      <w:r w:rsidR="003E7876" w:rsidRPr="00FB3357">
        <w:rPr>
          <w:rFonts w:ascii="Arial" w:eastAsia="Arial Nova" w:hAnsi="Arial" w:cs="Arial"/>
          <w:sz w:val="22"/>
          <w:szCs w:val="22"/>
        </w:rPr>
        <w:t xml:space="preserve"> </w:t>
      </w:r>
      <w:r w:rsidRPr="00FB3357">
        <w:rPr>
          <w:rFonts w:ascii="Arial" w:eastAsia="Arial Nova" w:hAnsi="Arial" w:cs="Arial"/>
          <w:sz w:val="22"/>
          <w:szCs w:val="22"/>
        </w:rPr>
        <w:t xml:space="preserve">strengths lie in its enhanced network infrastructure, expanded spectrum portfolio, increased customer base and improved financial capacity. These resources provide a strong platform for future growth; however, they will generate sustainable competitive advantage only if they are effectively integrated and </w:t>
      </w:r>
      <w:r w:rsidRPr="00FB3357">
        <w:rPr>
          <w:rFonts w:ascii="Arial" w:eastAsia="Arial Nova" w:hAnsi="Arial" w:cs="Arial"/>
          <w:sz w:val="22"/>
          <w:szCs w:val="22"/>
        </w:rPr>
        <w:lastRenderedPageBreak/>
        <w:t>translated into superior customer value. Equally, the organisation's weaknesses, including post-merger integration complexity, legacy systems and potential cultural differences, highlight that execution risk may constrain the benefits expected from the merger if organisational change is not effectively managed.</w:t>
      </w:r>
    </w:p>
    <w:p w14:paraId="54FD8901" w14:textId="77777777" w:rsidR="001C090A" w:rsidRPr="00FB3357" w:rsidRDefault="00D90311"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Externally, the SWOT analysis confirms that the opportunities and threats identified through the PESTEL and Five Forces analyses reinforce the need to effectively leverage VodafoneThree's internal strengths. Accordingly, long-term success will depend on integrating its post-merger capabilities while maintaining regulatory compliance and customer trust.</w:t>
      </w:r>
    </w:p>
    <w:p w14:paraId="53D619DE" w14:textId="29479127" w:rsidR="009D76F2" w:rsidRPr="00FB3357" w:rsidRDefault="009D76F2"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While the SWOT analysis identifies VodafoneThree's strategic position, the TOWS Matrix converts these findings into strategic alternatives.</w:t>
      </w:r>
    </w:p>
    <w:p w14:paraId="705A48FB" w14:textId="292B513E" w:rsidR="001D36E8" w:rsidRPr="005055FA" w:rsidRDefault="00CC1EC1" w:rsidP="00FB3357">
      <w:pPr>
        <w:pStyle w:val="Heading2"/>
        <w:spacing w:before="299" w:after="299"/>
        <w:jc w:val="both"/>
        <w:rPr>
          <w:rFonts w:ascii="Arial" w:hAnsi="Arial" w:cs="Arial"/>
          <w:color w:val="auto"/>
          <w:sz w:val="22"/>
          <w:szCs w:val="22"/>
        </w:rPr>
      </w:pPr>
      <w:bookmarkStart w:id="7" w:name="_Toc234790269"/>
      <w:r>
        <w:rPr>
          <w:rFonts w:ascii="Arial" w:eastAsia="Arial Nova" w:hAnsi="Arial" w:cs="Arial"/>
          <w:b/>
          <w:bCs/>
          <w:color w:val="auto"/>
          <w:sz w:val="22"/>
          <w:szCs w:val="22"/>
        </w:rPr>
        <w:t>3</w:t>
      </w:r>
      <w:r w:rsidR="5495B2F4" w:rsidRPr="005055FA">
        <w:rPr>
          <w:rFonts w:ascii="Arial" w:eastAsia="Arial Nova" w:hAnsi="Arial" w:cs="Arial"/>
          <w:b/>
          <w:bCs/>
          <w:color w:val="auto"/>
          <w:sz w:val="22"/>
          <w:szCs w:val="22"/>
        </w:rPr>
        <w:t>.5 TOWS Matrix</w:t>
      </w:r>
      <w:bookmarkEnd w:id="7"/>
    </w:p>
    <w:p w14:paraId="1A4F3592" w14:textId="4313FC23" w:rsidR="007D097E" w:rsidRPr="004D7749" w:rsidRDefault="00AD75D2" w:rsidP="004D7749">
      <w:pPr>
        <w:rPr>
          <w:rFonts w:ascii="Arial" w:hAnsi="Arial" w:cs="Arial"/>
          <w:i/>
          <w:iCs/>
          <w:sz w:val="22"/>
          <w:szCs w:val="22"/>
        </w:rPr>
      </w:pPr>
      <w:r w:rsidRPr="004D7749">
        <w:rPr>
          <w:rFonts w:ascii="Arial" w:hAnsi="Arial" w:cs="Arial"/>
          <w:i/>
          <w:iCs/>
          <w:sz w:val="22"/>
          <w:szCs w:val="22"/>
        </w:rPr>
        <w:t xml:space="preserve">Figure </w:t>
      </w:r>
      <w:r w:rsidR="00C150BD">
        <w:rPr>
          <w:rFonts w:ascii="Arial" w:hAnsi="Arial" w:cs="Arial"/>
          <w:i/>
          <w:iCs/>
          <w:sz w:val="22"/>
          <w:szCs w:val="22"/>
        </w:rPr>
        <w:t>1</w:t>
      </w:r>
      <w:r w:rsidRPr="004D7749">
        <w:rPr>
          <w:rFonts w:ascii="Arial" w:hAnsi="Arial" w:cs="Arial"/>
          <w:i/>
          <w:iCs/>
          <w:sz w:val="22"/>
          <w:szCs w:val="22"/>
        </w:rPr>
        <w:t xml:space="preserve"> applies the TOWS Matrix to convert the SWOT findings into strategic options for VodafoneThree.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8"/>
        <w:gridCol w:w="3933"/>
        <w:gridCol w:w="3635"/>
      </w:tblGrid>
      <w:tr w:rsidR="007D097E" w:rsidRPr="00FB3357" w14:paraId="7196573F" w14:textId="77777777" w:rsidTr="00D8008F">
        <w:trPr>
          <w:tblHeader/>
          <w:tblCellSpacing w:w="15" w:type="dxa"/>
        </w:trPr>
        <w:tc>
          <w:tcPr>
            <w:tcW w:w="0" w:type="auto"/>
            <w:vAlign w:val="center"/>
            <w:hideMark/>
          </w:tcPr>
          <w:p w14:paraId="3A46249C" w14:textId="77777777" w:rsidR="007D097E" w:rsidRPr="00FB3357" w:rsidRDefault="007D097E" w:rsidP="00FB3357">
            <w:pPr>
              <w:jc w:val="both"/>
              <w:rPr>
                <w:rFonts w:ascii="Arial" w:hAnsi="Arial" w:cs="Arial"/>
                <w:sz w:val="22"/>
                <w:szCs w:val="22"/>
              </w:rPr>
            </w:pPr>
          </w:p>
        </w:tc>
        <w:tc>
          <w:tcPr>
            <w:tcW w:w="0" w:type="auto"/>
            <w:shd w:val="clear" w:color="auto" w:fill="83CAEB" w:themeFill="accent1" w:themeFillTint="66"/>
            <w:vAlign w:val="center"/>
            <w:hideMark/>
          </w:tcPr>
          <w:p w14:paraId="2FF75661" w14:textId="77777777" w:rsidR="007D097E" w:rsidRPr="00FB3357" w:rsidRDefault="007D097E" w:rsidP="005055FA">
            <w:pPr>
              <w:jc w:val="center"/>
              <w:rPr>
                <w:rFonts w:ascii="Arial" w:hAnsi="Arial" w:cs="Arial"/>
                <w:b/>
                <w:bCs/>
                <w:sz w:val="22"/>
                <w:szCs w:val="22"/>
              </w:rPr>
            </w:pPr>
            <w:r w:rsidRPr="00FB3357">
              <w:rPr>
                <w:rFonts w:ascii="Arial" w:hAnsi="Arial" w:cs="Arial"/>
                <w:b/>
                <w:bCs/>
                <w:sz w:val="22"/>
                <w:szCs w:val="22"/>
              </w:rPr>
              <w:t>Opportunities (O)</w:t>
            </w:r>
          </w:p>
        </w:tc>
        <w:tc>
          <w:tcPr>
            <w:tcW w:w="0" w:type="auto"/>
            <w:shd w:val="clear" w:color="auto" w:fill="83CAEB" w:themeFill="accent1" w:themeFillTint="66"/>
            <w:vAlign w:val="center"/>
            <w:hideMark/>
          </w:tcPr>
          <w:p w14:paraId="3EB99BAF" w14:textId="77777777" w:rsidR="007D097E" w:rsidRPr="00FB3357" w:rsidRDefault="007D097E" w:rsidP="005055FA">
            <w:pPr>
              <w:jc w:val="center"/>
              <w:rPr>
                <w:rFonts w:ascii="Arial" w:hAnsi="Arial" w:cs="Arial"/>
                <w:b/>
                <w:bCs/>
                <w:sz w:val="22"/>
                <w:szCs w:val="22"/>
              </w:rPr>
            </w:pPr>
            <w:r w:rsidRPr="00FB3357">
              <w:rPr>
                <w:rFonts w:ascii="Arial" w:hAnsi="Arial" w:cs="Arial"/>
                <w:b/>
                <w:bCs/>
                <w:sz w:val="22"/>
                <w:szCs w:val="22"/>
              </w:rPr>
              <w:t>Threats (T)</w:t>
            </w:r>
          </w:p>
        </w:tc>
      </w:tr>
      <w:tr w:rsidR="007D097E" w:rsidRPr="00FB3357" w14:paraId="629C5D25" w14:textId="77777777" w:rsidTr="00D8008F">
        <w:trPr>
          <w:tblCellSpacing w:w="15" w:type="dxa"/>
        </w:trPr>
        <w:tc>
          <w:tcPr>
            <w:tcW w:w="0" w:type="auto"/>
            <w:shd w:val="clear" w:color="auto" w:fill="92D050"/>
            <w:vAlign w:val="center"/>
            <w:hideMark/>
          </w:tcPr>
          <w:p w14:paraId="2F9E0173" w14:textId="77777777" w:rsidR="007D097E" w:rsidRPr="00FB3357" w:rsidRDefault="007D097E" w:rsidP="005055FA">
            <w:pPr>
              <w:jc w:val="center"/>
              <w:rPr>
                <w:rFonts w:ascii="Arial" w:hAnsi="Arial" w:cs="Arial"/>
                <w:sz w:val="22"/>
                <w:szCs w:val="22"/>
              </w:rPr>
            </w:pPr>
            <w:r w:rsidRPr="00FB3357">
              <w:rPr>
                <w:rFonts w:ascii="Arial" w:hAnsi="Arial" w:cs="Arial"/>
                <w:b/>
                <w:bCs/>
                <w:sz w:val="22"/>
                <w:szCs w:val="22"/>
              </w:rPr>
              <w:t>Strengths (S)</w:t>
            </w:r>
          </w:p>
        </w:tc>
        <w:tc>
          <w:tcPr>
            <w:tcW w:w="0" w:type="auto"/>
            <w:vAlign w:val="center"/>
            <w:hideMark/>
          </w:tcPr>
          <w:p w14:paraId="5BAA7277" w14:textId="77777777" w:rsidR="007D097E" w:rsidRPr="00FB3357" w:rsidRDefault="007D097E" w:rsidP="005055FA">
            <w:pPr>
              <w:jc w:val="center"/>
              <w:rPr>
                <w:rFonts w:ascii="Arial" w:hAnsi="Arial" w:cs="Arial"/>
                <w:sz w:val="22"/>
                <w:szCs w:val="22"/>
              </w:rPr>
            </w:pPr>
            <w:r w:rsidRPr="00FB3357">
              <w:rPr>
                <w:rFonts w:ascii="Arial" w:hAnsi="Arial" w:cs="Arial"/>
                <w:b/>
                <w:bCs/>
                <w:sz w:val="22"/>
                <w:szCs w:val="22"/>
              </w:rPr>
              <w:t xml:space="preserve">SO Strategy. </w:t>
            </w:r>
            <w:r w:rsidRPr="00FB3357">
              <w:rPr>
                <w:rFonts w:ascii="Arial" w:hAnsi="Arial" w:cs="Arial"/>
                <w:sz w:val="22"/>
                <w:szCs w:val="22"/>
              </w:rPr>
              <w:t xml:space="preserve"> Leverage VodafoneThree's expanded spectrum, network scale and enterprise relationships to accelerate growth in private 5G, IoT, AI-enabled enterprise connectivity and edge computing services. (Heinz Weihrich, 1982; Vodafone Group, 2025; GSMA, 2025; David J. Teece </w:t>
            </w:r>
            <w:r w:rsidRPr="00FB3357">
              <w:rPr>
                <w:rFonts w:ascii="Arial" w:hAnsi="Arial" w:cs="Arial"/>
                <w:i/>
                <w:iCs/>
                <w:sz w:val="22"/>
                <w:szCs w:val="22"/>
              </w:rPr>
              <w:t>et al</w:t>
            </w:r>
            <w:r w:rsidRPr="00FB3357">
              <w:rPr>
                <w:rFonts w:ascii="Arial" w:hAnsi="Arial" w:cs="Arial"/>
                <w:sz w:val="22"/>
                <w:szCs w:val="22"/>
              </w:rPr>
              <w:t>., 1997).</w:t>
            </w:r>
          </w:p>
        </w:tc>
        <w:tc>
          <w:tcPr>
            <w:tcW w:w="0" w:type="auto"/>
            <w:vAlign w:val="center"/>
            <w:hideMark/>
          </w:tcPr>
          <w:p w14:paraId="34F62954" w14:textId="77777777" w:rsidR="007D097E" w:rsidRPr="00FB3357" w:rsidRDefault="007D097E" w:rsidP="005055FA">
            <w:pPr>
              <w:jc w:val="center"/>
              <w:rPr>
                <w:rFonts w:ascii="Arial" w:hAnsi="Arial" w:cs="Arial"/>
                <w:sz w:val="22"/>
                <w:szCs w:val="22"/>
              </w:rPr>
            </w:pPr>
            <w:r w:rsidRPr="00FB3357">
              <w:rPr>
                <w:rFonts w:ascii="Arial" w:hAnsi="Arial" w:cs="Arial"/>
                <w:b/>
                <w:bCs/>
                <w:sz w:val="22"/>
                <w:szCs w:val="22"/>
              </w:rPr>
              <w:t>ST Strategy</w:t>
            </w:r>
            <w:r w:rsidRPr="00FB3357">
              <w:rPr>
                <w:rFonts w:ascii="Arial" w:hAnsi="Arial" w:cs="Arial"/>
                <w:sz w:val="22"/>
                <w:szCs w:val="22"/>
              </w:rPr>
              <w:t>. Use enhanced network investment, operational scale and customer experience improvements to defend market share against EE and Virgin Media O2 while strengthening compliance with regulatory commitments. (Weihrich, 1982; Vodafone Group, 2025; CMA, 2024; Ofcom, 2025).</w:t>
            </w:r>
          </w:p>
        </w:tc>
      </w:tr>
      <w:tr w:rsidR="007D097E" w:rsidRPr="00FB3357" w14:paraId="1A85195E" w14:textId="77777777" w:rsidTr="00D8008F">
        <w:trPr>
          <w:tblCellSpacing w:w="15" w:type="dxa"/>
        </w:trPr>
        <w:tc>
          <w:tcPr>
            <w:tcW w:w="0" w:type="auto"/>
            <w:shd w:val="clear" w:color="auto" w:fill="92D050"/>
            <w:vAlign w:val="center"/>
            <w:hideMark/>
          </w:tcPr>
          <w:p w14:paraId="23AE4848" w14:textId="77777777" w:rsidR="007D097E" w:rsidRPr="00FB3357" w:rsidRDefault="007D097E" w:rsidP="005055FA">
            <w:pPr>
              <w:jc w:val="center"/>
              <w:rPr>
                <w:rFonts w:ascii="Arial" w:hAnsi="Arial" w:cs="Arial"/>
                <w:sz w:val="22"/>
                <w:szCs w:val="22"/>
              </w:rPr>
            </w:pPr>
            <w:r w:rsidRPr="00FB3357">
              <w:rPr>
                <w:rFonts w:ascii="Arial" w:hAnsi="Arial" w:cs="Arial"/>
                <w:b/>
                <w:bCs/>
                <w:sz w:val="22"/>
                <w:szCs w:val="22"/>
              </w:rPr>
              <w:t>Weaknesses (W)</w:t>
            </w:r>
          </w:p>
        </w:tc>
        <w:tc>
          <w:tcPr>
            <w:tcW w:w="0" w:type="auto"/>
            <w:vAlign w:val="center"/>
            <w:hideMark/>
          </w:tcPr>
          <w:p w14:paraId="7017C4F3" w14:textId="77777777" w:rsidR="007D097E" w:rsidRPr="00FB3357" w:rsidRDefault="007D097E" w:rsidP="005055FA">
            <w:pPr>
              <w:rPr>
                <w:rFonts w:ascii="Arial" w:hAnsi="Arial" w:cs="Arial"/>
                <w:sz w:val="22"/>
                <w:szCs w:val="22"/>
              </w:rPr>
            </w:pPr>
            <w:r w:rsidRPr="00FB3357">
              <w:rPr>
                <w:rFonts w:ascii="Arial" w:hAnsi="Arial" w:cs="Arial"/>
                <w:b/>
                <w:bCs/>
                <w:sz w:val="22"/>
                <w:szCs w:val="22"/>
              </w:rPr>
              <w:t>WO Strategy.</w:t>
            </w:r>
            <w:r w:rsidRPr="00FB3357">
              <w:rPr>
                <w:rFonts w:ascii="Arial" w:hAnsi="Arial" w:cs="Arial"/>
                <w:sz w:val="22"/>
                <w:szCs w:val="22"/>
              </w:rPr>
              <w:t xml:space="preserve"> Reduce capability gaps through strategic technology partnerships, AI collaboration and phased digital capability development while using merger synergies to support investment. (Weihrich, 1982; Vodafone Group, 2025; GSMA, 2025; Teece </w:t>
            </w:r>
            <w:r w:rsidRPr="00FB3357">
              <w:rPr>
                <w:rFonts w:ascii="Arial" w:hAnsi="Arial" w:cs="Arial"/>
                <w:i/>
                <w:iCs/>
                <w:sz w:val="22"/>
                <w:szCs w:val="22"/>
              </w:rPr>
              <w:t>et al</w:t>
            </w:r>
            <w:r w:rsidRPr="00FB3357">
              <w:rPr>
                <w:rFonts w:ascii="Arial" w:hAnsi="Arial" w:cs="Arial"/>
                <w:sz w:val="22"/>
                <w:szCs w:val="22"/>
              </w:rPr>
              <w:t>., 1997).</w:t>
            </w:r>
          </w:p>
        </w:tc>
        <w:tc>
          <w:tcPr>
            <w:tcW w:w="0" w:type="auto"/>
            <w:vAlign w:val="center"/>
            <w:hideMark/>
          </w:tcPr>
          <w:p w14:paraId="5AEB9377" w14:textId="77777777" w:rsidR="007D097E" w:rsidRPr="00FB3357" w:rsidRDefault="007D097E" w:rsidP="005055FA">
            <w:pPr>
              <w:jc w:val="center"/>
              <w:rPr>
                <w:rFonts w:ascii="Arial" w:hAnsi="Arial" w:cs="Arial"/>
                <w:sz w:val="22"/>
                <w:szCs w:val="22"/>
              </w:rPr>
            </w:pPr>
            <w:r w:rsidRPr="00FB3357">
              <w:rPr>
                <w:rFonts w:ascii="Arial" w:hAnsi="Arial" w:cs="Arial"/>
                <w:b/>
                <w:bCs/>
                <w:sz w:val="22"/>
                <w:szCs w:val="22"/>
              </w:rPr>
              <w:t>WT Strategy.</w:t>
            </w:r>
            <w:r w:rsidRPr="00FB3357">
              <w:rPr>
                <w:rFonts w:ascii="Arial" w:hAnsi="Arial" w:cs="Arial"/>
                <w:sz w:val="22"/>
                <w:szCs w:val="22"/>
              </w:rPr>
              <w:t xml:space="preserve"> Prioritise successful merger integration, operational efficiency and risk management before pursuing large-scale diversification or high-risk expansion initiatives. (Weihrich, 1982; CMA, 2024; Ofcom, 2025; Teece </w:t>
            </w:r>
            <w:r w:rsidRPr="00FB3357">
              <w:rPr>
                <w:rFonts w:ascii="Arial" w:hAnsi="Arial" w:cs="Arial"/>
                <w:i/>
                <w:iCs/>
                <w:sz w:val="22"/>
                <w:szCs w:val="22"/>
              </w:rPr>
              <w:t>et al</w:t>
            </w:r>
            <w:r w:rsidRPr="00FB3357">
              <w:rPr>
                <w:rFonts w:ascii="Arial" w:hAnsi="Arial" w:cs="Arial"/>
                <w:sz w:val="22"/>
                <w:szCs w:val="22"/>
              </w:rPr>
              <w:t>., 1997).</w:t>
            </w:r>
          </w:p>
        </w:tc>
      </w:tr>
    </w:tbl>
    <w:p w14:paraId="5295074E" w14:textId="40592F44" w:rsidR="007D097E" w:rsidRPr="00FB3357" w:rsidRDefault="00F7006B" w:rsidP="00FB3357">
      <w:pPr>
        <w:jc w:val="both"/>
        <w:rPr>
          <w:rFonts w:ascii="Arial" w:hAnsi="Arial" w:cs="Arial"/>
          <w:i/>
          <w:iCs/>
          <w:sz w:val="22"/>
          <w:szCs w:val="22"/>
        </w:rPr>
      </w:pPr>
      <w:r w:rsidRPr="00FB3357">
        <w:rPr>
          <w:rFonts w:ascii="Arial" w:hAnsi="Arial" w:cs="Arial"/>
          <w:i/>
          <w:iCs/>
          <w:sz w:val="22"/>
          <w:szCs w:val="22"/>
        </w:rPr>
        <w:t>Source: Author's analysis.</w:t>
      </w:r>
      <w:r w:rsidRPr="00FB3357">
        <w:rPr>
          <w:rFonts w:ascii="Arial" w:hAnsi="Arial" w:cs="Arial"/>
          <w:i/>
          <w:iCs/>
          <w:sz w:val="22"/>
          <w:szCs w:val="22"/>
        </w:rPr>
        <w:tab/>
      </w:r>
    </w:p>
    <w:p w14:paraId="5DD124A1" w14:textId="2A7C88E6" w:rsidR="001D36E8" w:rsidRPr="00FB3357" w:rsidRDefault="00EB1DE1" w:rsidP="00FB3357">
      <w:pPr>
        <w:spacing w:before="240" w:after="240"/>
        <w:jc w:val="both"/>
        <w:rPr>
          <w:rFonts w:ascii="Arial" w:hAnsi="Arial" w:cs="Arial"/>
          <w:sz w:val="22"/>
          <w:szCs w:val="22"/>
        </w:rPr>
      </w:pPr>
      <w:r w:rsidRPr="00FB3357">
        <w:rPr>
          <w:rFonts w:ascii="Arial" w:eastAsia="Arial Nova" w:hAnsi="Arial" w:cs="Arial"/>
          <w:sz w:val="22"/>
          <w:szCs w:val="22"/>
        </w:rPr>
        <w:t>The analysis indicates that SO (Strengths–Opportunities) strategies offer the greatest strategic potential because they align VodafoneThree's post-merger strengths with the most attractive growth opportunities identified in the external analysis</w:t>
      </w:r>
      <w:r w:rsidR="00D21B12" w:rsidRPr="00FB3357">
        <w:rPr>
          <w:rFonts w:ascii="Arial" w:eastAsia="Arial Nova" w:hAnsi="Arial" w:cs="Arial"/>
          <w:sz w:val="22"/>
          <w:szCs w:val="22"/>
        </w:rPr>
        <w:t>.</w:t>
      </w:r>
      <w:r w:rsidR="5495B2F4" w:rsidRPr="00FB3357">
        <w:rPr>
          <w:rFonts w:ascii="Arial" w:eastAsia="Arial Nova" w:hAnsi="Arial" w:cs="Arial"/>
          <w:sz w:val="22"/>
          <w:szCs w:val="22"/>
        </w:rPr>
        <w:t xml:space="preserve"> </w:t>
      </w:r>
      <w:r w:rsidR="00702CD1" w:rsidRPr="00FB3357">
        <w:rPr>
          <w:rFonts w:ascii="Arial" w:eastAsia="Arial Nova" w:hAnsi="Arial" w:cs="Arial"/>
          <w:sz w:val="22"/>
          <w:szCs w:val="22"/>
        </w:rPr>
        <w:t>This direction is supported by Vodafone's continued investment in digital infrastructure and enterprise services (Vodafone Group Plc, 2025; CMA, 2024)</w:t>
      </w:r>
      <w:r w:rsidR="008F7432" w:rsidRPr="00FB3357">
        <w:rPr>
          <w:rFonts w:ascii="Arial" w:eastAsia="Arial Nova" w:hAnsi="Arial" w:cs="Arial"/>
          <w:sz w:val="22"/>
          <w:szCs w:val="22"/>
        </w:rPr>
        <w:t xml:space="preserve">. </w:t>
      </w:r>
      <w:r w:rsidR="5495B2F4" w:rsidRPr="00FB3357">
        <w:rPr>
          <w:rFonts w:ascii="Arial" w:eastAsia="Arial Nova" w:hAnsi="Arial" w:cs="Arial"/>
          <w:sz w:val="22"/>
          <w:szCs w:val="22"/>
        </w:rPr>
        <w:t>These opportunities align closely with the organisation's strengthened post-merger capabilities and provide greater potential for sustainable value creation than competing primarily through price-based consumer services.</w:t>
      </w:r>
    </w:p>
    <w:p w14:paraId="38F5317E" w14:textId="2170B41E" w:rsidR="001D36E8" w:rsidRPr="00FB3357" w:rsidRDefault="5495B2F4" w:rsidP="00FB3357">
      <w:pPr>
        <w:spacing w:before="240" w:after="240"/>
        <w:jc w:val="both"/>
        <w:rPr>
          <w:rFonts w:ascii="Arial" w:hAnsi="Arial" w:cs="Arial"/>
          <w:sz w:val="22"/>
          <w:szCs w:val="22"/>
        </w:rPr>
      </w:pPr>
      <w:r w:rsidRPr="00FB3357">
        <w:rPr>
          <w:rFonts w:ascii="Arial" w:eastAsia="Arial Nova" w:hAnsi="Arial" w:cs="Arial"/>
          <w:b/>
          <w:bCs/>
          <w:sz w:val="22"/>
          <w:szCs w:val="22"/>
        </w:rPr>
        <w:lastRenderedPageBreak/>
        <w:t>WO (Weaknesses–Opportunities)</w:t>
      </w:r>
      <w:r w:rsidRPr="00FB3357">
        <w:rPr>
          <w:rFonts w:ascii="Arial" w:eastAsia="Arial Nova" w:hAnsi="Arial" w:cs="Arial"/>
          <w:sz w:val="22"/>
          <w:szCs w:val="22"/>
        </w:rPr>
        <w:t xml:space="preserve"> strategies also represent an important priority, as successfully integrating operations, systems and organisational culture will enable VodafoneThree to fully exploit emerging market opportunities.</w:t>
      </w:r>
      <w:r w:rsidR="00B46293" w:rsidRPr="00FB3357">
        <w:rPr>
          <w:rFonts w:ascii="Arial" w:hAnsi="Arial" w:cs="Arial"/>
          <w:sz w:val="22"/>
          <w:szCs w:val="22"/>
        </w:rPr>
        <w:t xml:space="preserve"> </w:t>
      </w:r>
      <w:r w:rsidR="00B46293" w:rsidRPr="00FB3357">
        <w:rPr>
          <w:rFonts w:ascii="Arial" w:eastAsia="Arial Nova" w:hAnsi="Arial" w:cs="Arial"/>
          <w:sz w:val="22"/>
          <w:szCs w:val="22"/>
        </w:rPr>
        <w:t>Successful operational integration is essential to realise expected merger synergies</w:t>
      </w:r>
      <w:r w:rsidRPr="00FB3357">
        <w:rPr>
          <w:rFonts w:ascii="Arial" w:eastAsia="Arial Nova" w:hAnsi="Arial" w:cs="Arial"/>
          <w:b/>
          <w:bCs/>
          <w:sz w:val="22"/>
          <w:szCs w:val="22"/>
        </w:rPr>
        <w:t>.</w:t>
      </w:r>
      <w:r w:rsidR="00B46293" w:rsidRPr="00FB3357">
        <w:rPr>
          <w:rFonts w:ascii="Arial" w:eastAsia="Arial Nova" w:hAnsi="Arial" w:cs="Arial"/>
          <w:b/>
          <w:bCs/>
          <w:sz w:val="22"/>
          <w:szCs w:val="22"/>
        </w:rPr>
        <w:t xml:space="preserve"> </w:t>
      </w:r>
      <w:r w:rsidRPr="00FB3357">
        <w:rPr>
          <w:rFonts w:ascii="Arial" w:eastAsia="Arial Nova" w:hAnsi="Arial" w:cs="Arial"/>
          <w:sz w:val="22"/>
          <w:szCs w:val="22"/>
        </w:rPr>
        <w:t xml:space="preserve"> Addressing internal weaknesses is therefore a prerequisite for realising the full strategic benefits of the merger.</w:t>
      </w:r>
    </w:p>
    <w:p w14:paraId="7A4AE95D" w14:textId="29C59DA8" w:rsidR="001D36E8" w:rsidRPr="00526F99" w:rsidRDefault="5495B2F4" w:rsidP="00FB3357">
      <w:pPr>
        <w:spacing w:before="240" w:after="240"/>
        <w:jc w:val="both"/>
        <w:rPr>
          <w:rFonts w:ascii="Arial" w:hAnsi="Arial" w:cs="Arial"/>
          <w:sz w:val="22"/>
          <w:szCs w:val="22"/>
        </w:rPr>
      </w:pPr>
      <w:r w:rsidRPr="00526F99">
        <w:rPr>
          <w:rFonts w:ascii="Arial" w:eastAsia="Arial Nova" w:hAnsi="Arial" w:cs="Arial"/>
          <w:sz w:val="22"/>
          <w:szCs w:val="22"/>
        </w:rPr>
        <w:t xml:space="preserve">In contrast, </w:t>
      </w:r>
      <w:r w:rsidRPr="00526F99">
        <w:rPr>
          <w:rFonts w:ascii="Arial" w:eastAsia="Arial Nova" w:hAnsi="Arial" w:cs="Arial"/>
          <w:b/>
          <w:bCs/>
          <w:sz w:val="22"/>
          <w:szCs w:val="22"/>
        </w:rPr>
        <w:t>ST (Strengths–Threats)</w:t>
      </w:r>
      <w:r w:rsidRPr="00526F99">
        <w:rPr>
          <w:rFonts w:ascii="Arial" w:eastAsia="Arial Nova" w:hAnsi="Arial" w:cs="Arial"/>
          <w:sz w:val="22"/>
          <w:szCs w:val="22"/>
        </w:rPr>
        <w:t xml:space="preserve"> strategies primarily focus on protecting VodafoneThree's competitive position against regulatory pressures, technological disruption and aggressive market competition. </w:t>
      </w:r>
      <w:r w:rsidRPr="00526F99">
        <w:rPr>
          <w:rFonts w:ascii="Arial" w:eastAsia="Arial Nova" w:hAnsi="Arial" w:cs="Arial"/>
          <w:b/>
          <w:bCs/>
          <w:sz w:val="22"/>
          <w:szCs w:val="22"/>
        </w:rPr>
        <w:t>For example, the CMA's legally binding commitments require VodafoneThree to demonstrate improvements in network investment and consumer outcomes, increasing the importance of regulatory compliance alongside commercial performance (CMA, 2024).</w:t>
      </w:r>
      <w:r w:rsidRPr="00526F99">
        <w:rPr>
          <w:rFonts w:ascii="Arial" w:eastAsia="Arial Nova" w:hAnsi="Arial" w:cs="Arial"/>
          <w:sz w:val="22"/>
          <w:szCs w:val="22"/>
        </w:rPr>
        <w:t xml:space="preserve"> While these actions remain necessary to safeguard performance, they are defensive in nature and contribute less to long-term growth than strategies centred on innovation and market development.</w:t>
      </w:r>
    </w:p>
    <w:p w14:paraId="3985027C" w14:textId="7FC1BA43" w:rsidR="001D36E8" w:rsidRPr="00526F99" w:rsidRDefault="5495B2F4" w:rsidP="00FB3357">
      <w:pPr>
        <w:spacing w:before="240" w:after="240"/>
        <w:jc w:val="both"/>
        <w:rPr>
          <w:rFonts w:ascii="Arial" w:hAnsi="Arial" w:cs="Arial"/>
          <w:sz w:val="22"/>
          <w:szCs w:val="22"/>
        </w:rPr>
      </w:pPr>
      <w:r w:rsidRPr="00526F99">
        <w:rPr>
          <w:rFonts w:ascii="Arial" w:eastAsia="Arial Nova" w:hAnsi="Arial" w:cs="Arial"/>
          <w:sz w:val="22"/>
          <w:szCs w:val="22"/>
        </w:rPr>
        <w:t xml:space="preserve">Similarly, </w:t>
      </w:r>
      <w:r w:rsidRPr="00526F99">
        <w:rPr>
          <w:rFonts w:ascii="Arial" w:eastAsia="Arial Nova" w:hAnsi="Arial" w:cs="Arial"/>
          <w:b/>
          <w:bCs/>
          <w:sz w:val="22"/>
          <w:szCs w:val="22"/>
        </w:rPr>
        <w:t>WT (Weaknesses–Threats)</w:t>
      </w:r>
      <w:r w:rsidRPr="00526F99">
        <w:rPr>
          <w:rFonts w:ascii="Arial" w:eastAsia="Arial Nova" w:hAnsi="Arial" w:cs="Arial"/>
          <w:sz w:val="22"/>
          <w:szCs w:val="22"/>
        </w:rPr>
        <w:t xml:space="preserve"> strategies aim to minimise organisational risks through cost control, governance and operational resilience. Although these measures strengthen organisational stability, they offer limited opportunities to generate sustainable competitive advantage because they focus primarily on risk mitigation rather than value creation.</w:t>
      </w:r>
    </w:p>
    <w:p w14:paraId="21BC499D" w14:textId="77777777" w:rsidR="00156C16" w:rsidRPr="00526F99" w:rsidRDefault="00574930" w:rsidP="00FB3357">
      <w:pPr>
        <w:spacing w:before="240" w:after="240"/>
        <w:jc w:val="both"/>
        <w:rPr>
          <w:rFonts w:ascii="Arial" w:eastAsia="Arial Nova" w:hAnsi="Arial" w:cs="Arial"/>
          <w:sz w:val="22"/>
          <w:szCs w:val="22"/>
        </w:rPr>
      </w:pPr>
      <w:r w:rsidRPr="00526F99">
        <w:rPr>
          <w:rFonts w:ascii="Arial" w:eastAsia="Arial Nova" w:hAnsi="Arial" w:cs="Arial"/>
          <w:sz w:val="22"/>
          <w:szCs w:val="22"/>
        </w:rPr>
        <w:t>Overall, the TOWS analysis identifies SO (Strengths–Opportunities) strategies as the strongest strategic option.</w:t>
      </w:r>
    </w:p>
    <w:p w14:paraId="5E5787A5" w14:textId="77113CAE" w:rsidR="001D36E8" w:rsidRPr="005055FA" w:rsidRDefault="00CC1EC1" w:rsidP="005055FA">
      <w:pPr>
        <w:pStyle w:val="Heading1"/>
        <w:rPr>
          <w:rFonts w:ascii="Arial" w:eastAsia="Arial Nova" w:hAnsi="Arial" w:cs="Arial"/>
          <w:b/>
          <w:bCs/>
          <w:color w:val="auto"/>
          <w:sz w:val="28"/>
          <w:szCs w:val="28"/>
        </w:rPr>
      </w:pPr>
      <w:bookmarkStart w:id="8" w:name="_Toc234790270"/>
      <w:r>
        <w:rPr>
          <w:rFonts w:ascii="Arial" w:eastAsia="Arial Nova" w:hAnsi="Arial" w:cs="Arial"/>
          <w:b/>
          <w:bCs/>
          <w:color w:val="auto"/>
          <w:sz w:val="28"/>
          <w:szCs w:val="28"/>
        </w:rPr>
        <w:t>4</w:t>
      </w:r>
      <w:r w:rsidR="1C117902" w:rsidRPr="005055FA">
        <w:rPr>
          <w:rFonts w:ascii="Arial" w:eastAsia="Arial Nova" w:hAnsi="Arial" w:cs="Arial"/>
          <w:b/>
          <w:bCs/>
          <w:color w:val="auto"/>
          <w:sz w:val="28"/>
          <w:szCs w:val="28"/>
        </w:rPr>
        <w:t>. Strategic Growth Options and Proposed Strategy</w:t>
      </w:r>
      <w:bookmarkEnd w:id="8"/>
    </w:p>
    <w:p w14:paraId="0C77C946" w14:textId="45E580F7" w:rsidR="002A4922" w:rsidRPr="00FB3357" w:rsidRDefault="000D5833" w:rsidP="00FB3357">
      <w:pPr>
        <w:spacing w:before="240" w:after="240"/>
        <w:jc w:val="both"/>
        <w:rPr>
          <w:rFonts w:ascii="Arial" w:eastAsia="Arial Nova" w:hAnsi="Arial" w:cs="Arial"/>
          <w:sz w:val="22"/>
          <w:szCs w:val="22"/>
        </w:rPr>
      </w:pPr>
      <w:r w:rsidRPr="000D5833">
        <w:rPr>
          <w:rFonts w:ascii="Arial" w:eastAsia="Arial Nova" w:hAnsi="Arial" w:cs="Arial"/>
          <w:sz w:val="22"/>
          <w:szCs w:val="22"/>
        </w:rPr>
        <w:t>Building on the evaluation of VodafoneThree's strategic position in Chapter 3, this chapter evaluates alternative growth strategies using the Ansoff Matrix and Porter's Generic Strategies to identify the preferred strategic direction</w:t>
      </w:r>
      <w:r>
        <w:rPr>
          <w:rFonts w:ascii="Arial" w:eastAsia="Arial Nova" w:hAnsi="Arial" w:cs="Arial"/>
          <w:sz w:val="22"/>
          <w:szCs w:val="22"/>
        </w:rPr>
        <w:t>.</w:t>
      </w:r>
    </w:p>
    <w:p w14:paraId="41FF51D2" w14:textId="3DD54430" w:rsidR="7C73DF60" w:rsidRDefault="00CC1EC1" w:rsidP="00FB3357">
      <w:pPr>
        <w:pStyle w:val="Heading2"/>
        <w:spacing w:before="299" w:after="299"/>
        <w:jc w:val="both"/>
        <w:rPr>
          <w:rFonts w:ascii="Arial" w:eastAsia="Arial Nova" w:hAnsi="Arial" w:cs="Arial"/>
          <w:b/>
          <w:bCs/>
          <w:color w:val="auto"/>
          <w:sz w:val="22"/>
          <w:szCs w:val="22"/>
        </w:rPr>
      </w:pPr>
      <w:bookmarkStart w:id="9" w:name="_Toc234790271"/>
      <w:r>
        <w:rPr>
          <w:rFonts w:ascii="Arial" w:eastAsia="Arial Nova" w:hAnsi="Arial" w:cs="Arial"/>
          <w:b/>
          <w:bCs/>
          <w:color w:val="auto"/>
          <w:sz w:val="22"/>
          <w:szCs w:val="22"/>
        </w:rPr>
        <w:t>4</w:t>
      </w:r>
      <w:r w:rsidR="7C73DF60" w:rsidRPr="005055FA">
        <w:rPr>
          <w:rFonts w:ascii="Arial" w:eastAsia="Arial Nova" w:hAnsi="Arial" w:cs="Arial"/>
          <w:b/>
          <w:bCs/>
          <w:color w:val="auto"/>
          <w:sz w:val="22"/>
          <w:szCs w:val="22"/>
        </w:rPr>
        <w:t>.1 Evaluation of Strategic Growth Options</w:t>
      </w:r>
      <w:bookmarkEnd w:id="9"/>
    </w:p>
    <w:p w14:paraId="5CD9A29B" w14:textId="11418B3D" w:rsidR="00D42249" w:rsidRPr="00D42249" w:rsidRDefault="00573FB0" w:rsidP="00D42249">
      <w:r w:rsidRPr="00573FB0">
        <w:t>The detailed Ansoff Matrix supporting this evaluation is presented in Figure A4 (Appendix 4).</w:t>
      </w:r>
    </w:p>
    <w:p w14:paraId="14A5C2C6" w14:textId="0118589E" w:rsidR="0007B096" w:rsidRPr="00ED3F1A" w:rsidRDefault="00D42249" w:rsidP="00FB3357">
      <w:pPr>
        <w:pStyle w:val="Heading2"/>
        <w:spacing w:before="299" w:after="299"/>
        <w:jc w:val="both"/>
        <w:rPr>
          <w:rFonts w:ascii="Arial" w:hAnsi="Arial" w:cs="Arial"/>
          <w:color w:val="auto"/>
          <w:sz w:val="22"/>
          <w:szCs w:val="22"/>
        </w:rPr>
      </w:pPr>
      <w:bookmarkStart w:id="10" w:name="_Toc234790272"/>
      <w:r>
        <w:rPr>
          <w:rFonts w:ascii="Arial" w:eastAsia="Arial Nova" w:hAnsi="Arial" w:cs="Arial"/>
          <w:b/>
          <w:bCs/>
          <w:color w:val="auto"/>
          <w:sz w:val="22"/>
          <w:szCs w:val="22"/>
        </w:rPr>
        <w:t>4</w:t>
      </w:r>
      <w:r w:rsidR="0007B096" w:rsidRPr="00ED3F1A">
        <w:rPr>
          <w:rFonts w:ascii="Arial" w:eastAsia="Arial Nova" w:hAnsi="Arial" w:cs="Arial"/>
          <w:b/>
          <w:bCs/>
          <w:color w:val="auto"/>
          <w:sz w:val="22"/>
          <w:szCs w:val="22"/>
        </w:rPr>
        <w:t>.2 Market Penetration</w:t>
      </w:r>
      <w:bookmarkEnd w:id="10"/>
    </w:p>
    <w:p w14:paraId="6B0A986F" w14:textId="77777777" w:rsidR="000828BC" w:rsidRDefault="000828BC" w:rsidP="00FB3357">
      <w:pPr>
        <w:spacing w:before="240" w:after="240"/>
        <w:jc w:val="both"/>
        <w:rPr>
          <w:rFonts w:ascii="Arial" w:eastAsia="Arial Nova" w:hAnsi="Arial" w:cs="Arial"/>
          <w:sz w:val="22"/>
          <w:szCs w:val="22"/>
        </w:rPr>
      </w:pPr>
      <w:r w:rsidRPr="000828BC">
        <w:rPr>
          <w:rFonts w:ascii="Arial" w:eastAsia="Arial Nova" w:hAnsi="Arial" w:cs="Arial"/>
          <w:sz w:val="22"/>
          <w:szCs w:val="22"/>
        </w:rPr>
        <w:t>For VodafoneThree, this strategy provides an opportunity to maximise the benefits of its post-merger resources, which provide a strong foundation for improving service quality and strengthening its competitive position (CMA, 2024; Vodafone Group Plc, 2025).</w:t>
      </w:r>
    </w:p>
    <w:p w14:paraId="2D78D793" w14:textId="71E7F763" w:rsidR="0007B096" w:rsidRPr="00FB3357" w:rsidRDefault="0007B096" w:rsidP="00FB3357">
      <w:pPr>
        <w:spacing w:before="240" w:after="240"/>
        <w:jc w:val="both"/>
        <w:rPr>
          <w:rFonts w:ascii="Arial" w:hAnsi="Arial" w:cs="Arial"/>
          <w:sz w:val="22"/>
          <w:szCs w:val="22"/>
        </w:rPr>
      </w:pPr>
      <w:r w:rsidRPr="00FB3357">
        <w:rPr>
          <w:rFonts w:ascii="Arial" w:eastAsia="Arial Nova" w:hAnsi="Arial" w:cs="Arial"/>
          <w:sz w:val="22"/>
          <w:szCs w:val="22"/>
        </w:rPr>
        <w:t xml:space="preserve">However, the UK telecommunications market is highly mature, with limited opportunities for significant organic growth and intense competition from established operators such as BT/EE and Virgin Media O2. Consequently, relying solely on market penetration is unlikely to generate sustainable long-term competitive advantage because competitors can respond through aggressive pricing, promotional activities and continued investment in network infrastructure. Furthermore, the findings of the </w:t>
      </w:r>
      <w:r w:rsidRPr="00FB3357">
        <w:rPr>
          <w:rFonts w:ascii="Arial" w:eastAsia="Arial Nova" w:hAnsi="Arial" w:cs="Arial"/>
          <w:b/>
          <w:bCs/>
          <w:sz w:val="22"/>
          <w:szCs w:val="22"/>
        </w:rPr>
        <w:t>PESTEL</w:t>
      </w:r>
      <w:r w:rsidRPr="00FB3357">
        <w:rPr>
          <w:rFonts w:ascii="Arial" w:eastAsia="Arial Nova" w:hAnsi="Arial" w:cs="Arial"/>
          <w:sz w:val="22"/>
          <w:szCs w:val="22"/>
        </w:rPr>
        <w:t xml:space="preserve">, </w:t>
      </w:r>
      <w:r w:rsidRPr="00FB3357">
        <w:rPr>
          <w:rFonts w:ascii="Arial" w:eastAsia="Arial Nova" w:hAnsi="Arial" w:cs="Arial"/>
          <w:b/>
          <w:bCs/>
          <w:sz w:val="22"/>
          <w:szCs w:val="22"/>
        </w:rPr>
        <w:t>Porter's Five Forces</w:t>
      </w:r>
      <w:r w:rsidRPr="00FB3357">
        <w:rPr>
          <w:rFonts w:ascii="Arial" w:eastAsia="Arial Nova" w:hAnsi="Arial" w:cs="Arial"/>
          <w:sz w:val="22"/>
          <w:szCs w:val="22"/>
        </w:rPr>
        <w:t xml:space="preserve"> and </w:t>
      </w:r>
      <w:r w:rsidRPr="00FB3357">
        <w:rPr>
          <w:rFonts w:ascii="Arial" w:eastAsia="Arial Nova" w:hAnsi="Arial" w:cs="Arial"/>
          <w:b/>
          <w:bCs/>
          <w:sz w:val="22"/>
          <w:szCs w:val="22"/>
        </w:rPr>
        <w:t>TOWS</w:t>
      </w:r>
      <w:r w:rsidRPr="00FB3357">
        <w:rPr>
          <w:rFonts w:ascii="Arial" w:eastAsia="Arial Nova" w:hAnsi="Arial" w:cs="Arial"/>
          <w:sz w:val="22"/>
          <w:szCs w:val="22"/>
        </w:rPr>
        <w:t xml:space="preserve"> </w:t>
      </w:r>
      <w:r w:rsidRPr="00FB3357">
        <w:rPr>
          <w:rFonts w:ascii="Arial" w:eastAsia="Arial Nova" w:hAnsi="Arial" w:cs="Arial"/>
          <w:sz w:val="22"/>
          <w:szCs w:val="22"/>
        </w:rPr>
        <w:lastRenderedPageBreak/>
        <w:t>analyses indicate that future growth will depend increasingly on innovation and service differentiation rather than expanding existing consumer services alone.</w:t>
      </w:r>
    </w:p>
    <w:p w14:paraId="52F78E35" w14:textId="2D68073F" w:rsidR="0007B096" w:rsidRPr="00FB3357" w:rsidRDefault="0007B096" w:rsidP="00FB3357">
      <w:pPr>
        <w:spacing w:before="240" w:after="240"/>
        <w:jc w:val="both"/>
        <w:rPr>
          <w:rFonts w:ascii="Arial" w:hAnsi="Arial" w:cs="Arial"/>
          <w:sz w:val="22"/>
          <w:szCs w:val="22"/>
        </w:rPr>
      </w:pPr>
      <w:r w:rsidRPr="00FB3357">
        <w:rPr>
          <w:rFonts w:ascii="Arial" w:eastAsia="Arial Nova" w:hAnsi="Arial" w:cs="Arial"/>
          <w:sz w:val="22"/>
          <w:szCs w:val="22"/>
        </w:rPr>
        <w:t xml:space="preserve">Therefore, although market penetration is essential for achieving post-merger synergies and strengthening VodafoneThree's market position, it should be viewed as a </w:t>
      </w:r>
      <w:r w:rsidRPr="00FB3357">
        <w:rPr>
          <w:rFonts w:ascii="Arial" w:eastAsia="Arial Nova" w:hAnsi="Arial" w:cs="Arial"/>
          <w:b/>
          <w:bCs/>
          <w:sz w:val="22"/>
          <w:szCs w:val="22"/>
        </w:rPr>
        <w:t>supporting strategy</w:t>
      </w:r>
      <w:r w:rsidRPr="00FB3357">
        <w:rPr>
          <w:rFonts w:ascii="Arial" w:eastAsia="Arial Nova" w:hAnsi="Arial" w:cs="Arial"/>
          <w:sz w:val="22"/>
          <w:szCs w:val="22"/>
        </w:rPr>
        <w:t xml:space="preserve"> rather than the primary strategic direction. </w:t>
      </w:r>
      <w:r w:rsidR="00E20DC2" w:rsidRPr="00FB3357">
        <w:rPr>
          <w:rFonts w:ascii="Arial" w:eastAsia="Arial Nova" w:hAnsi="Arial" w:cs="Arial"/>
          <w:sz w:val="22"/>
          <w:szCs w:val="22"/>
        </w:rPr>
        <w:t>Long-term advantage therefore depends on complementing market penetration with product development.</w:t>
      </w:r>
    </w:p>
    <w:p w14:paraId="23074A59" w14:textId="63931DE8" w:rsidR="46C8A792" w:rsidRPr="00ED3F1A" w:rsidRDefault="002739CD" w:rsidP="00ED3F1A">
      <w:pPr>
        <w:pStyle w:val="Heading2"/>
        <w:rPr>
          <w:rFonts w:ascii="Arial" w:eastAsia="Arial Nova" w:hAnsi="Arial" w:cs="Arial"/>
          <w:b/>
          <w:bCs/>
          <w:color w:val="auto"/>
          <w:sz w:val="22"/>
          <w:szCs w:val="22"/>
        </w:rPr>
      </w:pPr>
      <w:bookmarkStart w:id="11" w:name="_Toc234790273"/>
      <w:r>
        <w:rPr>
          <w:rFonts w:ascii="Arial" w:eastAsia="Arial Nova" w:hAnsi="Arial" w:cs="Arial"/>
          <w:b/>
          <w:bCs/>
          <w:color w:val="auto"/>
          <w:sz w:val="22"/>
          <w:szCs w:val="22"/>
        </w:rPr>
        <w:t>4</w:t>
      </w:r>
      <w:r w:rsidR="46C8A792" w:rsidRPr="00ED3F1A">
        <w:rPr>
          <w:rFonts w:ascii="Arial" w:eastAsia="Arial Nova" w:hAnsi="Arial" w:cs="Arial"/>
          <w:b/>
          <w:bCs/>
          <w:color w:val="auto"/>
          <w:sz w:val="22"/>
          <w:szCs w:val="22"/>
        </w:rPr>
        <w:t>.3 Market Development</w:t>
      </w:r>
      <w:bookmarkEnd w:id="11"/>
    </w:p>
    <w:p w14:paraId="1B7F5007" w14:textId="543B6ABD" w:rsidR="46C8A792" w:rsidRPr="00FB3357" w:rsidRDefault="46C8A792" w:rsidP="00FB3357">
      <w:pPr>
        <w:spacing w:before="299" w:after="299"/>
        <w:jc w:val="both"/>
        <w:rPr>
          <w:rFonts w:ascii="Arial" w:eastAsia="Arial Nova" w:hAnsi="Arial" w:cs="Arial"/>
          <w:sz w:val="22"/>
          <w:szCs w:val="22"/>
        </w:rPr>
      </w:pPr>
      <w:r w:rsidRPr="00FB3357">
        <w:rPr>
          <w:rFonts w:ascii="Arial" w:eastAsia="Arial Nova" w:hAnsi="Arial" w:cs="Arial"/>
          <w:sz w:val="22"/>
          <w:szCs w:val="22"/>
        </w:rPr>
        <w:t>Market development involves expanding existing products into new customer segments or geographical markets. For VodafoneThree, opportunities exist to strengthen its enterprise presence by targeting underserved business sectors and expanding advanced connectivity solutions, including private 5G and IoT services, to a broader range of organisations. These opportunities are supported by growing demand for digital transformation across the UK economy (Vodafone Group Plc, 2025). However, market development requires significant investment in customer acquisition, commercial capabilities and partnership development, while exposing the organisation to execution and competitive risks.</w:t>
      </w:r>
      <w:r w:rsidR="009C132F" w:rsidRPr="00FB3357">
        <w:rPr>
          <w:rFonts w:ascii="Arial" w:eastAsia="Arial Nova" w:hAnsi="Arial" w:cs="Arial"/>
          <w:sz w:val="22"/>
          <w:szCs w:val="22"/>
        </w:rPr>
        <w:t xml:space="preserve"> A</w:t>
      </w:r>
      <w:r w:rsidRPr="00FB3357">
        <w:rPr>
          <w:rFonts w:ascii="Arial" w:eastAsia="Arial Nova" w:hAnsi="Arial" w:cs="Arial"/>
          <w:sz w:val="22"/>
          <w:szCs w:val="22"/>
        </w:rPr>
        <w:t xml:space="preserve">lthough market development can support long-term expansion, it is best viewed as a </w:t>
      </w:r>
      <w:r w:rsidRPr="00FB3357">
        <w:rPr>
          <w:rFonts w:ascii="Arial" w:eastAsia="Arial Nova" w:hAnsi="Arial" w:cs="Arial"/>
          <w:b/>
          <w:bCs/>
          <w:sz w:val="22"/>
          <w:szCs w:val="22"/>
        </w:rPr>
        <w:t>complementary strategy</w:t>
      </w:r>
      <w:r w:rsidRPr="00FB3357">
        <w:rPr>
          <w:rFonts w:ascii="Arial" w:eastAsia="Arial Nova" w:hAnsi="Arial" w:cs="Arial"/>
          <w:sz w:val="22"/>
          <w:szCs w:val="22"/>
        </w:rPr>
        <w:t xml:space="preserve"> that enhances the preferred product development approach rather than acting as VodafoneThree's primary source of sustainable competitive advantage.</w:t>
      </w:r>
    </w:p>
    <w:p w14:paraId="13B3F11B" w14:textId="7B99F7F9" w:rsidR="7F22898B" w:rsidRPr="00FB3357" w:rsidRDefault="002739CD" w:rsidP="00FB3357">
      <w:pPr>
        <w:pStyle w:val="Heading2"/>
        <w:spacing w:before="299" w:after="299"/>
        <w:jc w:val="both"/>
        <w:rPr>
          <w:rFonts w:ascii="Arial" w:eastAsia="Arial Nova" w:hAnsi="Arial" w:cs="Arial"/>
          <w:b/>
          <w:bCs/>
          <w:color w:val="auto"/>
          <w:sz w:val="22"/>
          <w:szCs w:val="22"/>
        </w:rPr>
      </w:pPr>
      <w:bookmarkStart w:id="12" w:name="_Toc234790274"/>
      <w:r>
        <w:rPr>
          <w:rFonts w:ascii="Arial" w:eastAsia="Arial Nova" w:hAnsi="Arial" w:cs="Arial"/>
          <w:b/>
          <w:bCs/>
          <w:color w:val="auto"/>
          <w:sz w:val="22"/>
          <w:szCs w:val="22"/>
        </w:rPr>
        <w:t>4</w:t>
      </w:r>
      <w:r w:rsidR="7F22898B" w:rsidRPr="00FB3357">
        <w:rPr>
          <w:rFonts w:ascii="Arial" w:eastAsia="Arial Nova" w:hAnsi="Arial" w:cs="Arial"/>
          <w:b/>
          <w:bCs/>
          <w:color w:val="auto"/>
          <w:sz w:val="22"/>
          <w:szCs w:val="22"/>
        </w:rPr>
        <w:t>.4 Diversification</w:t>
      </w:r>
      <w:bookmarkEnd w:id="12"/>
    </w:p>
    <w:p w14:paraId="6B5C590A" w14:textId="38974093" w:rsidR="7F22898B" w:rsidRPr="00FB3357" w:rsidRDefault="7F22898B" w:rsidP="00FB3357">
      <w:pPr>
        <w:spacing w:before="240" w:after="240"/>
        <w:jc w:val="both"/>
        <w:rPr>
          <w:rFonts w:ascii="Arial" w:hAnsi="Arial" w:cs="Arial"/>
          <w:sz w:val="22"/>
          <w:szCs w:val="22"/>
        </w:rPr>
      </w:pPr>
      <w:r w:rsidRPr="00FB3357">
        <w:rPr>
          <w:rFonts w:ascii="Arial" w:eastAsia="Arial Nova" w:hAnsi="Arial" w:cs="Arial"/>
          <w:sz w:val="22"/>
          <w:szCs w:val="22"/>
        </w:rPr>
        <w:t>Diversification involves entering new markets with new products and represents the highest level of strategic risk within the Ansoff Matrix (Ansoff, 1957). Although diversification could create additional revenue streams, it demonstrates limited strategic fit with VodafoneThree's current priorities following the merger. The organisation's immediate focus should remain on integrating operations, delivering network investment commitments and maximising the value of its enhanced telecommunications capabilities. Pursuing unrelated markets would require financial investment, new organisational capabilities and increased managerial attention, potentially diverting resources from achieving post-merger synergies. Consequently, diversification is not recommended because its higher financial and operational risks outweigh the potential benefits, making it a less appropriate strategic option than product development.</w:t>
      </w:r>
    </w:p>
    <w:p w14:paraId="68009608" w14:textId="72EA56F7" w:rsidR="2C80E0C4" w:rsidRPr="00FB3357" w:rsidRDefault="002739CD" w:rsidP="00FB3357">
      <w:pPr>
        <w:pStyle w:val="Heading2"/>
        <w:spacing w:before="299" w:after="299"/>
        <w:jc w:val="both"/>
        <w:rPr>
          <w:rFonts w:ascii="Arial" w:eastAsia="Arial Nova" w:hAnsi="Arial" w:cs="Arial"/>
          <w:b/>
          <w:bCs/>
          <w:color w:val="auto"/>
          <w:sz w:val="22"/>
          <w:szCs w:val="22"/>
        </w:rPr>
      </w:pPr>
      <w:bookmarkStart w:id="13" w:name="_Toc234790275"/>
      <w:r>
        <w:rPr>
          <w:rFonts w:ascii="Arial" w:eastAsia="Arial Nova" w:hAnsi="Arial" w:cs="Arial"/>
          <w:b/>
          <w:bCs/>
          <w:color w:val="auto"/>
          <w:sz w:val="22"/>
          <w:szCs w:val="22"/>
        </w:rPr>
        <w:t>4</w:t>
      </w:r>
      <w:r w:rsidR="2C80E0C4" w:rsidRPr="00FB3357">
        <w:rPr>
          <w:rFonts w:ascii="Arial" w:eastAsia="Arial Nova" w:hAnsi="Arial" w:cs="Arial"/>
          <w:b/>
          <w:bCs/>
          <w:color w:val="auto"/>
          <w:sz w:val="22"/>
          <w:szCs w:val="22"/>
        </w:rPr>
        <w:t>.5 Justification of the Preferred Strategy</w:t>
      </w:r>
      <w:bookmarkEnd w:id="13"/>
    </w:p>
    <w:p w14:paraId="72496A33" w14:textId="77777777" w:rsidR="00FC5F3E" w:rsidRPr="00FB3357" w:rsidRDefault="00C13863"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Product development is recommended because it provides the strongest strategic fit between VodafoneThree's post-merger capabilities and the opportunities identified in Chapter 2. Unlike market penetration or diversification, it enables the organisation to create higher-value enterprise services while building on existing capabilities (Vodafone Group Plc, 2025).</w:t>
      </w:r>
    </w:p>
    <w:p w14:paraId="00F45EBE" w14:textId="77777777" w:rsidR="00FC5F3E" w:rsidRPr="00FB3357" w:rsidRDefault="00FC5F3E"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Consistent with Porter's Generic Strategies, product development supports a differentiation strategy by reducing reliance on price competition through innovative enterprise services (Porter, 1985).</w:t>
      </w:r>
    </w:p>
    <w:p w14:paraId="120210D0" w14:textId="77777777" w:rsidR="004847B0" w:rsidRPr="00FB3357" w:rsidRDefault="00727162"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This recommendation is consistent with the findings of Chapter 2, which identified digital innovation and enterprise connectivity as VodafoneThree's strongest opportunities.</w:t>
      </w:r>
    </w:p>
    <w:p w14:paraId="25622E1A" w14:textId="5D369514" w:rsidR="2C80E0C4" w:rsidRPr="00FB3357" w:rsidRDefault="2C80E0C4"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lastRenderedPageBreak/>
        <w:t xml:space="preserve">The proposed strategy also aligns with Vodafone's purpose of </w:t>
      </w:r>
      <w:r w:rsidRPr="00FB3357">
        <w:rPr>
          <w:rFonts w:ascii="Arial" w:eastAsia="Arial Nova" w:hAnsi="Arial" w:cs="Arial"/>
          <w:i/>
          <w:iCs/>
          <w:sz w:val="22"/>
          <w:szCs w:val="22"/>
        </w:rPr>
        <w:t>connecting for a better future</w:t>
      </w:r>
      <w:r w:rsidRPr="00FB3357">
        <w:rPr>
          <w:rFonts w:ascii="Arial" w:eastAsia="Arial Nova" w:hAnsi="Arial" w:cs="Arial"/>
          <w:sz w:val="22"/>
          <w:szCs w:val="22"/>
        </w:rPr>
        <w:t xml:space="preserve"> by expanding advanced connectivity solutions that improve customer and business outcomes. Furthermore, its emphasis on innovation, customer value and sustainable growth reflects Vodafone's organisational values while supporting the organisation's long-term strategic ambition.</w:t>
      </w:r>
    </w:p>
    <w:p w14:paraId="73B73111" w14:textId="0594B6C6" w:rsidR="00F524A0" w:rsidRPr="00FB3357" w:rsidRDefault="00F524A0" w:rsidP="00FB3357">
      <w:pPr>
        <w:spacing w:before="240" w:after="240"/>
        <w:jc w:val="both"/>
        <w:rPr>
          <w:rFonts w:ascii="Arial" w:hAnsi="Arial" w:cs="Arial"/>
          <w:sz w:val="22"/>
          <w:szCs w:val="22"/>
        </w:rPr>
      </w:pPr>
      <w:r w:rsidRPr="00FB3357">
        <w:rPr>
          <w:rFonts w:ascii="Arial" w:hAnsi="Arial" w:cs="Arial"/>
          <w:sz w:val="22"/>
          <w:szCs w:val="22"/>
        </w:rPr>
        <w:t>The recommended strategy is evaluated using the SFA framework.</w:t>
      </w:r>
    </w:p>
    <w:p w14:paraId="4B003DE8" w14:textId="4DDEE46E" w:rsidR="7368A633" w:rsidRPr="007907F9" w:rsidRDefault="002739CD" w:rsidP="007907F9">
      <w:pPr>
        <w:pStyle w:val="Heading1"/>
        <w:rPr>
          <w:rFonts w:ascii="Arial" w:hAnsi="Arial" w:cs="Arial"/>
          <w:b/>
          <w:bCs/>
          <w:color w:val="auto"/>
          <w:sz w:val="28"/>
          <w:szCs w:val="28"/>
        </w:rPr>
      </w:pPr>
      <w:bookmarkStart w:id="14" w:name="_Toc234790276"/>
      <w:r>
        <w:rPr>
          <w:rFonts w:ascii="Arial" w:eastAsia="Arial Nova" w:hAnsi="Arial" w:cs="Arial"/>
          <w:b/>
          <w:bCs/>
          <w:color w:val="auto"/>
          <w:sz w:val="28"/>
          <w:szCs w:val="28"/>
        </w:rPr>
        <w:t>5</w:t>
      </w:r>
      <w:r w:rsidR="7368A633" w:rsidRPr="007907F9">
        <w:rPr>
          <w:rFonts w:ascii="Arial" w:eastAsia="Arial Nova" w:hAnsi="Arial" w:cs="Arial"/>
          <w:b/>
          <w:bCs/>
          <w:color w:val="auto"/>
          <w:sz w:val="28"/>
          <w:szCs w:val="28"/>
        </w:rPr>
        <w:t>. Strategy Evaluation</w:t>
      </w:r>
      <w:bookmarkEnd w:id="14"/>
    </w:p>
    <w:p w14:paraId="738331C0" w14:textId="387F11EB" w:rsidR="00992817" w:rsidRPr="00FB3357" w:rsidRDefault="00C6765F"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This chapter evaluates the recommended strategy using the Suitability, Feasibility and Acceptability (SFA) framework</w:t>
      </w:r>
      <w:r w:rsidR="00992817" w:rsidRPr="00FB3357">
        <w:rPr>
          <w:rFonts w:ascii="Arial" w:eastAsia="Arial Nova" w:hAnsi="Arial" w:cs="Arial"/>
          <w:sz w:val="22"/>
          <w:szCs w:val="22"/>
        </w:rPr>
        <w:t>.</w:t>
      </w:r>
    </w:p>
    <w:p w14:paraId="4FDFBED9" w14:textId="1FA6798D" w:rsidR="6DE1C80D" w:rsidRPr="007907F9" w:rsidRDefault="002739CD" w:rsidP="00FB3357">
      <w:pPr>
        <w:pStyle w:val="Heading2"/>
        <w:spacing w:before="299" w:after="299"/>
        <w:jc w:val="both"/>
        <w:rPr>
          <w:rFonts w:ascii="Arial" w:eastAsia="Arial Nova" w:hAnsi="Arial" w:cs="Arial"/>
          <w:b/>
          <w:bCs/>
          <w:color w:val="auto"/>
          <w:sz w:val="22"/>
          <w:szCs w:val="22"/>
        </w:rPr>
      </w:pPr>
      <w:bookmarkStart w:id="15" w:name="_Toc234790277"/>
      <w:r>
        <w:rPr>
          <w:rFonts w:ascii="Arial" w:eastAsia="Arial Nova" w:hAnsi="Arial" w:cs="Arial"/>
          <w:b/>
          <w:bCs/>
          <w:color w:val="auto"/>
          <w:sz w:val="22"/>
          <w:szCs w:val="22"/>
        </w:rPr>
        <w:t>5</w:t>
      </w:r>
      <w:r w:rsidR="6DE1C80D" w:rsidRPr="007907F9">
        <w:rPr>
          <w:rFonts w:ascii="Arial" w:eastAsia="Arial Nova" w:hAnsi="Arial" w:cs="Arial"/>
          <w:b/>
          <w:bCs/>
          <w:color w:val="auto"/>
          <w:sz w:val="22"/>
          <w:szCs w:val="22"/>
        </w:rPr>
        <w:t>.1 Suitability</w:t>
      </w:r>
      <w:bookmarkEnd w:id="15"/>
    </w:p>
    <w:p w14:paraId="03DF92F4" w14:textId="114F1E42" w:rsidR="00616376" w:rsidRPr="00E12CE0" w:rsidRDefault="0007265A" w:rsidP="00FB3357">
      <w:pPr>
        <w:jc w:val="both"/>
        <w:rPr>
          <w:rFonts w:ascii="Arial" w:hAnsi="Arial" w:cs="Arial"/>
          <w:i/>
          <w:iCs/>
          <w:sz w:val="22"/>
          <w:szCs w:val="22"/>
        </w:rPr>
      </w:pPr>
      <w:r w:rsidRPr="00E12CE0">
        <w:rPr>
          <w:rFonts w:ascii="Arial" w:hAnsi="Arial" w:cs="Arial"/>
          <w:i/>
          <w:iCs/>
          <w:sz w:val="22"/>
          <w:szCs w:val="22"/>
        </w:rPr>
        <w:t xml:space="preserve">Figure </w:t>
      </w:r>
      <w:r w:rsidR="00C150BD">
        <w:rPr>
          <w:rFonts w:ascii="Arial" w:hAnsi="Arial" w:cs="Arial"/>
          <w:i/>
          <w:iCs/>
          <w:sz w:val="22"/>
          <w:szCs w:val="22"/>
        </w:rPr>
        <w:t>2</w:t>
      </w:r>
      <w:r w:rsidRPr="00E12CE0">
        <w:rPr>
          <w:rFonts w:ascii="Arial" w:hAnsi="Arial" w:cs="Arial"/>
          <w:i/>
          <w:iCs/>
          <w:sz w:val="22"/>
          <w:szCs w:val="22"/>
        </w:rPr>
        <w:t>. Comparative Evaluation of Strategic Growth Options for Vodafone UK Following the VodafoneThree Merger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555"/>
        <w:gridCol w:w="1134"/>
        <w:gridCol w:w="2268"/>
        <w:gridCol w:w="2126"/>
        <w:gridCol w:w="1933"/>
      </w:tblGrid>
      <w:tr w:rsidR="00616376" w:rsidRPr="00FB3357" w14:paraId="7870DBC8" w14:textId="77777777" w:rsidTr="007A42CB">
        <w:trPr>
          <w:tblHeader/>
          <w:tblCellSpacing w:w="15" w:type="dxa"/>
        </w:trPr>
        <w:tc>
          <w:tcPr>
            <w:tcW w:w="1510" w:type="dxa"/>
            <w:shd w:val="clear" w:color="auto" w:fill="92D050"/>
            <w:vAlign w:val="center"/>
            <w:hideMark/>
          </w:tcPr>
          <w:p w14:paraId="3796C102" w14:textId="77777777" w:rsidR="00616376" w:rsidRPr="00FB3357" w:rsidRDefault="00616376" w:rsidP="00E12CE0">
            <w:pPr>
              <w:jc w:val="center"/>
              <w:rPr>
                <w:rFonts w:ascii="Arial" w:hAnsi="Arial" w:cs="Arial"/>
                <w:b/>
                <w:bCs/>
                <w:sz w:val="22"/>
                <w:szCs w:val="22"/>
              </w:rPr>
            </w:pPr>
            <w:r w:rsidRPr="00FB3357">
              <w:rPr>
                <w:rFonts w:ascii="Arial" w:hAnsi="Arial" w:cs="Arial"/>
                <w:b/>
                <w:bCs/>
                <w:sz w:val="22"/>
                <w:szCs w:val="22"/>
              </w:rPr>
              <w:t>Strategic Option</w:t>
            </w:r>
          </w:p>
        </w:tc>
        <w:tc>
          <w:tcPr>
            <w:tcW w:w="1104" w:type="dxa"/>
            <w:shd w:val="clear" w:color="auto" w:fill="92D050"/>
            <w:vAlign w:val="center"/>
            <w:hideMark/>
          </w:tcPr>
          <w:p w14:paraId="2D774D75" w14:textId="77777777" w:rsidR="00616376" w:rsidRPr="00FB3357" w:rsidRDefault="00616376" w:rsidP="00E12CE0">
            <w:pPr>
              <w:jc w:val="center"/>
              <w:rPr>
                <w:rFonts w:ascii="Arial" w:hAnsi="Arial" w:cs="Arial"/>
                <w:b/>
                <w:bCs/>
                <w:sz w:val="22"/>
                <w:szCs w:val="22"/>
              </w:rPr>
            </w:pPr>
            <w:r w:rsidRPr="00FB3357">
              <w:rPr>
                <w:rFonts w:ascii="Arial" w:hAnsi="Arial" w:cs="Arial"/>
                <w:b/>
                <w:bCs/>
                <w:sz w:val="22"/>
                <w:szCs w:val="22"/>
              </w:rPr>
              <w:t>Strategic Fit</w:t>
            </w:r>
          </w:p>
        </w:tc>
        <w:tc>
          <w:tcPr>
            <w:tcW w:w="2238" w:type="dxa"/>
            <w:shd w:val="clear" w:color="auto" w:fill="92D050"/>
            <w:vAlign w:val="center"/>
            <w:hideMark/>
          </w:tcPr>
          <w:p w14:paraId="54E35247" w14:textId="77777777" w:rsidR="00616376" w:rsidRPr="00FB3357" w:rsidRDefault="00616376" w:rsidP="00E12CE0">
            <w:pPr>
              <w:jc w:val="center"/>
              <w:rPr>
                <w:rFonts w:ascii="Arial" w:hAnsi="Arial" w:cs="Arial"/>
                <w:b/>
                <w:bCs/>
                <w:sz w:val="22"/>
                <w:szCs w:val="22"/>
              </w:rPr>
            </w:pPr>
            <w:r w:rsidRPr="00FB3357">
              <w:rPr>
                <w:rFonts w:ascii="Arial" w:hAnsi="Arial" w:cs="Arial"/>
                <w:b/>
                <w:bCs/>
                <w:sz w:val="22"/>
                <w:szCs w:val="22"/>
              </w:rPr>
              <w:t>Strategic Benefits</w:t>
            </w:r>
          </w:p>
        </w:tc>
        <w:tc>
          <w:tcPr>
            <w:tcW w:w="2096" w:type="dxa"/>
            <w:shd w:val="clear" w:color="auto" w:fill="92D050"/>
            <w:vAlign w:val="center"/>
            <w:hideMark/>
          </w:tcPr>
          <w:p w14:paraId="2FD8404A" w14:textId="77777777" w:rsidR="00616376" w:rsidRPr="00FB3357" w:rsidRDefault="00616376" w:rsidP="00E12CE0">
            <w:pPr>
              <w:jc w:val="center"/>
              <w:rPr>
                <w:rFonts w:ascii="Arial" w:hAnsi="Arial" w:cs="Arial"/>
                <w:b/>
                <w:bCs/>
                <w:sz w:val="22"/>
                <w:szCs w:val="22"/>
              </w:rPr>
            </w:pPr>
            <w:r w:rsidRPr="00FB3357">
              <w:rPr>
                <w:rFonts w:ascii="Arial" w:hAnsi="Arial" w:cs="Arial"/>
                <w:b/>
                <w:bCs/>
                <w:sz w:val="22"/>
                <w:szCs w:val="22"/>
              </w:rPr>
              <w:t>Key Challenges / Risks</w:t>
            </w:r>
          </w:p>
        </w:tc>
        <w:tc>
          <w:tcPr>
            <w:tcW w:w="1888" w:type="dxa"/>
            <w:shd w:val="clear" w:color="auto" w:fill="92D050"/>
            <w:vAlign w:val="center"/>
            <w:hideMark/>
          </w:tcPr>
          <w:p w14:paraId="16273033" w14:textId="77777777" w:rsidR="00616376" w:rsidRPr="00FB3357" w:rsidRDefault="00616376" w:rsidP="00E12CE0">
            <w:pPr>
              <w:jc w:val="center"/>
              <w:rPr>
                <w:rFonts w:ascii="Arial" w:hAnsi="Arial" w:cs="Arial"/>
                <w:b/>
                <w:bCs/>
                <w:sz w:val="22"/>
                <w:szCs w:val="22"/>
              </w:rPr>
            </w:pPr>
            <w:r w:rsidRPr="00FB3357">
              <w:rPr>
                <w:rFonts w:ascii="Arial" w:hAnsi="Arial" w:cs="Arial"/>
                <w:b/>
                <w:bCs/>
                <w:sz w:val="22"/>
                <w:szCs w:val="22"/>
              </w:rPr>
              <w:t>Board Assessment</w:t>
            </w:r>
          </w:p>
        </w:tc>
      </w:tr>
      <w:tr w:rsidR="00616376" w:rsidRPr="00FB3357" w14:paraId="4CE398DC" w14:textId="77777777" w:rsidTr="007A42CB">
        <w:trPr>
          <w:tblCellSpacing w:w="15" w:type="dxa"/>
        </w:trPr>
        <w:tc>
          <w:tcPr>
            <w:tcW w:w="1510" w:type="dxa"/>
            <w:shd w:val="clear" w:color="auto" w:fill="60CAF3" w:themeFill="accent4" w:themeFillTint="99"/>
            <w:vAlign w:val="center"/>
            <w:hideMark/>
          </w:tcPr>
          <w:p w14:paraId="1CAC7DE5" w14:textId="77777777" w:rsidR="00616376" w:rsidRPr="00FB3357" w:rsidRDefault="00616376" w:rsidP="00E12CE0">
            <w:pPr>
              <w:jc w:val="center"/>
              <w:rPr>
                <w:rFonts w:ascii="Arial" w:hAnsi="Arial" w:cs="Arial"/>
                <w:sz w:val="22"/>
                <w:szCs w:val="22"/>
              </w:rPr>
            </w:pPr>
            <w:r w:rsidRPr="00FB3357">
              <w:rPr>
                <w:rFonts w:ascii="Arial" w:hAnsi="Arial" w:cs="Arial"/>
                <w:b/>
                <w:bCs/>
                <w:sz w:val="22"/>
                <w:szCs w:val="22"/>
              </w:rPr>
              <w:t>Market Penetration</w:t>
            </w:r>
          </w:p>
        </w:tc>
        <w:tc>
          <w:tcPr>
            <w:tcW w:w="1104" w:type="dxa"/>
            <w:vAlign w:val="center"/>
            <w:hideMark/>
          </w:tcPr>
          <w:p w14:paraId="206685F2" w14:textId="77777777" w:rsidR="00616376" w:rsidRPr="00FB3357" w:rsidRDefault="00616376" w:rsidP="00E12CE0">
            <w:pPr>
              <w:jc w:val="center"/>
              <w:rPr>
                <w:rFonts w:ascii="Arial" w:hAnsi="Arial" w:cs="Arial"/>
                <w:sz w:val="22"/>
                <w:szCs w:val="22"/>
              </w:rPr>
            </w:pPr>
            <w:r w:rsidRPr="00FB3357">
              <w:rPr>
                <w:rFonts w:ascii="Arial" w:hAnsi="Arial" w:cs="Arial"/>
                <w:b/>
                <w:bCs/>
                <w:sz w:val="22"/>
                <w:szCs w:val="22"/>
              </w:rPr>
              <w:t>High</w:t>
            </w:r>
          </w:p>
        </w:tc>
        <w:tc>
          <w:tcPr>
            <w:tcW w:w="2238" w:type="dxa"/>
            <w:vAlign w:val="center"/>
            <w:hideMark/>
          </w:tcPr>
          <w:p w14:paraId="182D60E5" w14:textId="77777777" w:rsidR="00616376" w:rsidRPr="00FB3357" w:rsidRDefault="00616376" w:rsidP="00E12CE0">
            <w:pPr>
              <w:spacing w:after="0"/>
              <w:rPr>
                <w:rFonts w:ascii="Arial" w:hAnsi="Arial" w:cs="Arial"/>
                <w:sz w:val="22"/>
                <w:szCs w:val="22"/>
              </w:rPr>
            </w:pPr>
            <w:r w:rsidRPr="00FB3357">
              <w:rPr>
                <w:rFonts w:ascii="Arial" w:hAnsi="Arial" w:cs="Arial"/>
                <w:sz w:val="22"/>
                <w:szCs w:val="22"/>
              </w:rPr>
              <w:t>• Captures merger synergies.</w:t>
            </w:r>
          </w:p>
          <w:p w14:paraId="1FEAEBB6" w14:textId="492042C7" w:rsidR="00616376" w:rsidRPr="00FB3357" w:rsidRDefault="00616376" w:rsidP="00E12CE0">
            <w:pPr>
              <w:spacing w:after="0"/>
              <w:rPr>
                <w:rFonts w:ascii="Arial" w:hAnsi="Arial" w:cs="Arial"/>
                <w:sz w:val="22"/>
                <w:szCs w:val="22"/>
              </w:rPr>
            </w:pPr>
            <w:r w:rsidRPr="00FB3357">
              <w:rPr>
                <w:rFonts w:ascii="Arial" w:hAnsi="Arial" w:cs="Arial"/>
                <w:sz w:val="22"/>
                <w:szCs w:val="22"/>
              </w:rPr>
              <w:t>• Improves customer retention and network quality.</w:t>
            </w:r>
          </w:p>
          <w:p w14:paraId="126179A4"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Enhances operational efficiency.</w:t>
            </w:r>
          </w:p>
          <w:p w14:paraId="408437DC"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Supports CMA investment commitments.</w:t>
            </w:r>
          </w:p>
          <w:p w14:paraId="2B5FBE00"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Lowest implementation risk. (H. Igor Ansoff, 1957; Vodafone Group Plc, 2025; CMA, 2024).</w:t>
            </w:r>
          </w:p>
        </w:tc>
        <w:tc>
          <w:tcPr>
            <w:tcW w:w="2096" w:type="dxa"/>
            <w:vAlign w:val="center"/>
            <w:hideMark/>
          </w:tcPr>
          <w:p w14:paraId="1308DFFE" w14:textId="77777777" w:rsidR="00616376" w:rsidRPr="00FB3357" w:rsidRDefault="00616376" w:rsidP="00E12CE0">
            <w:pPr>
              <w:spacing w:after="0"/>
              <w:rPr>
                <w:rFonts w:ascii="Arial" w:hAnsi="Arial" w:cs="Arial"/>
                <w:sz w:val="22"/>
                <w:szCs w:val="22"/>
              </w:rPr>
            </w:pPr>
            <w:r w:rsidRPr="00FB3357">
              <w:rPr>
                <w:rFonts w:ascii="Arial" w:hAnsi="Arial" w:cs="Arial"/>
                <w:sz w:val="22"/>
                <w:szCs w:val="22"/>
              </w:rPr>
              <w:t>• UK telecommunications market is mature.</w:t>
            </w:r>
          </w:p>
          <w:p w14:paraId="5685CC85" w14:textId="77777777" w:rsidR="00616376" w:rsidRPr="00FB3357" w:rsidRDefault="00616376" w:rsidP="00E12CE0">
            <w:pPr>
              <w:spacing w:after="0"/>
              <w:rPr>
                <w:rFonts w:ascii="Arial" w:hAnsi="Arial" w:cs="Arial"/>
                <w:sz w:val="22"/>
                <w:szCs w:val="22"/>
              </w:rPr>
            </w:pPr>
            <w:r w:rsidRPr="00FB3357">
              <w:rPr>
                <w:rFonts w:ascii="Arial" w:hAnsi="Arial" w:cs="Arial"/>
                <w:sz w:val="22"/>
                <w:szCs w:val="22"/>
              </w:rPr>
              <w:t>• Limited long-term organic growth.</w:t>
            </w:r>
          </w:p>
          <w:p w14:paraId="6603DB76" w14:textId="77777777" w:rsidR="00616376" w:rsidRPr="00FB3357" w:rsidRDefault="00616376" w:rsidP="00E12CE0">
            <w:pPr>
              <w:spacing w:after="0"/>
              <w:rPr>
                <w:rFonts w:ascii="Arial" w:hAnsi="Arial" w:cs="Arial"/>
                <w:sz w:val="22"/>
                <w:szCs w:val="22"/>
              </w:rPr>
            </w:pPr>
            <w:r w:rsidRPr="00FB3357">
              <w:rPr>
                <w:rFonts w:ascii="Arial" w:hAnsi="Arial" w:cs="Arial"/>
                <w:sz w:val="22"/>
                <w:szCs w:val="22"/>
              </w:rPr>
              <w:t>• Aggressive competitor pricing and promotions.</w:t>
            </w:r>
          </w:p>
          <w:p w14:paraId="3D073335"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Difficult to sustain competitive advantage through efficiency alone. (Michael Porter, 2008; Ofcom, 2025).</w:t>
            </w:r>
          </w:p>
        </w:tc>
        <w:tc>
          <w:tcPr>
            <w:tcW w:w="1888" w:type="dxa"/>
            <w:vAlign w:val="center"/>
            <w:hideMark/>
          </w:tcPr>
          <w:p w14:paraId="58443CF6" w14:textId="77777777" w:rsidR="00616376" w:rsidRPr="00FB3357" w:rsidRDefault="00616376" w:rsidP="00A3488B">
            <w:pPr>
              <w:rPr>
                <w:rFonts w:ascii="Arial" w:hAnsi="Arial" w:cs="Arial"/>
                <w:sz w:val="22"/>
                <w:szCs w:val="22"/>
              </w:rPr>
            </w:pPr>
            <w:r w:rsidRPr="00FB3357">
              <w:rPr>
                <w:rFonts w:ascii="Arial" w:hAnsi="Arial" w:cs="Arial"/>
                <w:b/>
                <w:bCs/>
                <w:sz w:val="22"/>
                <w:szCs w:val="22"/>
              </w:rPr>
              <w:t>Phase 1 Priority.</w:t>
            </w:r>
            <w:r w:rsidRPr="00FB3357">
              <w:rPr>
                <w:rFonts w:ascii="Arial" w:hAnsi="Arial" w:cs="Arial"/>
                <w:sz w:val="22"/>
                <w:szCs w:val="22"/>
              </w:rPr>
              <w:t xml:space="preserve"> Essential to complete post-merger integration, strengthen operational performance and establish a platform for future growth.</w:t>
            </w:r>
          </w:p>
        </w:tc>
      </w:tr>
      <w:tr w:rsidR="00616376" w:rsidRPr="00FB3357" w14:paraId="21E50AA6" w14:textId="77777777" w:rsidTr="007A42CB">
        <w:trPr>
          <w:tblCellSpacing w:w="15" w:type="dxa"/>
        </w:trPr>
        <w:tc>
          <w:tcPr>
            <w:tcW w:w="1510" w:type="dxa"/>
            <w:shd w:val="clear" w:color="auto" w:fill="60CAF3" w:themeFill="accent4" w:themeFillTint="99"/>
            <w:vAlign w:val="center"/>
            <w:hideMark/>
          </w:tcPr>
          <w:p w14:paraId="526C148D" w14:textId="77777777" w:rsidR="00616376" w:rsidRPr="00FB3357" w:rsidRDefault="00616376" w:rsidP="00A3488B">
            <w:pPr>
              <w:jc w:val="center"/>
              <w:rPr>
                <w:rFonts w:ascii="Arial" w:hAnsi="Arial" w:cs="Arial"/>
                <w:sz w:val="22"/>
                <w:szCs w:val="22"/>
              </w:rPr>
            </w:pPr>
            <w:r w:rsidRPr="00FB3357">
              <w:rPr>
                <w:rFonts w:ascii="Arial" w:hAnsi="Arial" w:cs="Arial"/>
                <w:b/>
                <w:bCs/>
                <w:sz w:val="22"/>
                <w:szCs w:val="22"/>
              </w:rPr>
              <w:t>Product Development</w:t>
            </w:r>
          </w:p>
        </w:tc>
        <w:tc>
          <w:tcPr>
            <w:tcW w:w="1104" w:type="dxa"/>
            <w:vAlign w:val="center"/>
            <w:hideMark/>
          </w:tcPr>
          <w:p w14:paraId="175D3CE4" w14:textId="77777777" w:rsidR="00616376" w:rsidRPr="00FB3357" w:rsidRDefault="00616376" w:rsidP="00FB3357">
            <w:pPr>
              <w:jc w:val="both"/>
              <w:rPr>
                <w:rFonts w:ascii="Arial" w:hAnsi="Arial" w:cs="Arial"/>
                <w:sz w:val="22"/>
                <w:szCs w:val="22"/>
              </w:rPr>
            </w:pPr>
            <w:r w:rsidRPr="00FB3357">
              <w:rPr>
                <w:rFonts w:ascii="Arial" w:hAnsi="Arial" w:cs="Arial"/>
                <w:b/>
                <w:bCs/>
                <w:sz w:val="22"/>
                <w:szCs w:val="22"/>
              </w:rPr>
              <w:t>Very High</w:t>
            </w:r>
          </w:p>
        </w:tc>
        <w:tc>
          <w:tcPr>
            <w:tcW w:w="2238" w:type="dxa"/>
            <w:vAlign w:val="center"/>
            <w:hideMark/>
          </w:tcPr>
          <w:p w14:paraId="6EF5BE3B"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Expands AI-enabled enterprise connectivity.</w:t>
            </w:r>
          </w:p>
          <w:p w14:paraId="648FE19B"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Develops private 5G, IoT and edge computing services.</w:t>
            </w:r>
          </w:p>
          <w:p w14:paraId="7ECEE107"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Generates higher-margin enterprise revenues.</w:t>
            </w:r>
          </w:p>
          <w:p w14:paraId="619BD50F"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Leverages Vodafone Business capabilities.</w:t>
            </w:r>
          </w:p>
          <w:p w14:paraId="324982AE"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lastRenderedPageBreak/>
              <w:t>• Creates sustainable competitive differentiation. (Ansoff, 1957; Vodafone Group Plc, 2025; GSMA, 2025).</w:t>
            </w:r>
          </w:p>
        </w:tc>
        <w:tc>
          <w:tcPr>
            <w:tcW w:w="2096" w:type="dxa"/>
            <w:vAlign w:val="center"/>
            <w:hideMark/>
          </w:tcPr>
          <w:p w14:paraId="49272C12"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lastRenderedPageBreak/>
              <w:t>• Significant investment required.</w:t>
            </w:r>
          </w:p>
          <w:p w14:paraId="7ED286BA"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Capability development and organisational change needed.</w:t>
            </w:r>
          </w:p>
          <w:p w14:paraId="6D8785C1"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t>• Enterprise adoption remains uncertain in some sectors.</w:t>
            </w:r>
          </w:p>
          <w:p w14:paraId="03232472" w14:textId="77777777" w:rsidR="00616376" w:rsidRPr="00FB3357" w:rsidRDefault="00616376" w:rsidP="00A3488B">
            <w:pPr>
              <w:spacing w:after="0"/>
              <w:rPr>
                <w:rFonts w:ascii="Arial" w:hAnsi="Arial" w:cs="Arial"/>
                <w:sz w:val="22"/>
                <w:szCs w:val="22"/>
              </w:rPr>
            </w:pPr>
            <w:r w:rsidRPr="00FB3357">
              <w:rPr>
                <w:rFonts w:ascii="Arial" w:hAnsi="Arial" w:cs="Arial"/>
                <w:sz w:val="22"/>
                <w:szCs w:val="22"/>
              </w:rPr>
              <w:lastRenderedPageBreak/>
              <w:t>• Successful implementation depends on effective post-merger integration. (Vodafone Group Plc, 2025; GSMA, 2025).</w:t>
            </w:r>
          </w:p>
        </w:tc>
        <w:tc>
          <w:tcPr>
            <w:tcW w:w="1888" w:type="dxa"/>
            <w:vAlign w:val="center"/>
            <w:hideMark/>
          </w:tcPr>
          <w:p w14:paraId="7639C91B" w14:textId="77777777" w:rsidR="00616376" w:rsidRPr="00FB3357" w:rsidRDefault="00616376" w:rsidP="00A3488B">
            <w:pPr>
              <w:rPr>
                <w:rFonts w:ascii="Arial" w:hAnsi="Arial" w:cs="Arial"/>
                <w:sz w:val="22"/>
                <w:szCs w:val="22"/>
              </w:rPr>
            </w:pPr>
            <w:r w:rsidRPr="00FB3357">
              <w:rPr>
                <w:rFonts w:ascii="Arial" w:hAnsi="Arial" w:cs="Arial"/>
                <w:b/>
                <w:bCs/>
                <w:sz w:val="22"/>
                <w:szCs w:val="22"/>
              </w:rPr>
              <w:lastRenderedPageBreak/>
              <w:t>Preferred Long-Term Strategy (Phase 2).</w:t>
            </w:r>
            <w:r w:rsidRPr="00FB3357">
              <w:rPr>
                <w:rFonts w:ascii="Arial" w:hAnsi="Arial" w:cs="Arial"/>
                <w:sz w:val="22"/>
                <w:szCs w:val="22"/>
              </w:rPr>
              <w:t xml:space="preserve"> Offers the strongest opportunity to achieve sustainable competitive advantage and </w:t>
            </w:r>
            <w:r w:rsidRPr="00FB3357">
              <w:rPr>
                <w:rFonts w:ascii="Arial" w:hAnsi="Arial" w:cs="Arial"/>
                <w:sz w:val="22"/>
                <w:szCs w:val="22"/>
              </w:rPr>
              <w:lastRenderedPageBreak/>
              <w:t>long-term shareholder value.</w:t>
            </w:r>
          </w:p>
        </w:tc>
      </w:tr>
      <w:tr w:rsidR="00616376" w:rsidRPr="00FB3357" w14:paraId="4BA1FB7D" w14:textId="77777777" w:rsidTr="007A42CB">
        <w:trPr>
          <w:tblCellSpacing w:w="15" w:type="dxa"/>
        </w:trPr>
        <w:tc>
          <w:tcPr>
            <w:tcW w:w="1510" w:type="dxa"/>
            <w:shd w:val="clear" w:color="auto" w:fill="60CAF3" w:themeFill="accent4" w:themeFillTint="99"/>
            <w:vAlign w:val="center"/>
            <w:hideMark/>
          </w:tcPr>
          <w:p w14:paraId="6AD633D4" w14:textId="616E87C6" w:rsidR="00616376" w:rsidRPr="00FB3357" w:rsidRDefault="00616376" w:rsidP="004434E2">
            <w:pPr>
              <w:jc w:val="center"/>
              <w:rPr>
                <w:rFonts w:ascii="Arial" w:hAnsi="Arial" w:cs="Arial"/>
                <w:sz w:val="22"/>
                <w:szCs w:val="22"/>
              </w:rPr>
            </w:pPr>
            <w:r w:rsidRPr="00FB3357">
              <w:rPr>
                <w:rFonts w:ascii="Arial" w:hAnsi="Arial" w:cs="Arial"/>
                <w:b/>
                <w:bCs/>
                <w:sz w:val="22"/>
                <w:szCs w:val="22"/>
              </w:rPr>
              <w:lastRenderedPageBreak/>
              <w:t xml:space="preserve">Market </w:t>
            </w:r>
            <w:r w:rsidR="004434E2" w:rsidRPr="00FB3357">
              <w:rPr>
                <w:rFonts w:ascii="Arial" w:hAnsi="Arial" w:cs="Arial"/>
                <w:b/>
                <w:bCs/>
                <w:sz w:val="22"/>
                <w:szCs w:val="22"/>
              </w:rPr>
              <w:t>Developm</w:t>
            </w:r>
            <w:r w:rsidR="004434E2">
              <w:rPr>
                <w:rFonts w:ascii="Arial" w:hAnsi="Arial" w:cs="Arial"/>
                <w:b/>
                <w:bCs/>
                <w:sz w:val="22"/>
                <w:szCs w:val="22"/>
              </w:rPr>
              <w:t>e</w:t>
            </w:r>
            <w:r w:rsidR="004434E2" w:rsidRPr="00FB3357">
              <w:rPr>
                <w:rFonts w:ascii="Arial" w:hAnsi="Arial" w:cs="Arial"/>
                <w:b/>
                <w:bCs/>
                <w:sz w:val="22"/>
                <w:szCs w:val="22"/>
              </w:rPr>
              <w:t>nt</w:t>
            </w:r>
          </w:p>
        </w:tc>
        <w:tc>
          <w:tcPr>
            <w:tcW w:w="1104" w:type="dxa"/>
            <w:vAlign w:val="center"/>
            <w:hideMark/>
          </w:tcPr>
          <w:p w14:paraId="368F4EB1" w14:textId="77777777" w:rsidR="00616376" w:rsidRPr="00FB3357" w:rsidRDefault="00616376" w:rsidP="004434E2">
            <w:pPr>
              <w:jc w:val="center"/>
              <w:rPr>
                <w:rFonts w:ascii="Arial" w:hAnsi="Arial" w:cs="Arial"/>
                <w:sz w:val="22"/>
                <w:szCs w:val="22"/>
              </w:rPr>
            </w:pPr>
            <w:r w:rsidRPr="00FB3357">
              <w:rPr>
                <w:rFonts w:ascii="Arial" w:hAnsi="Arial" w:cs="Arial"/>
                <w:b/>
                <w:bCs/>
                <w:sz w:val="22"/>
                <w:szCs w:val="22"/>
              </w:rPr>
              <w:t>Moderate</w:t>
            </w:r>
          </w:p>
        </w:tc>
        <w:tc>
          <w:tcPr>
            <w:tcW w:w="2238" w:type="dxa"/>
            <w:vAlign w:val="center"/>
            <w:hideMark/>
          </w:tcPr>
          <w:p w14:paraId="32CAADC0"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Expands existing services into new enterprise sectors.</w:t>
            </w:r>
          </w:p>
          <w:p w14:paraId="2478633D"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Increases utilisation of existing network assets.</w:t>
            </w:r>
          </w:p>
          <w:p w14:paraId="3983CF63"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•Builds on VodafoneThree's current capabilities.</w:t>
            </w:r>
          </w:p>
          <w:p w14:paraId="10B7D399"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Moderate implementation risk. (Ansoff, 1957; Vodafone Group Plc, 2025).</w:t>
            </w:r>
          </w:p>
        </w:tc>
        <w:tc>
          <w:tcPr>
            <w:tcW w:w="2096" w:type="dxa"/>
            <w:vAlign w:val="center"/>
            <w:hideMark/>
          </w:tcPr>
          <w:p w14:paraId="773D44C2"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Slower customer adoption.</w:t>
            </w:r>
          </w:p>
          <w:p w14:paraId="0483BED1"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Competitors targeting similar markets.</w:t>
            </w:r>
          </w:p>
          <w:p w14:paraId="4D3C009D"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Limited differentiation using existing services alone. (Porter, 2008; Ofcom, 2025).</w:t>
            </w:r>
          </w:p>
        </w:tc>
        <w:tc>
          <w:tcPr>
            <w:tcW w:w="1888" w:type="dxa"/>
            <w:vAlign w:val="center"/>
            <w:hideMark/>
          </w:tcPr>
          <w:p w14:paraId="11F052B7" w14:textId="77777777" w:rsidR="00616376" w:rsidRPr="00FB3357" w:rsidRDefault="00616376" w:rsidP="004434E2">
            <w:pPr>
              <w:rPr>
                <w:rFonts w:ascii="Arial" w:hAnsi="Arial" w:cs="Arial"/>
                <w:sz w:val="22"/>
                <w:szCs w:val="22"/>
              </w:rPr>
            </w:pPr>
            <w:r w:rsidRPr="00FB3357">
              <w:rPr>
                <w:rFonts w:ascii="Arial" w:hAnsi="Arial" w:cs="Arial"/>
                <w:b/>
                <w:bCs/>
                <w:sz w:val="22"/>
                <w:szCs w:val="22"/>
              </w:rPr>
              <w:t>Selective Opportunity.</w:t>
            </w:r>
            <w:r w:rsidRPr="00FB3357">
              <w:rPr>
                <w:rFonts w:ascii="Arial" w:hAnsi="Arial" w:cs="Arial"/>
                <w:sz w:val="22"/>
                <w:szCs w:val="22"/>
              </w:rPr>
              <w:t xml:space="preserve"> Appropriate once integration has been completed and where opportunities complement Vodafone Business capabilities.</w:t>
            </w:r>
          </w:p>
        </w:tc>
      </w:tr>
      <w:tr w:rsidR="00616376" w:rsidRPr="00FB3357" w14:paraId="74872AC2" w14:textId="77777777" w:rsidTr="007A42CB">
        <w:trPr>
          <w:tblCellSpacing w:w="15" w:type="dxa"/>
        </w:trPr>
        <w:tc>
          <w:tcPr>
            <w:tcW w:w="1510" w:type="dxa"/>
            <w:shd w:val="clear" w:color="auto" w:fill="60CAF3" w:themeFill="accent4" w:themeFillTint="99"/>
            <w:vAlign w:val="center"/>
            <w:hideMark/>
          </w:tcPr>
          <w:p w14:paraId="2039CF6A" w14:textId="77777777" w:rsidR="00616376" w:rsidRPr="00FB3357" w:rsidRDefault="00616376" w:rsidP="004434E2">
            <w:pPr>
              <w:jc w:val="center"/>
              <w:rPr>
                <w:rFonts w:ascii="Arial" w:hAnsi="Arial" w:cs="Arial"/>
                <w:sz w:val="22"/>
                <w:szCs w:val="22"/>
              </w:rPr>
            </w:pPr>
            <w:r w:rsidRPr="00FB3357">
              <w:rPr>
                <w:rFonts w:ascii="Arial" w:hAnsi="Arial" w:cs="Arial"/>
                <w:b/>
                <w:bCs/>
                <w:sz w:val="22"/>
                <w:szCs w:val="22"/>
              </w:rPr>
              <w:t>Diversification</w:t>
            </w:r>
          </w:p>
        </w:tc>
        <w:tc>
          <w:tcPr>
            <w:tcW w:w="1104" w:type="dxa"/>
            <w:vAlign w:val="center"/>
            <w:hideMark/>
          </w:tcPr>
          <w:p w14:paraId="64D6E9A6" w14:textId="77777777" w:rsidR="00616376" w:rsidRPr="00FB3357" w:rsidRDefault="00616376" w:rsidP="004434E2">
            <w:pPr>
              <w:jc w:val="center"/>
              <w:rPr>
                <w:rFonts w:ascii="Arial" w:hAnsi="Arial" w:cs="Arial"/>
                <w:sz w:val="22"/>
                <w:szCs w:val="22"/>
              </w:rPr>
            </w:pPr>
            <w:r w:rsidRPr="00FB3357">
              <w:rPr>
                <w:rFonts w:ascii="Arial" w:hAnsi="Arial" w:cs="Arial"/>
                <w:b/>
                <w:bCs/>
                <w:sz w:val="22"/>
                <w:szCs w:val="22"/>
              </w:rPr>
              <w:t>Low</w:t>
            </w:r>
          </w:p>
        </w:tc>
        <w:tc>
          <w:tcPr>
            <w:tcW w:w="2238" w:type="dxa"/>
            <w:vAlign w:val="center"/>
            <w:hideMark/>
          </w:tcPr>
          <w:p w14:paraId="23CE84D6"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Potential long-term revenue diversification.</w:t>
            </w:r>
          </w:p>
          <w:p w14:paraId="44CABF10"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Entry into adjacent digital markets. (Ansoff, 1957).</w:t>
            </w:r>
          </w:p>
        </w:tc>
        <w:tc>
          <w:tcPr>
            <w:tcW w:w="2096" w:type="dxa"/>
            <w:vAlign w:val="center"/>
            <w:hideMark/>
          </w:tcPr>
          <w:p w14:paraId="3110A0EE"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Weak strategic fit with post-merger priorities.</w:t>
            </w:r>
          </w:p>
          <w:p w14:paraId="65FA9550"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Highest financial and execution risk.</w:t>
            </w:r>
          </w:p>
          <w:p w14:paraId="593F0982"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Limited operational synergies.</w:t>
            </w:r>
          </w:p>
          <w:p w14:paraId="625CAC32" w14:textId="77777777" w:rsidR="00616376" w:rsidRPr="00FB3357" w:rsidRDefault="00616376" w:rsidP="004434E2">
            <w:pPr>
              <w:spacing w:after="0"/>
              <w:rPr>
                <w:rFonts w:ascii="Arial" w:hAnsi="Arial" w:cs="Arial"/>
                <w:sz w:val="22"/>
                <w:szCs w:val="22"/>
              </w:rPr>
            </w:pPr>
            <w:r w:rsidRPr="00FB3357">
              <w:rPr>
                <w:rFonts w:ascii="Arial" w:hAnsi="Arial" w:cs="Arial"/>
                <w:sz w:val="22"/>
                <w:szCs w:val="22"/>
              </w:rPr>
              <w:t>• Diverts management attention from merger integration. (Ansoff, 1957; Gerry Johnson, Scholes and Whittington, 2020; Vodafone Group Plc, 2025; CMA, 2024).</w:t>
            </w:r>
          </w:p>
        </w:tc>
        <w:tc>
          <w:tcPr>
            <w:tcW w:w="1888" w:type="dxa"/>
            <w:vAlign w:val="center"/>
            <w:hideMark/>
          </w:tcPr>
          <w:p w14:paraId="1846F08E" w14:textId="77777777" w:rsidR="00616376" w:rsidRPr="00FB3357" w:rsidRDefault="00616376" w:rsidP="004434E2">
            <w:pPr>
              <w:rPr>
                <w:rFonts w:ascii="Arial" w:hAnsi="Arial" w:cs="Arial"/>
                <w:sz w:val="22"/>
                <w:szCs w:val="22"/>
              </w:rPr>
            </w:pPr>
            <w:r w:rsidRPr="00FB3357">
              <w:rPr>
                <w:rFonts w:ascii="Arial" w:hAnsi="Arial" w:cs="Arial"/>
                <w:b/>
                <w:bCs/>
                <w:sz w:val="22"/>
                <w:szCs w:val="22"/>
              </w:rPr>
              <w:t>Not Recommended.</w:t>
            </w:r>
            <w:r w:rsidRPr="00FB3357">
              <w:rPr>
                <w:rFonts w:ascii="Arial" w:hAnsi="Arial" w:cs="Arial"/>
                <w:sz w:val="22"/>
                <w:szCs w:val="22"/>
              </w:rPr>
              <w:t xml:space="preserve"> The risks outweigh the potential benefits during the current post-merger period.</w:t>
            </w:r>
          </w:p>
        </w:tc>
      </w:tr>
    </w:tbl>
    <w:p w14:paraId="381221C1" w14:textId="0F14BE32" w:rsidR="0007265A" w:rsidRPr="004434E2" w:rsidRDefault="00A53276" w:rsidP="00FB3357">
      <w:pPr>
        <w:jc w:val="both"/>
        <w:rPr>
          <w:rFonts w:ascii="Arial" w:hAnsi="Arial" w:cs="Arial"/>
          <w:i/>
          <w:iCs/>
          <w:sz w:val="22"/>
          <w:szCs w:val="22"/>
        </w:rPr>
      </w:pPr>
      <w:r w:rsidRPr="004434E2">
        <w:rPr>
          <w:rFonts w:ascii="Arial" w:hAnsi="Arial" w:cs="Arial"/>
          <w:b/>
          <w:bCs/>
          <w:i/>
          <w:iCs/>
          <w:sz w:val="22"/>
          <w:szCs w:val="22"/>
        </w:rPr>
        <w:t>Source:</w:t>
      </w:r>
      <w:r w:rsidRPr="004434E2">
        <w:rPr>
          <w:rFonts w:ascii="Arial" w:hAnsi="Arial" w:cs="Arial"/>
          <w:i/>
          <w:iCs/>
          <w:sz w:val="22"/>
          <w:szCs w:val="22"/>
        </w:rPr>
        <w:t xml:space="preserve"> Author's analysis, based on Ansoff (1957), Porter (2008), Johnson, Scholes and Whittington (2020), Vodafone Group Plc (2025), Competition and Markets Authority (2024), Ofcom (2025), GSMA (2025), and findings from Chapter 2.</w:t>
      </w:r>
    </w:p>
    <w:p w14:paraId="7A9E3167" w14:textId="77777777" w:rsidR="00EE272F" w:rsidRPr="00FB3357" w:rsidRDefault="00EE272F"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lastRenderedPageBreak/>
        <w:t>The strategy aligns with the opportunities and competitive pressures identified in Chapter 2</w:t>
      </w:r>
      <w:r w:rsidR="6DE1C80D" w:rsidRPr="00FB3357">
        <w:rPr>
          <w:rFonts w:ascii="Arial" w:eastAsia="Arial Nova" w:hAnsi="Arial" w:cs="Arial"/>
          <w:sz w:val="22"/>
          <w:szCs w:val="22"/>
        </w:rPr>
        <w:t>.</w:t>
      </w:r>
    </w:p>
    <w:p w14:paraId="342A6AFC" w14:textId="6509C90D" w:rsidR="6DE1C80D" w:rsidRPr="00521232" w:rsidRDefault="003F3A36"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Furthermore, the SWOT and TOWS analyses demonstrate that VodafoneThree possesses the capabilities required to exploit these opportunities</w:t>
      </w:r>
      <w:r w:rsidR="6DE1C80D" w:rsidRPr="00FB3357">
        <w:rPr>
          <w:rFonts w:ascii="Arial" w:eastAsia="Arial Nova" w:hAnsi="Arial" w:cs="Arial"/>
          <w:sz w:val="22"/>
          <w:szCs w:val="22"/>
        </w:rPr>
        <w:t>. Consequently, product development provides a strategically coherent response by aligning VodafoneThree's internal capabilities with external market opportunities, enabling the organisation to create sustainable competitive advantage through innovation and service differentiation rather than organisational scale alone.</w:t>
      </w:r>
    </w:p>
    <w:p w14:paraId="6594E32A" w14:textId="043E6657" w:rsidR="6DE1C80D" w:rsidRPr="004434E2" w:rsidRDefault="002739CD" w:rsidP="00FB3357">
      <w:pPr>
        <w:pStyle w:val="Heading2"/>
        <w:spacing w:before="299" w:after="299"/>
        <w:jc w:val="both"/>
        <w:rPr>
          <w:rFonts w:ascii="Arial" w:hAnsi="Arial" w:cs="Arial"/>
          <w:color w:val="auto"/>
          <w:sz w:val="22"/>
          <w:szCs w:val="22"/>
        </w:rPr>
      </w:pPr>
      <w:bookmarkStart w:id="16" w:name="_Toc234790278"/>
      <w:r>
        <w:rPr>
          <w:rFonts w:ascii="Arial" w:eastAsia="Arial Nova" w:hAnsi="Arial" w:cs="Arial"/>
          <w:b/>
          <w:bCs/>
          <w:color w:val="auto"/>
          <w:sz w:val="22"/>
          <w:szCs w:val="22"/>
        </w:rPr>
        <w:t>5</w:t>
      </w:r>
      <w:r w:rsidR="6DE1C80D" w:rsidRPr="004434E2">
        <w:rPr>
          <w:rFonts w:ascii="Arial" w:eastAsia="Arial Nova" w:hAnsi="Arial" w:cs="Arial"/>
          <w:b/>
          <w:bCs/>
          <w:color w:val="auto"/>
          <w:sz w:val="22"/>
          <w:szCs w:val="22"/>
        </w:rPr>
        <w:t>.2 Feasibility</w:t>
      </w:r>
      <w:bookmarkEnd w:id="16"/>
    </w:p>
    <w:p w14:paraId="05C0A96E" w14:textId="22E18154" w:rsidR="00CC7F21" w:rsidRPr="00FB3357" w:rsidRDefault="6DE1C80D"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The proposed product development strategy is feasible because VodafoneThree possesses the financial, technological and organisational resources required to support its implementation.</w:t>
      </w:r>
      <w:r w:rsidR="00E859AC" w:rsidRPr="00FB3357">
        <w:rPr>
          <w:rFonts w:ascii="Arial" w:eastAsia="Arial Nova" w:hAnsi="Arial" w:cs="Arial"/>
          <w:sz w:val="22"/>
          <w:szCs w:val="22"/>
        </w:rPr>
        <w:t xml:space="preserve"> Existing investment commitments and enterprise capabilities provide a strong foundation for implementation (Vodafone Group Plc, 2025).</w:t>
      </w:r>
      <w:r w:rsidRPr="00FB3357">
        <w:rPr>
          <w:rFonts w:ascii="Arial" w:eastAsia="Arial Nova" w:hAnsi="Arial" w:cs="Arial"/>
          <w:sz w:val="22"/>
          <w:szCs w:val="22"/>
        </w:rPr>
        <w:t xml:space="preserve"> Successful implementation will also depend on effective operational integration, skilled employees and strong leadership to deliver post-merger synergies efficiently.</w:t>
      </w:r>
      <w:r w:rsidR="00310B7C" w:rsidRPr="00FB3357">
        <w:rPr>
          <w:rFonts w:ascii="Arial" w:eastAsia="Arial Nova" w:hAnsi="Arial" w:cs="Arial"/>
          <w:b/>
          <w:bCs/>
          <w:sz w:val="22"/>
          <w:szCs w:val="22"/>
        </w:rPr>
        <w:t xml:space="preserve"> The assessment assumes successful merger integration and continues regulatory compliance</w:t>
      </w:r>
      <w:r w:rsidRPr="00FB3357">
        <w:rPr>
          <w:rFonts w:ascii="Arial" w:eastAsia="Arial Nova" w:hAnsi="Arial" w:cs="Arial"/>
          <w:b/>
          <w:bCs/>
          <w:sz w:val="22"/>
          <w:szCs w:val="22"/>
        </w:rPr>
        <w:t>.</w:t>
      </w:r>
      <w:r w:rsidRPr="00FB3357">
        <w:rPr>
          <w:rFonts w:ascii="Arial" w:eastAsia="Arial Nova" w:hAnsi="Arial" w:cs="Arial"/>
          <w:sz w:val="22"/>
          <w:szCs w:val="22"/>
        </w:rPr>
        <w:t xml:space="preserve"> Under these assumptions, the proposed strategy is considered operationally and financially achievable.</w:t>
      </w:r>
    </w:p>
    <w:p w14:paraId="481C988B" w14:textId="46E3295E" w:rsidR="00ED2238" w:rsidRPr="00B049EC" w:rsidRDefault="002739CD" w:rsidP="00B049EC">
      <w:pPr>
        <w:pStyle w:val="Heading2"/>
        <w:rPr>
          <w:rFonts w:ascii="Arial" w:eastAsia="Arial Nova" w:hAnsi="Arial" w:cs="Arial"/>
          <w:b/>
          <w:bCs/>
          <w:color w:val="auto"/>
          <w:sz w:val="22"/>
          <w:szCs w:val="22"/>
        </w:rPr>
      </w:pPr>
      <w:bookmarkStart w:id="17" w:name="_Toc234790279"/>
      <w:r>
        <w:rPr>
          <w:rFonts w:ascii="Arial" w:eastAsia="Arial Nova" w:hAnsi="Arial" w:cs="Arial"/>
          <w:b/>
          <w:bCs/>
          <w:color w:val="auto"/>
          <w:sz w:val="22"/>
          <w:szCs w:val="22"/>
        </w:rPr>
        <w:t>5</w:t>
      </w:r>
      <w:r w:rsidR="00ED2238" w:rsidRPr="00B049EC">
        <w:rPr>
          <w:rFonts w:ascii="Arial" w:eastAsia="Arial Nova" w:hAnsi="Arial" w:cs="Arial"/>
          <w:b/>
          <w:bCs/>
          <w:color w:val="auto"/>
          <w:sz w:val="22"/>
          <w:szCs w:val="22"/>
        </w:rPr>
        <w:t>.3 Acceptability</w:t>
      </w:r>
      <w:bookmarkEnd w:id="17"/>
    </w:p>
    <w:p w14:paraId="7A0D538D" w14:textId="045D25CF" w:rsidR="00ED2238" w:rsidRPr="00FB3357" w:rsidRDefault="00ED2238"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The proposed product development strategy is acceptable because it balances the expectations of VodafoneThree's key stakeholders while supporting long-term organisational objectives. Shareholders are expected to benefit from sustainable revenue growth and improved returns through higher-margin enterprise services, while customers will benefit from enhanced digital connectivity and service innovation. The strategy also supports the Competition and Markets Authority's merger commitments by prioritising network investment and improved consumer outcomes (Competition and Markets Authority, 2024; Vodafone Group Plc, 2025). Although implementation requires continued investment and organisational change, these risks are proportionate to the expected strategic and financial benefits. Consequently, the strategy demonstrates a high level of stakeholder acceptability and provides a balanced approach to sustainable value creation.</w:t>
      </w:r>
    </w:p>
    <w:p w14:paraId="3D2985FB" w14:textId="697FEF49" w:rsidR="20396723" w:rsidRPr="00FB3357" w:rsidRDefault="002739CD" w:rsidP="00FB3357">
      <w:pPr>
        <w:pStyle w:val="Heading2"/>
        <w:spacing w:before="299" w:after="299"/>
        <w:jc w:val="both"/>
        <w:rPr>
          <w:rFonts w:ascii="Arial" w:eastAsia="Arial Nova" w:hAnsi="Arial" w:cs="Arial"/>
          <w:b/>
          <w:bCs/>
          <w:color w:val="auto"/>
          <w:sz w:val="22"/>
          <w:szCs w:val="22"/>
        </w:rPr>
      </w:pPr>
      <w:bookmarkStart w:id="18" w:name="_Toc234790280"/>
      <w:r>
        <w:rPr>
          <w:rFonts w:ascii="Arial" w:eastAsia="Arial Nova" w:hAnsi="Arial" w:cs="Arial"/>
          <w:b/>
          <w:bCs/>
          <w:color w:val="auto"/>
          <w:sz w:val="22"/>
          <w:szCs w:val="22"/>
        </w:rPr>
        <w:t>5</w:t>
      </w:r>
      <w:r w:rsidR="20396723" w:rsidRPr="00FB3357">
        <w:rPr>
          <w:rFonts w:ascii="Arial" w:eastAsia="Arial Nova" w:hAnsi="Arial" w:cs="Arial"/>
          <w:b/>
          <w:bCs/>
          <w:color w:val="auto"/>
          <w:sz w:val="22"/>
          <w:szCs w:val="22"/>
        </w:rPr>
        <w:t>.4 Overall SFA Evaluation</w:t>
      </w:r>
      <w:bookmarkEnd w:id="18"/>
    </w:p>
    <w:p w14:paraId="001669E8" w14:textId="77777777" w:rsidR="008F216E" w:rsidRDefault="008F216E"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Overall, the SFA evaluation confirms that product development is the most appropriate strategic option for VodafoneThree. Compared with the alternatives, it offers the strongest balance between strategic fit, organisational capability and stakeholder acceptability, providing a realistic basis for sustainable growth and strengthening the company's long-term market position (Porter, 1985; Vodafone Group Plc, 2025).</w:t>
      </w:r>
    </w:p>
    <w:p w14:paraId="270BBDB1" w14:textId="77777777" w:rsidR="00365624" w:rsidRDefault="00365624" w:rsidP="00FB3357">
      <w:pPr>
        <w:spacing w:before="240" w:after="240"/>
        <w:jc w:val="both"/>
        <w:rPr>
          <w:rFonts w:ascii="Arial" w:eastAsia="Arial Nova" w:hAnsi="Arial" w:cs="Arial"/>
          <w:sz w:val="22"/>
          <w:szCs w:val="22"/>
        </w:rPr>
      </w:pPr>
    </w:p>
    <w:p w14:paraId="266BFB3C" w14:textId="77777777" w:rsidR="00365624" w:rsidRPr="00FB3357" w:rsidRDefault="00365624" w:rsidP="00FB3357">
      <w:pPr>
        <w:spacing w:before="240" w:after="240"/>
        <w:jc w:val="both"/>
        <w:rPr>
          <w:rFonts w:ascii="Arial" w:eastAsia="Arial Nova" w:hAnsi="Arial" w:cs="Arial"/>
          <w:sz w:val="22"/>
          <w:szCs w:val="22"/>
        </w:rPr>
      </w:pPr>
    </w:p>
    <w:p w14:paraId="5FFD74F5" w14:textId="173B8618" w:rsidR="348109AD" w:rsidRPr="00F87AE6" w:rsidRDefault="002739CD" w:rsidP="00F87AE6">
      <w:pPr>
        <w:pStyle w:val="Heading1"/>
        <w:rPr>
          <w:rFonts w:asciiTheme="minorHAnsi" w:eastAsia="Arial Nova" w:hAnsiTheme="minorHAnsi"/>
          <w:b/>
          <w:bCs/>
          <w:color w:val="auto"/>
          <w:sz w:val="28"/>
          <w:szCs w:val="28"/>
        </w:rPr>
      </w:pPr>
      <w:bookmarkStart w:id="19" w:name="_Toc234790281"/>
      <w:r>
        <w:rPr>
          <w:rFonts w:asciiTheme="minorHAnsi" w:eastAsia="Arial Nova" w:hAnsiTheme="minorHAnsi"/>
          <w:b/>
          <w:bCs/>
          <w:color w:val="auto"/>
          <w:sz w:val="28"/>
          <w:szCs w:val="28"/>
        </w:rPr>
        <w:lastRenderedPageBreak/>
        <w:t>6</w:t>
      </w:r>
      <w:r w:rsidR="348109AD" w:rsidRPr="00F87AE6">
        <w:rPr>
          <w:rFonts w:asciiTheme="minorHAnsi" w:eastAsia="Arial Nova" w:hAnsiTheme="minorHAnsi"/>
          <w:b/>
          <w:bCs/>
          <w:color w:val="auto"/>
          <w:sz w:val="28"/>
          <w:szCs w:val="28"/>
        </w:rPr>
        <w:t>. Stakeholder Analysis</w:t>
      </w:r>
      <w:bookmarkEnd w:id="19"/>
    </w:p>
    <w:p w14:paraId="17E49F06" w14:textId="320F79A3" w:rsidR="004A009A" w:rsidRPr="00F87AE6" w:rsidRDefault="002A4BEA" w:rsidP="00FB3357">
      <w:pPr>
        <w:jc w:val="both"/>
        <w:rPr>
          <w:rFonts w:ascii="Arial" w:hAnsi="Arial" w:cs="Arial"/>
          <w:i/>
          <w:iCs/>
          <w:sz w:val="22"/>
          <w:szCs w:val="22"/>
        </w:rPr>
      </w:pPr>
      <w:r w:rsidRPr="00F87AE6">
        <w:rPr>
          <w:rFonts w:ascii="Arial" w:hAnsi="Arial" w:cs="Arial"/>
          <w:i/>
          <w:iCs/>
          <w:sz w:val="22"/>
          <w:szCs w:val="22"/>
        </w:rPr>
        <w:t xml:space="preserve">Figure </w:t>
      </w:r>
      <w:r w:rsidR="00C150BD">
        <w:rPr>
          <w:rFonts w:ascii="Arial" w:hAnsi="Arial" w:cs="Arial"/>
          <w:i/>
          <w:iCs/>
          <w:sz w:val="22"/>
          <w:szCs w:val="22"/>
        </w:rPr>
        <w:t>3</w:t>
      </w:r>
      <w:r w:rsidRPr="00F87AE6">
        <w:rPr>
          <w:rFonts w:ascii="Arial" w:hAnsi="Arial" w:cs="Arial"/>
          <w:i/>
          <w:iCs/>
          <w:sz w:val="22"/>
          <w:szCs w:val="22"/>
        </w:rPr>
        <w:t xml:space="preserve"> applies Mendelow's Matrix to identify VodafoneThree's key stakeholders and appropriate engagement strategies (Freeman, 1984).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4"/>
        <w:gridCol w:w="2846"/>
        <w:gridCol w:w="3277"/>
        <w:gridCol w:w="1419"/>
      </w:tblGrid>
      <w:tr w:rsidR="00A40CBE" w:rsidRPr="00FB3357" w14:paraId="5191C0A0" w14:textId="77777777" w:rsidTr="00D8008F">
        <w:trPr>
          <w:tblHeader/>
          <w:tblCellSpacing w:w="15" w:type="dxa"/>
        </w:trPr>
        <w:tc>
          <w:tcPr>
            <w:tcW w:w="0" w:type="auto"/>
            <w:shd w:val="clear" w:color="auto" w:fill="92D050"/>
            <w:vAlign w:val="center"/>
            <w:hideMark/>
          </w:tcPr>
          <w:p w14:paraId="5C179794" w14:textId="77777777" w:rsidR="00A40CBE" w:rsidRPr="00FB3357" w:rsidRDefault="00A40CBE" w:rsidP="00F87AE6">
            <w:pPr>
              <w:jc w:val="center"/>
              <w:rPr>
                <w:rFonts w:ascii="Arial" w:hAnsi="Arial" w:cs="Arial"/>
                <w:b/>
                <w:bCs/>
                <w:sz w:val="22"/>
                <w:szCs w:val="22"/>
              </w:rPr>
            </w:pPr>
            <w:r w:rsidRPr="00FB3357">
              <w:rPr>
                <w:rFonts w:ascii="Arial" w:hAnsi="Arial" w:cs="Arial"/>
                <w:b/>
                <w:bCs/>
                <w:sz w:val="22"/>
                <w:szCs w:val="22"/>
              </w:rPr>
              <w:t>SFA Criterion</w:t>
            </w:r>
          </w:p>
        </w:tc>
        <w:tc>
          <w:tcPr>
            <w:tcW w:w="2816" w:type="dxa"/>
            <w:shd w:val="clear" w:color="auto" w:fill="92D050"/>
            <w:vAlign w:val="center"/>
            <w:hideMark/>
          </w:tcPr>
          <w:p w14:paraId="101EE29C" w14:textId="77777777" w:rsidR="00A40CBE" w:rsidRPr="00FB3357" w:rsidRDefault="00A40CBE" w:rsidP="00F87AE6">
            <w:pPr>
              <w:jc w:val="center"/>
              <w:rPr>
                <w:rFonts w:ascii="Arial" w:hAnsi="Arial" w:cs="Arial"/>
                <w:b/>
                <w:bCs/>
                <w:sz w:val="22"/>
                <w:szCs w:val="22"/>
              </w:rPr>
            </w:pPr>
            <w:r w:rsidRPr="00FB3357">
              <w:rPr>
                <w:rFonts w:ascii="Arial" w:hAnsi="Arial" w:cs="Arial"/>
                <w:b/>
                <w:bCs/>
                <w:sz w:val="22"/>
                <w:szCs w:val="22"/>
              </w:rPr>
              <w:t>Evaluation</w:t>
            </w:r>
          </w:p>
        </w:tc>
        <w:tc>
          <w:tcPr>
            <w:tcW w:w="3247" w:type="dxa"/>
            <w:shd w:val="clear" w:color="auto" w:fill="92D050"/>
            <w:vAlign w:val="center"/>
            <w:hideMark/>
          </w:tcPr>
          <w:p w14:paraId="0BE825FC" w14:textId="77777777" w:rsidR="00A40CBE" w:rsidRPr="00FB3357" w:rsidRDefault="00A40CBE" w:rsidP="00F87AE6">
            <w:pPr>
              <w:jc w:val="center"/>
              <w:rPr>
                <w:rFonts w:ascii="Arial" w:hAnsi="Arial" w:cs="Arial"/>
                <w:b/>
                <w:bCs/>
                <w:sz w:val="22"/>
                <w:szCs w:val="22"/>
              </w:rPr>
            </w:pPr>
            <w:r w:rsidRPr="00FB3357">
              <w:rPr>
                <w:rFonts w:ascii="Arial" w:hAnsi="Arial" w:cs="Arial"/>
                <w:b/>
                <w:bCs/>
                <w:sz w:val="22"/>
                <w:szCs w:val="22"/>
              </w:rPr>
              <w:t>Supporting Evidence</w:t>
            </w:r>
          </w:p>
        </w:tc>
        <w:tc>
          <w:tcPr>
            <w:tcW w:w="0" w:type="auto"/>
            <w:shd w:val="clear" w:color="auto" w:fill="92D050"/>
            <w:vAlign w:val="center"/>
            <w:hideMark/>
          </w:tcPr>
          <w:p w14:paraId="6405E792" w14:textId="77777777" w:rsidR="00A40CBE" w:rsidRPr="00FB3357" w:rsidRDefault="00A40CBE" w:rsidP="00F87AE6">
            <w:pPr>
              <w:jc w:val="center"/>
              <w:rPr>
                <w:rFonts w:ascii="Arial" w:hAnsi="Arial" w:cs="Arial"/>
                <w:b/>
                <w:bCs/>
                <w:sz w:val="22"/>
                <w:szCs w:val="22"/>
              </w:rPr>
            </w:pPr>
            <w:r w:rsidRPr="00FB3357">
              <w:rPr>
                <w:rFonts w:ascii="Arial" w:hAnsi="Arial" w:cs="Arial"/>
                <w:b/>
                <w:bCs/>
                <w:sz w:val="22"/>
                <w:szCs w:val="22"/>
              </w:rPr>
              <w:t>Overall Judgement</w:t>
            </w:r>
          </w:p>
        </w:tc>
      </w:tr>
      <w:tr w:rsidR="00A40CBE" w:rsidRPr="00FB3357" w14:paraId="2D8D0FE8" w14:textId="77777777" w:rsidTr="00D8008F">
        <w:trPr>
          <w:tblCellSpacing w:w="15" w:type="dxa"/>
        </w:trPr>
        <w:tc>
          <w:tcPr>
            <w:tcW w:w="0" w:type="auto"/>
            <w:shd w:val="clear" w:color="auto" w:fill="95DCF7" w:themeFill="accent4" w:themeFillTint="66"/>
            <w:vAlign w:val="center"/>
            <w:hideMark/>
          </w:tcPr>
          <w:p w14:paraId="5F97AC3D" w14:textId="77777777" w:rsidR="00A40CBE" w:rsidRPr="00FB3357" w:rsidRDefault="00A40CBE" w:rsidP="00FB3357">
            <w:pPr>
              <w:jc w:val="both"/>
              <w:rPr>
                <w:rFonts w:ascii="Arial" w:hAnsi="Arial" w:cs="Arial"/>
                <w:sz w:val="22"/>
                <w:szCs w:val="22"/>
              </w:rPr>
            </w:pPr>
            <w:r w:rsidRPr="00FB3357">
              <w:rPr>
                <w:rFonts w:ascii="Arial" w:hAnsi="Arial" w:cs="Arial"/>
                <w:b/>
                <w:bCs/>
                <w:sz w:val="22"/>
                <w:szCs w:val="22"/>
              </w:rPr>
              <w:t>Suitability</w:t>
            </w:r>
          </w:p>
        </w:tc>
        <w:tc>
          <w:tcPr>
            <w:tcW w:w="2816" w:type="dxa"/>
            <w:vAlign w:val="center"/>
            <w:hideMark/>
          </w:tcPr>
          <w:p w14:paraId="58B79280" w14:textId="77777777" w:rsidR="00A40CBE" w:rsidRPr="00FB3357" w:rsidRDefault="00A40CBE" w:rsidP="00F87AE6">
            <w:pPr>
              <w:rPr>
                <w:rFonts w:ascii="Arial" w:hAnsi="Arial" w:cs="Arial"/>
                <w:sz w:val="22"/>
                <w:szCs w:val="22"/>
              </w:rPr>
            </w:pPr>
            <w:r w:rsidRPr="00FB3357">
              <w:rPr>
                <w:rFonts w:ascii="Arial" w:hAnsi="Arial" w:cs="Arial"/>
                <w:sz w:val="22"/>
                <w:szCs w:val="22"/>
              </w:rPr>
              <w:t xml:space="preserve">The strategy directly addresses the strategic issues identified in Chapter 2 by combining operational integration with long-term digital innovation. (Gerry Johnson </w:t>
            </w:r>
            <w:r w:rsidRPr="00FB3357">
              <w:rPr>
                <w:rFonts w:ascii="Arial" w:hAnsi="Arial" w:cs="Arial"/>
                <w:i/>
                <w:iCs/>
                <w:sz w:val="22"/>
                <w:szCs w:val="22"/>
              </w:rPr>
              <w:t>et al</w:t>
            </w:r>
            <w:r w:rsidRPr="00FB3357">
              <w:rPr>
                <w:rFonts w:ascii="Arial" w:hAnsi="Arial" w:cs="Arial"/>
                <w:sz w:val="22"/>
                <w:szCs w:val="22"/>
              </w:rPr>
              <w:t>., 2020).</w:t>
            </w:r>
          </w:p>
        </w:tc>
        <w:tc>
          <w:tcPr>
            <w:tcW w:w="3247" w:type="dxa"/>
            <w:vAlign w:val="center"/>
            <w:hideMark/>
          </w:tcPr>
          <w:p w14:paraId="157C1963" w14:textId="77777777" w:rsidR="00A40CBE" w:rsidRPr="00FB3357" w:rsidRDefault="00A40CBE" w:rsidP="00F87AE6">
            <w:pPr>
              <w:rPr>
                <w:rFonts w:ascii="Arial" w:hAnsi="Arial" w:cs="Arial"/>
                <w:sz w:val="22"/>
                <w:szCs w:val="22"/>
              </w:rPr>
            </w:pPr>
            <w:r w:rsidRPr="00FB3357">
              <w:rPr>
                <w:rFonts w:ascii="Arial" w:hAnsi="Arial" w:cs="Arial"/>
                <w:sz w:val="22"/>
                <w:szCs w:val="22"/>
              </w:rPr>
              <w:t xml:space="preserve">Aligns with PESTEL opportunities in AI, private 5G and IoT; responds to competitive pressures identified through Porter's Five Forces; exploits strengths and opportunities identified in the SWOT and TOWS analyses. (Johnson </w:t>
            </w:r>
            <w:r w:rsidRPr="00FB3357">
              <w:rPr>
                <w:rFonts w:ascii="Arial" w:hAnsi="Arial" w:cs="Arial"/>
                <w:i/>
                <w:iCs/>
                <w:sz w:val="22"/>
                <w:szCs w:val="22"/>
              </w:rPr>
              <w:t>et al</w:t>
            </w:r>
            <w:r w:rsidRPr="00FB3357">
              <w:rPr>
                <w:rFonts w:ascii="Arial" w:hAnsi="Arial" w:cs="Arial"/>
                <w:sz w:val="22"/>
                <w:szCs w:val="22"/>
              </w:rPr>
              <w:t>., 2020; GSMA, 2025; findings from Chapters 2 and 3).</w:t>
            </w:r>
          </w:p>
        </w:tc>
        <w:tc>
          <w:tcPr>
            <w:tcW w:w="0" w:type="auto"/>
            <w:vAlign w:val="center"/>
            <w:hideMark/>
          </w:tcPr>
          <w:p w14:paraId="54E6991F" w14:textId="77777777" w:rsidR="00A40CBE" w:rsidRPr="00FB3357" w:rsidRDefault="00A40CBE" w:rsidP="00F87AE6">
            <w:pPr>
              <w:jc w:val="center"/>
              <w:rPr>
                <w:rFonts w:ascii="Arial" w:hAnsi="Arial" w:cs="Arial"/>
                <w:sz w:val="22"/>
                <w:szCs w:val="22"/>
              </w:rPr>
            </w:pPr>
            <w:r w:rsidRPr="00FB3357">
              <w:rPr>
                <w:rFonts w:ascii="Arial" w:hAnsi="Arial" w:cs="Arial"/>
                <w:b/>
                <w:bCs/>
                <w:sz w:val="22"/>
                <w:szCs w:val="22"/>
              </w:rPr>
              <w:t>High</w:t>
            </w:r>
          </w:p>
        </w:tc>
      </w:tr>
      <w:tr w:rsidR="00A40CBE" w:rsidRPr="00FB3357" w14:paraId="11080652" w14:textId="77777777" w:rsidTr="00D8008F">
        <w:trPr>
          <w:tblCellSpacing w:w="15" w:type="dxa"/>
        </w:trPr>
        <w:tc>
          <w:tcPr>
            <w:tcW w:w="0" w:type="auto"/>
            <w:shd w:val="clear" w:color="auto" w:fill="95DCF7" w:themeFill="accent4" w:themeFillTint="66"/>
            <w:vAlign w:val="center"/>
            <w:hideMark/>
          </w:tcPr>
          <w:p w14:paraId="17A8025D" w14:textId="77777777" w:rsidR="00A40CBE" w:rsidRPr="00FB3357" w:rsidRDefault="00A40CBE" w:rsidP="00FB3357">
            <w:pPr>
              <w:jc w:val="both"/>
              <w:rPr>
                <w:rFonts w:ascii="Arial" w:hAnsi="Arial" w:cs="Arial"/>
                <w:sz w:val="22"/>
                <w:szCs w:val="22"/>
              </w:rPr>
            </w:pPr>
            <w:r w:rsidRPr="00FB3357">
              <w:rPr>
                <w:rFonts w:ascii="Arial" w:hAnsi="Arial" w:cs="Arial"/>
                <w:b/>
                <w:bCs/>
                <w:sz w:val="22"/>
                <w:szCs w:val="22"/>
              </w:rPr>
              <w:t>Feasibility</w:t>
            </w:r>
          </w:p>
        </w:tc>
        <w:tc>
          <w:tcPr>
            <w:tcW w:w="2816" w:type="dxa"/>
            <w:vAlign w:val="center"/>
            <w:hideMark/>
          </w:tcPr>
          <w:p w14:paraId="236F5D6A" w14:textId="77777777" w:rsidR="00A40CBE" w:rsidRPr="00FB3357" w:rsidRDefault="00A40CBE" w:rsidP="00F87AE6">
            <w:pPr>
              <w:rPr>
                <w:rFonts w:ascii="Arial" w:hAnsi="Arial" w:cs="Arial"/>
                <w:sz w:val="22"/>
                <w:szCs w:val="22"/>
              </w:rPr>
            </w:pPr>
            <w:r w:rsidRPr="00FB3357">
              <w:rPr>
                <w:rFonts w:ascii="Arial" w:hAnsi="Arial" w:cs="Arial"/>
                <w:sz w:val="22"/>
                <w:szCs w:val="22"/>
              </w:rPr>
              <w:t xml:space="preserve">VodafoneThree possesses the financial resources, network infrastructure, spectrum assets and enterprise capabilities required to implement the strategy, provided merger integration remains on schedule. (Johnson </w:t>
            </w:r>
            <w:r w:rsidRPr="00FB3357">
              <w:rPr>
                <w:rFonts w:ascii="Arial" w:hAnsi="Arial" w:cs="Arial"/>
                <w:i/>
                <w:iCs/>
                <w:sz w:val="22"/>
                <w:szCs w:val="22"/>
              </w:rPr>
              <w:t>et al</w:t>
            </w:r>
            <w:r w:rsidRPr="00FB3357">
              <w:rPr>
                <w:rFonts w:ascii="Arial" w:hAnsi="Arial" w:cs="Arial"/>
                <w:sz w:val="22"/>
                <w:szCs w:val="22"/>
              </w:rPr>
              <w:t>., 2020; Vodafone Group Plc, 2025; Competition and Markets Authority, 2024).</w:t>
            </w:r>
          </w:p>
        </w:tc>
        <w:tc>
          <w:tcPr>
            <w:tcW w:w="3247" w:type="dxa"/>
            <w:vAlign w:val="center"/>
            <w:hideMark/>
          </w:tcPr>
          <w:p w14:paraId="025F64C2" w14:textId="77777777" w:rsidR="00A40CBE" w:rsidRPr="00FB3357" w:rsidRDefault="00A40CBE" w:rsidP="00F87AE6">
            <w:pPr>
              <w:rPr>
                <w:rFonts w:ascii="Arial" w:hAnsi="Arial" w:cs="Arial"/>
                <w:sz w:val="22"/>
                <w:szCs w:val="22"/>
              </w:rPr>
            </w:pPr>
            <w:r w:rsidRPr="00FB3357">
              <w:rPr>
                <w:rFonts w:ascii="Arial" w:hAnsi="Arial" w:cs="Arial"/>
                <w:sz w:val="22"/>
                <w:szCs w:val="22"/>
              </w:rPr>
              <w:t xml:space="preserve">Vodafone Group FY2025 Annual Report; planned UK network investment; enlarged spectrum portfolio; Vodafone Business capabilities; dynamic capabilities theory (Teece et al., 1997). (Vodafone Group Plc, 2025; David J. Teece </w:t>
            </w:r>
            <w:r w:rsidRPr="00FB3357">
              <w:rPr>
                <w:rFonts w:ascii="Arial" w:hAnsi="Arial" w:cs="Arial"/>
                <w:i/>
                <w:iCs/>
                <w:sz w:val="22"/>
                <w:szCs w:val="22"/>
              </w:rPr>
              <w:t>et al</w:t>
            </w:r>
            <w:r w:rsidRPr="00FB3357">
              <w:rPr>
                <w:rFonts w:ascii="Arial" w:hAnsi="Arial" w:cs="Arial"/>
                <w:sz w:val="22"/>
                <w:szCs w:val="22"/>
              </w:rPr>
              <w:t>., 1997).</w:t>
            </w:r>
          </w:p>
        </w:tc>
        <w:tc>
          <w:tcPr>
            <w:tcW w:w="0" w:type="auto"/>
            <w:vAlign w:val="center"/>
            <w:hideMark/>
          </w:tcPr>
          <w:p w14:paraId="20A91143" w14:textId="77777777" w:rsidR="00A40CBE" w:rsidRPr="00FB3357" w:rsidRDefault="00A40CBE" w:rsidP="00F87AE6">
            <w:pPr>
              <w:jc w:val="center"/>
              <w:rPr>
                <w:rFonts w:ascii="Arial" w:hAnsi="Arial" w:cs="Arial"/>
                <w:sz w:val="22"/>
                <w:szCs w:val="22"/>
              </w:rPr>
            </w:pPr>
            <w:r w:rsidRPr="00FB3357">
              <w:rPr>
                <w:rFonts w:ascii="Arial" w:hAnsi="Arial" w:cs="Arial"/>
                <w:b/>
                <w:bCs/>
                <w:sz w:val="22"/>
                <w:szCs w:val="22"/>
              </w:rPr>
              <w:t>Moderate–High</w:t>
            </w:r>
          </w:p>
        </w:tc>
      </w:tr>
      <w:tr w:rsidR="00A40CBE" w:rsidRPr="00FB3357" w14:paraId="48F54F33" w14:textId="77777777" w:rsidTr="00D8008F">
        <w:trPr>
          <w:tblCellSpacing w:w="15" w:type="dxa"/>
        </w:trPr>
        <w:tc>
          <w:tcPr>
            <w:tcW w:w="0" w:type="auto"/>
            <w:shd w:val="clear" w:color="auto" w:fill="95DCF7" w:themeFill="accent4" w:themeFillTint="66"/>
            <w:vAlign w:val="center"/>
            <w:hideMark/>
          </w:tcPr>
          <w:p w14:paraId="7BE72D22" w14:textId="77777777" w:rsidR="00A40CBE" w:rsidRPr="00FB3357" w:rsidRDefault="00A40CBE" w:rsidP="00FB3357">
            <w:pPr>
              <w:jc w:val="both"/>
              <w:rPr>
                <w:rFonts w:ascii="Arial" w:hAnsi="Arial" w:cs="Arial"/>
                <w:sz w:val="22"/>
                <w:szCs w:val="22"/>
              </w:rPr>
            </w:pPr>
            <w:r w:rsidRPr="00FB3357">
              <w:rPr>
                <w:rFonts w:ascii="Arial" w:hAnsi="Arial" w:cs="Arial"/>
                <w:b/>
                <w:bCs/>
                <w:sz w:val="22"/>
                <w:szCs w:val="22"/>
              </w:rPr>
              <w:t>Acceptability</w:t>
            </w:r>
          </w:p>
        </w:tc>
        <w:tc>
          <w:tcPr>
            <w:tcW w:w="2816" w:type="dxa"/>
            <w:vAlign w:val="center"/>
            <w:hideMark/>
          </w:tcPr>
          <w:p w14:paraId="6EBB7E24" w14:textId="77777777" w:rsidR="00A40CBE" w:rsidRPr="00FB3357" w:rsidRDefault="00A40CBE" w:rsidP="00F87AE6">
            <w:pPr>
              <w:rPr>
                <w:rFonts w:ascii="Arial" w:hAnsi="Arial" w:cs="Arial"/>
                <w:sz w:val="22"/>
                <w:szCs w:val="22"/>
              </w:rPr>
            </w:pPr>
            <w:r w:rsidRPr="00FB3357">
              <w:rPr>
                <w:rFonts w:ascii="Arial" w:hAnsi="Arial" w:cs="Arial"/>
                <w:sz w:val="22"/>
                <w:szCs w:val="22"/>
              </w:rPr>
              <w:t xml:space="preserve">The strategy balances shareholder expectations for synergy realisation with long-term revenue growth while supporting customer experience and regulatory commitments. (Johnson </w:t>
            </w:r>
            <w:r w:rsidRPr="00FB3357">
              <w:rPr>
                <w:rFonts w:ascii="Arial" w:hAnsi="Arial" w:cs="Arial"/>
                <w:i/>
                <w:iCs/>
                <w:sz w:val="22"/>
                <w:szCs w:val="22"/>
              </w:rPr>
              <w:t>et al</w:t>
            </w:r>
            <w:r w:rsidRPr="00FB3357">
              <w:rPr>
                <w:rFonts w:ascii="Arial" w:hAnsi="Arial" w:cs="Arial"/>
                <w:sz w:val="22"/>
                <w:szCs w:val="22"/>
              </w:rPr>
              <w:t>., 2020; Vodafone Group Plc, 2025).</w:t>
            </w:r>
          </w:p>
        </w:tc>
        <w:tc>
          <w:tcPr>
            <w:tcW w:w="3247" w:type="dxa"/>
            <w:vAlign w:val="center"/>
            <w:hideMark/>
          </w:tcPr>
          <w:p w14:paraId="29E3109C" w14:textId="77777777" w:rsidR="00A40CBE" w:rsidRPr="00FB3357" w:rsidRDefault="00A40CBE" w:rsidP="00F87AE6">
            <w:pPr>
              <w:rPr>
                <w:rFonts w:ascii="Arial" w:hAnsi="Arial" w:cs="Arial"/>
                <w:sz w:val="22"/>
                <w:szCs w:val="22"/>
              </w:rPr>
            </w:pPr>
            <w:r w:rsidRPr="00FB3357">
              <w:rPr>
                <w:rFonts w:ascii="Arial" w:hAnsi="Arial" w:cs="Arial"/>
                <w:sz w:val="22"/>
                <w:szCs w:val="22"/>
              </w:rPr>
              <w:t>Expected operational efficiencies; higher-margin enterprise services; CMA investment commitments; growing enterprise demand for digital connectivity. (Competition and Markets Authority, 2024; Vodafone Group Plc, 2025; GSMA, 2025).</w:t>
            </w:r>
          </w:p>
        </w:tc>
        <w:tc>
          <w:tcPr>
            <w:tcW w:w="0" w:type="auto"/>
            <w:vAlign w:val="center"/>
            <w:hideMark/>
          </w:tcPr>
          <w:p w14:paraId="0700E8F2" w14:textId="77777777" w:rsidR="00A40CBE" w:rsidRPr="00FB3357" w:rsidRDefault="00A40CBE" w:rsidP="00F87AE6">
            <w:pPr>
              <w:jc w:val="center"/>
              <w:rPr>
                <w:rFonts w:ascii="Arial" w:hAnsi="Arial" w:cs="Arial"/>
                <w:sz w:val="22"/>
                <w:szCs w:val="22"/>
              </w:rPr>
            </w:pPr>
            <w:r w:rsidRPr="00FB3357">
              <w:rPr>
                <w:rFonts w:ascii="Arial" w:hAnsi="Arial" w:cs="Arial"/>
                <w:b/>
                <w:bCs/>
                <w:sz w:val="22"/>
                <w:szCs w:val="22"/>
              </w:rPr>
              <w:t>High</w:t>
            </w:r>
          </w:p>
        </w:tc>
      </w:tr>
    </w:tbl>
    <w:p w14:paraId="080C54A3" w14:textId="35256339" w:rsidR="00A40CBE" w:rsidRPr="00844E94" w:rsidRDefault="00EE4377" w:rsidP="00FB3357">
      <w:pPr>
        <w:jc w:val="both"/>
        <w:rPr>
          <w:rFonts w:ascii="Arial" w:hAnsi="Arial" w:cs="Arial"/>
          <w:i/>
          <w:iCs/>
          <w:sz w:val="22"/>
          <w:szCs w:val="22"/>
        </w:rPr>
      </w:pPr>
      <w:r w:rsidRPr="00844E94">
        <w:rPr>
          <w:rFonts w:ascii="Arial" w:hAnsi="Arial" w:cs="Arial"/>
          <w:b/>
          <w:bCs/>
          <w:i/>
          <w:iCs/>
          <w:sz w:val="22"/>
          <w:szCs w:val="22"/>
        </w:rPr>
        <w:t>Source:</w:t>
      </w:r>
      <w:r w:rsidRPr="00844E94">
        <w:rPr>
          <w:rFonts w:ascii="Arial" w:hAnsi="Arial" w:cs="Arial"/>
          <w:i/>
          <w:iCs/>
          <w:sz w:val="22"/>
          <w:szCs w:val="22"/>
        </w:rPr>
        <w:t xml:space="preserve"> Author's analysis, based on Johnson et al. (2020), Vodafone Group Plc (2025), Competition and Markets Authority (2024), GSMA (2025), and findings from Chapters 2 and 3.</w:t>
      </w:r>
    </w:p>
    <w:p w14:paraId="19FA2D49" w14:textId="05599D2F" w:rsidR="265BAE24" w:rsidRPr="00844E94" w:rsidRDefault="002739CD" w:rsidP="00844E94">
      <w:pPr>
        <w:pStyle w:val="Heading2"/>
        <w:rPr>
          <w:rFonts w:asciiTheme="minorHAnsi" w:eastAsia="Arial Nova" w:hAnsiTheme="minorHAnsi"/>
          <w:b/>
          <w:bCs/>
          <w:color w:val="auto"/>
          <w:sz w:val="22"/>
          <w:szCs w:val="22"/>
        </w:rPr>
      </w:pPr>
      <w:bookmarkStart w:id="20" w:name="_Toc234790282"/>
      <w:r>
        <w:rPr>
          <w:rFonts w:asciiTheme="minorHAnsi" w:eastAsia="Arial Nova" w:hAnsiTheme="minorHAnsi"/>
          <w:b/>
          <w:bCs/>
          <w:color w:val="auto"/>
          <w:sz w:val="22"/>
          <w:szCs w:val="22"/>
        </w:rPr>
        <w:lastRenderedPageBreak/>
        <w:t>6</w:t>
      </w:r>
      <w:r w:rsidR="265BAE24" w:rsidRPr="00844E94">
        <w:rPr>
          <w:rFonts w:asciiTheme="minorHAnsi" w:eastAsia="Arial Nova" w:hAnsiTheme="minorHAnsi"/>
          <w:b/>
          <w:bCs/>
          <w:color w:val="auto"/>
          <w:sz w:val="22"/>
          <w:szCs w:val="22"/>
        </w:rPr>
        <w:t>.1 Stakeholder Impact and Engagement</w:t>
      </w:r>
      <w:bookmarkEnd w:id="20"/>
    </w:p>
    <w:p w14:paraId="27AED9BA" w14:textId="77777777" w:rsidR="00F3347F" w:rsidRPr="00FB3357" w:rsidRDefault="00E6123F" w:rsidP="00365624">
      <w:pPr>
        <w:spacing w:before="240" w:after="0" w:line="278" w:lineRule="auto"/>
        <w:jc w:val="both"/>
        <w:rPr>
          <w:rFonts w:ascii="Arial" w:eastAsia="Arial Nova" w:hAnsi="Arial" w:cs="Arial"/>
          <w:sz w:val="22"/>
          <w:szCs w:val="22"/>
        </w:rPr>
      </w:pPr>
      <w:r w:rsidRPr="00FB3357">
        <w:rPr>
          <w:rFonts w:ascii="Arial" w:eastAsia="Arial Nova" w:hAnsi="Arial" w:cs="Arial"/>
          <w:b/>
          <w:bCs/>
          <w:sz w:val="22"/>
          <w:szCs w:val="22"/>
        </w:rPr>
        <w:t>Customers</w:t>
      </w:r>
      <w:r w:rsidRPr="00FB3357">
        <w:rPr>
          <w:rFonts w:ascii="Arial" w:eastAsia="Arial Nova" w:hAnsi="Arial" w:cs="Arial"/>
          <w:sz w:val="22"/>
          <w:szCs w:val="22"/>
        </w:rPr>
        <w:t xml:space="preserve"> and enterprise clients should be engaged through continuous communication, collaborative service development and regular feedback to strengthen service quality and long-term relationships. </w:t>
      </w:r>
    </w:p>
    <w:p w14:paraId="7DD5DBC1" w14:textId="77777777" w:rsidR="00F3347F" w:rsidRPr="00FB3357" w:rsidRDefault="00F3347F" w:rsidP="00365624">
      <w:pPr>
        <w:spacing w:after="0" w:line="278" w:lineRule="auto"/>
        <w:jc w:val="both"/>
        <w:rPr>
          <w:rFonts w:ascii="Arial" w:eastAsia="Arial Nova" w:hAnsi="Arial" w:cs="Arial"/>
          <w:sz w:val="22"/>
          <w:szCs w:val="22"/>
        </w:rPr>
      </w:pPr>
      <w:r w:rsidRPr="00FB3357">
        <w:rPr>
          <w:rFonts w:ascii="Arial" w:eastAsia="Arial Nova" w:hAnsi="Arial" w:cs="Arial"/>
          <w:b/>
          <w:bCs/>
          <w:sz w:val="22"/>
          <w:szCs w:val="22"/>
        </w:rPr>
        <w:t>Senior management and shareholders</w:t>
      </w:r>
      <w:r w:rsidRPr="00FB3357">
        <w:rPr>
          <w:rFonts w:ascii="Arial" w:eastAsia="Arial Nova" w:hAnsi="Arial" w:cs="Arial"/>
          <w:sz w:val="22"/>
          <w:szCs w:val="22"/>
        </w:rPr>
        <w:t xml:space="preserve"> require transparent reporting on financial performance, investment progress and strategic milestones to maintain confidence throughout implementation.</w:t>
      </w:r>
    </w:p>
    <w:p w14:paraId="6DA66F5F" w14:textId="704E1057" w:rsidR="265BAE24" w:rsidRPr="00FB3357" w:rsidRDefault="265BAE24" w:rsidP="00365624">
      <w:pPr>
        <w:spacing w:after="0" w:line="278" w:lineRule="auto"/>
        <w:jc w:val="both"/>
        <w:rPr>
          <w:rFonts w:ascii="Arial" w:eastAsia="Arial Nova" w:hAnsi="Arial" w:cs="Arial"/>
          <w:sz w:val="22"/>
          <w:szCs w:val="22"/>
        </w:rPr>
      </w:pPr>
      <w:r w:rsidRPr="00FB3357">
        <w:rPr>
          <w:rFonts w:ascii="Arial" w:eastAsia="Arial Nova" w:hAnsi="Arial" w:cs="Arial"/>
          <w:b/>
          <w:bCs/>
          <w:sz w:val="22"/>
          <w:szCs w:val="22"/>
        </w:rPr>
        <w:t>Employees</w:t>
      </w:r>
      <w:r w:rsidRPr="00FB3357">
        <w:rPr>
          <w:rFonts w:ascii="Arial" w:eastAsia="Arial Nova" w:hAnsi="Arial" w:cs="Arial"/>
          <w:sz w:val="22"/>
          <w:szCs w:val="22"/>
        </w:rPr>
        <w:t xml:space="preserve"> play a critical role in delivering the strategy because successful implementation depends on new skills, collaboration and organisational integration. VodafoneThree should support employees through training, transparent communication and change management programmes to reduce resistance and encourage innovation.</w:t>
      </w:r>
    </w:p>
    <w:p w14:paraId="67E790A1" w14:textId="61B08DA0" w:rsidR="265BAE24" w:rsidRPr="00FB3357" w:rsidRDefault="265BAE24" w:rsidP="00365624">
      <w:pPr>
        <w:spacing w:after="0" w:line="278" w:lineRule="auto"/>
        <w:jc w:val="both"/>
        <w:rPr>
          <w:rFonts w:ascii="Arial" w:eastAsia="Arial Nova" w:hAnsi="Arial" w:cs="Arial"/>
          <w:sz w:val="22"/>
          <w:szCs w:val="22"/>
        </w:rPr>
      </w:pPr>
      <w:r w:rsidRPr="00FB3357">
        <w:rPr>
          <w:rFonts w:ascii="Arial" w:eastAsia="Arial Nova" w:hAnsi="Arial" w:cs="Arial"/>
          <w:b/>
          <w:bCs/>
          <w:sz w:val="22"/>
          <w:szCs w:val="22"/>
        </w:rPr>
        <w:t>Regulators</w:t>
      </w:r>
      <w:r w:rsidR="0014151F">
        <w:rPr>
          <w:rFonts w:ascii="Arial" w:eastAsia="Arial Nova" w:hAnsi="Arial" w:cs="Arial"/>
          <w:sz w:val="22"/>
          <w:szCs w:val="22"/>
        </w:rPr>
        <w:t xml:space="preserve">: </w:t>
      </w:r>
      <w:r w:rsidR="00EB254A" w:rsidRPr="00FB3357">
        <w:rPr>
          <w:rFonts w:ascii="Arial" w:eastAsia="Arial Nova" w:hAnsi="Arial" w:cs="Arial"/>
          <w:sz w:val="22"/>
          <w:szCs w:val="22"/>
        </w:rPr>
        <w:t>Continuous engagement with the CMA and Ofcom is essential to demonstrate compliance with merger commitments and maintain regulatory confidence.</w:t>
      </w:r>
    </w:p>
    <w:p w14:paraId="5EA790D0" w14:textId="632557AF" w:rsidR="36EAF6F7" w:rsidRPr="00FB3357" w:rsidRDefault="00957512" w:rsidP="00FB3357">
      <w:pPr>
        <w:spacing w:after="0"/>
        <w:jc w:val="both"/>
        <w:rPr>
          <w:rFonts w:ascii="Arial" w:hAnsi="Arial" w:cs="Arial"/>
          <w:sz w:val="22"/>
          <w:szCs w:val="22"/>
        </w:rPr>
      </w:pPr>
      <w:r w:rsidRPr="00FB3357">
        <w:rPr>
          <w:rFonts w:ascii="Arial" w:eastAsia="Arial Nova" w:hAnsi="Arial" w:cs="Arial"/>
          <w:sz w:val="22"/>
          <w:szCs w:val="22"/>
        </w:rPr>
        <w:t>Technology partners should be engaged through long-term collaboration to support the development of advanced connectivity services.</w:t>
      </w:r>
    </w:p>
    <w:p w14:paraId="424444F8" w14:textId="5F7975E0" w:rsidR="265BAE24" w:rsidRPr="00507F60" w:rsidRDefault="002739CD" w:rsidP="00507F60">
      <w:pPr>
        <w:pStyle w:val="Heading2"/>
        <w:rPr>
          <w:rFonts w:ascii="Arial" w:eastAsia="Arial Nova" w:hAnsi="Arial" w:cs="Arial"/>
          <w:b/>
          <w:bCs/>
          <w:color w:val="auto"/>
          <w:sz w:val="22"/>
          <w:szCs w:val="22"/>
        </w:rPr>
      </w:pPr>
      <w:bookmarkStart w:id="21" w:name="_Toc234790283"/>
      <w:r>
        <w:rPr>
          <w:rFonts w:ascii="Arial" w:eastAsia="Arial Nova" w:hAnsi="Arial" w:cs="Arial"/>
          <w:b/>
          <w:bCs/>
          <w:color w:val="auto"/>
          <w:sz w:val="22"/>
          <w:szCs w:val="22"/>
        </w:rPr>
        <w:t>6</w:t>
      </w:r>
      <w:r w:rsidR="265BAE24" w:rsidRPr="00507F60">
        <w:rPr>
          <w:rFonts w:ascii="Arial" w:eastAsia="Arial Nova" w:hAnsi="Arial" w:cs="Arial"/>
          <w:b/>
          <w:bCs/>
          <w:color w:val="auto"/>
          <w:sz w:val="22"/>
          <w:szCs w:val="22"/>
        </w:rPr>
        <w:t>.2 Overall Stakeholder Assessment</w:t>
      </w:r>
      <w:bookmarkEnd w:id="21"/>
    </w:p>
    <w:p w14:paraId="4212A81A" w14:textId="610C9193" w:rsidR="265BAE24" w:rsidRPr="00FB3357" w:rsidRDefault="265BAE24"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 xml:space="preserve">Overall, Mendelow's Matrix indicates that stakeholders with </w:t>
      </w:r>
      <w:r w:rsidRPr="00FB3357">
        <w:rPr>
          <w:rFonts w:ascii="Arial" w:eastAsia="Arial Nova" w:hAnsi="Arial" w:cs="Arial"/>
          <w:b/>
          <w:bCs/>
          <w:sz w:val="22"/>
          <w:szCs w:val="22"/>
        </w:rPr>
        <w:t>high power and high interest</w:t>
      </w:r>
      <w:r w:rsidR="2C684EF0" w:rsidRPr="00FB3357">
        <w:rPr>
          <w:rFonts w:ascii="Arial" w:eastAsia="Arial Nova" w:hAnsi="Arial" w:cs="Arial"/>
          <w:b/>
          <w:bCs/>
          <w:sz w:val="22"/>
          <w:szCs w:val="22"/>
        </w:rPr>
        <w:t xml:space="preserve"> </w:t>
      </w:r>
      <w:r w:rsidRPr="00FB3357">
        <w:rPr>
          <w:rFonts w:ascii="Arial" w:eastAsia="Arial Nova" w:hAnsi="Arial" w:cs="Arial"/>
          <w:sz w:val="22"/>
          <w:szCs w:val="22"/>
        </w:rPr>
        <w:t>particularly regulators, shareholders and senior management</w:t>
      </w:r>
      <w:r w:rsidR="2515EAE4" w:rsidRPr="00FB3357">
        <w:rPr>
          <w:rFonts w:ascii="Arial" w:eastAsia="Arial Nova" w:hAnsi="Arial" w:cs="Arial"/>
          <w:sz w:val="22"/>
          <w:szCs w:val="22"/>
        </w:rPr>
        <w:t xml:space="preserve"> </w:t>
      </w:r>
      <w:r w:rsidRPr="00FB3357">
        <w:rPr>
          <w:rFonts w:ascii="Arial" w:eastAsia="Arial Nova" w:hAnsi="Arial" w:cs="Arial"/>
          <w:sz w:val="22"/>
          <w:szCs w:val="22"/>
        </w:rPr>
        <w:t>require close management throughout implementation. Maintaining effective engagement across all stakeholder groups will reduce implementation risk, strengthen stakeholder support and improve the likelihood of successfully delivering VodafoneThree's long-term strategic objectives (Freeman, 1984; Mendelow, 1991).</w:t>
      </w:r>
    </w:p>
    <w:p w14:paraId="6D9AB76F" w14:textId="4D74B5ED" w:rsidR="2D27647E" w:rsidRPr="00507F60" w:rsidRDefault="002739CD" w:rsidP="00507F60">
      <w:pPr>
        <w:pStyle w:val="Heading1"/>
        <w:rPr>
          <w:rFonts w:ascii="Arial" w:eastAsia="Arial Nova" w:hAnsi="Arial" w:cs="Arial"/>
          <w:b/>
          <w:bCs/>
          <w:i/>
          <w:iCs/>
          <w:color w:val="auto"/>
          <w:sz w:val="28"/>
          <w:szCs w:val="28"/>
        </w:rPr>
      </w:pPr>
      <w:bookmarkStart w:id="22" w:name="_Toc234790284"/>
      <w:r>
        <w:rPr>
          <w:rFonts w:ascii="Arial" w:eastAsia="Arial Nova" w:hAnsi="Arial" w:cs="Arial"/>
          <w:b/>
          <w:bCs/>
          <w:color w:val="auto"/>
          <w:sz w:val="28"/>
          <w:szCs w:val="28"/>
        </w:rPr>
        <w:t>7</w:t>
      </w:r>
      <w:r w:rsidR="2D27647E" w:rsidRPr="00507F60">
        <w:rPr>
          <w:rFonts w:ascii="Arial" w:eastAsia="Arial Nova" w:hAnsi="Arial" w:cs="Arial"/>
          <w:b/>
          <w:bCs/>
          <w:color w:val="auto"/>
          <w:sz w:val="28"/>
          <w:szCs w:val="28"/>
        </w:rPr>
        <w:t>. Implementation and Monitoring</w:t>
      </w:r>
      <w:bookmarkEnd w:id="22"/>
      <w:r w:rsidR="2D27647E" w:rsidRPr="00507F60">
        <w:rPr>
          <w:rFonts w:ascii="Arial" w:eastAsia="Arial Nova" w:hAnsi="Arial" w:cs="Arial"/>
          <w:b/>
          <w:bCs/>
          <w:color w:val="auto"/>
          <w:sz w:val="28"/>
          <w:szCs w:val="28"/>
        </w:rPr>
        <w:t xml:space="preserve"> </w:t>
      </w:r>
    </w:p>
    <w:p w14:paraId="543E6821" w14:textId="2A899D62" w:rsidR="00DB7E16" w:rsidRPr="00FB3357" w:rsidRDefault="00FE6423" w:rsidP="00FB3357">
      <w:pPr>
        <w:spacing w:after="0"/>
        <w:jc w:val="both"/>
        <w:rPr>
          <w:rFonts w:ascii="Arial" w:eastAsia="Arial Nova" w:hAnsi="Arial" w:cs="Arial"/>
          <w:sz w:val="22"/>
          <w:szCs w:val="22"/>
        </w:rPr>
      </w:pPr>
      <w:r w:rsidRPr="00FB3357">
        <w:rPr>
          <w:rFonts w:ascii="Arial" w:eastAsia="Arial Nova" w:hAnsi="Arial" w:cs="Arial"/>
          <w:sz w:val="22"/>
          <w:szCs w:val="22"/>
        </w:rPr>
        <w:t>This chapter outlines the implementation plan and performance measures supporting the recommended strategy.</w:t>
      </w:r>
    </w:p>
    <w:p w14:paraId="03C24BA5" w14:textId="004B8606" w:rsidR="000F6222" w:rsidRPr="00507F60" w:rsidRDefault="00865251" w:rsidP="00FB3357">
      <w:pPr>
        <w:spacing w:after="0"/>
        <w:jc w:val="both"/>
        <w:rPr>
          <w:rFonts w:ascii="Arial" w:hAnsi="Arial" w:cs="Arial"/>
          <w:i/>
          <w:iCs/>
          <w:sz w:val="22"/>
          <w:szCs w:val="22"/>
        </w:rPr>
      </w:pPr>
      <w:r w:rsidRPr="00507F60">
        <w:rPr>
          <w:rFonts w:ascii="Arial" w:hAnsi="Arial" w:cs="Arial"/>
          <w:i/>
          <w:iCs/>
          <w:sz w:val="22"/>
          <w:szCs w:val="22"/>
        </w:rPr>
        <w:t xml:space="preserve">Figure </w:t>
      </w:r>
      <w:r w:rsidR="00C150BD">
        <w:rPr>
          <w:rFonts w:ascii="Arial" w:hAnsi="Arial" w:cs="Arial"/>
          <w:i/>
          <w:iCs/>
          <w:sz w:val="22"/>
          <w:szCs w:val="22"/>
        </w:rPr>
        <w:t>4</w:t>
      </w:r>
      <w:r w:rsidRPr="00507F60">
        <w:rPr>
          <w:rFonts w:ascii="Arial" w:hAnsi="Arial" w:cs="Arial"/>
          <w:i/>
          <w:iCs/>
          <w:sz w:val="22"/>
          <w:szCs w:val="22"/>
        </w:rPr>
        <w:t>. Phased Implementation Roadmap for Vodafone UK Following the VodafoneThree Merger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21"/>
        <w:gridCol w:w="1251"/>
        <w:gridCol w:w="3260"/>
        <w:gridCol w:w="2784"/>
      </w:tblGrid>
      <w:tr w:rsidR="004C49F2" w:rsidRPr="00FB3357" w14:paraId="34B5AFBA" w14:textId="77777777" w:rsidTr="00D8008F">
        <w:trPr>
          <w:tblHeader/>
          <w:tblCellSpacing w:w="15" w:type="dxa"/>
        </w:trPr>
        <w:tc>
          <w:tcPr>
            <w:tcW w:w="1676" w:type="dxa"/>
            <w:shd w:val="clear" w:color="auto" w:fill="92D050"/>
            <w:vAlign w:val="center"/>
            <w:hideMark/>
          </w:tcPr>
          <w:p w14:paraId="7562D9DE" w14:textId="77777777" w:rsidR="004C49F2" w:rsidRPr="00FB3357" w:rsidRDefault="004C49F2" w:rsidP="00D92FC9">
            <w:pPr>
              <w:jc w:val="center"/>
              <w:rPr>
                <w:rFonts w:ascii="Arial" w:hAnsi="Arial" w:cs="Arial"/>
                <w:b/>
                <w:bCs/>
                <w:sz w:val="22"/>
                <w:szCs w:val="22"/>
              </w:rPr>
            </w:pPr>
            <w:r w:rsidRPr="00FB3357">
              <w:rPr>
                <w:rFonts w:ascii="Arial" w:hAnsi="Arial" w:cs="Arial"/>
                <w:b/>
                <w:bCs/>
                <w:sz w:val="22"/>
                <w:szCs w:val="22"/>
              </w:rPr>
              <w:t>Implementation Phase</w:t>
            </w:r>
          </w:p>
        </w:tc>
        <w:tc>
          <w:tcPr>
            <w:tcW w:w="1221" w:type="dxa"/>
            <w:shd w:val="clear" w:color="auto" w:fill="92D050"/>
            <w:vAlign w:val="center"/>
            <w:hideMark/>
          </w:tcPr>
          <w:p w14:paraId="6C4D174D" w14:textId="77777777" w:rsidR="004C49F2" w:rsidRPr="00FB3357" w:rsidRDefault="004C49F2" w:rsidP="00D92FC9">
            <w:pPr>
              <w:jc w:val="center"/>
              <w:rPr>
                <w:rFonts w:ascii="Arial" w:hAnsi="Arial" w:cs="Arial"/>
                <w:b/>
                <w:bCs/>
                <w:sz w:val="22"/>
                <w:szCs w:val="22"/>
              </w:rPr>
            </w:pPr>
            <w:r w:rsidRPr="00FB3357">
              <w:rPr>
                <w:rFonts w:ascii="Arial" w:hAnsi="Arial" w:cs="Arial"/>
                <w:b/>
                <w:bCs/>
                <w:sz w:val="22"/>
                <w:szCs w:val="22"/>
              </w:rPr>
              <w:t>Timeframe</w:t>
            </w:r>
          </w:p>
        </w:tc>
        <w:tc>
          <w:tcPr>
            <w:tcW w:w="3230" w:type="dxa"/>
            <w:shd w:val="clear" w:color="auto" w:fill="92D050"/>
            <w:vAlign w:val="center"/>
            <w:hideMark/>
          </w:tcPr>
          <w:p w14:paraId="6483D656" w14:textId="77777777" w:rsidR="004C49F2" w:rsidRPr="00FB3357" w:rsidRDefault="004C49F2" w:rsidP="00D92FC9">
            <w:pPr>
              <w:jc w:val="center"/>
              <w:rPr>
                <w:rFonts w:ascii="Arial" w:hAnsi="Arial" w:cs="Arial"/>
                <w:b/>
                <w:bCs/>
                <w:sz w:val="22"/>
                <w:szCs w:val="22"/>
              </w:rPr>
            </w:pPr>
            <w:r w:rsidRPr="00FB3357">
              <w:rPr>
                <w:rFonts w:ascii="Arial" w:hAnsi="Arial" w:cs="Arial"/>
                <w:b/>
                <w:bCs/>
                <w:sz w:val="22"/>
                <w:szCs w:val="22"/>
              </w:rPr>
              <w:t>Key Activities</w:t>
            </w:r>
          </w:p>
        </w:tc>
        <w:tc>
          <w:tcPr>
            <w:tcW w:w="2739" w:type="dxa"/>
            <w:shd w:val="clear" w:color="auto" w:fill="92D050"/>
            <w:vAlign w:val="center"/>
            <w:hideMark/>
          </w:tcPr>
          <w:p w14:paraId="30C29AB4" w14:textId="77777777" w:rsidR="004C49F2" w:rsidRPr="00FB3357" w:rsidRDefault="004C49F2" w:rsidP="00D92FC9">
            <w:pPr>
              <w:jc w:val="center"/>
              <w:rPr>
                <w:rFonts w:ascii="Arial" w:hAnsi="Arial" w:cs="Arial"/>
                <w:b/>
                <w:bCs/>
                <w:sz w:val="22"/>
                <w:szCs w:val="22"/>
              </w:rPr>
            </w:pPr>
            <w:r w:rsidRPr="00FB3357">
              <w:rPr>
                <w:rFonts w:ascii="Arial" w:hAnsi="Arial" w:cs="Arial"/>
                <w:b/>
                <w:bCs/>
                <w:sz w:val="22"/>
                <w:szCs w:val="22"/>
              </w:rPr>
              <w:t>Expected Outcomes</w:t>
            </w:r>
          </w:p>
        </w:tc>
      </w:tr>
      <w:tr w:rsidR="004C49F2" w:rsidRPr="00FB3357" w14:paraId="04EFDE7B" w14:textId="77777777" w:rsidTr="00D8008F">
        <w:trPr>
          <w:tblCellSpacing w:w="15" w:type="dxa"/>
        </w:trPr>
        <w:tc>
          <w:tcPr>
            <w:tcW w:w="1676" w:type="dxa"/>
            <w:shd w:val="clear" w:color="auto" w:fill="95DCF7" w:themeFill="accent4" w:themeFillTint="66"/>
            <w:vAlign w:val="center"/>
            <w:hideMark/>
          </w:tcPr>
          <w:p w14:paraId="39233F39" w14:textId="77777777" w:rsidR="004C49F2" w:rsidRPr="00FB3357" w:rsidRDefault="004C49F2" w:rsidP="00D92FC9">
            <w:pPr>
              <w:jc w:val="center"/>
              <w:rPr>
                <w:rFonts w:ascii="Arial" w:hAnsi="Arial" w:cs="Arial"/>
                <w:sz w:val="22"/>
                <w:szCs w:val="22"/>
              </w:rPr>
            </w:pPr>
            <w:r w:rsidRPr="00FB3357">
              <w:rPr>
                <w:rFonts w:ascii="Arial" w:hAnsi="Arial" w:cs="Arial"/>
                <w:b/>
                <w:bCs/>
                <w:sz w:val="22"/>
                <w:szCs w:val="22"/>
              </w:rPr>
              <w:t>Phase 1 – Integration &amp; Operational Excellence</w:t>
            </w:r>
          </w:p>
        </w:tc>
        <w:tc>
          <w:tcPr>
            <w:tcW w:w="1221" w:type="dxa"/>
            <w:vAlign w:val="center"/>
            <w:hideMark/>
          </w:tcPr>
          <w:p w14:paraId="183D4095" w14:textId="77777777" w:rsidR="004C49F2" w:rsidRPr="00FB3357" w:rsidRDefault="004C49F2" w:rsidP="00F3432E">
            <w:pPr>
              <w:jc w:val="center"/>
              <w:rPr>
                <w:rFonts w:ascii="Arial" w:hAnsi="Arial" w:cs="Arial"/>
                <w:sz w:val="22"/>
                <w:szCs w:val="22"/>
              </w:rPr>
            </w:pPr>
            <w:r w:rsidRPr="00FB3357">
              <w:rPr>
                <w:rFonts w:ascii="Arial" w:hAnsi="Arial" w:cs="Arial"/>
                <w:sz w:val="22"/>
                <w:szCs w:val="22"/>
              </w:rPr>
              <w:t>Years 1–2</w:t>
            </w:r>
          </w:p>
        </w:tc>
        <w:tc>
          <w:tcPr>
            <w:tcW w:w="3230" w:type="dxa"/>
            <w:vAlign w:val="center"/>
            <w:hideMark/>
          </w:tcPr>
          <w:p w14:paraId="00E34390" w14:textId="77777777" w:rsidR="004C49F2" w:rsidRPr="00FB3357" w:rsidRDefault="004C49F2" w:rsidP="00F3432E">
            <w:pPr>
              <w:rPr>
                <w:rFonts w:ascii="Arial" w:hAnsi="Arial" w:cs="Arial"/>
                <w:sz w:val="22"/>
                <w:szCs w:val="22"/>
              </w:rPr>
            </w:pPr>
            <w:r w:rsidRPr="00FB3357">
              <w:rPr>
                <w:rFonts w:ascii="Arial" w:hAnsi="Arial" w:cs="Arial"/>
                <w:sz w:val="22"/>
                <w:szCs w:val="22"/>
              </w:rPr>
              <w:t xml:space="preserve">Complete network integration; realise operational synergies; improve customer experience; reduce churn; deliver CMA investment commitments. (Vodafone Group Plc, 2025; Gerry Johnson </w:t>
            </w:r>
            <w:r w:rsidRPr="00FB3357">
              <w:rPr>
                <w:rFonts w:ascii="Arial" w:hAnsi="Arial" w:cs="Arial"/>
                <w:i/>
                <w:iCs/>
                <w:sz w:val="22"/>
                <w:szCs w:val="22"/>
              </w:rPr>
              <w:t>et al</w:t>
            </w:r>
            <w:r w:rsidRPr="00FB3357">
              <w:rPr>
                <w:rFonts w:ascii="Arial" w:hAnsi="Arial" w:cs="Arial"/>
                <w:sz w:val="22"/>
                <w:szCs w:val="22"/>
              </w:rPr>
              <w:t>., 2020).</w:t>
            </w:r>
          </w:p>
        </w:tc>
        <w:tc>
          <w:tcPr>
            <w:tcW w:w="2739" w:type="dxa"/>
            <w:vAlign w:val="center"/>
            <w:hideMark/>
          </w:tcPr>
          <w:p w14:paraId="29A39DF7" w14:textId="77777777" w:rsidR="004C49F2" w:rsidRPr="00FB3357" w:rsidRDefault="004C49F2" w:rsidP="00F3432E">
            <w:pPr>
              <w:rPr>
                <w:rFonts w:ascii="Arial" w:hAnsi="Arial" w:cs="Arial"/>
                <w:sz w:val="22"/>
                <w:szCs w:val="22"/>
              </w:rPr>
            </w:pPr>
            <w:r w:rsidRPr="00FB3357">
              <w:rPr>
                <w:rFonts w:ascii="Arial" w:hAnsi="Arial" w:cs="Arial"/>
                <w:sz w:val="22"/>
                <w:szCs w:val="22"/>
              </w:rPr>
              <w:t>Operational stability, improved network performance, enhanced customer satisfaction and cost efficiencies. (Vodafone Group Plc, 2025).</w:t>
            </w:r>
          </w:p>
        </w:tc>
      </w:tr>
      <w:tr w:rsidR="004C49F2" w:rsidRPr="00FB3357" w14:paraId="5609C790" w14:textId="77777777" w:rsidTr="00D8008F">
        <w:trPr>
          <w:tblCellSpacing w:w="15" w:type="dxa"/>
        </w:trPr>
        <w:tc>
          <w:tcPr>
            <w:tcW w:w="1676" w:type="dxa"/>
            <w:shd w:val="clear" w:color="auto" w:fill="95DCF7" w:themeFill="accent4" w:themeFillTint="66"/>
            <w:vAlign w:val="center"/>
            <w:hideMark/>
          </w:tcPr>
          <w:p w14:paraId="0136DA2F" w14:textId="77777777" w:rsidR="004C49F2" w:rsidRPr="00FB3357" w:rsidRDefault="004C49F2" w:rsidP="00D92FC9">
            <w:pPr>
              <w:jc w:val="center"/>
              <w:rPr>
                <w:rFonts w:ascii="Arial" w:hAnsi="Arial" w:cs="Arial"/>
                <w:sz w:val="22"/>
                <w:szCs w:val="22"/>
              </w:rPr>
            </w:pPr>
            <w:r w:rsidRPr="00FB3357">
              <w:rPr>
                <w:rFonts w:ascii="Arial" w:hAnsi="Arial" w:cs="Arial"/>
                <w:b/>
                <w:bCs/>
                <w:sz w:val="22"/>
                <w:szCs w:val="22"/>
              </w:rPr>
              <w:t>Phase 2 – Enterprise Product Development</w:t>
            </w:r>
          </w:p>
        </w:tc>
        <w:tc>
          <w:tcPr>
            <w:tcW w:w="1221" w:type="dxa"/>
            <w:vAlign w:val="center"/>
            <w:hideMark/>
          </w:tcPr>
          <w:p w14:paraId="305CEF77" w14:textId="77777777" w:rsidR="004C49F2" w:rsidRPr="00FB3357" w:rsidRDefault="004C49F2" w:rsidP="00F3432E">
            <w:pPr>
              <w:jc w:val="center"/>
              <w:rPr>
                <w:rFonts w:ascii="Arial" w:hAnsi="Arial" w:cs="Arial"/>
                <w:sz w:val="22"/>
                <w:szCs w:val="22"/>
              </w:rPr>
            </w:pPr>
            <w:r w:rsidRPr="00FB3357">
              <w:rPr>
                <w:rFonts w:ascii="Arial" w:hAnsi="Arial" w:cs="Arial"/>
                <w:sz w:val="22"/>
                <w:szCs w:val="22"/>
              </w:rPr>
              <w:t>Years 2–5</w:t>
            </w:r>
          </w:p>
        </w:tc>
        <w:tc>
          <w:tcPr>
            <w:tcW w:w="3230" w:type="dxa"/>
            <w:vAlign w:val="center"/>
            <w:hideMark/>
          </w:tcPr>
          <w:p w14:paraId="785B74C5" w14:textId="77777777" w:rsidR="004C49F2" w:rsidRPr="00FB3357" w:rsidRDefault="004C49F2" w:rsidP="00F3432E">
            <w:pPr>
              <w:rPr>
                <w:rFonts w:ascii="Arial" w:hAnsi="Arial" w:cs="Arial"/>
                <w:sz w:val="22"/>
                <w:szCs w:val="22"/>
              </w:rPr>
            </w:pPr>
            <w:r w:rsidRPr="00FB3357">
              <w:rPr>
                <w:rFonts w:ascii="Arial" w:hAnsi="Arial" w:cs="Arial"/>
                <w:sz w:val="22"/>
                <w:szCs w:val="22"/>
              </w:rPr>
              <w:t xml:space="preserve">Expand Vodafone Business through AI-enabled connectivity, private 5G, IoT and edge computing; strengthen digital capabilities and partnerships. </w:t>
            </w:r>
            <w:r w:rsidRPr="00FB3357">
              <w:rPr>
                <w:rFonts w:ascii="Arial" w:hAnsi="Arial" w:cs="Arial"/>
                <w:sz w:val="22"/>
                <w:szCs w:val="22"/>
              </w:rPr>
              <w:lastRenderedPageBreak/>
              <w:t xml:space="preserve">(Vodafone Group Plc, 2025; Johnson </w:t>
            </w:r>
            <w:r w:rsidRPr="00FB3357">
              <w:rPr>
                <w:rFonts w:ascii="Arial" w:hAnsi="Arial" w:cs="Arial"/>
                <w:i/>
                <w:iCs/>
                <w:sz w:val="22"/>
                <w:szCs w:val="22"/>
              </w:rPr>
              <w:t>et al</w:t>
            </w:r>
            <w:r w:rsidRPr="00FB3357">
              <w:rPr>
                <w:rFonts w:ascii="Arial" w:hAnsi="Arial" w:cs="Arial"/>
                <w:sz w:val="22"/>
                <w:szCs w:val="22"/>
              </w:rPr>
              <w:t>., 2020; findings from Chapters 2–4).</w:t>
            </w:r>
          </w:p>
        </w:tc>
        <w:tc>
          <w:tcPr>
            <w:tcW w:w="2739" w:type="dxa"/>
            <w:vAlign w:val="center"/>
            <w:hideMark/>
          </w:tcPr>
          <w:p w14:paraId="679B90AA" w14:textId="77777777" w:rsidR="004C49F2" w:rsidRPr="00FB3357" w:rsidRDefault="004C49F2" w:rsidP="00F3432E">
            <w:pPr>
              <w:rPr>
                <w:rFonts w:ascii="Arial" w:hAnsi="Arial" w:cs="Arial"/>
                <w:sz w:val="22"/>
                <w:szCs w:val="22"/>
              </w:rPr>
            </w:pPr>
            <w:r w:rsidRPr="00FB3357">
              <w:rPr>
                <w:rFonts w:ascii="Arial" w:hAnsi="Arial" w:cs="Arial"/>
                <w:sz w:val="22"/>
                <w:szCs w:val="22"/>
              </w:rPr>
              <w:lastRenderedPageBreak/>
              <w:t xml:space="preserve">Higher-margin enterprise revenues, stronger competitive differentiation and sustainable long-term growth. (Vodafone Group </w:t>
            </w:r>
            <w:r w:rsidRPr="00FB3357">
              <w:rPr>
                <w:rFonts w:ascii="Arial" w:hAnsi="Arial" w:cs="Arial"/>
                <w:sz w:val="22"/>
                <w:szCs w:val="22"/>
              </w:rPr>
              <w:lastRenderedPageBreak/>
              <w:t xml:space="preserve">Plc, 2025; Johnson </w:t>
            </w:r>
            <w:r w:rsidRPr="00FB3357">
              <w:rPr>
                <w:rFonts w:ascii="Arial" w:hAnsi="Arial" w:cs="Arial"/>
                <w:i/>
                <w:iCs/>
                <w:sz w:val="22"/>
                <w:szCs w:val="22"/>
              </w:rPr>
              <w:t>et al</w:t>
            </w:r>
            <w:r w:rsidRPr="00FB3357">
              <w:rPr>
                <w:rFonts w:ascii="Arial" w:hAnsi="Arial" w:cs="Arial"/>
                <w:sz w:val="22"/>
                <w:szCs w:val="22"/>
              </w:rPr>
              <w:t>., 2020).</w:t>
            </w:r>
          </w:p>
        </w:tc>
      </w:tr>
      <w:tr w:rsidR="004C49F2" w:rsidRPr="00FB3357" w14:paraId="632838BD" w14:textId="77777777" w:rsidTr="00D8008F">
        <w:trPr>
          <w:tblCellSpacing w:w="15" w:type="dxa"/>
        </w:trPr>
        <w:tc>
          <w:tcPr>
            <w:tcW w:w="1676" w:type="dxa"/>
            <w:shd w:val="clear" w:color="auto" w:fill="95DCF7" w:themeFill="accent4" w:themeFillTint="66"/>
            <w:vAlign w:val="center"/>
            <w:hideMark/>
          </w:tcPr>
          <w:p w14:paraId="5039B82D" w14:textId="77777777" w:rsidR="004C49F2" w:rsidRPr="00FB3357" w:rsidRDefault="004C49F2" w:rsidP="00D92FC9">
            <w:pPr>
              <w:jc w:val="center"/>
              <w:rPr>
                <w:rFonts w:ascii="Arial" w:hAnsi="Arial" w:cs="Arial"/>
                <w:sz w:val="22"/>
                <w:szCs w:val="22"/>
              </w:rPr>
            </w:pPr>
            <w:r w:rsidRPr="00FB3357">
              <w:rPr>
                <w:rFonts w:ascii="Arial" w:hAnsi="Arial" w:cs="Arial"/>
                <w:b/>
                <w:bCs/>
                <w:sz w:val="22"/>
                <w:szCs w:val="22"/>
              </w:rPr>
              <w:t>Phase 3 – Continuous Optimisation</w:t>
            </w:r>
          </w:p>
        </w:tc>
        <w:tc>
          <w:tcPr>
            <w:tcW w:w="1221" w:type="dxa"/>
            <w:vAlign w:val="center"/>
            <w:hideMark/>
          </w:tcPr>
          <w:p w14:paraId="515B8085" w14:textId="77777777" w:rsidR="004C49F2" w:rsidRPr="00FB3357" w:rsidRDefault="004C49F2" w:rsidP="00F3432E">
            <w:pPr>
              <w:jc w:val="center"/>
              <w:rPr>
                <w:rFonts w:ascii="Arial" w:hAnsi="Arial" w:cs="Arial"/>
                <w:sz w:val="22"/>
                <w:szCs w:val="22"/>
              </w:rPr>
            </w:pPr>
            <w:r w:rsidRPr="00FB3357">
              <w:rPr>
                <w:rFonts w:ascii="Arial" w:hAnsi="Arial" w:cs="Arial"/>
                <w:sz w:val="22"/>
                <w:szCs w:val="22"/>
              </w:rPr>
              <w:t>Ongoing</w:t>
            </w:r>
          </w:p>
        </w:tc>
        <w:tc>
          <w:tcPr>
            <w:tcW w:w="3230" w:type="dxa"/>
            <w:vAlign w:val="center"/>
            <w:hideMark/>
          </w:tcPr>
          <w:p w14:paraId="3E5E56EB" w14:textId="77777777" w:rsidR="004C49F2" w:rsidRPr="00FB3357" w:rsidRDefault="004C49F2" w:rsidP="00F3432E">
            <w:pPr>
              <w:rPr>
                <w:rFonts w:ascii="Arial" w:hAnsi="Arial" w:cs="Arial"/>
                <w:sz w:val="22"/>
                <w:szCs w:val="22"/>
              </w:rPr>
            </w:pPr>
            <w:r w:rsidRPr="00FB3357">
              <w:rPr>
                <w:rFonts w:ascii="Arial" w:hAnsi="Arial" w:cs="Arial"/>
                <w:sz w:val="22"/>
                <w:szCs w:val="22"/>
              </w:rPr>
              <w:t xml:space="preserve">Monitor performance, refine digital services, respond to market changes and evaluate future expansion opportunities.  (Johnson </w:t>
            </w:r>
            <w:r w:rsidRPr="00FB3357">
              <w:rPr>
                <w:rFonts w:ascii="Arial" w:hAnsi="Arial" w:cs="Arial"/>
                <w:i/>
                <w:iCs/>
                <w:sz w:val="22"/>
                <w:szCs w:val="22"/>
              </w:rPr>
              <w:t>et al</w:t>
            </w:r>
            <w:r w:rsidRPr="00FB3357">
              <w:rPr>
                <w:rFonts w:ascii="Arial" w:hAnsi="Arial" w:cs="Arial"/>
                <w:sz w:val="22"/>
                <w:szCs w:val="22"/>
              </w:rPr>
              <w:t>., 2020; findings from Chapters 2–4).</w:t>
            </w:r>
          </w:p>
        </w:tc>
        <w:tc>
          <w:tcPr>
            <w:tcW w:w="2739" w:type="dxa"/>
            <w:vAlign w:val="center"/>
            <w:hideMark/>
          </w:tcPr>
          <w:p w14:paraId="44393EBA" w14:textId="77777777" w:rsidR="004C49F2" w:rsidRPr="00FB3357" w:rsidRDefault="004C49F2" w:rsidP="00F3432E">
            <w:pPr>
              <w:rPr>
                <w:rFonts w:ascii="Arial" w:hAnsi="Arial" w:cs="Arial"/>
                <w:sz w:val="22"/>
                <w:szCs w:val="22"/>
              </w:rPr>
            </w:pPr>
            <w:r w:rsidRPr="00FB3357">
              <w:rPr>
                <w:rFonts w:ascii="Arial" w:hAnsi="Arial" w:cs="Arial"/>
                <w:sz w:val="22"/>
                <w:szCs w:val="22"/>
              </w:rPr>
              <w:t xml:space="preserve">Continuous innovation, strategic agility and sustained shareholder value. (Johnson </w:t>
            </w:r>
            <w:r w:rsidRPr="00FB3357">
              <w:rPr>
                <w:rFonts w:ascii="Arial" w:hAnsi="Arial" w:cs="Arial"/>
                <w:i/>
                <w:iCs/>
                <w:sz w:val="22"/>
                <w:szCs w:val="22"/>
              </w:rPr>
              <w:t>et al</w:t>
            </w:r>
            <w:r w:rsidRPr="00FB3357">
              <w:rPr>
                <w:rFonts w:ascii="Arial" w:hAnsi="Arial" w:cs="Arial"/>
                <w:sz w:val="22"/>
                <w:szCs w:val="22"/>
              </w:rPr>
              <w:t>., 2020).</w:t>
            </w:r>
          </w:p>
        </w:tc>
      </w:tr>
    </w:tbl>
    <w:p w14:paraId="2DF58965" w14:textId="0D995753" w:rsidR="2D27647E" w:rsidRPr="00F3432E" w:rsidRDefault="003F518C" w:rsidP="00FB3357">
      <w:pPr>
        <w:jc w:val="both"/>
        <w:rPr>
          <w:rFonts w:ascii="Arial" w:hAnsi="Arial" w:cs="Arial"/>
          <w:i/>
          <w:iCs/>
          <w:sz w:val="22"/>
          <w:szCs w:val="22"/>
        </w:rPr>
      </w:pPr>
      <w:r w:rsidRPr="00F3432E">
        <w:rPr>
          <w:rFonts w:ascii="Arial" w:hAnsi="Arial" w:cs="Arial"/>
          <w:b/>
          <w:bCs/>
          <w:i/>
          <w:iCs/>
          <w:sz w:val="22"/>
          <w:szCs w:val="22"/>
        </w:rPr>
        <w:t>Source:</w:t>
      </w:r>
      <w:r w:rsidRPr="00F3432E">
        <w:rPr>
          <w:rFonts w:ascii="Arial" w:hAnsi="Arial" w:cs="Arial"/>
          <w:i/>
          <w:iCs/>
          <w:sz w:val="22"/>
          <w:szCs w:val="22"/>
        </w:rPr>
        <w:t xml:space="preserve"> Author's analysis, based on Vodafone Group Plc (2025), Johnson et al. (2020), and findings from Chapters 2–4.</w:t>
      </w:r>
      <w:r w:rsidR="009A5437" w:rsidRPr="00F3432E">
        <w:rPr>
          <w:rFonts w:ascii="Arial" w:hAnsi="Arial" w:cs="Arial"/>
          <w:i/>
          <w:iCs/>
          <w:sz w:val="22"/>
          <w:szCs w:val="22"/>
        </w:rPr>
        <w:tab/>
      </w:r>
    </w:p>
    <w:p w14:paraId="5F00AE09" w14:textId="2E7D72BE" w:rsidR="1BB05BBF" w:rsidRPr="00F3432E" w:rsidRDefault="002739CD" w:rsidP="00F3432E">
      <w:pPr>
        <w:pStyle w:val="Heading2"/>
        <w:rPr>
          <w:rFonts w:ascii="Arial" w:hAnsi="Arial" w:cs="Arial"/>
          <w:b/>
          <w:bCs/>
          <w:color w:val="auto"/>
          <w:sz w:val="22"/>
          <w:szCs w:val="22"/>
        </w:rPr>
      </w:pPr>
      <w:bookmarkStart w:id="23" w:name="_Toc234790285"/>
      <w:r>
        <w:rPr>
          <w:rFonts w:ascii="Arial" w:eastAsia="Arial Nova" w:hAnsi="Arial" w:cs="Arial"/>
          <w:b/>
          <w:bCs/>
          <w:color w:val="auto"/>
          <w:sz w:val="22"/>
          <w:szCs w:val="22"/>
        </w:rPr>
        <w:t>7</w:t>
      </w:r>
      <w:r w:rsidR="1BB05BBF" w:rsidRPr="00F3432E">
        <w:rPr>
          <w:rFonts w:ascii="Arial" w:eastAsia="Arial Nova" w:hAnsi="Arial" w:cs="Arial"/>
          <w:b/>
          <w:bCs/>
          <w:color w:val="auto"/>
          <w:sz w:val="22"/>
          <w:szCs w:val="22"/>
        </w:rPr>
        <w:t>.1 Implementation Plan</w:t>
      </w:r>
      <w:bookmarkEnd w:id="23"/>
    </w:p>
    <w:p w14:paraId="6F15F982" w14:textId="2A34E801" w:rsidR="1BB05BBF" w:rsidRPr="00FB3357" w:rsidRDefault="1BB05BBF"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The implementation roadmap adopts a phased approach to reduce operational disruption and support effective post-merger integration.</w:t>
      </w:r>
      <w:r w:rsidR="00592EA9" w:rsidRPr="00FB3357">
        <w:rPr>
          <w:rFonts w:ascii="Arial" w:eastAsia="Arial Nova" w:hAnsi="Arial" w:cs="Arial"/>
          <w:sz w:val="22"/>
          <w:szCs w:val="22"/>
        </w:rPr>
        <w:t xml:space="preserve"> </w:t>
      </w:r>
      <w:r w:rsidR="00364130" w:rsidRPr="00FB3357">
        <w:rPr>
          <w:rFonts w:ascii="Arial" w:eastAsia="Arial Nova" w:hAnsi="Arial" w:cs="Arial"/>
          <w:sz w:val="22"/>
          <w:szCs w:val="22"/>
        </w:rPr>
        <w:t>This phased approach enables resources to be allocated progressively while reducing implementation risk and allowing performance to be evaluated before advancing to subsequent stages</w:t>
      </w:r>
      <w:r w:rsidRPr="00FB3357">
        <w:rPr>
          <w:rFonts w:ascii="Arial" w:eastAsia="Arial Nova" w:hAnsi="Arial" w:cs="Arial"/>
          <w:sz w:val="22"/>
          <w:szCs w:val="22"/>
        </w:rPr>
        <w:t>. A phased implementation reduces execution risk, enables efficient resource allocation and allows VodafoneThree to evaluate performance before progressing to subsequent stages, improving the likelihood of achieving sustainable long-term growth.</w:t>
      </w:r>
    </w:p>
    <w:p w14:paraId="7D0BDB5A" w14:textId="6725C0F8" w:rsidR="003F632E" w:rsidRPr="00365624" w:rsidRDefault="003F632E" w:rsidP="00365624">
      <w:pPr>
        <w:spacing w:after="0" w:line="278" w:lineRule="auto"/>
        <w:jc w:val="both"/>
        <w:rPr>
          <w:rFonts w:ascii="Arial" w:hAnsi="Arial" w:cs="Arial"/>
          <w:i/>
          <w:iCs/>
          <w:sz w:val="22"/>
          <w:szCs w:val="22"/>
        </w:rPr>
      </w:pPr>
      <w:r w:rsidRPr="00365624">
        <w:rPr>
          <w:rFonts w:ascii="Arial" w:hAnsi="Arial" w:cs="Arial"/>
          <w:i/>
          <w:iCs/>
          <w:sz w:val="22"/>
          <w:szCs w:val="22"/>
        </w:rPr>
        <w:t xml:space="preserve">Figure </w:t>
      </w:r>
      <w:r w:rsidR="00C150BD" w:rsidRPr="00365624">
        <w:rPr>
          <w:rFonts w:ascii="Arial" w:hAnsi="Arial" w:cs="Arial"/>
          <w:i/>
          <w:iCs/>
          <w:sz w:val="22"/>
          <w:szCs w:val="22"/>
        </w:rPr>
        <w:t>5</w:t>
      </w:r>
      <w:r w:rsidRPr="00365624">
        <w:rPr>
          <w:rFonts w:ascii="Arial" w:hAnsi="Arial" w:cs="Arial"/>
          <w:i/>
          <w:iCs/>
          <w:sz w:val="22"/>
          <w:szCs w:val="22"/>
        </w:rPr>
        <w:t>. Stakeholder Engagement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0"/>
        <w:gridCol w:w="2877"/>
        <w:gridCol w:w="1092"/>
        <w:gridCol w:w="3067"/>
      </w:tblGrid>
      <w:tr w:rsidR="008F7421" w:rsidRPr="00FB3357" w14:paraId="2C013135" w14:textId="77777777" w:rsidTr="00D8008F">
        <w:trPr>
          <w:tblHeader/>
          <w:tblCellSpacing w:w="15" w:type="dxa"/>
        </w:trPr>
        <w:tc>
          <w:tcPr>
            <w:tcW w:w="1935" w:type="dxa"/>
            <w:shd w:val="clear" w:color="auto" w:fill="92D050"/>
            <w:vAlign w:val="center"/>
            <w:hideMark/>
          </w:tcPr>
          <w:p w14:paraId="7E2B87B4" w14:textId="77777777" w:rsidR="008F7421" w:rsidRPr="00FB3357" w:rsidRDefault="008F7421" w:rsidP="00A95B85">
            <w:pPr>
              <w:jc w:val="center"/>
              <w:rPr>
                <w:rFonts w:ascii="Arial" w:hAnsi="Arial" w:cs="Arial"/>
                <w:b/>
                <w:bCs/>
                <w:sz w:val="22"/>
                <w:szCs w:val="22"/>
              </w:rPr>
            </w:pPr>
            <w:r w:rsidRPr="00FB3357">
              <w:rPr>
                <w:rFonts w:ascii="Arial" w:hAnsi="Arial" w:cs="Arial"/>
                <w:b/>
                <w:bCs/>
                <w:sz w:val="22"/>
                <w:szCs w:val="22"/>
              </w:rPr>
              <w:t>Stakeholder</w:t>
            </w:r>
          </w:p>
        </w:tc>
        <w:tc>
          <w:tcPr>
            <w:tcW w:w="2847" w:type="dxa"/>
            <w:shd w:val="clear" w:color="auto" w:fill="92D050"/>
            <w:vAlign w:val="center"/>
            <w:hideMark/>
          </w:tcPr>
          <w:p w14:paraId="6701F95A" w14:textId="77777777" w:rsidR="008F7421" w:rsidRPr="00FB3357" w:rsidRDefault="008F7421" w:rsidP="00A95B85">
            <w:pPr>
              <w:jc w:val="center"/>
              <w:rPr>
                <w:rFonts w:ascii="Arial" w:hAnsi="Arial" w:cs="Arial"/>
                <w:b/>
                <w:bCs/>
                <w:sz w:val="22"/>
                <w:szCs w:val="22"/>
              </w:rPr>
            </w:pPr>
            <w:r w:rsidRPr="00FB3357">
              <w:rPr>
                <w:rFonts w:ascii="Arial" w:hAnsi="Arial" w:cs="Arial"/>
                <w:b/>
                <w:bCs/>
                <w:sz w:val="22"/>
                <w:szCs w:val="22"/>
              </w:rPr>
              <w:t>Primary Interest</w:t>
            </w:r>
          </w:p>
        </w:tc>
        <w:tc>
          <w:tcPr>
            <w:tcW w:w="0" w:type="auto"/>
            <w:shd w:val="clear" w:color="auto" w:fill="92D050"/>
            <w:vAlign w:val="center"/>
            <w:hideMark/>
          </w:tcPr>
          <w:p w14:paraId="51C7EBE7" w14:textId="77777777" w:rsidR="008F7421" w:rsidRPr="00FB3357" w:rsidRDefault="008F7421" w:rsidP="00A95B85">
            <w:pPr>
              <w:jc w:val="center"/>
              <w:rPr>
                <w:rFonts w:ascii="Arial" w:hAnsi="Arial" w:cs="Arial"/>
                <w:b/>
                <w:bCs/>
                <w:sz w:val="22"/>
                <w:szCs w:val="22"/>
              </w:rPr>
            </w:pPr>
            <w:r w:rsidRPr="00FB3357">
              <w:rPr>
                <w:rFonts w:ascii="Arial" w:hAnsi="Arial" w:cs="Arial"/>
                <w:b/>
                <w:bCs/>
                <w:sz w:val="22"/>
                <w:szCs w:val="22"/>
              </w:rPr>
              <w:t>Influence</w:t>
            </w:r>
          </w:p>
        </w:tc>
        <w:tc>
          <w:tcPr>
            <w:tcW w:w="0" w:type="auto"/>
            <w:shd w:val="clear" w:color="auto" w:fill="92D050"/>
            <w:vAlign w:val="center"/>
            <w:hideMark/>
          </w:tcPr>
          <w:p w14:paraId="7DB1E092" w14:textId="77777777" w:rsidR="008F7421" w:rsidRPr="00FB3357" w:rsidRDefault="008F7421" w:rsidP="00A95B85">
            <w:pPr>
              <w:jc w:val="center"/>
              <w:rPr>
                <w:rFonts w:ascii="Arial" w:hAnsi="Arial" w:cs="Arial"/>
                <w:b/>
                <w:bCs/>
                <w:sz w:val="22"/>
                <w:szCs w:val="22"/>
              </w:rPr>
            </w:pPr>
            <w:r w:rsidRPr="00FB3357">
              <w:rPr>
                <w:rFonts w:ascii="Arial" w:hAnsi="Arial" w:cs="Arial"/>
                <w:b/>
                <w:bCs/>
                <w:sz w:val="22"/>
                <w:szCs w:val="22"/>
              </w:rPr>
              <w:t>Engagement Approach</w:t>
            </w:r>
          </w:p>
        </w:tc>
      </w:tr>
      <w:tr w:rsidR="008F7421" w:rsidRPr="00FB3357" w14:paraId="1DB7CCCC" w14:textId="77777777" w:rsidTr="00D8008F">
        <w:trPr>
          <w:tblCellSpacing w:w="15" w:type="dxa"/>
        </w:trPr>
        <w:tc>
          <w:tcPr>
            <w:tcW w:w="1935" w:type="dxa"/>
            <w:shd w:val="clear" w:color="auto" w:fill="95DCF7" w:themeFill="accent4" w:themeFillTint="66"/>
            <w:vAlign w:val="center"/>
            <w:hideMark/>
          </w:tcPr>
          <w:p w14:paraId="44C994F2"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Board of Directors</w:t>
            </w:r>
          </w:p>
        </w:tc>
        <w:tc>
          <w:tcPr>
            <w:tcW w:w="2847" w:type="dxa"/>
            <w:vAlign w:val="center"/>
            <w:hideMark/>
          </w:tcPr>
          <w:p w14:paraId="0463E7D4" w14:textId="77777777" w:rsidR="008F7421" w:rsidRPr="00FB3357" w:rsidRDefault="008F7421" w:rsidP="00A95B85">
            <w:pPr>
              <w:rPr>
                <w:rFonts w:ascii="Arial" w:hAnsi="Arial" w:cs="Arial"/>
                <w:sz w:val="22"/>
                <w:szCs w:val="22"/>
              </w:rPr>
            </w:pPr>
            <w:r w:rsidRPr="00FB3357">
              <w:rPr>
                <w:rFonts w:ascii="Arial" w:hAnsi="Arial" w:cs="Arial"/>
                <w:sz w:val="22"/>
                <w:szCs w:val="22"/>
              </w:rPr>
              <w:t>Strategic performance and shareholder value. (R. Edward Freeman, 1984; Vodafone Group Plc, 2025).</w:t>
            </w:r>
          </w:p>
        </w:tc>
        <w:tc>
          <w:tcPr>
            <w:tcW w:w="0" w:type="auto"/>
            <w:vAlign w:val="center"/>
            <w:hideMark/>
          </w:tcPr>
          <w:p w14:paraId="07C15050"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High</w:t>
            </w:r>
          </w:p>
        </w:tc>
        <w:tc>
          <w:tcPr>
            <w:tcW w:w="0" w:type="auto"/>
            <w:vAlign w:val="center"/>
            <w:hideMark/>
          </w:tcPr>
          <w:p w14:paraId="1E32CB8E" w14:textId="77777777" w:rsidR="008F7421" w:rsidRPr="00FB3357" w:rsidRDefault="008F7421" w:rsidP="00A95B85">
            <w:pPr>
              <w:rPr>
                <w:rFonts w:ascii="Arial" w:hAnsi="Arial" w:cs="Arial"/>
                <w:sz w:val="22"/>
                <w:szCs w:val="22"/>
              </w:rPr>
            </w:pPr>
            <w:r w:rsidRPr="00FB3357">
              <w:rPr>
                <w:rFonts w:ascii="Arial" w:hAnsi="Arial" w:cs="Arial"/>
                <w:sz w:val="22"/>
                <w:szCs w:val="22"/>
              </w:rPr>
              <w:t>Quarterly strategy reviews and KPI reporting. (Vodafone Group Plc, 2025).</w:t>
            </w:r>
          </w:p>
        </w:tc>
      </w:tr>
      <w:tr w:rsidR="008F7421" w:rsidRPr="00FB3357" w14:paraId="07D44C6E" w14:textId="77777777" w:rsidTr="00D8008F">
        <w:trPr>
          <w:tblCellSpacing w:w="15" w:type="dxa"/>
        </w:trPr>
        <w:tc>
          <w:tcPr>
            <w:tcW w:w="1935" w:type="dxa"/>
            <w:shd w:val="clear" w:color="auto" w:fill="95DCF7" w:themeFill="accent4" w:themeFillTint="66"/>
            <w:vAlign w:val="center"/>
            <w:hideMark/>
          </w:tcPr>
          <w:p w14:paraId="2F386927"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Shareholders</w:t>
            </w:r>
          </w:p>
        </w:tc>
        <w:tc>
          <w:tcPr>
            <w:tcW w:w="2847" w:type="dxa"/>
            <w:vAlign w:val="center"/>
            <w:hideMark/>
          </w:tcPr>
          <w:p w14:paraId="2226DC1B" w14:textId="77777777" w:rsidR="008F7421" w:rsidRPr="00FB3357" w:rsidRDefault="008F7421" w:rsidP="00A95B85">
            <w:pPr>
              <w:rPr>
                <w:rFonts w:ascii="Arial" w:hAnsi="Arial" w:cs="Arial"/>
                <w:sz w:val="22"/>
                <w:szCs w:val="22"/>
              </w:rPr>
            </w:pPr>
            <w:r w:rsidRPr="00FB3357">
              <w:rPr>
                <w:rFonts w:ascii="Arial" w:hAnsi="Arial" w:cs="Arial"/>
                <w:sz w:val="22"/>
                <w:szCs w:val="22"/>
              </w:rPr>
              <w:t>Sustainable financial returns and synergy delivery. (Freeman, 1984; Vodafone Group Plc, 2025).</w:t>
            </w:r>
          </w:p>
        </w:tc>
        <w:tc>
          <w:tcPr>
            <w:tcW w:w="0" w:type="auto"/>
            <w:vAlign w:val="center"/>
            <w:hideMark/>
          </w:tcPr>
          <w:p w14:paraId="47D6B09B"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High</w:t>
            </w:r>
          </w:p>
        </w:tc>
        <w:tc>
          <w:tcPr>
            <w:tcW w:w="0" w:type="auto"/>
            <w:vAlign w:val="center"/>
            <w:hideMark/>
          </w:tcPr>
          <w:p w14:paraId="1241F803" w14:textId="77777777" w:rsidR="008F7421" w:rsidRPr="00FB3357" w:rsidRDefault="008F7421" w:rsidP="00A95B85">
            <w:pPr>
              <w:rPr>
                <w:rFonts w:ascii="Arial" w:hAnsi="Arial" w:cs="Arial"/>
                <w:sz w:val="22"/>
                <w:szCs w:val="22"/>
              </w:rPr>
            </w:pPr>
            <w:r w:rsidRPr="00FB3357">
              <w:rPr>
                <w:rFonts w:ascii="Arial" w:hAnsi="Arial" w:cs="Arial"/>
                <w:sz w:val="22"/>
                <w:szCs w:val="22"/>
              </w:rPr>
              <w:t>Transparent financial reporting and investor communications. (Vodafone Group Plc, 2025).</w:t>
            </w:r>
          </w:p>
        </w:tc>
      </w:tr>
      <w:tr w:rsidR="008F7421" w:rsidRPr="00FB3357" w14:paraId="00CD8AB8" w14:textId="77777777" w:rsidTr="00D8008F">
        <w:trPr>
          <w:tblCellSpacing w:w="15" w:type="dxa"/>
        </w:trPr>
        <w:tc>
          <w:tcPr>
            <w:tcW w:w="1935" w:type="dxa"/>
            <w:shd w:val="clear" w:color="auto" w:fill="95DCF7" w:themeFill="accent4" w:themeFillTint="66"/>
            <w:vAlign w:val="center"/>
            <w:hideMark/>
          </w:tcPr>
          <w:p w14:paraId="7684DA6B"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Competition and Markets Authority (CMA) / Ofcom</w:t>
            </w:r>
          </w:p>
        </w:tc>
        <w:tc>
          <w:tcPr>
            <w:tcW w:w="2847" w:type="dxa"/>
            <w:vAlign w:val="center"/>
            <w:hideMark/>
          </w:tcPr>
          <w:p w14:paraId="61BC3F7E" w14:textId="77777777" w:rsidR="008F7421" w:rsidRPr="00FB3357" w:rsidRDefault="008F7421" w:rsidP="00A95B85">
            <w:pPr>
              <w:rPr>
                <w:rFonts w:ascii="Arial" w:hAnsi="Arial" w:cs="Arial"/>
                <w:sz w:val="22"/>
                <w:szCs w:val="22"/>
              </w:rPr>
            </w:pPr>
            <w:r w:rsidRPr="00FB3357">
              <w:rPr>
                <w:rFonts w:ascii="Arial" w:hAnsi="Arial" w:cs="Arial"/>
                <w:sz w:val="22"/>
                <w:szCs w:val="22"/>
              </w:rPr>
              <w:t>Compliance with merger commitments and market competition. (Competition and Markets Authority, 2024).</w:t>
            </w:r>
          </w:p>
        </w:tc>
        <w:tc>
          <w:tcPr>
            <w:tcW w:w="0" w:type="auto"/>
            <w:vAlign w:val="center"/>
            <w:hideMark/>
          </w:tcPr>
          <w:p w14:paraId="0DDCB219"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High</w:t>
            </w:r>
          </w:p>
        </w:tc>
        <w:tc>
          <w:tcPr>
            <w:tcW w:w="0" w:type="auto"/>
            <w:vAlign w:val="center"/>
            <w:hideMark/>
          </w:tcPr>
          <w:p w14:paraId="66A91D15" w14:textId="77777777" w:rsidR="008F7421" w:rsidRPr="00FB3357" w:rsidRDefault="008F7421" w:rsidP="00A95B85">
            <w:pPr>
              <w:rPr>
                <w:rFonts w:ascii="Arial" w:hAnsi="Arial" w:cs="Arial"/>
                <w:sz w:val="22"/>
                <w:szCs w:val="22"/>
              </w:rPr>
            </w:pPr>
            <w:r w:rsidRPr="00FB3357">
              <w:rPr>
                <w:rFonts w:ascii="Arial" w:hAnsi="Arial" w:cs="Arial"/>
                <w:sz w:val="22"/>
                <w:szCs w:val="22"/>
              </w:rPr>
              <w:t>Continuous regulatory engagement and compliance reporting. (Competition and Markets Authority, 2024; Vodafone Group Plc, 2025).</w:t>
            </w:r>
          </w:p>
        </w:tc>
      </w:tr>
      <w:tr w:rsidR="008F7421" w:rsidRPr="00FB3357" w14:paraId="297C8C91" w14:textId="77777777" w:rsidTr="00D8008F">
        <w:trPr>
          <w:tblCellSpacing w:w="15" w:type="dxa"/>
        </w:trPr>
        <w:tc>
          <w:tcPr>
            <w:tcW w:w="1935" w:type="dxa"/>
            <w:shd w:val="clear" w:color="auto" w:fill="95DCF7" w:themeFill="accent4" w:themeFillTint="66"/>
            <w:vAlign w:val="center"/>
            <w:hideMark/>
          </w:tcPr>
          <w:p w14:paraId="684F7162"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lastRenderedPageBreak/>
              <w:t>Employees</w:t>
            </w:r>
          </w:p>
        </w:tc>
        <w:tc>
          <w:tcPr>
            <w:tcW w:w="2847" w:type="dxa"/>
            <w:vAlign w:val="center"/>
            <w:hideMark/>
          </w:tcPr>
          <w:p w14:paraId="4ABDB3D0" w14:textId="77777777" w:rsidR="008F7421" w:rsidRPr="00FB3357" w:rsidRDefault="008F7421" w:rsidP="00A95B85">
            <w:pPr>
              <w:rPr>
                <w:rFonts w:ascii="Arial" w:hAnsi="Arial" w:cs="Arial"/>
                <w:sz w:val="22"/>
                <w:szCs w:val="22"/>
              </w:rPr>
            </w:pPr>
            <w:r w:rsidRPr="00FB3357">
              <w:rPr>
                <w:rFonts w:ascii="Arial" w:hAnsi="Arial" w:cs="Arial"/>
                <w:sz w:val="22"/>
                <w:szCs w:val="22"/>
              </w:rPr>
              <w:t>Job security, organisational change and capability development. (Freeman, 1984; Vodafone Group Plc, 2025).</w:t>
            </w:r>
          </w:p>
        </w:tc>
        <w:tc>
          <w:tcPr>
            <w:tcW w:w="0" w:type="auto"/>
            <w:vAlign w:val="center"/>
            <w:hideMark/>
          </w:tcPr>
          <w:p w14:paraId="6AA8177D"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Medium–High</w:t>
            </w:r>
          </w:p>
        </w:tc>
        <w:tc>
          <w:tcPr>
            <w:tcW w:w="0" w:type="auto"/>
            <w:vAlign w:val="center"/>
            <w:hideMark/>
          </w:tcPr>
          <w:p w14:paraId="4D9A09F3" w14:textId="77777777" w:rsidR="008F7421" w:rsidRPr="00FB3357" w:rsidRDefault="008F7421" w:rsidP="00A95B85">
            <w:pPr>
              <w:rPr>
                <w:rFonts w:ascii="Arial" w:hAnsi="Arial" w:cs="Arial"/>
                <w:sz w:val="22"/>
                <w:szCs w:val="22"/>
              </w:rPr>
            </w:pPr>
            <w:r w:rsidRPr="00FB3357">
              <w:rPr>
                <w:rFonts w:ascii="Arial" w:hAnsi="Arial" w:cs="Arial"/>
                <w:sz w:val="22"/>
                <w:szCs w:val="22"/>
              </w:rPr>
              <w:t>Change management, training and regular communication. (Vodafone Group Plc, 2025).</w:t>
            </w:r>
          </w:p>
        </w:tc>
      </w:tr>
      <w:tr w:rsidR="008F7421" w:rsidRPr="00FB3357" w14:paraId="0D1CF38D" w14:textId="77777777" w:rsidTr="00D8008F">
        <w:trPr>
          <w:tblCellSpacing w:w="15" w:type="dxa"/>
        </w:trPr>
        <w:tc>
          <w:tcPr>
            <w:tcW w:w="1935" w:type="dxa"/>
            <w:shd w:val="clear" w:color="auto" w:fill="95DCF7" w:themeFill="accent4" w:themeFillTint="66"/>
            <w:vAlign w:val="center"/>
            <w:hideMark/>
          </w:tcPr>
          <w:p w14:paraId="2A294F9F"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Enterprise Customers</w:t>
            </w:r>
          </w:p>
        </w:tc>
        <w:tc>
          <w:tcPr>
            <w:tcW w:w="2847" w:type="dxa"/>
            <w:vAlign w:val="center"/>
            <w:hideMark/>
          </w:tcPr>
          <w:p w14:paraId="0DE06267" w14:textId="77777777" w:rsidR="008F7421" w:rsidRPr="00FB3357" w:rsidRDefault="008F7421" w:rsidP="00A95B85">
            <w:pPr>
              <w:rPr>
                <w:rFonts w:ascii="Arial" w:hAnsi="Arial" w:cs="Arial"/>
                <w:sz w:val="22"/>
                <w:szCs w:val="22"/>
              </w:rPr>
            </w:pPr>
            <w:r w:rsidRPr="00FB3357">
              <w:rPr>
                <w:rFonts w:ascii="Arial" w:hAnsi="Arial" w:cs="Arial"/>
                <w:sz w:val="22"/>
                <w:szCs w:val="22"/>
              </w:rPr>
              <w:t>Reliable connectivity, innovation and service quality. (Freeman, 1984; Vodafone Group Plc, 2025).</w:t>
            </w:r>
          </w:p>
        </w:tc>
        <w:tc>
          <w:tcPr>
            <w:tcW w:w="0" w:type="auto"/>
            <w:vAlign w:val="center"/>
            <w:hideMark/>
          </w:tcPr>
          <w:p w14:paraId="742BC283"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High</w:t>
            </w:r>
          </w:p>
        </w:tc>
        <w:tc>
          <w:tcPr>
            <w:tcW w:w="0" w:type="auto"/>
            <w:vAlign w:val="center"/>
            <w:hideMark/>
          </w:tcPr>
          <w:p w14:paraId="4DD2052A" w14:textId="77777777" w:rsidR="008F7421" w:rsidRPr="00FB3357" w:rsidRDefault="008F7421" w:rsidP="00A95B85">
            <w:pPr>
              <w:rPr>
                <w:rFonts w:ascii="Arial" w:hAnsi="Arial" w:cs="Arial"/>
                <w:sz w:val="22"/>
                <w:szCs w:val="22"/>
              </w:rPr>
            </w:pPr>
            <w:r w:rsidRPr="00FB3357">
              <w:rPr>
                <w:rFonts w:ascii="Arial" w:hAnsi="Arial" w:cs="Arial"/>
                <w:sz w:val="22"/>
                <w:szCs w:val="22"/>
              </w:rPr>
              <w:t>Strategic account management and collaborative solution development. (Vodafone Group Plc, 2025).</w:t>
            </w:r>
          </w:p>
        </w:tc>
      </w:tr>
      <w:tr w:rsidR="008F7421" w:rsidRPr="00FB3357" w14:paraId="46550312" w14:textId="77777777" w:rsidTr="00D8008F">
        <w:trPr>
          <w:tblCellSpacing w:w="15" w:type="dxa"/>
        </w:trPr>
        <w:tc>
          <w:tcPr>
            <w:tcW w:w="1935" w:type="dxa"/>
            <w:shd w:val="clear" w:color="auto" w:fill="95DCF7" w:themeFill="accent4" w:themeFillTint="66"/>
            <w:vAlign w:val="center"/>
            <w:hideMark/>
          </w:tcPr>
          <w:p w14:paraId="2AB83327"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Technology Partners</w:t>
            </w:r>
          </w:p>
        </w:tc>
        <w:tc>
          <w:tcPr>
            <w:tcW w:w="2847" w:type="dxa"/>
            <w:vAlign w:val="center"/>
            <w:hideMark/>
          </w:tcPr>
          <w:p w14:paraId="778F2B38" w14:textId="77777777" w:rsidR="008F7421" w:rsidRPr="00FB3357" w:rsidRDefault="008F7421" w:rsidP="00A95B85">
            <w:pPr>
              <w:rPr>
                <w:rFonts w:ascii="Arial" w:hAnsi="Arial" w:cs="Arial"/>
                <w:sz w:val="22"/>
                <w:szCs w:val="22"/>
              </w:rPr>
            </w:pPr>
            <w:r w:rsidRPr="00FB3357">
              <w:rPr>
                <w:rFonts w:ascii="Arial" w:hAnsi="Arial" w:cs="Arial"/>
                <w:sz w:val="22"/>
                <w:szCs w:val="22"/>
              </w:rPr>
              <w:t>Long-term technology deployment and innovation. (Freeman, 1984; Vodafone Group Plc, 2025).</w:t>
            </w:r>
          </w:p>
        </w:tc>
        <w:tc>
          <w:tcPr>
            <w:tcW w:w="0" w:type="auto"/>
            <w:vAlign w:val="center"/>
            <w:hideMark/>
          </w:tcPr>
          <w:p w14:paraId="4A79EB32" w14:textId="77777777" w:rsidR="008F7421" w:rsidRPr="00FB3357" w:rsidRDefault="008F7421" w:rsidP="00A95B85">
            <w:pPr>
              <w:jc w:val="center"/>
              <w:rPr>
                <w:rFonts w:ascii="Arial" w:hAnsi="Arial" w:cs="Arial"/>
                <w:sz w:val="22"/>
                <w:szCs w:val="22"/>
              </w:rPr>
            </w:pPr>
            <w:r w:rsidRPr="00FB3357">
              <w:rPr>
                <w:rFonts w:ascii="Arial" w:hAnsi="Arial" w:cs="Arial"/>
                <w:sz w:val="22"/>
                <w:szCs w:val="22"/>
              </w:rPr>
              <w:t>Medium</w:t>
            </w:r>
          </w:p>
        </w:tc>
        <w:tc>
          <w:tcPr>
            <w:tcW w:w="0" w:type="auto"/>
            <w:vAlign w:val="center"/>
            <w:hideMark/>
          </w:tcPr>
          <w:p w14:paraId="4240ADB6" w14:textId="77777777" w:rsidR="008F7421" w:rsidRPr="00FB3357" w:rsidRDefault="008F7421" w:rsidP="00A95B85">
            <w:pPr>
              <w:rPr>
                <w:rFonts w:ascii="Arial" w:hAnsi="Arial" w:cs="Arial"/>
                <w:sz w:val="22"/>
                <w:szCs w:val="22"/>
              </w:rPr>
            </w:pPr>
            <w:r w:rsidRPr="00FB3357">
              <w:rPr>
                <w:rFonts w:ascii="Arial" w:hAnsi="Arial" w:cs="Arial"/>
                <w:sz w:val="22"/>
                <w:szCs w:val="22"/>
              </w:rPr>
              <w:t>Partnership governance and joint innovation initiatives. (Vodafone Group Plc, 2025).</w:t>
            </w:r>
          </w:p>
        </w:tc>
      </w:tr>
    </w:tbl>
    <w:p w14:paraId="00DB7531" w14:textId="6AF3F855" w:rsidR="008F7421" w:rsidRPr="00A95B85" w:rsidRDefault="0018483B" w:rsidP="00FB3357">
      <w:pPr>
        <w:jc w:val="both"/>
        <w:rPr>
          <w:rFonts w:ascii="Arial" w:hAnsi="Arial" w:cs="Arial"/>
          <w:i/>
          <w:iCs/>
          <w:sz w:val="22"/>
          <w:szCs w:val="22"/>
        </w:rPr>
      </w:pPr>
      <w:r w:rsidRPr="00A95B85">
        <w:rPr>
          <w:rFonts w:ascii="Arial" w:hAnsi="Arial" w:cs="Arial"/>
          <w:i/>
          <w:iCs/>
          <w:sz w:val="22"/>
          <w:szCs w:val="22"/>
        </w:rPr>
        <w:t>Source: Author's analysis, adapted from Freeman (1984), Vodafone Group Plc (2025), and Competition and Markets Authority (2024).</w:t>
      </w:r>
    </w:p>
    <w:p w14:paraId="0CED6146" w14:textId="54C1DE8F" w:rsidR="00224739" w:rsidRPr="00365624" w:rsidRDefault="00224739" w:rsidP="00365624">
      <w:pPr>
        <w:spacing w:after="0" w:line="278" w:lineRule="auto"/>
        <w:jc w:val="both"/>
        <w:rPr>
          <w:rFonts w:ascii="Arial" w:hAnsi="Arial" w:cs="Arial"/>
          <w:i/>
          <w:iCs/>
          <w:sz w:val="22"/>
          <w:szCs w:val="22"/>
        </w:rPr>
      </w:pPr>
      <w:r w:rsidRPr="00365624">
        <w:rPr>
          <w:rFonts w:ascii="Arial" w:hAnsi="Arial" w:cs="Arial"/>
          <w:i/>
          <w:iCs/>
          <w:sz w:val="22"/>
          <w:szCs w:val="22"/>
        </w:rPr>
        <w:t xml:space="preserve">Figure </w:t>
      </w:r>
      <w:r w:rsidR="00C150BD" w:rsidRPr="00365624">
        <w:rPr>
          <w:rFonts w:ascii="Arial" w:hAnsi="Arial" w:cs="Arial"/>
          <w:i/>
          <w:iCs/>
          <w:sz w:val="22"/>
          <w:szCs w:val="22"/>
        </w:rPr>
        <w:t>6</w:t>
      </w:r>
      <w:r w:rsidRPr="00365624">
        <w:rPr>
          <w:rFonts w:ascii="Arial" w:hAnsi="Arial" w:cs="Arial"/>
          <w:i/>
          <w:iCs/>
          <w:sz w:val="22"/>
          <w:szCs w:val="22"/>
        </w:rPr>
        <w:t>. Strategic Risk Assessment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1"/>
        <w:gridCol w:w="2656"/>
        <w:gridCol w:w="2032"/>
        <w:gridCol w:w="2857"/>
      </w:tblGrid>
      <w:tr w:rsidR="00A37D1F" w:rsidRPr="00FB3357" w14:paraId="41AF2CA2" w14:textId="77777777" w:rsidTr="00D8008F">
        <w:trPr>
          <w:tblHeader/>
          <w:tblCellSpacing w:w="15" w:type="dxa"/>
        </w:trPr>
        <w:tc>
          <w:tcPr>
            <w:tcW w:w="0" w:type="auto"/>
            <w:shd w:val="clear" w:color="auto" w:fill="92D050"/>
            <w:vAlign w:val="center"/>
            <w:hideMark/>
          </w:tcPr>
          <w:p w14:paraId="568D8DD8" w14:textId="77777777" w:rsidR="00A37D1F" w:rsidRPr="00FB3357" w:rsidRDefault="00A37D1F" w:rsidP="006F0584">
            <w:pPr>
              <w:jc w:val="center"/>
              <w:rPr>
                <w:rFonts w:ascii="Arial" w:hAnsi="Arial" w:cs="Arial"/>
                <w:b/>
                <w:bCs/>
                <w:sz w:val="22"/>
                <w:szCs w:val="22"/>
              </w:rPr>
            </w:pPr>
            <w:r w:rsidRPr="00FB3357">
              <w:rPr>
                <w:rFonts w:ascii="Arial" w:hAnsi="Arial" w:cs="Arial"/>
                <w:b/>
                <w:bCs/>
                <w:sz w:val="22"/>
                <w:szCs w:val="22"/>
              </w:rPr>
              <w:t>Risk Category</w:t>
            </w:r>
          </w:p>
        </w:tc>
        <w:tc>
          <w:tcPr>
            <w:tcW w:w="0" w:type="auto"/>
            <w:shd w:val="clear" w:color="auto" w:fill="92D050"/>
            <w:vAlign w:val="center"/>
            <w:hideMark/>
          </w:tcPr>
          <w:p w14:paraId="0F8783F8" w14:textId="77777777" w:rsidR="00A37D1F" w:rsidRPr="00FB3357" w:rsidRDefault="00A37D1F" w:rsidP="006F0584">
            <w:pPr>
              <w:jc w:val="center"/>
              <w:rPr>
                <w:rFonts w:ascii="Arial" w:hAnsi="Arial" w:cs="Arial"/>
                <w:b/>
                <w:bCs/>
                <w:sz w:val="22"/>
                <w:szCs w:val="22"/>
              </w:rPr>
            </w:pPr>
            <w:r w:rsidRPr="00FB3357">
              <w:rPr>
                <w:rFonts w:ascii="Arial" w:hAnsi="Arial" w:cs="Arial"/>
                <w:b/>
                <w:bCs/>
                <w:sz w:val="22"/>
                <w:szCs w:val="22"/>
              </w:rPr>
              <w:t>Risk</w:t>
            </w:r>
          </w:p>
        </w:tc>
        <w:tc>
          <w:tcPr>
            <w:tcW w:w="0" w:type="auto"/>
            <w:shd w:val="clear" w:color="auto" w:fill="92D050"/>
            <w:vAlign w:val="center"/>
            <w:hideMark/>
          </w:tcPr>
          <w:p w14:paraId="5CDE752B" w14:textId="77777777" w:rsidR="00A37D1F" w:rsidRPr="00FB3357" w:rsidRDefault="00A37D1F" w:rsidP="006F0584">
            <w:pPr>
              <w:jc w:val="center"/>
              <w:rPr>
                <w:rFonts w:ascii="Arial" w:hAnsi="Arial" w:cs="Arial"/>
                <w:b/>
                <w:bCs/>
                <w:sz w:val="22"/>
                <w:szCs w:val="22"/>
              </w:rPr>
            </w:pPr>
            <w:r w:rsidRPr="00FB3357">
              <w:rPr>
                <w:rFonts w:ascii="Arial" w:hAnsi="Arial" w:cs="Arial"/>
                <w:b/>
                <w:bCs/>
                <w:sz w:val="22"/>
                <w:szCs w:val="22"/>
              </w:rPr>
              <w:t>Potential Impact</w:t>
            </w:r>
          </w:p>
        </w:tc>
        <w:tc>
          <w:tcPr>
            <w:tcW w:w="0" w:type="auto"/>
            <w:shd w:val="clear" w:color="auto" w:fill="92D050"/>
            <w:vAlign w:val="center"/>
            <w:hideMark/>
          </w:tcPr>
          <w:p w14:paraId="5D41D5AD" w14:textId="77777777" w:rsidR="00A37D1F" w:rsidRPr="00FB3357" w:rsidRDefault="00A37D1F" w:rsidP="006F0584">
            <w:pPr>
              <w:jc w:val="center"/>
              <w:rPr>
                <w:rFonts w:ascii="Arial" w:hAnsi="Arial" w:cs="Arial"/>
                <w:b/>
                <w:bCs/>
                <w:sz w:val="22"/>
                <w:szCs w:val="22"/>
              </w:rPr>
            </w:pPr>
            <w:r w:rsidRPr="00FB3357">
              <w:rPr>
                <w:rFonts w:ascii="Arial" w:hAnsi="Arial" w:cs="Arial"/>
                <w:b/>
                <w:bCs/>
                <w:sz w:val="22"/>
                <w:szCs w:val="22"/>
              </w:rPr>
              <w:t>Mitigation Strategy</w:t>
            </w:r>
          </w:p>
        </w:tc>
      </w:tr>
      <w:tr w:rsidR="00A37D1F" w:rsidRPr="00FB3357" w14:paraId="0FEC9CA9" w14:textId="77777777" w:rsidTr="00D8008F">
        <w:trPr>
          <w:tblCellSpacing w:w="15" w:type="dxa"/>
        </w:trPr>
        <w:tc>
          <w:tcPr>
            <w:tcW w:w="0" w:type="auto"/>
            <w:shd w:val="clear" w:color="auto" w:fill="95DCF7" w:themeFill="accent4" w:themeFillTint="66"/>
            <w:vAlign w:val="center"/>
            <w:hideMark/>
          </w:tcPr>
          <w:p w14:paraId="78501412" w14:textId="77777777" w:rsidR="00A37D1F" w:rsidRPr="00FB3357" w:rsidRDefault="00A37D1F" w:rsidP="006F0584">
            <w:pPr>
              <w:jc w:val="center"/>
              <w:rPr>
                <w:rFonts w:ascii="Arial" w:hAnsi="Arial" w:cs="Arial"/>
                <w:sz w:val="22"/>
                <w:szCs w:val="22"/>
              </w:rPr>
            </w:pPr>
            <w:r w:rsidRPr="00FB3357">
              <w:rPr>
                <w:rFonts w:ascii="Arial" w:hAnsi="Arial" w:cs="Arial"/>
                <w:sz w:val="22"/>
                <w:szCs w:val="22"/>
              </w:rPr>
              <w:t>Strategic</w:t>
            </w:r>
          </w:p>
        </w:tc>
        <w:tc>
          <w:tcPr>
            <w:tcW w:w="0" w:type="auto"/>
            <w:vAlign w:val="center"/>
            <w:hideMark/>
          </w:tcPr>
          <w:p w14:paraId="331EF2D9" w14:textId="77777777" w:rsidR="00A37D1F" w:rsidRPr="00FB3357" w:rsidRDefault="00A37D1F" w:rsidP="003C2EDC">
            <w:pPr>
              <w:rPr>
                <w:rFonts w:ascii="Arial" w:hAnsi="Arial" w:cs="Arial"/>
                <w:sz w:val="22"/>
                <w:szCs w:val="22"/>
              </w:rPr>
            </w:pPr>
            <w:r w:rsidRPr="00FB3357">
              <w:rPr>
                <w:rFonts w:ascii="Arial" w:hAnsi="Arial" w:cs="Arial"/>
                <w:sz w:val="22"/>
                <w:szCs w:val="22"/>
              </w:rPr>
              <w:t xml:space="preserve">Failure to achieve expected merger synergies. </w:t>
            </w:r>
            <w:r w:rsidRPr="00FB3357">
              <w:rPr>
                <w:rFonts w:ascii="Arial" w:hAnsi="Arial" w:cs="Arial"/>
                <w:b/>
                <w:bCs/>
                <w:sz w:val="22"/>
                <w:szCs w:val="22"/>
              </w:rPr>
              <w:t>(Vodafone Group Plc, 2025; CMA, 2024).</w:t>
            </w:r>
          </w:p>
        </w:tc>
        <w:tc>
          <w:tcPr>
            <w:tcW w:w="0" w:type="auto"/>
            <w:vAlign w:val="center"/>
            <w:hideMark/>
          </w:tcPr>
          <w:p w14:paraId="45572F7F" w14:textId="77777777" w:rsidR="00A37D1F" w:rsidRPr="00FB3357" w:rsidRDefault="00A37D1F" w:rsidP="003C2EDC">
            <w:pPr>
              <w:rPr>
                <w:rFonts w:ascii="Arial" w:hAnsi="Arial" w:cs="Arial"/>
                <w:sz w:val="22"/>
                <w:szCs w:val="22"/>
              </w:rPr>
            </w:pPr>
            <w:r w:rsidRPr="00FB3357">
              <w:rPr>
                <w:rFonts w:ascii="Arial" w:hAnsi="Arial" w:cs="Arial"/>
                <w:sz w:val="22"/>
                <w:szCs w:val="22"/>
              </w:rPr>
              <w:t>Reduced shareholder value (Vodafone Group Plc, 2025).</w:t>
            </w:r>
          </w:p>
        </w:tc>
        <w:tc>
          <w:tcPr>
            <w:tcW w:w="0" w:type="auto"/>
            <w:vAlign w:val="center"/>
            <w:hideMark/>
          </w:tcPr>
          <w:p w14:paraId="3CC5EB9C" w14:textId="77777777" w:rsidR="00A37D1F" w:rsidRPr="00FB3357" w:rsidRDefault="00A37D1F" w:rsidP="003C2EDC">
            <w:pPr>
              <w:rPr>
                <w:rFonts w:ascii="Arial" w:hAnsi="Arial" w:cs="Arial"/>
                <w:sz w:val="22"/>
                <w:szCs w:val="22"/>
              </w:rPr>
            </w:pPr>
            <w:r w:rsidRPr="00FB3357">
              <w:rPr>
                <w:rFonts w:ascii="Arial" w:hAnsi="Arial" w:cs="Arial"/>
                <w:sz w:val="22"/>
                <w:szCs w:val="22"/>
              </w:rPr>
              <w:t>Phased implementation with regular Board reviews (Vodafone Group Plc, 2025; EY, 2025).</w:t>
            </w:r>
          </w:p>
        </w:tc>
      </w:tr>
      <w:tr w:rsidR="00A37D1F" w:rsidRPr="00FB3357" w14:paraId="5A65B9A6" w14:textId="77777777" w:rsidTr="00D8008F">
        <w:trPr>
          <w:tblCellSpacing w:w="15" w:type="dxa"/>
        </w:trPr>
        <w:tc>
          <w:tcPr>
            <w:tcW w:w="0" w:type="auto"/>
            <w:shd w:val="clear" w:color="auto" w:fill="95DCF7" w:themeFill="accent4" w:themeFillTint="66"/>
            <w:vAlign w:val="center"/>
            <w:hideMark/>
          </w:tcPr>
          <w:p w14:paraId="0342C2D6" w14:textId="77777777" w:rsidR="00A37D1F" w:rsidRPr="00FB3357" w:rsidRDefault="00A37D1F" w:rsidP="006F0584">
            <w:pPr>
              <w:jc w:val="center"/>
              <w:rPr>
                <w:rFonts w:ascii="Arial" w:hAnsi="Arial" w:cs="Arial"/>
                <w:sz w:val="22"/>
                <w:szCs w:val="22"/>
              </w:rPr>
            </w:pPr>
            <w:r w:rsidRPr="00FB3357">
              <w:rPr>
                <w:rFonts w:ascii="Arial" w:hAnsi="Arial" w:cs="Arial"/>
                <w:sz w:val="22"/>
                <w:szCs w:val="22"/>
              </w:rPr>
              <w:t>Operational</w:t>
            </w:r>
          </w:p>
        </w:tc>
        <w:tc>
          <w:tcPr>
            <w:tcW w:w="0" w:type="auto"/>
            <w:vAlign w:val="center"/>
            <w:hideMark/>
          </w:tcPr>
          <w:p w14:paraId="33392B23" w14:textId="77777777" w:rsidR="00A37D1F" w:rsidRPr="00FB3357" w:rsidRDefault="00A37D1F" w:rsidP="003C2EDC">
            <w:pPr>
              <w:rPr>
                <w:rFonts w:ascii="Arial" w:hAnsi="Arial" w:cs="Arial"/>
                <w:sz w:val="22"/>
                <w:szCs w:val="22"/>
              </w:rPr>
            </w:pPr>
            <w:r w:rsidRPr="00FB3357">
              <w:rPr>
                <w:rFonts w:ascii="Arial" w:hAnsi="Arial" w:cs="Arial"/>
                <w:sz w:val="22"/>
                <w:szCs w:val="22"/>
              </w:rPr>
              <w:t>Delays in network and systems integration. (Vodafone Group Plc, 2025; EY, 2025).</w:t>
            </w:r>
          </w:p>
        </w:tc>
        <w:tc>
          <w:tcPr>
            <w:tcW w:w="0" w:type="auto"/>
            <w:vAlign w:val="center"/>
            <w:hideMark/>
          </w:tcPr>
          <w:p w14:paraId="3338BBAE" w14:textId="77777777" w:rsidR="00A37D1F" w:rsidRPr="00FB3357" w:rsidRDefault="00A37D1F" w:rsidP="003C2EDC">
            <w:pPr>
              <w:rPr>
                <w:rFonts w:ascii="Arial" w:hAnsi="Arial" w:cs="Arial"/>
                <w:sz w:val="22"/>
                <w:szCs w:val="22"/>
              </w:rPr>
            </w:pPr>
            <w:r w:rsidRPr="00FB3357">
              <w:rPr>
                <w:rFonts w:ascii="Arial" w:hAnsi="Arial" w:cs="Arial"/>
                <w:sz w:val="22"/>
                <w:szCs w:val="22"/>
              </w:rPr>
              <w:t>Service disruption and customer churn (Vodafone Group Plc, 2025).</w:t>
            </w:r>
          </w:p>
        </w:tc>
        <w:tc>
          <w:tcPr>
            <w:tcW w:w="0" w:type="auto"/>
            <w:vAlign w:val="center"/>
            <w:hideMark/>
          </w:tcPr>
          <w:p w14:paraId="2284C426" w14:textId="77777777" w:rsidR="00A37D1F" w:rsidRPr="00FB3357" w:rsidRDefault="00A37D1F" w:rsidP="003C2EDC">
            <w:pPr>
              <w:rPr>
                <w:rFonts w:ascii="Arial" w:hAnsi="Arial" w:cs="Arial"/>
                <w:sz w:val="22"/>
                <w:szCs w:val="22"/>
              </w:rPr>
            </w:pPr>
            <w:r w:rsidRPr="00FB3357">
              <w:rPr>
                <w:rFonts w:ascii="Arial" w:hAnsi="Arial" w:cs="Arial"/>
                <w:sz w:val="22"/>
                <w:szCs w:val="22"/>
              </w:rPr>
              <w:t>Dedicated integration programme office and milestone monitoring (EY, 2025; Vodafone Group Plc, 2025).</w:t>
            </w:r>
          </w:p>
        </w:tc>
      </w:tr>
      <w:tr w:rsidR="00A37D1F" w:rsidRPr="00FB3357" w14:paraId="4D7CA43E" w14:textId="77777777" w:rsidTr="00D8008F">
        <w:trPr>
          <w:tblCellSpacing w:w="15" w:type="dxa"/>
        </w:trPr>
        <w:tc>
          <w:tcPr>
            <w:tcW w:w="0" w:type="auto"/>
            <w:shd w:val="clear" w:color="auto" w:fill="95DCF7" w:themeFill="accent4" w:themeFillTint="66"/>
            <w:vAlign w:val="center"/>
            <w:hideMark/>
          </w:tcPr>
          <w:p w14:paraId="0B8FF8F6" w14:textId="77777777" w:rsidR="00A37D1F" w:rsidRPr="00FB3357" w:rsidRDefault="00A37D1F" w:rsidP="006F0584">
            <w:pPr>
              <w:jc w:val="center"/>
              <w:rPr>
                <w:rFonts w:ascii="Arial" w:hAnsi="Arial" w:cs="Arial"/>
                <w:sz w:val="22"/>
                <w:szCs w:val="22"/>
              </w:rPr>
            </w:pPr>
            <w:r w:rsidRPr="00FB3357">
              <w:rPr>
                <w:rFonts w:ascii="Arial" w:hAnsi="Arial" w:cs="Arial"/>
                <w:sz w:val="22"/>
                <w:szCs w:val="22"/>
              </w:rPr>
              <w:t>Financial</w:t>
            </w:r>
          </w:p>
        </w:tc>
        <w:tc>
          <w:tcPr>
            <w:tcW w:w="0" w:type="auto"/>
            <w:vAlign w:val="center"/>
            <w:hideMark/>
          </w:tcPr>
          <w:p w14:paraId="2D4EBF2C" w14:textId="77777777" w:rsidR="00A37D1F" w:rsidRPr="00FB3357" w:rsidRDefault="00A37D1F" w:rsidP="003C2EDC">
            <w:pPr>
              <w:rPr>
                <w:rFonts w:ascii="Arial" w:hAnsi="Arial" w:cs="Arial"/>
                <w:sz w:val="22"/>
                <w:szCs w:val="22"/>
              </w:rPr>
            </w:pPr>
            <w:r w:rsidRPr="00FB3357">
              <w:rPr>
                <w:rFonts w:ascii="Arial" w:hAnsi="Arial" w:cs="Arial"/>
                <w:sz w:val="22"/>
                <w:szCs w:val="22"/>
              </w:rPr>
              <w:t>Higher-than-expected investment costs. (Vodafone Group Plc, 2025).</w:t>
            </w:r>
          </w:p>
        </w:tc>
        <w:tc>
          <w:tcPr>
            <w:tcW w:w="0" w:type="auto"/>
            <w:vAlign w:val="center"/>
            <w:hideMark/>
          </w:tcPr>
          <w:p w14:paraId="4108D19A" w14:textId="77777777" w:rsidR="00A37D1F" w:rsidRPr="00FB3357" w:rsidRDefault="00A37D1F" w:rsidP="003C2EDC">
            <w:pPr>
              <w:rPr>
                <w:rFonts w:ascii="Arial" w:hAnsi="Arial" w:cs="Arial"/>
                <w:sz w:val="22"/>
                <w:szCs w:val="22"/>
              </w:rPr>
            </w:pPr>
            <w:r w:rsidRPr="00FB3357">
              <w:rPr>
                <w:rFonts w:ascii="Arial" w:hAnsi="Arial" w:cs="Arial"/>
                <w:sz w:val="22"/>
                <w:szCs w:val="22"/>
              </w:rPr>
              <w:t>Reduced return on investment (Vodafone Group Plc, 2025).</w:t>
            </w:r>
          </w:p>
        </w:tc>
        <w:tc>
          <w:tcPr>
            <w:tcW w:w="0" w:type="auto"/>
            <w:vAlign w:val="center"/>
            <w:hideMark/>
          </w:tcPr>
          <w:p w14:paraId="0A5DD9E4" w14:textId="77777777" w:rsidR="00A37D1F" w:rsidRPr="00FB3357" w:rsidRDefault="00A37D1F" w:rsidP="003C2EDC">
            <w:pPr>
              <w:rPr>
                <w:rFonts w:ascii="Arial" w:hAnsi="Arial" w:cs="Arial"/>
                <w:sz w:val="22"/>
                <w:szCs w:val="22"/>
              </w:rPr>
            </w:pPr>
            <w:r w:rsidRPr="00FB3357">
              <w:rPr>
                <w:rFonts w:ascii="Arial" w:hAnsi="Arial" w:cs="Arial"/>
                <w:sz w:val="22"/>
                <w:szCs w:val="22"/>
              </w:rPr>
              <w:t>Capital allocation controls and phased investment approvals (Vodafone Group Plc, 2025; EY, 2025).</w:t>
            </w:r>
          </w:p>
        </w:tc>
      </w:tr>
      <w:tr w:rsidR="00A37D1F" w:rsidRPr="00FB3357" w14:paraId="023793E5" w14:textId="77777777" w:rsidTr="00D8008F">
        <w:trPr>
          <w:tblCellSpacing w:w="15" w:type="dxa"/>
        </w:trPr>
        <w:tc>
          <w:tcPr>
            <w:tcW w:w="0" w:type="auto"/>
            <w:shd w:val="clear" w:color="auto" w:fill="95DCF7" w:themeFill="accent4" w:themeFillTint="66"/>
            <w:vAlign w:val="center"/>
            <w:hideMark/>
          </w:tcPr>
          <w:p w14:paraId="41B5C301" w14:textId="77777777" w:rsidR="00A37D1F" w:rsidRPr="00FB3357" w:rsidRDefault="00A37D1F" w:rsidP="006F0584">
            <w:pPr>
              <w:jc w:val="center"/>
              <w:rPr>
                <w:rFonts w:ascii="Arial" w:hAnsi="Arial" w:cs="Arial"/>
                <w:sz w:val="22"/>
                <w:szCs w:val="22"/>
              </w:rPr>
            </w:pPr>
            <w:r w:rsidRPr="00FB3357">
              <w:rPr>
                <w:rFonts w:ascii="Arial" w:hAnsi="Arial" w:cs="Arial"/>
                <w:sz w:val="22"/>
                <w:szCs w:val="22"/>
              </w:rPr>
              <w:t>Technological</w:t>
            </w:r>
          </w:p>
        </w:tc>
        <w:tc>
          <w:tcPr>
            <w:tcW w:w="0" w:type="auto"/>
            <w:vAlign w:val="center"/>
            <w:hideMark/>
          </w:tcPr>
          <w:p w14:paraId="7506C717" w14:textId="77777777" w:rsidR="00A37D1F" w:rsidRPr="00FB3357" w:rsidRDefault="00A37D1F" w:rsidP="003C2EDC">
            <w:pPr>
              <w:rPr>
                <w:rFonts w:ascii="Arial" w:hAnsi="Arial" w:cs="Arial"/>
                <w:sz w:val="22"/>
                <w:szCs w:val="22"/>
              </w:rPr>
            </w:pPr>
            <w:r w:rsidRPr="00FB3357">
              <w:rPr>
                <w:rFonts w:ascii="Arial" w:hAnsi="Arial" w:cs="Arial"/>
                <w:sz w:val="22"/>
                <w:szCs w:val="22"/>
              </w:rPr>
              <w:t>Slower adoption of AI-enabled enterprise services. (Vodafone Group Plc, 2025; EY, 2025).</w:t>
            </w:r>
          </w:p>
        </w:tc>
        <w:tc>
          <w:tcPr>
            <w:tcW w:w="0" w:type="auto"/>
            <w:vAlign w:val="center"/>
            <w:hideMark/>
          </w:tcPr>
          <w:p w14:paraId="2010B35F" w14:textId="77777777" w:rsidR="00A37D1F" w:rsidRPr="00FB3357" w:rsidRDefault="00A37D1F" w:rsidP="003C2EDC">
            <w:pPr>
              <w:rPr>
                <w:rFonts w:ascii="Arial" w:hAnsi="Arial" w:cs="Arial"/>
                <w:sz w:val="22"/>
                <w:szCs w:val="22"/>
              </w:rPr>
            </w:pPr>
            <w:r w:rsidRPr="00FB3357">
              <w:rPr>
                <w:rFonts w:ascii="Arial" w:hAnsi="Arial" w:cs="Arial"/>
                <w:sz w:val="22"/>
                <w:szCs w:val="22"/>
              </w:rPr>
              <w:t>Delayed revenue growth (Vodafone Group Plc, 2025).</w:t>
            </w:r>
          </w:p>
        </w:tc>
        <w:tc>
          <w:tcPr>
            <w:tcW w:w="0" w:type="auto"/>
            <w:vAlign w:val="center"/>
            <w:hideMark/>
          </w:tcPr>
          <w:p w14:paraId="3BBDFA49" w14:textId="77777777" w:rsidR="00A37D1F" w:rsidRPr="00FB3357" w:rsidRDefault="00A37D1F" w:rsidP="003C2EDC">
            <w:pPr>
              <w:rPr>
                <w:rFonts w:ascii="Arial" w:hAnsi="Arial" w:cs="Arial"/>
                <w:sz w:val="22"/>
                <w:szCs w:val="22"/>
              </w:rPr>
            </w:pPr>
            <w:r w:rsidRPr="00FB3357">
              <w:rPr>
                <w:rFonts w:ascii="Arial" w:hAnsi="Arial" w:cs="Arial"/>
                <w:sz w:val="22"/>
                <w:szCs w:val="22"/>
              </w:rPr>
              <w:t>Pilot projects, customer co-creation and flexible product development (EY, 2025).</w:t>
            </w:r>
          </w:p>
        </w:tc>
      </w:tr>
      <w:tr w:rsidR="00A37D1F" w:rsidRPr="00FB3357" w14:paraId="2D80BA2F" w14:textId="77777777" w:rsidTr="00D8008F">
        <w:trPr>
          <w:tblCellSpacing w:w="15" w:type="dxa"/>
        </w:trPr>
        <w:tc>
          <w:tcPr>
            <w:tcW w:w="0" w:type="auto"/>
            <w:shd w:val="clear" w:color="auto" w:fill="95DCF7" w:themeFill="accent4" w:themeFillTint="66"/>
            <w:vAlign w:val="center"/>
            <w:hideMark/>
          </w:tcPr>
          <w:p w14:paraId="293175B6" w14:textId="77777777" w:rsidR="00A37D1F" w:rsidRPr="00FB3357" w:rsidRDefault="00A37D1F" w:rsidP="006F0584">
            <w:pPr>
              <w:jc w:val="center"/>
              <w:rPr>
                <w:rFonts w:ascii="Arial" w:hAnsi="Arial" w:cs="Arial"/>
                <w:sz w:val="22"/>
                <w:szCs w:val="22"/>
              </w:rPr>
            </w:pPr>
            <w:r w:rsidRPr="00FB3357">
              <w:rPr>
                <w:rFonts w:ascii="Arial" w:hAnsi="Arial" w:cs="Arial"/>
                <w:sz w:val="22"/>
                <w:szCs w:val="22"/>
              </w:rPr>
              <w:lastRenderedPageBreak/>
              <w:t>Regulatory</w:t>
            </w:r>
          </w:p>
        </w:tc>
        <w:tc>
          <w:tcPr>
            <w:tcW w:w="0" w:type="auto"/>
            <w:vAlign w:val="center"/>
            <w:hideMark/>
          </w:tcPr>
          <w:p w14:paraId="697D7F77" w14:textId="77777777" w:rsidR="00A37D1F" w:rsidRPr="00FB3357" w:rsidRDefault="00A37D1F" w:rsidP="003C2EDC">
            <w:pPr>
              <w:rPr>
                <w:rFonts w:ascii="Arial" w:hAnsi="Arial" w:cs="Arial"/>
                <w:sz w:val="22"/>
                <w:szCs w:val="22"/>
              </w:rPr>
            </w:pPr>
            <w:r w:rsidRPr="00FB3357">
              <w:rPr>
                <w:rFonts w:ascii="Arial" w:hAnsi="Arial" w:cs="Arial"/>
                <w:sz w:val="22"/>
                <w:szCs w:val="22"/>
              </w:rPr>
              <w:t>Failure to meet CMA commitments or regulatory expectations (CMA, 2024; Vodafone Group Plc, 2025).</w:t>
            </w:r>
          </w:p>
        </w:tc>
        <w:tc>
          <w:tcPr>
            <w:tcW w:w="0" w:type="auto"/>
            <w:vAlign w:val="center"/>
            <w:hideMark/>
          </w:tcPr>
          <w:p w14:paraId="0E8FD97E" w14:textId="77777777" w:rsidR="00A37D1F" w:rsidRPr="00FB3357" w:rsidRDefault="00A37D1F" w:rsidP="003C2EDC">
            <w:pPr>
              <w:rPr>
                <w:rFonts w:ascii="Arial" w:hAnsi="Arial" w:cs="Arial"/>
                <w:sz w:val="22"/>
                <w:szCs w:val="22"/>
              </w:rPr>
            </w:pPr>
            <w:r w:rsidRPr="00FB3357">
              <w:rPr>
                <w:rFonts w:ascii="Arial" w:hAnsi="Arial" w:cs="Arial"/>
                <w:sz w:val="22"/>
                <w:szCs w:val="22"/>
              </w:rPr>
              <w:t>Financial penalties and reputational damage (CMA, 2024).</w:t>
            </w:r>
          </w:p>
        </w:tc>
        <w:tc>
          <w:tcPr>
            <w:tcW w:w="0" w:type="auto"/>
            <w:vAlign w:val="center"/>
            <w:hideMark/>
          </w:tcPr>
          <w:p w14:paraId="3F976168" w14:textId="77777777" w:rsidR="00A37D1F" w:rsidRPr="00FB3357" w:rsidRDefault="00A37D1F" w:rsidP="003C2EDC">
            <w:pPr>
              <w:rPr>
                <w:rFonts w:ascii="Arial" w:hAnsi="Arial" w:cs="Arial"/>
                <w:sz w:val="22"/>
                <w:szCs w:val="22"/>
              </w:rPr>
            </w:pPr>
            <w:r w:rsidRPr="00FB3357">
              <w:rPr>
                <w:rFonts w:ascii="Arial" w:hAnsi="Arial" w:cs="Arial"/>
                <w:sz w:val="22"/>
                <w:szCs w:val="22"/>
              </w:rPr>
              <w:t>Continuous compliance monitoring and regulatory engagement (CMA, 2024; Vodafone Group Plc, 2025).</w:t>
            </w:r>
          </w:p>
        </w:tc>
      </w:tr>
    </w:tbl>
    <w:p w14:paraId="39C5E612" w14:textId="1AABCA5A" w:rsidR="003C2EDC" w:rsidRPr="003C2EDC" w:rsidRDefault="003829B1" w:rsidP="00FB3357">
      <w:pPr>
        <w:spacing w:after="240"/>
        <w:jc w:val="both"/>
        <w:rPr>
          <w:rFonts w:ascii="Arial" w:hAnsi="Arial" w:cs="Arial"/>
          <w:i/>
          <w:iCs/>
          <w:sz w:val="22"/>
          <w:szCs w:val="22"/>
        </w:rPr>
      </w:pPr>
      <w:r w:rsidRPr="003C2EDC">
        <w:rPr>
          <w:rFonts w:ascii="Arial" w:hAnsi="Arial" w:cs="Arial"/>
          <w:i/>
          <w:iCs/>
          <w:sz w:val="22"/>
          <w:szCs w:val="22"/>
        </w:rPr>
        <w:t>Source: Author's analysis based on Vodafone Group Plc (2025), CMA (2024), EY (2025), and findings from Chapters 2–4.</w:t>
      </w:r>
    </w:p>
    <w:p w14:paraId="19AEAD21" w14:textId="3A7AB2DF" w:rsidR="00974946" w:rsidRPr="00365624" w:rsidRDefault="00974946" w:rsidP="00FB3357">
      <w:pPr>
        <w:spacing w:after="0"/>
        <w:jc w:val="both"/>
        <w:rPr>
          <w:rFonts w:ascii="Arial" w:hAnsi="Arial" w:cs="Arial"/>
          <w:i/>
          <w:iCs/>
          <w:sz w:val="22"/>
          <w:szCs w:val="22"/>
        </w:rPr>
      </w:pPr>
      <w:r w:rsidRPr="00365624">
        <w:rPr>
          <w:rFonts w:ascii="Arial" w:hAnsi="Arial" w:cs="Arial"/>
          <w:i/>
          <w:iCs/>
          <w:sz w:val="22"/>
          <w:szCs w:val="22"/>
        </w:rPr>
        <w:t xml:space="preserve">Figure </w:t>
      </w:r>
      <w:r w:rsidR="00C150BD" w:rsidRPr="00365624">
        <w:rPr>
          <w:rFonts w:ascii="Arial" w:hAnsi="Arial" w:cs="Arial"/>
          <w:i/>
          <w:iCs/>
          <w:sz w:val="22"/>
          <w:szCs w:val="22"/>
        </w:rPr>
        <w:t>7</w:t>
      </w:r>
      <w:r w:rsidRPr="00365624">
        <w:rPr>
          <w:rFonts w:ascii="Arial" w:hAnsi="Arial" w:cs="Arial"/>
          <w:i/>
          <w:iCs/>
          <w:sz w:val="22"/>
          <w:szCs w:val="22"/>
        </w:rPr>
        <w:t>. SMART KPIs for Monitoring Strategy Implementation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2"/>
        <w:gridCol w:w="2705"/>
        <w:gridCol w:w="2819"/>
        <w:gridCol w:w="1370"/>
      </w:tblGrid>
      <w:tr w:rsidR="008366D1" w:rsidRPr="00FB3357" w14:paraId="1EBC410F" w14:textId="77777777" w:rsidTr="00D8008F">
        <w:trPr>
          <w:tblHeader/>
          <w:tblCellSpacing w:w="15" w:type="dxa"/>
        </w:trPr>
        <w:tc>
          <w:tcPr>
            <w:tcW w:w="2077" w:type="dxa"/>
            <w:shd w:val="clear" w:color="auto" w:fill="92D050"/>
            <w:vAlign w:val="center"/>
            <w:hideMark/>
          </w:tcPr>
          <w:p w14:paraId="71297808" w14:textId="77777777" w:rsidR="008366D1" w:rsidRPr="00FB3357" w:rsidRDefault="008366D1" w:rsidP="003F72FA">
            <w:pPr>
              <w:jc w:val="center"/>
              <w:rPr>
                <w:rFonts w:ascii="Arial" w:hAnsi="Arial" w:cs="Arial"/>
                <w:b/>
                <w:bCs/>
                <w:sz w:val="22"/>
                <w:szCs w:val="22"/>
              </w:rPr>
            </w:pPr>
            <w:r w:rsidRPr="00FB3357">
              <w:rPr>
                <w:rFonts w:ascii="Arial" w:hAnsi="Arial" w:cs="Arial"/>
                <w:b/>
                <w:bCs/>
                <w:sz w:val="22"/>
                <w:szCs w:val="22"/>
              </w:rPr>
              <w:t>Strategic Objective</w:t>
            </w:r>
          </w:p>
        </w:tc>
        <w:tc>
          <w:tcPr>
            <w:tcW w:w="2675" w:type="dxa"/>
            <w:shd w:val="clear" w:color="auto" w:fill="92D050"/>
            <w:vAlign w:val="center"/>
            <w:hideMark/>
          </w:tcPr>
          <w:p w14:paraId="5EEEC0C4" w14:textId="77777777" w:rsidR="008366D1" w:rsidRPr="00FB3357" w:rsidRDefault="008366D1" w:rsidP="003F72FA">
            <w:pPr>
              <w:jc w:val="center"/>
              <w:rPr>
                <w:rFonts w:ascii="Arial" w:hAnsi="Arial" w:cs="Arial"/>
                <w:b/>
                <w:bCs/>
                <w:sz w:val="22"/>
                <w:szCs w:val="22"/>
              </w:rPr>
            </w:pPr>
            <w:r w:rsidRPr="00FB3357">
              <w:rPr>
                <w:rFonts w:ascii="Arial" w:hAnsi="Arial" w:cs="Arial"/>
                <w:b/>
                <w:bCs/>
                <w:sz w:val="22"/>
                <w:szCs w:val="22"/>
              </w:rPr>
              <w:t>SMART KPI</w:t>
            </w:r>
          </w:p>
        </w:tc>
        <w:tc>
          <w:tcPr>
            <w:tcW w:w="0" w:type="auto"/>
            <w:shd w:val="clear" w:color="auto" w:fill="92D050"/>
            <w:vAlign w:val="center"/>
            <w:hideMark/>
          </w:tcPr>
          <w:p w14:paraId="086614C5" w14:textId="77777777" w:rsidR="008366D1" w:rsidRPr="00FB3357" w:rsidRDefault="008366D1" w:rsidP="003F72FA">
            <w:pPr>
              <w:jc w:val="center"/>
              <w:rPr>
                <w:rFonts w:ascii="Arial" w:hAnsi="Arial" w:cs="Arial"/>
                <w:b/>
                <w:bCs/>
                <w:sz w:val="22"/>
                <w:szCs w:val="22"/>
              </w:rPr>
            </w:pPr>
            <w:r w:rsidRPr="00FB3357">
              <w:rPr>
                <w:rFonts w:ascii="Arial" w:hAnsi="Arial" w:cs="Arial"/>
                <w:b/>
                <w:bCs/>
                <w:sz w:val="22"/>
                <w:szCs w:val="22"/>
              </w:rPr>
              <w:t>Target</w:t>
            </w:r>
          </w:p>
        </w:tc>
        <w:tc>
          <w:tcPr>
            <w:tcW w:w="0" w:type="auto"/>
            <w:shd w:val="clear" w:color="auto" w:fill="92D050"/>
            <w:vAlign w:val="center"/>
            <w:hideMark/>
          </w:tcPr>
          <w:p w14:paraId="4F377CD1" w14:textId="77777777" w:rsidR="008366D1" w:rsidRPr="00FB3357" w:rsidRDefault="008366D1" w:rsidP="003F72FA">
            <w:pPr>
              <w:jc w:val="center"/>
              <w:rPr>
                <w:rFonts w:ascii="Arial" w:hAnsi="Arial" w:cs="Arial"/>
                <w:b/>
                <w:bCs/>
                <w:sz w:val="22"/>
                <w:szCs w:val="22"/>
              </w:rPr>
            </w:pPr>
            <w:r w:rsidRPr="00FB3357">
              <w:rPr>
                <w:rFonts w:ascii="Arial" w:hAnsi="Arial" w:cs="Arial"/>
                <w:b/>
                <w:bCs/>
                <w:sz w:val="22"/>
                <w:szCs w:val="22"/>
              </w:rPr>
              <w:t>Review Frequency</w:t>
            </w:r>
          </w:p>
        </w:tc>
      </w:tr>
      <w:tr w:rsidR="008366D1" w:rsidRPr="00FB3357" w14:paraId="474FEDDB" w14:textId="77777777" w:rsidTr="00D8008F">
        <w:trPr>
          <w:tblCellSpacing w:w="15" w:type="dxa"/>
        </w:trPr>
        <w:tc>
          <w:tcPr>
            <w:tcW w:w="2077" w:type="dxa"/>
            <w:shd w:val="clear" w:color="auto" w:fill="95DCF7" w:themeFill="accent4" w:themeFillTint="66"/>
            <w:vAlign w:val="center"/>
            <w:hideMark/>
          </w:tcPr>
          <w:p w14:paraId="37189BD7"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Deliver merger integration</w:t>
            </w:r>
          </w:p>
        </w:tc>
        <w:tc>
          <w:tcPr>
            <w:tcW w:w="2675" w:type="dxa"/>
            <w:vAlign w:val="center"/>
            <w:hideMark/>
          </w:tcPr>
          <w:p w14:paraId="461F5435" w14:textId="77777777" w:rsidR="008366D1" w:rsidRPr="00FB3357" w:rsidRDefault="008366D1" w:rsidP="003F72FA">
            <w:pPr>
              <w:rPr>
                <w:rFonts w:ascii="Arial" w:hAnsi="Arial" w:cs="Arial"/>
                <w:sz w:val="22"/>
                <w:szCs w:val="22"/>
              </w:rPr>
            </w:pPr>
            <w:r w:rsidRPr="00FB3357">
              <w:rPr>
                <w:rFonts w:ascii="Arial" w:hAnsi="Arial" w:cs="Arial"/>
                <w:sz w:val="22"/>
                <w:szCs w:val="22"/>
              </w:rPr>
              <w:t>Planned synergy milestones achieved (Robert S. Kaplan and David P. Norton, 1996; Vodafone Group Plc, 2025).</w:t>
            </w:r>
          </w:p>
        </w:tc>
        <w:tc>
          <w:tcPr>
            <w:tcW w:w="0" w:type="auto"/>
            <w:vAlign w:val="center"/>
            <w:hideMark/>
          </w:tcPr>
          <w:p w14:paraId="3AEE4B92" w14:textId="77777777" w:rsidR="008366D1" w:rsidRPr="00FB3357" w:rsidRDefault="008366D1" w:rsidP="003F72FA">
            <w:pPr>
              <w:rPr>
                <w:rFonts w:ascii="Arial" w:hAnsi="Arial" w:cs="Arial"/>
                <w:sz w:val="22"/>
                <w:szCs w:val="22"/>
              </w:rPr>
            </w:pPr>
            <w:r w:rsidRPr="00FB3357">
              <w:rPr>
                <w:rFonts w:ascii="Arial" w:hAnsi="Arial" w:cs="Arial"/>
                <w:sz w:val="22"/>
                <w:szCs w:val="22"/>
              </w:rPr>
              <w:t>100% of annual milestones (Vodafone Group Plc, 2025).</w:t>
            </w:r>
          </w:p>
        </w:tc>
        <w:tc>
          <w:tcPr>
            <w:tcW w:w="0" w:type="auto"/>
            <w:vAlign w:val="center"/>
            <w:hideMark/>
          </w:tcPr>
          <w:p w14:paraId="62D60378"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Quarterly</w:t>
            </w:r>
          </w:p>
        </w:tc>
      </w:tr>
      <w:tr w:rsidR="008366D1" w:rsidRPr="00FB3357" w14:paraId="56045323" w14:textId="77777777" w:rsidTr="00D8008F">
        <w:trPr>
          <w:tblCellSpacing w:w="15" w:type="dxa"/>
        </w:trPr>
        <w:tc>
          <w:tcPr>
            <w:tcW w:w="2077" w:type="dxa"/>
            <w:shd w:val="clear" w:color="auto" w:fill="95DCF7" w:themeFill="accent4" w:themeFillTint="66"/>
            <w:vAlign w:val="center"/>
            <w:hideMark/>
          </w:tcPr>
          <w:p w14:paraId="6064CD8A"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Improve customer experience</w:t>
            </w:r>
          </w:p>
        </w:tc>
        <w:tc>
          <w:tcPr>
            <w:tcW w:w="2675" w:type="dxa"/>
            <w:vAlign w:val="center"/>
            <w:hideMark/>
          </w:tcPr>
          <w:p w14:paraId="162DFEF4" w14:textId="77777777" w:rsidR="008366D1" w:rsidRPr="00FB3357" w:rsidRDefault="008366D1" w:rsidP="003F72FA">
            <w:pPr>
              <w:rPr>
                <w:rFonts w:ascii="Arial" w:hAnsi="Arial" w:cs="Arial"/>
                <w:sz w:val="22"/>
                <w:szCs w:val="22"/>
              </w:rPr>
            </w:pPr>
            <w:r w:rsidRPr="00FB3357">
              <w:rPr>
                <w:rFonts w:ascii="Arial" w:hAnsi="Arial" w:cs="Arial"/>
                <w:sz w:val="22"/>
                <w:szCs w:val="22"/>
              </w:rPr>
              <w:t>Net Promoter Score (NPS) (Kaplan and Norton, 1996; Vodafone Group Plc, 2025).</w:t>
            </w:r>
          </w:p>
        </w:tc>
        <w:tc>
          <w:tcPr>
            <w:tcW w:w="0" w:type="auto"/>
            <w:vAlign w:val="center"/>
            <w:hideMark/>
          </w:tcPr>
          <w:p w14:paraId="7D9A859E" w14:textId="77777777" w:rsidR="008366D1" w:rsidRPr="00FB3357" w:rsidRDefault="008366D1" w:rsidP="003F72FA">
            <w:pPr>
              <w:rPr>
                <w:rFonts w:ascii="Arial" w:hAnsi="Arial" w:cs="Arial"/>
                <w:sz w:val="22"/>
                <w:szCs w:val="22"/>
              </w:rPr>
            </w:pPr>
            <w:r w:rsidRPr="00FB3357">
              <w:rPr>
                <w:rFonts w:ascii="Arial" w:hAnsi="Arial" w:cs="Arial"/>
                <w:sz w:val="22"/>
                <w:szCs w:val="22"/>
              </w:rPr>
              <w:t>Increase by ≥10 points within two years (Vodafone Group Plc, 2025; findings from Chapters 2–4).</w:t>
            </w:r>
          </w:p>
        </w:tc>
        <w:tc>
          <w:tcPr>
            <w:tcW w:w="0" w:type="auto"/>
            <w:vAlign w:val="center"/>
            <w:hideMark/>
          </w:tcPr>
          <w:p w14:paraId="2C04FA55"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Quarterly</w:t>
            </w:r>
          </w:p>
        </w:tc>
      </w:tr>
      <w:tr w:rsidR="008366D1" w:rsidRPr="00FB3357" w14:paraId="1CA32C30" w14:textId="77777777" w:rsidTr="00D8008F">
        <w:trPr>
          <w:tblCellSpacing w:w="15" w:type="dxa"/>
        </w:trPr>
        <w:tc>
          <w:tcPr>
            <w:tcW w:w="2077" w:type="dxa"/>
            <w:shd w:val="clear" w:color="auto" w:fill="95DCF7" w:themeFill="accent4" w:themeFillTint="66"/>
            <w:vAlign w:val="center"/>
            <w:hideMark/>
          </w:tcPr>
          <w:p w14:paraId="7EF651C2"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Strengthen network performance</w:t>
            </w:r>
          </w:p>
        </w:tc>
        <w:tc>
          <w:tcPr>
            <w:tcW w:w="2675" w:type="dxa"/>
            <w:vAlign w:val="center"/>
            <w:hideMark/>
          </w:tcPr>
          <w:p w14:paraId="4AAB7CD5" w14:textId="77777777" w:rsidR="008366D1" w:rsidRPr="00FB3357" w:rsidRDefault="008366D1" w:rsidP="003F72FA">
            <w:pPr>
              <w:rPr>
                <w:rFonts w:ascii="Arial" w:hAnsi="Arial" w:cs="Arial"/>
                <w:sz w:val="22"/>
                <w:szCs w:val="22"/>
              </w:rPr>
            </w:pPr>
            <w:r w:rsidRPr="00FB3357">
              <w:rPr>
                <w:rFonts w:ascii="Arial" w:hAnsi="Arial" w:cs="Arial"/>
                <w:sz w:val="22"/>
                <w:szCs w:val="22"/>
              </w:rPr>
              <w:t>5G network availability (Vodafone Group Plc, 2025).</w:t>
            </w:r>
          </w:p>
        </w:tc>
        <w:tc>
          <w:tcPr>
            <w:tcW w:w="0" w:type="auto"/>
            <w:vAlign w:val="center"/>
            <w:hideMark/>
          </w:tcPr>
          <w:p w14:paraId="2FE0CCE0" w14:textId="77777777" w:rsidR="008366D1" w:rsidRPr="00FB3357" w:rsidRDefault="008366D1" w:rsidP="003F72FA">
            <w:pPr>
              <w:rPr>
                <w:rFonts w:ascii="Arial" w:hAnsi="Arial" w:cs="Arial"/>
                <w:sz w:val="22"/>
                <w:szCs w:val="22"/>
              </w:rPr>
            </w:pPr>
            <w:r w:rsidRPr="00FB3357">
              <w:rPr>
                <w:rFonts w:ascii="Arial" w:hAnsi="Arial" w:cs="Arial"/>
                <w:sz w:val="22"/>
                <w:szCs w:val="22"/>
              </w:rPr>
              <w:t>≥99.9% availability (Vodafone Group Plc, 2025).</w:t>
            </w:r>
          </w:p>
        </w:tc>
        <w:tc>
          <w:tcPr>
            <w:tcW w:w="0" w:type="auto"/>
            <w:vAlign w:val="center"/>
            <w:hideMark/>
          </w:tcPr>
          <w:p w14:paraId="5E206A84"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Monthly</w:t>
            </w:r>
          </w:p>
        </w:tc>
      </w:tr>
      <w:tr w:rsidR="008366D1" w:rsidRPr="00FB3357" w14:paraId="3A647176" w14:textId="77777777" w:rsidTr="00D8008F">
        <w:trPr>
          <w:tblCellSpacing w:w="15" w:type="dxa"/>
        </w:trPr>
        <w:tc>
          <w:tcPr>
            <w:tcW w:w="2077" w:type="dxa"/>
            <w:shd w:val="clear" w:color="auto" w:fill="95DCF7" w:themeFill="accent4" w:themeFillTint="66"/>
            <w:vAlign w:val="center"/>
            <w:hideMark/>
          </w:tcPr>
          <w:p w14:paraId="3AE2E5EF"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Expand enterprise services</w:t>
            </w:r>
          </w:p>
        </w:tc>
        <w:tc>
          <w:tcPr>
            <w:tcW w:w="2675" w:type="dxa"/>
            <w:vAlign w:val="center"/>
            <w:hideMark/>
          </w:tcPr>
          <w:p w14:paraId="2D9BDA04" w14:textId="77777777" w:rsidR="008366D1" w:rsidRPr="00FB3357" w:rsidRDefault="008366D1" w:rsidP="003F72FA">
            <w:pPr>
              <w:rPr>
                <w:rFonts w:ascii="Arial" w:hAnsi="Arial" w:cs="Arial"/>
                <w:sz w:val="22"/>
                <w:szCs w:val="22"/>
              </w:rPr>
            </w:pPr>
            <w:r w:rsidRPr="00FB3357">
              <w:rPr>
                <w:rFonts w:ascii="Arial" w:hAnsi="Arial" w:cs="Arial"/>
                <w:sz w:val="22"/>
                <w:szCs w:val="22"/>
              </w:rPr>
              <w:t>Enterprise revenue growth (Kaplan and Norton, 1996; Vodafone Group Plc, 2025).</w:t>
            </w:r>
          </w:p>
        </w:tc>
        <w:tc>
          <w:tcPr>
            <w:tcW w:w="0" w:type="auto"/>
            <w:vAlign w:val="center"/>
            <w:hideMark/>
          </w:tcPr>
          <w:p w14:paraId="4F079D46" w14:textId="77777777" w:rsidR="008366D1" w:rsidRPr="00FB3357" w:rsidRDefault="008366D1" w:rsidP="003F72FA">
            <w:pPr>
              <w:rPr>
                <w:rFonts w:ascii="Arial" w:hAnsi="Arial" w:cs="Arial"/>
                <w:sz w:val="22"/>
                <w:szCs w:val="22"/>
              </w:rPr>
            </w:pPr>
            <w:r w:rsidRPr="00FB3357">
              <w:rPr>
                <w:rFonts w:ascii="Arial" w:hAnsi="Arial" w:cs="Arial"/>
                <w:sz w:val="22"/>
                <w:szCs w:val="22"/>
              </w:rPr>
              <w:t xml:space="preserve">≥15% annual growth </w:t>
            </w:r>
            <w:r w:rsidRPr="00FB3357">
              <w:rPr>
                <w:rFonts w:ascii="Arial" w:hAnsi="Arial" w:cs="Arial"/>
                <w:b/>
                <w:bCs/>
                <w:sz w:val="22"/>
                <w:szCs w:val="22"/>
              </w:rPr>
              <w:t>(Vodafone Group Plc, 2025; findings from Chapters 2–4).</w:t>
            </w:r>
          </w:p>
        </w:tc>
        <w:tc>
          <w:tcPr>
            <w:tcW w:w="0" w:type="auto"/>
            <w:vAlign w:val="center"/>
            <w:hideMark/>
          </w:tcPr>
          <w:p w14:paraId="72296DC1"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Quarterly</w:t>
            </w:r>
          </w:p>
        </w:tc>
      </w:tr>
      <w:tr w:rsidR="008366D1" w:rsidRPr="00FB3357" w14:paraId="07C74987" w14:textId="77777777" w:rsidTr="00D8008F">
        <w:trPr>
          <w:tblCellSpacing w:w="15" w:type="dxa"/>
        </w:trPr>
        <w:tc>
          <w:tcPr>
            <w:tcW w:w="2077" w:type="dxa"/>
            <w:shd w:val="clear" w:color="auto" w:fill="95DCF7" w:themeFill="accent4" w:themeFillTint="66"/>
            <w:vAlign w:val="center"/>
            <w:hideMark/>
          </w:tcPr>
          <w:p w14:paraId="3A618885"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Improve customer retention</w:t>
            </w:r>
          </w:p>
        </w:tc>
        <w:tc>
          <w:tcPr>
            <w:tcW w:w="2675" w:type="dxa"/>
            <w:vAlign w:val="center"/>
            <w:hideMark/>
          </w:tcPr>
          <w:p w14:paraId="4ABF2930" w14:textId="77777777" w:rsidR="008366D1" w:rsidRPr="00FB3357" w:rsidRDefault="008366D1" w:rsidP="003F72FA">
            <w:pPr>
              <w:rPr>
                <w:rFonts w:ascii="Arial" w:hAnsi="Arial" w:cs="Arial"/>
                <w:sz w:val="22"/>
                <w:szCs w:val="22"/>
              </w:rPr>
            </w:pPr>
            <w:r w:rsidRPr="00FB3357">
              <w:rPr>
                <w:rFonts w:ascii="Arial" w:hAnsi="Arial" w:cs="Arial"/>
                <w:sz w:val="22"/>
                <w:szCs w:val="22"/>
              </w:rPr>
              <w:t>Annual customer churn (Kaplan and Norton, 1996; Vodafone Group Plc, 2025).</w:t>
            </w:r>
          </w:p>
        </w:tc>
        <w:tc>
          <w:tcPr>
            <w:tcW w:w="0" w:type="auto"/>
            <w:vAlign w:val="center"/>
            <w:hideMark/>
          </w:tcPr>
          <w:p w14:paraId="229BEC3C" w14:textId="77777777" w:rsidR="008366D1" w:rsidRPr="00FB3357" w:rsidRDefault="008366D1" w:rsidP="003F72FA">
            <w:pPr>
              <w:rPr>
                <w:rFonts w:ascii="Arial" w:hAnsi="Arial" w:cs="Arial"/>
                <w:sz w:val="22"/>
                <w:szCs w:val="22"/>
              </w:rPr>
            </w:pPr>
            <w:r w:rsidRPr="00FB3357">
              <w:rPr>
                <w:rFonts w:ascii="Arial" w:hAnsi="Arial" w:cs="Arial"/>
                <w:sz w:val="22"/>
                <w:szCs w:val="22"/>
              </w:rPr>
              <w:t>Reduce by 10% within two years (Vodafone Group Plc, 2025).</w:t>
            </w:r>
          </w:p>
        </w:tc>
        <w:tc>
          <w:tcPr>
            <w:tcW w:w="0" w:type="auto"/>
            <w:vAlign w:val="center"/>
            <w:hideMark/>
          </w:tcPr>
          <w:p w14:paraId="52C26C73"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Quarterly</w:t>
            </w:r>
          </w:p>
        </w:tc>
      </w:tr>
      <w:tr w:rsidR="008366D1" w:rsidRPr="00FB3357" w14:paraId="7D125274" w14:textId="77777777" w:rsidTr="00D8008F">
        <w:trPr>
          <w:tblCellSpacing w:w="15" w:type="dxa"/>
        </w:trPr>
        <w:tc>
          <w:tcPr>
            <w:tcW w:w="2077" w:type="dxa"/>
            <w:shd w:val="clear" w:color="auto" w:fill="95DCF7" w:themeFill="accent4" w:themeFillTint="66"/>
            <w:vAlign w:val="center"/>
            <w:hideMark/>
          </w:tcPr>
          <w:p w14:paraId="035C7A0B"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Deliver financial value</w:t>
            </w:r>
          </w:p>
        </w:tc>
        <w:tc>
          <w:tcPr>
            <w:tcW w:w="2675" w:type="dxa"/>
            <w:vAlign w:val="center"/>
            <w:hideMark/>
          </w:tcPr>
          <w:p w14:paraId="0DC29BBE" w14:textId="77777777" w:rsidR="008366D1" w:rsidRPr="00FB3357" w:rsidRDefault="008366D1" w:rsidP="003F72FA">
            <w:pPr>
              <w:rPr>
                <w:rFonts w:ascii="Arial" w:hAnsi="Arial" w:cs="Arial"/>
                <w:sz w:val="22"/>
                <w:szCs w:val="22"/>
              </w:rPr>
            </w:pPr>
            <w:r w:rsidRPr="00FB3357">
              <w:rPr>
                <w:rFonts w:ascii="Arial" w:hAnsi="Arial" w:cs="Arial"/>
                <w:sz w:val="22"/>
                <w:szCs w:val="22"/>
              </w:rPr>
              <w:t>Return on invested capital (ROIC) (Kaplan and Norton, 1996).</w:t>
            </w:r>
          </w:p>
        </w:tc>
        <w:tc>
          <w:tcPr>
            <w:tcW w:w="0" w:type="auto"/>
            <w:vAlign w:val="center"/>
            <w:hideMark/>
          </w:tcPr>
          <w:p w14:paraId="7DDD6DC9" w14:textId="77777777" w:rsidR="008366D1" w:rsidRPr="00FB3357" w:rsidRDefault="008366D1" w:rsidP="003F72FA">
            <w:pPr>
              <w:rPr>
                <w:rFonts w:ascii="Arial" w:hAnsi="Arial" w:cs="Arial"/>
                <w:sz w:val="22"/>
                <w:szCs w:val="22"/>
              </w:rPr>
            </w:pPr>
            <w:r w:rsidRPr="00FB3357">
              <w:rPr>
                <w:rFonts w:ascii="Arial" w:hAnsi="Arial" w:cs="Arial"/>
                <w:sz w:val="22"/>
                <w:szCs w:val="22"/>
              </w:rPr>
              <w:t>Above weighted average cost of capital (Vodafone Group Plc, 2025).</w:t>
            </w:r>
          </w:p>
        </w:tc>
        <w:tc>
          <w:tcPr>
            <w:tcW w:w="0" w:type="auto"/>
            <w:vAlign w:val="center"/>
            <w:hideMark/>
          </w:tcPr>
          <w:p w14:paraId="32C9A6D7" w14:textId="77777777" w:rsidR="008366D1" w:rsidRPr="00FB3357" w:rsidRDefault="008366D1" w:rsidP="003F72FA">
            <w:pPr>
              <w:jc w:val="center"/>
              <w:rPr>
                <w:rFonts w:ascii="Arial" w:hAnsi="Arial" w:cs="Arial"/>
                <w:sz w:val="22"/>
                <w:szCs w:val="22"/>
              </w:rPr>
            </w:pPr>
            <w:r w:rsidRPr="00FB3357">
              <w:rPr>
                <w:rFonts w:ascii="Arial" w:hAnsi="Arial" w:cs="Arial"/>
                <w:sz w:val="22"/>
                <w:szCs w:val="22"/>
              </w:rPr>
              <w:t>Annually</w:t>
            </w:r>
          </w:p>
        </w:tc>
      </w:tr>
    </w:tbl>
    <w:p w14:paraId="134C1E79" w14:textId="3CE7346B" w:rsidR="0043481C" w:rsidRPr="00FB3357" w:rsidRDefault="006F269E" w:rsidP="00FB3357">
      <w:pPr>
        <w:jc w:val="both"/>
        <w:rPr>
          <w:rFonts w:ascii="Arial" w:hAnsi="Arial" w:cs="Arial"/>
          <w:sz w:val="22"/>
          <w:szCs w:val="22"/>
        </w:rPr>
      </w:pPr>
      <w:r w:rsidRPr="00FB3357">
        <w:rPr>
          <w:rFonts w:ascii="Arial" w:hAnsi="Arial" w:cs="Arial"/>
          <w:b/>
          <w:bCs/>
          <w:sz w:val="22"/>
          <w:szCs w:val="22"/>
        </w:rPr>
        <w:t>Source:</w:t>
      </w:r>
      <w:r w:rsidRPr="00FB3357">
        <w:rPr>
          <w:rFonts w:ascii="Arial" w:hAnsi="Arial" w:cs="Arial"/>
          <w:sz w:val="22"/>
          <w:szCs w:val="22"/>
        </w:rPr>
        <w:t xml:space="preserve"> Adapted from Kaplan and Norton (1996), Vodafone Group Plc (2025), and findings from Chapters 2–4.</w:t>
      </w:r>
    </w:p>
    <w:p w14:paraId="4066E5F3" w14:textId="427BF034" w:rsidR="4D41580E" w:rsidRPr="003F72FA" w:rsidRDefault="002739CD" w:rsidP="003F72FA">
      <w:pPr>
        <w:pStyle w:val="Heading2"/>
        <w:rPr>
          <w:rFonts w:ascii="Arial" w:eastAsia="Arial Nova" w:hAnsi="Arial" w:cs="Arial"/>
          <w:b/>
          <w:bCs/>
          <w:i/>
          <w:iCs/>
          <w:sz w:val="22"/>
          <w:szCs w:val="22"/>
        </w:rPr>
      </w:pPr>
      <w:bookmarkStart w:id="24" w:name="_Toc234790286"/>
      <w:r>
        <w:rPr>
          <w:rFonts w:ascii="Arial" w:eastAsia="Arial Nova" w:hAnsi="Arial" w:cs="Arial"/>
          <w:b/>
          <w:bCs/>
          <w:color w:val="auto"/>
          <w:sz w:val="22"/>
          <w:szCs w:val="22"/>
        </w:rPr>
        <w:lastRenderedPageBreak/>
        <w:t>7</w:t>
      </w:r>
      <w:r w:rsidR="4D41580E" w:rsidRPr="003F72FA">
        <w:rPr>
          <w:rFonts w:ascii="Arial" w:eastAsia="Arial Nova" w:hAnsi="Arial" w:cs="Arial"/>
          <w:b/>
          <w:bCs/>
          <w:color w:val="auto"/>
          <w:sz w:val="22"/>
          <w:szCs w:val="22"/>
        </w:rPr>
        <w:t>.2 Monitoring and KPIs</w:t>
      </w:r>
      <w:bookmarkEnd w:id="24"/>
      <w:r w:rsidR="4D41580E" w:rsidRPr="003F72FA">
        <w:rPr>
          <w:rFonts w:ascii="Arial" w:eastAsia="Arial Nova" w:hAnsi="Arial" w:cs="Arial"/>
          <w:b/>
          <w:bCs/>
          <w:color w:val="auto"/>
          <w:sz w:val="22"/>
          <w:szCs w:val="22"/>
        </w:rPr>
        <w:t xml:space="preserve"> </w:t>
      </w:r>
      <w:r w:rsidR="002832AE" w:rsidRPr="003F72FA">
        <w:rPr>
          <w:rFonts w:ascii="Arial" w:eastAsia="Arial Nova" w:hAnsi="Arial" w:cs="Arial"/>
          <w:b/>
          <w:bCs/>
          <w:sz w:val="22"/>
          <w:szCs w:val="22"/>
        </w:rPr>
        <w:tab/>
      </w:r>
      <w:r w:rsidR="002832AE" w:rsidRPr="003F72FA">
        <w:rPr>
          <w:rFonts w:ascii="Arial" w:eastAsia="Arial Nova" w:hAnsi="Arial" w:cs="Arial"/>
          <w:b/>
          <w:bCs/>
          <w:sz w:val="22"/>
          <w:szCs w:val="22"/>
        </w:rPr>
        <w:tab/>
      </w:r>
      <w:r w:rsidR="002832AE" w:rsidRPr="003F72FA">
        <w:rPr>
          <w:rFonts w:ascii="Arial" w:eastAsia="Arial Nova" w:hAnsi="Arial" w:cs="Arial"/>
          <w:b/>
          <w:bCs/>
          <w:sz w:val="22"/>
          <w:szCs w:val="22"/>
        </w:rPr>
        <w:tab/>
      </w:r>
      <w:r w:rsidR="002832AE" w:rsidRPr="003F72FA">
        <w:rPr>
          <w:rFonts w:ascii="Arial" w:eastAsia="Arial Nova" w:hAnsi="Arial" w:cs="Arial"/>
          <w:b/>
          <w:bCs/>
          <w:sz w:val="22"/>
          <w:szCs w:val="22"/>
        </w:rPr>
        <w:tab/>
      </w:r>
      <w:r w:rsidR="002832AE" w:rsidRPr="003F72FA">
        <w:rPr>
          <w:rFonts w:ascii="Arial" w:eastAsia="Arial Nova" w:hAnsi="Arial" w:cs="Arial"/>
          <w:b/>
          <w:bCs/>
          <w:sz w:val="22"/>
          <w:szCs w:val="22"/>
        </w:rPr>
        <w:tab/>
      </w:r>
    </w:p>
    <w:p w14:paraId="71C6CDD9" w14:textId="18479964" w:rsidR="4D41580E" w:rsidRPr="00FB3357" w:rsidRDefault="4D41580E" w:rsidP="00FB3357">
      <w:pPr>
        <w:spacing w:before="240" w:after="240"/>
        <w:jc w:val="both"/>
        <w:rPr>
          <w:rFonts w:ascii="Arial" w:hAnsi="Arial" w:cs="Arial"/>
          <w:sz w:val="22"/>
          <w:szCs w:val="22"/>
        </w:rPr>
      </w:pPr>
      <w:r w:rsidRPr="00FB3357">
        <w:rPr>
          <w:rFonts w:ascii="Arial" w:eastAsia="Arial Nova" w:hAnsi="Arial" w:cs="Arial"/>
          <w:sz w:val="22"/>
          <w:szCs w:val="22"/>
        </w:rPr>
        <w:t xml:space="preserve">The implementation strategy should be monitored through clearly defined KPIs aligned with VodafoneThree's strategic objectives. </w:t>
      </w:r>
      <w:r w:rsidR="001470FA" w:rsidRPr="00FB3357">
        <w:rPr>
          <w:rFonts w:ascii="Arial" w:eastAsia="Arial Nova" w:hAnsi="Arial" w:cs="Arial"/>
          <w:sz w:val="22"/>
          <w:szCs w:val="22"/>
        </w:rPr>
        <w:t>This phased approach enables resources to be allocated progressively while reducing implementation risk and allowing performance to be evaluated before advancing to subsequent stages</w:t>
      </w:r>
      <w:r w:rsidR="00404F29" w:rsidRPr="00FB3357">
        <w:rPr>
          <w:rFonts w:ascii="Arial" w:eastAsia="Arial Nova" w:hAnsi="Arial" w:cs="Arial"/>
          <w:sz w:val="22"/>
          <w:szCs w:val="22"/>
        </w:rPr>
        <w:t>.</w:t>
      </w:r>
    </w:p>
    <w:p w14:paraId="1F93BE57" w14:textId="47B90200" w:rsidR="4D41580E" w:rsidRPr="003F72FA" w:rsidRDefault="002739CD" w:rsidP="003F72FA">
      <w:pPr>
        <w:pStyle w:val="Heading2"/>
        <w:rPr>
          <w:rFonts w:ascii="Arial" w:eastAsia="Arial Nova" w:hAnsi="Arial" w:cs="Arial"/>
          <w:b/>
          <w:bCs/>
          <w:i/>
          <w:iCs/>
          <w:color w:val="auto"/>
          <w:sz w:val="22"/>
          <w:szCs w:val="22"/>
        </w:rPr>
      </w:pPr>
      <w:bookmarkStart w:id="25" w:name="_Toc234790287"/>
      <w:r>
        <w:rPr>
          <w:rFonts w:ascii="Arial" w:eastAsia="Arial Nova" w:hAnsi="Arial" w:cs="Arial"/>
          <w:b/>
          <w:bCs/>
          <w:color w:val="auto"/>
          <w:sz w:val="22"/>
          <w:szCs w:val="22"/>
        </w:rPr>
        <w:t>7</w:t>
      </w:r>
      <w:r w:rsidR="4D41580E" w:rsidRPr="003F72FA">
        <w:rPr>
          <w:rFonts w:ascii="Arial" w:eastAsia="Arial Nova" w:hAnsi="Arial" w:cs="Arial"/>
          <w:b/>
          <w:bCs/>
          <w:color w:val="auto"/>
          <w:sz w:val="22"/>
          <w:szCs w:val="22"/>
        </w:rPr>
        <w:t>.3 Governance and Review</w:t>
      </w:r>
      <w:bookmarkEnd w:id="25"/>
      <w:r w:rsidR="4D41580E" w:rsidRPr="003F72FA">
        <w:rPr>
          <w:rFonts w:ascii="Arial" w:eastAsia="Arial Nova" w:hAnsi="Arial" w:cs="Arial"/>
          <w:b/>
          <w:bCs/>
          <w:color w:val="auto"/>
          <w:sz w:val="22"/>
          <w:szCs w:val="22"/>
        </w:rPr>
        <w:t xml:space="preserve"> </w:t>
      </w:r>
    </w:p>
    <w:p w14:paraId="1D75B0B5" w14:textId="159DCD43" w:rsidR="4D41580E" w:rsidRPr="00FB3357" w:rsidRDefault="4D41580E" w:rsidP="00365624">
      <w:pPr>
        <w:spacing w:before="240" w:after="240" w:line="278" w:lineRule="auto"/>
        <w:jc w:val="both"/>
        <w:rPr>
          <w:rFonts w:ascii="Arial" w:hAnsi="Arial" w:cs="Arial"/>
          <w:sz w:val="22"/>
          <w:szCs w:val="22"/>
        </w:rPr>
      </w:pPr>
      <w:r w:rsidRPr="00FB3357">
        <w:rPr>
          <w:rFonts w:ascii="Arial" w:eastAsia="Arial Nova" w:hAnsi="Arial" w:cs="Arial"/>
          <w:sz w:val="22"/>
          <w:szCs w:val="22"/>
        </w:rPr>
        <w:t>Successful implementation requires strong governance supported by regular strategic reviews and transparent reporting. Senior leadership should monitor progress against agreed milestones, KPIs and regulatory commitments while adapting implementation plans where necessary. This governance approach will help ensure that the proposed strategy remains aligned with VodafoneThree's long-term objectives and stakeholder expectations.</w:t>
      </w:r>
      <w:r w:rsidR="2516FF17" w:rsidRPr="00FB3357">
        <w:rPr>
          <w:rFonts w:ascii="Arial" w:eastAsia="Arial Nova" w:hAnsi="Arial" w:cs="Arial"/>
          <w:sz w:val="22"/>
          <w:szCs w:val="22"/>
        </w:rPr>
        <w:t xml:space="preserve"> The successful implementation and monitoring of the proposed strategy provide the foundation for VodafoneThree's long-term competitive advantage. </w:t>
      </w:r>
    </w:p>
    <w:p w14:paraId="582DC5C6" w14:textId="4CB1CBE7" w:rsidR="434AB46E" w:rsidRPr="003F72FA" w:rsidRDefault="434AB46E" w:rsidP="003F72FA">
      <w:pPr>
        <w:pStyle w:val="Heading1"/>
        <w:rPr>
          <w:rFonts w:ascii="Arial" w:hAnsi="Arial" w:cs="Arial"/>
          <w:b/>
          <w:bCs/>
          <w:color w:val="auto"/>
          <w:sz w:val="28"/>
          <w:szCs w:val="28"/>
        </w:rPr>
      </w:pPr>
      <w:bookmarkStart w:id="26" w:name="_Toc234790288"/>
      <w:r w:rsidRPr="003F72FA">
        <w:rPr>
          <w:rFonts w:ascii="Arial" w:eastAsia="Arial Nova" w:hAnsi="Arial" w:cs="Arial"/>
          <w:b/>
          <w:bCs/>
          <w:color w:val="auto"/>
          <w:sz w:val="28"/>
          <w:szCs w:val="28"/>
        </w:rPr>
        <w:t>8. Conclusion</w:t>
      </w:r>
      <w:bookmarkEnd w:id="26"/>
    </w:p>
    <w:p w14:paraId="6B1A8DCA" w14:textId="74848D68" w:rsidR="00313D18" w:rsidRDefault="434AB46E" w:rsidP="00FB3357">
      <w:pPr>
        <w:spacing w:before="240" w:after="240"/>
        <w:jc w:val="both"/>
        <w:rPr>
          <w:rFonts w:ascii="Arial" w:eastAsia="Arial Nova" w:hAnsi="Arial" w:cs="Arial"/>
          <w:sz w:val="22"/>
          <w:szCs w:val="22"/>
        </w:rPr>
      </w:pPr>
      <w:r w:rsidRPr="00FB3357">
        <w:rPr>
          <w:rFonts w:ascii="Arial" w:eastAsia="Arial Nova" w:hAnsi="Arial" w:cs="Arial"/>
          <w:sz w:val="22"/>
          <w:szCs w:val="22"/>
        </w:rPr>
        <w:t xml:space="preserve">This report evaluated VodafoneThree's strategic position following the Vodafone–Three merger to identify the most appropriate growth strategy for achieving sustainable competitive advantage. </w:t>
      </w:r>
      <w:r w:rsidR="00355E11" w:rsidRPr="00FB3357">
        <w:rPr>
          <w:rFonts w:ascii="Arial" w:eastAsia="Arial Nova" w:hAnsi="Arial" w:cs="Arial"/>
          <w:sz w:val="22"/>
          <w:szCs w:val="22"/>
        </w:rPr>
        <w:t>The analysis demonstrated that long-term success depends less on the merger itself than on VodafoneThree's ability to convert its enhanced capabilities into sustainable competitive advantage</w:t>
      </w:r>
      <w:r w:rsidRPr="00FB3357">
        <w:rPr>
          <w:rFonts w:ascii="Arial" w:eastAsia="Arial Nova" w:hAnsi="Arial" w:cs="Arial"/>
          <w:sz w:val="22"/>
          <w:szCs w:val="22"/>
        </w:rPr>
        <w:t xml:space="preserve">. </w:t>
      </w:r>
      <w:r w:rsidR="00874A5B" w:rsidRPr="00FB3357">
        <w:rPr>
          <w:rFonts w:ascii="Arial" w:eastAsia="Arial Nova" w:hAnsi="Arial" w:cs="Arial"/>
          <w:sz w:val="22"/>
          <w:szCs w:val="22"/>
        </w:rPr>
        <w:t>The evaluation concluded that product development represents the strongest strategic option because it enables VodafoneThree to leverage its enhanced capabilities to deliver higher-value enterprise services</w:t>
      </w:r>
      <w:r w:rsidRPr="00FB3357">
        <w:rPr>
          <w:rFonts w:ascii="Arial" w:eastAsia="Arial Nova" w:hAnsi="Arial" w:cs="Arial"/>
          <w:sz w:val="22"/>
          <w:szCs w:val="22"/>
        </w:rPr>
        <w:t>. The subsequent SFA evaluation confirmed that the strategy is suitable, feasible and acceptable, while the stakeholder analysis and implementation plan demonstrated that it can be delivered through effective governance, stakeholder engagement and performance monitoring. Overall, the recommended strategy provides VodafoneThree with a realistic and sustainable pathway to strengthen its long-term competitiveness, create stakeholder value and support the continued development of the UK's digital economy.</w:t>
      </w:r>
    </w:p>
    <w:p w14:paraId="74B49A04" w14:textId="77777777" w:rsidR="00365624" w:rsidRDefault="00365624" w:rsidP="00FB3357">
      <w:pPr>
        <w:spacing w:before="240" w:after="240"/>
        <w:jc w:val="both"/>
        <w:rPr>
          <w:rFonts w:ascii="Arial" w:eastAsia="Arial Nova" w:hAnsi="Arial" w:cs="Arial"/>
          <w:sz w:val="22"/>
          <w:szCs w:val="22"/>
        </w:rPr>
      </w:pPr>
    </w:p>
    <w:p w14:paraId="60BC3047" w14:textId="77777777" w:rsidR="00FB2AF2" w:rsidRDefault="00FB2AF2" w:rsidP="00FB3357">
      <w:pPr>
        <w:spacing w:before="240" w:after="240"/>
        <w:jc w:val="both"/>
        <w:rPr>
          <w:rFonts w:ascii="Arial" w:eastAsia="Arial Nova" w:hAnsi="Arial" w:cs="Arial"/>
          <w:sz w:val="22"/>
          <w:szCs w:val="22"/>
        </w:rPr>
      </w:pPr>
    </w:p>
    <w:p w14:paraId="2552D029" w14:textId="77777777" w:rsidR="00FB2AF2" w:rsidRDefault="00FB2AF2" w:rsidP="00FB3357">
      <w:pPr>
        <w:spacing w:before="240" w:after="240"/>
        <w:jc w:val="both"/>
        <w:rPr>
          <w:rFonts w:ascii="Arial" w:eastAsia="Arial Nova" w:hAnsi="Arial" w:cs="Arial"/>
          <w:sz w:val="22"/>
          <w:szCs w:val="22"/>
        </w:rPr>
      </w:pPr>
    </w:p>
    <w:p w14:paraId="602B4414" w14:textId="77777777" w:rsidR="00FB2AF2" w:rsidRDefault="00FB2AF2" w:rsidP="00FB3357">
      <w:pPr>
        <w:spacing w:before="240" w:after="240"/>
        <w:jc w:val="both"/>
        <w:rPr>
          <w:rFonts w:ascii="Arial" w:eastAsia="Arial Nova" w:hAnsi="Arial" w:cs="Arial"/>
          <w:sz w:val="22"/>
          <w:szCs w:val="22"/>
        </w:rPr>
      </w:pPr>
    </w:p>
    <w:p w14:paraId="78F01995" w14:textId="77777777" w:rsidR="00FB2AF2" w:rsidRDefault="00FB2AF2" w:rsidP="00FB3357">
      <w:pPr>
        <w:spacing w:before="240" w:after="240"/>
        <w:jc w:val="both"/>
        <w:rPr>
          <w:rFonts w:ascii="Arial" w:eastAsia="Arial Nova" w:hAnsi="Arial" w:cs="Arial"/>
          <w:sz w:val="22"/>
          <w:szCs w:val="22"/>
        </w:rPr>
      </w:pPr>
    </w:p>
    <w:p w14:paraId="2480EDA4" w14:textId="77777777" w:rsidR="00C150BD" w:rsidRPr="00FB3357" w:rsidRDefault="00C150BD" w:rsidP="00FB3357">
      <w:pPr>
        <w:spacing w:before="240" w:after="240"/>
        <w:jc w:val="both"/>
        <w:rPr>
          <w:rFonts w:ascii="Arial" w:hAnsi="Arial" w:cs="Arial"/>
          <w:sz w:val="22"/>
          <w:szCs w:val="22"/>
        </w:rPr>
      </w:pPr>
    </w:p>
    <w:p w14:paraId="4265B6D7" w14:textId="77777777" w:rsidR="005C04E7" w:rsidRPr="00FB3357" w:rsidRDefault="005C04E7" w:rsidP="00FB3357">
      <w:pPr>
        <w:pStyle w:val="Heading1"/>
        <w:spacing w:after="360"/>
        <w:jc w:val="both"/>
        <w:rPr>
          <w:rFonts w:ascii="Arial" w:hAnsi="Arial" w:cs="Arial"/>
          <w:b/>
          <w:bCs/>
          <w:color w:val="auto"/>
          <w:sz w:val="22"/>
          <w:szCs w:val="22"/>
        </w:rPr>
      </w:pPr>
      <w:bookmarkStart w:id="27" w:name="_Toc234108064"/>
      <w:bookmarkStart w:id="28" w:name="_Toc234790289"/>
      <w:r w:rsidRPr="00FB3357">
        <w:rPr>
          <w:rFonts w:ascii="Arial" w:hAnsi="Arial" w:cs="Arial"/>
          <w:b/>
          <w:bCs/>
          <w:color w:val="auto"/>
          <w:sz w:val="22"/>
          <w:szCs w:val="22"/>
        </w:rPr>
        <w:lastRenderedPageBreak/>
        <w:t>References</w:t>
      </w:r>
      <w:bookmarkEnd w:id="27"/>
      <w:bookmarkEnd w:id="28"/>
    </w:p>
    <w:p w14:paraId="53243065"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Al-Moaid, N.A.A., Al-Swidi, A.K., Gelaidan, H.M. and Saleh, R.M. (2024) ‘Developing dynamic capabilities for successful digital transformation: The mediating role of change management’, </w:t>
      </w:r>
      <w:r w:rsidRPr="00FB3357">
        <w:rPr>
          <w:rFonts w:ascii="Arial" w:hAnsi="Arial" w:cs="Arial"/>
          <w:i/>
          <w:iCs/>
          <w:sz w:val="22"/>
          <w:szCs w:val="22"/>
        </w:rPr>
        <w:t>Journal of Innovation and Entrepreneurship</w:t>
      </w:r>
      <w:r w:rsidRPr="00FB3357">
        <w:rPr>
          <w:rFonts w:ascii="Arial" w:hAnsi="Arial" w:cs="Arial"/>
          <w:sz w:val="22"/>
          <w:szCs w:val="22"/>
        </w:rPr>
        <w:t xml:space="preserve">, 13. Available at: </w:t>
      </w:r>
      <w:hyperlink r:id="rId10" w:tgtFrame="_new" w:history="1">
        <w:r w:rsidRPr="00FB3357">
          <w:rPr>
            <w:rStyle w:val="Hyperlink"/>
            <w:rFonts w:ascii="Arial" w:hAnsi="Arial" w:cs="Arial"/>
            <w:sz w:val="22"/>
            <w:szCs w:val="22"/>
          </w:rPr>
          <w:t>https://doi.org/10.1186/s13731-024-00446-9</w:t>
        </w:r>
      </w:hyperlink>
      <w:r w:rsidRPr="00FB3357">
        <w:rPr>
          <w:rFonts w:ascii="Arial" w:hAnsi="Arial" w:cs="Arial"/>
          <w:sz w:val="22"/>
          <w:szCs w:val="22"/>
        </w:rPr>
        <w:t xml:space="preserve"> (Accessed: 5 July 2026).</w:t>
      </w:r>
    </w:p>
    <w:p w14:paraId="2E6167D0"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Ansoff, H.I. (1957) ‘Strategies for diversification’, </w:t>
      </w:r>
      <w:r w:rsidRPr="00FB3357">
        <w:rPr>
          <w:rFonts w:ascii="Arial" w:hAnsi="Arial" w:cs="Arial"/>
          <w:i/>
          <w:iCs/>
          <w:sz w:val="22"/>
          <w:szCs w:val="22"/>
        </w:rPr>
        <w:t>Harvard Business Review</w:t>
      </w:r>
      <w:r w:rsidRPr="00FB3357">
        <w:rPr>
          <w:rFonts w:ascii="Arial" w:hAnsi="Arial" w:cs="Arial"/>
          <w:sz w:val="22"/>
          <w:szCs w:val="22"/>
        </w:rPr>
        <w:t>, 35(5), pp. 113–124.</w:t>
      </w:r>
    </w:p>
    <w:p w14:paraId="69D85739"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Barney, J. (1991) ‘Firm resources and sustained competitive advantage’, </w:t>
      </w:r>
      <w:r w:rsidRPr="00FB3357">
        <w:rPr>
          <w:rFonts w:ascii="Arial" w:hAnsi="Arial" w:cs="Arial"/>
          <w:i/>
          <w:iCs/>
          <w:sz w:val="22"/>
          <w:szCs w:val="22"/>
        </w:rPr>
        <w:t>Journal of Management</w:t>
      </w:r>
      <w:r w:rsidRPr="00FB3357">
        <w:rPr>
          <w:rFonts w:ascii="Arial" w:hAnsi="Arial" w:cs="Arial"/>
          <w:sz w:val="22"/>
          <w:szCs w:val="22"/>
        </w:rPr>
        <w:t>, 17(1), pp. 99–120.</w:t>
      </w:r>
    </w:p>
    <w:p w14:paraId="2B971C8B"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Competition and Markets Authority (CMA) (2024) </w:t>
      </w:r>
      <w:r w:rsidRPr="00FB3357">
        <w:rPr>
          <w:rFonts w:ascii="Arial" w:hAnsi="Arial" w:cs="Arial"/>
          <w:i/>
          <w:iCs/>
          <w:sz w:val="22"/>
          <w:szCs w:val="22"/>
        </w:rPr>
        <w:t>Vodafone UK / CK Hutchison merger inquiry</w:t>
      </w:r>
      <w:r w:rsidRPr="00FB3357">
        <w:rPr>
          <w:rFonts w:ascii="Arial" w:hAnsi="Arial" w:cs="Arial"/>
          <w:sz w:val="22"/>
          <w:szCs w:val="22"/>
        </w:rPr>
        <w:t>. London: Competition and Markets Authority. Available at: https://www.gov.uk/cma-cases/vodafone-slash-three-merger-inquiry (Accessed: 5 July 2026).</w:t>
      </w:r>
    </w:p>
    <w:p w14:paraId="5F2EDD7B"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EY (2025) </w:t>
      </w:r>
      <w:r w:rsidRPr="00FB3357">
        <w:rPr>
          <w:rFonts w:ascii="Arial" w:hAnsi="Arial" w:cs="Arial"/>
          <w:i/>
          <w:iCs/>
          <w:sz w:val="22"/>
          <w:szCs w:val="22"/>
        </w:rPr>
        <w:t>Telecommunications Outlook 2025</w:t>
      </w:r>
      <w:r w:rsidRPr="00FB3357">
        <w:rPr>
          <w:rFonts w:ascii="Arial" w:hAnsi="Arial" w:cs="Arial"/>
          <w:sz w:val="22"/>
          <w:szCs w:val="22"/>
        </w:rPr>
        <w:t xml:space="preserve">. London: EY. Available at: </w:t>
      </w:r>
      <w:hyperlink r:id="rId11" w:tgtFrame="_new" w:history="1">
        <w:r w:rsidRPr="00FB3357">
          <w:rPr>
            <w:rStyle w:val="Hyperlink"/>
            <w:rFonts w:ascii="Arial" w:hAnsi="Arial" w:cs="Arial"/>
            <w:sz w:val="22"/>
            <w:szCs w:val="22"/>
          </w:rPr>
          <w:t>https://www.ey.com</w:t>
        </w:r>
      </w:hyperlink>
      <w:r w:rsidRPr="00FB3357">
        <w:rPr>
          <w:rFonts w:ascii="Arial" w:hAnsi="Arial" w:cs="Arial"/>
          <w:sz w:val="22"/>
          <w:szCs w:val="22"/>
        </w:rPr>
        <w:t xml:space="preserve"> (Accessed: 5 July 2026).</w:t>
      </w:r>
    </w:p>
    <w:p w14:paraId="23F3A17C"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Freeman, R.E. (1984) </w:t>
      </w:r>
      <w:r w:rsidRPr="00FB3357">
        <w:rPr>
          <w:rFonts w:ascii="Arial" w:hAnsi="Arial" w:cs="Arial"/>
          <w:i/>
          <w:iCs/>
          <w:sz w:val="22"/>
          <w:szCs w:val="22"/>
        </w:rPr>
        <w:t>Strategic Management: A Stakeholder Approach</w:t>
      </w:r>
      <w:r w:rsidRPr="00FB3357">
        <w:rPr>
          <w:rFonts w:ascii="Arial" w:hAnsi="Arial" w:cs="Arial"/>
          <w:sz w:val="22"/>
          <w:szCs w:val="22"/>
        </w:rPr>
        <w:t>. Boston: Pitman.</w:t>
      </w:r>
    </w:p>
    <w:p w14:paraId="5486D7CE"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Grant, R.M. (2022) </w:t>
      </w:r>
      <w:r w:rsidRPr="00FB3357">
        <w:rPr>
          <w:rFonts w:ascii="Arial" w:hAnsi="Arial" w:cs="Arial"/>
          <w:i/>
          <w:iCs/>
          <w:sz w:val="22"/>
          <w:szCs w:val="22"/>
        </w:rPr>
        <w:t>Contemporary Strategy Analysis</w:t>
      </w:r>
      <w:r w:rsidRPr="00FB3357">
        <w:rPr>
          <w:rFonts w:ascii="Arial" w:hAnsi="Arial" w:cs="Arial"/>
          <w:sz w:val="22"/>
          <w:szCs w:val="22"/>
        </w:rPr>
        <w:t>. 11th edn. Hoboken, NJ: John Wiley &amp; Sons.</w:t>
      </w:r>
    </w:p>
    <w:p w14:paraId="5411D7CC"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GSMA (2025) </w:t>
      </w:r>
      <w:r w:rsidRPr="00FB3357">
        <w:rPr>
          <w:rFonts w:ascii="Arial" w:hAnsi="Arial" w:cs="Arial"/>
          <w:i/>
          <w:iCs/>
          <w:sz w:val="22"/>
          <w:szCs w:val="22"/>
        </w:rPr>
        <w:t>The Mobile Economy Europe 2025</w:t>
      </w:r>
      <w:r w:rsidRPr="00FB3357">
        <w:rPr>
          <w:rFonts w:ascii="Arial" w:hAnsi="Arial" w:cs="Arial"/>
          <w:sz w:val="22"/>
          <w:szCs w:val="22"/>
        </w:rPr>
        <w:t xml:space="preserve">. London: GSMA. Available at: </w:t>
      </w:r>
      <w:hyperlink r:id="rId12" w:tgtFrame="_new" w:history="1">
        <w:r w:rsidRPr="00FB3357">
          <w:rPr>
            <w:rStyle w:val="Hyperlink"/>
            <w:rFonts w:ascii="Arial" w:hAnsi="Arial" w:cs="Arial"/>
            <w:sz w:val="22"/>
            <w:szCs w:val="22"/>
          </w:rPr>
          <w:t>https://www.gsma.com</w:t>
        </w:r>
      </w:hyperlink>
      <w:r w:rsidRPr="00FB3357">
        <w:rPr>
          <w:rFonts w:ascii="Arial" w:hAnsi="Arial" w:cs="Arial"/>
          <w:sz w:val="22"/>
          <w:szCs w:val="22"/>
        </w:rPr>
        <w:t xml:space="preserve"> (Accessed: 5 July 2026).</w:t>
      </w:r>
    </w:p>
    <w:p w14:paraId="4B907E68"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Hill, T. and Westbrook, R. (1997) ‘SWOT analysis: It’s time for a product recall’, </w:t>
      </w:r>
      <w:r w:rsidRPr="00FB3357">
        <w:rPr>
          <w:rFonts w:ascii="Arial" w:hAnsi="Arial" w:cs="Arial"/>
          <w:i/>
          <w:iCs/>
          <w:sz w:val="22"/>
          <w:szCs w:val="22"/>
        </w:rPr>
        <w:t>Long Range Planning</w:t>
      </w:r>
      <w:r w:rsidRPr="00FB3357">
        <w:rPr>
          <w:rFonts w:ascii="Arial" w:hAnsi="Arial" w:cs="Arial"/>
          <w:sz w:val="22"/>
          <w:szCs w:val="22"/>
        </w:rPr>
        <w:t>, 30(1), pp. 46–52.</w:t>
      </w:r>
    </w:p>
    <w:p w14:paraId="014E38B2"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Johnson, G., Scholes, K., Whittington, R. and Angwin, D. (2020) </w:t>
      </w:r>
      <w:r w:rsidRPr="00FB3357">
        <w:rPr>
          <w:rFonts w:ascii="Arial" w:hAnsi="Arial" w:cs="Arial"/>
          <w:i/>
          <w:iCs/>
          <w:sz w:val="22"/>
          <w:szCs w:val="22"/>
        </w:rPr>
        <w:t>Exploring Strategy</w:t>
      </w:r>
      <w:r w:rsidRPr="00FB3357">
        <w:rPr>
          <w:rFonts w:ascii="Arial" w:hAnsi="Arial" w:cs="Arial"/>
          <w:sz w:val="22"/>
          <w:szCs w:val="22"/>
        </w:rPr>
        <w:t>. 12th edn. Harlow: Pearson.</w:t>
      </w:r>
    </w:p>
    <w:p w14:paraId="30E1C122"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Kaplan, R.S. and Norton, D.P. (1996) </w:t>
      </w:r>
      <w:r w:rsidRPr="00FB3357">
        <w:rPr>
          <w:rFonts w:ascii="Arial" w:hAnsi="Arial" w:cs="Arial"/>
          <w:i/>
          <w:iCs/>
          <w:sz w:val="22"/>
          <w:szCs w:val="22"/>
        </w:rPr>
        <w:t>The Balanced Scorecard: Translating Strategy into Action</w:t>
      </w:r>
      <w:r w:rsidRPr="00FB3357">
        <w:rPr>
          <w:rFonts w:ascii="Arial" w:hAnsi="Arial" w:cs="Arial"/>
          <w:sz w:val="22"/>
          <w:szCs w:val="22"/>
        </w:rPr>
        <w:t>. Boston: Harvard Business School Press.</w:t>
      </w:r>
    </w:p>
    <w:p w14:paraId="5FBAFF3B"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OECD (2024) </w:t>
      </w:r>
      <w:r w:rsidRPr="00FB3357">
        <w:rPr>
          <w:rFonts w:ascii="Arial" w:hAnsi="Arial" w:cs="Arial"/>
          <w:i/>
          <w:iCs/>
          <w:sz w:val="22"/>
          <w:szCs w:val="22"/>
        </w:rPr>
        <w:t>OECD Digital Economy Outlook 2024</w:t>
      </w:r>
      <w:r w:rsidRPr="00FB3357">
        <w:rPr>
          <w:rFonts w:ascii="Arial" w:hAnsi="Arial" w:cs="Arial"/>
          <w:sz w:val="22"/>
          <w:szCs w:val="22"/>
        </w:rPr>
        <w:t xml:space="preserve">. Paris: OECD Publishing. Available at: </w:t>
      </w:r>
      <w:hyperlink r:id="rId13" w:tgtFrame="_new" w:history="1">
        <w:r w:rsidRPr="00FB3357">
          <w:rPr>
            <w:rStyle w:val="Hyperlink"/>
            <w:rFonts w:ascii="Arial" w:hAnsi="Arial" w:cs="Arial"/>
            <w:sz w:val="22"/>
            <w:szCs w:val="22"/>
          </w:rPr>
          <w:t>https://www.oecd.org</w:t>
        </w:r>
      </w:hyperlink>
      <w:r w:rsidRPr="00FB3357">
        <w:rPr>
          <w:rFonts w:ascii="Arial" w:hAnsi="Arial" w:cs="Arial"/>
          <w:sz w:val="22"/>
          <w:szCs w:val="22"/>
        </w:rPr>
        <w:t xml:space="preserve"> (Accessed: 5 July 2026).</w:t>
      </w:r>
    </w:p>
    <w:p w14:paraId="23DE6386"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Ofcom (2025) </w:t>
      </w:r>
      <w:r w:rsidRPr="00FB3357">
        <w:rPr>
          <w:rFonts w:ascii="Arial" w:hAnsi="Arial" w:cs="Arial"/>
          <w:i/>
          <w:iCs/>
          <w:sz w:val="22"/>
          <w:szCs w:val="22"/>
        </w:rPr>
        <w:t>Connected Nations UK Report 2025</w:t>
      </w:r>
      <w:r w:rsidRPr="00FB3357">
        <w:rPr>
          <w:rFonts w:ascii="Arial" w:hAnsi="Arial" w:cs="Arial"/>
          <w:sz w:val="22"/>
          <w:szCs w:val="22"/>
        </w:rPr>
        <w:t xml:space="preserve">. London: Ofcom. Available at: </w:t>
      </w:r>
      <w:hyperlink r:id="rId14" w:tgtFrame="_new" w:history="1">
        <w:r w:rsidRPr="00FB3357">
          <w:rPr>
            <w:rStyle w:val="Hyperlink"/>
            <w:rFonts w:ascii="Arial" w:hAnsi="Arial" w:cs="Arial"/>
            <w:sz w:val="22"/>
            <w:szCs w:val="22"/>
          </w:rPr>
          <w:t>https://www.ofcom.org.uk</w:t>
        </w:r>
      </w:hyperlink>
      <w:r w:rsidRPr="00FB3357">
        <w:rPr>
          <w:rFonts w:ascii="Arial" w:hAnsi="Arial" w:cs="Arial"/>
          <w:sz w:val="22"/>
          <w:szCs w:val="22"/>
        </w:rPr>
        <w:t xml:space="preserve"> (Accessed: 5 July 2026).</w:t>
      </w:r>
    </w:p>
    <w:p w14:paraId="259CC8D3"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Porter, M.E. (1980) </w:t>
      </w:r>
      <w:r w:rsidRPr="00FB3357">
        <w:rPr>
          <w:rFonts w:ascii="Arial" w:hAnsi="Arial" w:cs="Arial"/>
          <w:i/>
          <w:iCs/>
          <w:sz w:val="22"/>
          <w:szCs w:val="22"/>
        </w:rPr>
        <w:t>Competitive Strategy: Techniques for Analysing Industries and Competitors</w:t>
      </w:r>
      <w:r w:rsidRPr="00FB3357">
        <w:rPr>
          <w:rFonts w:ascii="Arial" w:hAnsi="Arial" w:cs="Arial"/>
          <w:sz w:val="22"/>
          <w:szCs w:val="22"/>
        </w:rPr>
        <w:t>. New York: Free Press.</w:t>
      </w:r>
    </w:p>
    <w:p w14:paraId="0AD10286"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Porter, M.E. (2008) ‘The five competitive forces that shape strategy’, </w:t>
      </w:r>
      <w:r w:rsidRPr="00FB3357">
        <w:rPr>
          <w:rFonts w:ascii="Arial" w:hAnsi="Arial" w:cs="Arial"/>
          <w:i/>
          <w:iCs/>
          <w:sz w:val="22"/>
          <w:szCs w:val="22"/>
        </w:rPr>
        <w:t>Harvard Business Review</w:t>
      </w:r>
      <w:r w:rsidRPr="00FB3357">
        <w:rPr>
          <w:rFonts w:ascii="Arial" w:hAnsi="Arial" w:cs="Arial"/>
          <w:sz w:val="22"/>
          <w:szCs w:val="22"/>
        </w:rPr>
        <w:t>, 86(1), pp. 78–93.</w:t>
      </w:r>
    </w:p>
    <w:p w14:paraId="0F5A872E"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PwC (2025) </w:t>
      </w:r>
      <w:r w:rsidRPr="00FB3357">
        <w:rPr>
          <w:rFonts w:ascii="Arial" w:hAnsi="Arial" w:cs="Arial"/>
          <w:i/>
          <w:iCs/>
          <w:sz w:val="22"/>
          <w:szCs w:val="22"/>
        </w:rPr>
        <w:t>Global Telecom Outlook 2025–2029</w:t>
      </w:r>
      <w:r w:rsidRPr="00FB3357">
        <w:rPr>
          <w:rFonts w:ascii="Arial" w:hAnsi="Arial" w:cs="Arial"/>
          <w:sz w:val="22"/>
          <w:szCs w:val="22"/>
        </w:rPr>
        <w:t xml:space="preserve">. London: PricewaterhouseCoopers. Available at: </w:t>
      </w:r>
      <w:hyperlink r:id="rId15" w:tgtFrame="_new" w:history="1">
        <w:r w:rsidRPr="00FB3357">
          <w:rPr>
            <w:rStyle w:val="Hyperlink"/>
            <w:rFonts w:ascii="Arial" w:hAnsi="Arial" w:cs="Arial"/>
            <w:sz w:val="22"/>
            <w:szCs w:val="22"/>
          </w:rPr>
          <w:t>https://www.pwc.com</w:t>
        </w:r>
      </w:hyperlink>
      <w:r w:rsidRPr="00FB3357">
        <w:rPr>
          <w:rFonts w:ascii="Arial" w:hAnsi="Arial" w:cs="Arial"/>
          <w:sz w:val="22"/>
          <w:szCs w:val="22"/>
        </w:rPr>
        <w:t xml:space="preserve"> (Accessed: 5 July 2026).</w:t>
      </w:r>
    </w:p>
    <w:p w14:paraId="1F00A18A"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Rumelt, R.P. (1982) ‘Diversification strategy and profitability’, </w:t>
      </w:r>
      <w:r w:rsidRPr="00FB3357">
        <w:rPr>
          <w:rFonts w:ascii="Arial" w:hAnsi="Arial" w:cs="Arial"/>
          <w:i/>
          <w:iCs/>
          <w:sz w:val="22"/>
          <w:szCs w:val="22"/>
        </w:rPr>
        <w:t>Strategic Management Journal</w:t>
      </w:r>
      <w:r w:rsidRPr="00FB3357">
        <w:rPr>
          <w:rFonts w:ascii="Arial" w:hAnsi="Arial" w:cs="Arial"/>
          <w:sz w:val="22"/>
          <w:szCs w:val="22"/>
        </w:rPr>
        <w:t>, 3(4), pp. 359–369.</w:t>
      </w:r>
    </w:p>
    <w:p w14:paraId="7641FCF4"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lastRenderedPageBreak/>
        <w:t xml:space="preserve">Teece, D.J., Pisano, G. and Shuen, A. (1997) ‘Dynamic capabilities and strategic management’, </w:t>
      </w:r>
      <w:r w:rsidRPr="00FB3357">
        <w:rPr>
          <w:rFonts w:ascii="Arial" w:hAnsi="Arial" w:cs="Arial"/>
          <w:i/>
          <w:iCs/>
          <w:sz w:val="22"/>
          <w:szCs w:val="22"/>
        </w:rPr>
        <w:t>Strategic Management Journal</w:t>
      </w:r>
      <w:r w:rsidRPr="00FB3357">
        <w:rPr>
          <w:rFonts w:ascii="Arial" w:hAnsi="Arial" w:cs="Arial"/>
          <w:sz w:val="22"/>
          <w:szCs w:val="22"/>
        </w:rPr>
        <w:t>, 18(7), pp. 509–533.</w:t>
      </w:r>
    </w:p>
    <w:p w14:paraId="5C9203F7"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Verhoef, P.C., Broekhuizen, T.L.J., Bart, Y., Bhattacharya, A., Dong, J.Q., Fabian, N. and Haenlein, M. (2021) ‘Digital transformation: A multidisciplinary reflection and research agenda’, </w:t>
      </w:r>
      <w:r w:rsidRPr="00FB3357">
        <w:rPr>
          <w:rFonts w:ascii="Arial" w:hAnsi="Arial" w:cs="Arial"/>
          <w:i/>
          <w:iCs/>
          <w:sz w:val="22"/>
          <w:szCs w:val="22"/>
        </w:rPr>
        <w:t>Journal of Business Research</w:t>
      </w:r>
      <w:r w:rsidRPr="00FB3357">
        <w:rPr>
          <w:rFonts w:ascii="Arial" w:hAnsi="Arial" w:cs="Arial"/>
          <w:sz w:val="22"/>
          <w:szCs w:val="22"/>
        </w:rPr>
        <w:t>, 122, pp. 889–901.</w:t>
      </w:r>
    </w:p>
    <w:p w14:paraId="68AF0726"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Vodafone Group Plc (2025) </w:t>
      </w:r>
      <w:r w:rsidRPr="00FB3357">
        <w:rPr>
          <w:rFonts w:ascii="Arial" w:hAnsi="Arial" w:cs="Arial"/>
          <w:i/>
          <w:iCs/>
          <w:sz w:val="22"/>
          <w:szCs w:val="22"/>
        </w:rPr>
        <w:t>Annual Report 2025</w:t>
      </w:r>
      <w:r w:rsidRPr="00FB3357">
        <w:rPr>
          <w:rFonts w:ascii="Arial" w:hAnsi="Arial" w:cs="Arial"/>
          <w:sz w:val="22"/>
          <w:szCs w:val="22"/>
        </w:rPr>
        <w:t>. Newbury: Vodafone Group Plc. Available at: https://www.vodafone.com/investors/annual-reports (Accessed: 5 July 2026).</w:t>
      </w:r>
    </w:p>
    <w:p w14:paraId="1DB236A4" w14:textId="77777777" w:rsidR="005C04E7" w:rsidRPr="00FB3357" w:rsidRDefault="005C04E7" w:rsidP="00FB3357">
      <w:pPr>
        <w:jc w:val="both"/>
        <w:rPr>
          <w:rFonts w:ascii="Arial" w:hAnsi="Arial" w:cs="Arial"/>
          <w:sz w:val="22"/>
          <w:szCs w:val="22"/>
        </w:rPr>
      </w:pPr>
      <w:r w:rsidRPr="00FB3357">
        <w:rPr>
          <w:rFonts w:ascii="Arial" w:hAnsi="Arial" w:cs="Arial"/>
          <w:sz w:val="22"/>
          <w:szCs w:val="22"/>
        </w:rPr>
        <w:t xml:space="preserve">Warner, K.S.R. and Wäger, M. (2019) ‘Building dynamic capabilities for digital transformation: An ongoing process of strategic renewal’, </w:t>
      </w:r>
      <w:r w:rsidRPr="00FB3357">
        <w:rPr>
          <w:rFonts w:ascii="Arial" w:hAnsi="Arial" w:cs="Arial"/>
          <w:i/>
          <w:iCs/>
          <w:sz w:val="22"/>
          <w:szCs w:val="22"/>
        </w:rPr>
        <w:t>Long Range Planning</w:t>
      </w:r>
      <w:r w:rsidRPr="00FB3357">
        <w:rPr>
          <w:rFonts w:ascii="Arial" w:hAnsi="Arial" w:cs="Arial"/>
          <w:sz w:val="22"/>
          <w:szCs w:val="22"/>
        </w:rPr>
        <w:t>, 52(3), pp. 326–349.</w:t>
      </w:r>
    </w:p>
    <w:p w14:paraId="58E6F264" w14:textId="77777777" w:rsidR="005C04E7" w:rsidRDefault="005C04E7" w:rsidP="00FB3357">
      <w:pPr>
        <w:jc w:val="both"/>
        <w:rPr>
          <w:rFonts w:ascii="Arial" w:hAnsi="Arial" w:cs="Arial"/>
          <w:sz w:val="22"/>
          <w:szCs w:val="22"/>
        </w:rPr>
      </w:pPr>
      <w:r w:rsidRPr="00FB3357">
        <w:rPr>
          <w:rFonts w:ascii="Arial" w:hAnsi="Arial" w:cs="Arial"/>
          <w:sz w:val="22"/>
          <w:szCs w:val="22"/>
        </w:rPr>
        <w:t xml:space="preserve">Weihrich, H. (1982) ‘The TOWS matrix—A tool for situational analysis’, </w:t>
      </w:r>
      <w:r w:rsidRPr="00FB3357">
        <w:rPr>
          <w:rFonts w:ascii="Arial" w:hAnsi="Arial" w:cs="Arial"/>
          <w:i/>
          <w:iCs/>
          <w:sz w:val="22"/>
          <w:szCs w:val="22"/>
        </w:rPr>
        <w:t>Long Range Planning</w:t>
      </w:r>
      <w:r w:rsidRPr="00FB3357">
        <w:rPr>
          <w:rFonts w:ascii="Arial" w:hAnsi="Arial" w:cs="Arial"/>
          <w:sz w:val="22"/>
          <w:szCs w:val="22"/>
        </w:rPr>
        <w:t>, 15(2), pp. 54–61.</w:t>
      </w:r>
    </w:p>
    <w:p w14:paraId="38F1AA79" w14:textId="04E8D693" w:rsidR="36EAF6F7" w:rsidRPr="00FB3357" w:rsidRDefault="00CB3613" w:rsidP="00FB3357">
      <w:pPr>
        <w:spacing w:before="240" w:after="240"/>
        <w:jc w:val="both"/>
        <w:rPr>
          <w:rFonts w:ascii="Arial" w:eastAsia="Arial Nova" w:hAnsi="Arial" w:cs="Arial"/>
          <w:sz w:val="22"/>
          <w:szCs w:val="22"/>
        </w:rPr>
      </w:pPr>
      <w:proofErr w:type="spellStart"/>
      <w:r w:rsidRPr="00CB3613">
        <w:rPr>
          <w:rFonts w:ascii="Arial" w:hAnsi="Arial" w:cs="Arial"/>
          <w:sz w:val="22"/>
          <w:szCs w:val="22"/>
        </w:rPr>
        <w:t>Badrtalei</w:t>
      </w:r>
      <w:proofErr w:type="spellEnd"/>
      <w:r w:rsidRPr="00CB3613">
        <w:rPr>
          <w:rFonts w:ascii="Arial" w:hAnsi="Arial" w:cs="Arial"/>
          <w:sz w:val="22"/>
          <w:szCs w:val="22"/>
        </w:rPr>
        <w:t xml:space="preserve">, J. and Bates, D.L. (2007) ‘Effect of organizational cultures on mergers and acquisitions: The case of DaimlerChrysler’, </w:t>
      </w:r>
      <w:r w:rsidRPr="00CB3613">
        <w:rPr>
          <w:rFonts w:ascii="Arial" w:hAnsi="Arial" w:cs="Arial"/>
          <w:i/>
          <w:iCs/>
          <w:sz w:val="22"/>
          <w:szCs w:val="22"/>
        </w:rPr>
        <w:t>International Journal of Management</w:t>
      </w:r>
      <w:r w:rsidRPr="00CB3613">
        <w:rPr>
          <w:rFonts w:ascii="Arial" w:hAnsi="Arial" w:cs="Arial"/>
          <w:sz w:val="22"/>
          <w:szCs w:val="22"/>
        </w:rPr>
        <w:t>, 24(2), pp. 303–317.</w:t>
      </w:r>
    </w:p>
    <w:p w14:paraId="095EDA0A" w14:textId="5650FC2F" w:rsidR="36EAF6F7" w:rsidRPr="00FB3357" w:rsidRDefault="36EAF6F7" w:rsidP="00FB3357">
      <w:pPr>
        <w:spacing w:before="240" w:after="240"/>
        <w:jc w:val="both"/>
        <w:rPr>
          <w:rFonts w:ascii="Arial" w:eastAsia="Arial Nova" w:hAnsi="Arial" w:cs="Arial"/>
          <w:sz w:val="22"/>
          <w:szCs w:val="22"/>
        </w:rPr>
      </w:pPr>
    </w:p>
    <w:p w14:paraId="3C85DCF2" w14:textId="5E59F468" w:rsidR="36EAF6F7" w:rsidRPr="00FB3357" w:rsidRDefault="36EAF6F7" w:rsidP="00FB3357">
      <w:pPr>
        <w:spacing w:before="240" w:after="240"/>
        <w:jc w:val="both"/>
        <w:rPr>
          <w:rFonts w:ascii="Arial" w:eastAsia="Arial Nova" w:hAnsi="Arial" w:cs="Arial"/>
          <w:sz w:val="22"/>
          <w:szCs w:val="22"/>
        </w:rPr>
      </w:pPr>
    </w:p>
    <w:p w14:paraId="75154223" w14:textId="6EA5B7A8" w:rsidR="36EAF6F7" w:rsidRPr="00FB3357" w:rsidRDefault="36EAF6F7" w:rsidP="00FB3357">
      <w:pPr>
        <w:spacing w:after="0"/>
        <w:jc w:val="both"/>
        <w:rPr>
          <w:rFonts w:ascii="Arial" w:hAnsi="Arial" w:cs="Arial"/>
          <w:sz w:val="22"/>
          <w:szCs w:val="22"/>
        </w:rPr>
      </w:pPr>
    </w:p>
    <w:p w14:paraId="1728BA3B" w14:textId="2D1514CE" w:rsidR="36EAF6F7" w:rsidRDefault="36EAF6F7" w:rsidP="00FB3357">
      <w:pPr>
        <w:spacing w:before="240" w:after="240"/>
        <w:jc w:val="both"/>
        <w:rPr>
          <w:rFonts w:ascii="Arial" w:eastAsia="Arial Nova" w:hAnsi="Arial" w:cs="Arial"/>
          <w:sz w:val="22"/>
          <w:szCs w:val="22"/>
        </w:rPr>
      </w:pPr>
    </w:p>
    <w:p w14:paraId="3D0F749B" w14:textId="77777777" w:rsidR="00DA3B49" w:rsidRDefault="00DA3B49" w:rsidP="00FB3357">
      <w:pPr>
        <w:spacing w:before="240" w:after="240"/>
        <w:jc w:val="both"/>
        <w:rPr>
          <w:rFonts w:ascii="Arial" w:eastAsia="Arial Nova" w:hAnsi="Arial" w:cs="Arial"/>
          <w:sz w:val="22"/>
          <w:szCs w:val="22"/>
        </w:rPr>
      </w:pPr>
    </w:p>
    <w:p w14:paraId="375F01D0" w14:textId="77777777" w:rsidR="00DA3B49" w:rsidRDefault="00DA3B49" w:rsidP="00FB3357">
      <w:pPr>
        <w:spacing w:before="240" w:after="240"/>
        <w:jc w:val="both"/>
        <w:rPr>
          <w:rFonts w:ascii="Arial" w:eastAsia="Arial Nova" w:hAnsi="Arial" w:cs="Arial"/>
          <w:sz w:val="22"/>
          <w:szCs w:val="22"/>
        </w:rPr>
      </w:pPr>
    </w:p>
    <w:p w14:paraId="609FAA68" w14:textId="77777777" w:rsidR="00DA3B49" w:rsidRDefault="00DA3B49" w:rsidP="00FB3357">
      <w:pPr>
        <w:spacing w:before="240" w:after="240"/>
        <w:jc w:val="both"/>
        <w:rPr>
          <w:rFonts w:ascii="Arial" w:eastAsia="Arial Nova" w:hAnsi="Arial" w:cs="Arial"/>
          <w:sz w:val="22"/>
          <w:szCs w:val="22"/>
        </w:rPr>
      </w:pPr>
    </w:p>
    <w:p w14:paraId="419209C5" w14:textId="77777777" w:rsidR="00DA3B49" w:rsidRDefault="00DA3B49" w:rsidP="00FB3357">
      <w:pPr>
        <w:spacing w:before="240" w:after="240"/>
        <w:jc w:val="both"/>
        <w:rPr>
          <w:rFonts w:ascii="Arial" w:eastAsia="Arial Nova" w:hAnsi="Arial" w:cs="Arial"/>
          <w:sz w:val="22"/>
          <w:szCs w:val="22"/>
        </w:rPr>
      </w:pPr>
    </w:p>
    <w:p w14:paraId="45B5694A" w14:textId="77777777" w:rsidR="00DA3B49" w:rsidRDefault="00DA3B49" w:rsidP="00FB3357">
      <w:pPr>
        <w:spacing w:before="240" w:after="240"/>
        <w:jc w:val="both"/>
        <w:rPr>
          <w:rFonts w:ascii="Arial" w:eastAsia="Arial Nova" w:hAnsi="Arial" w:cs="Arial"/>
          <w:sz w:val="22"/>
          <w:szCs w:val="22"/>
        </w:rPr>
      </w:pPr>
    </w:p>
    <w:p w14:paraId="04352BF0" w14:textId="77777777" w:rsidR="00DA3B49" w:rsidRDefault="00DA3B49" w:rsidP="00FB3357">
      <w:pPr>
        <w:spacing w:before="240" w:after="240"/>
        <w:jc w:val="both"/>
        <w:rPr>
          <w:rFonts w:ascii="Arial" w:eastAsia="Arial Nova" w:hAnsi="Arial" w:cs="Arial"/>
          <w:sz w:val="22"/>
          <w:szCs w:val="22"/>
        </w:rPr>
      </w:pPr>
    </w:p>
    <w:p w14:paraId="5B2B924C" w14:textId="77777777" w:rsidR="00DA3B49" w:rsidRDefault="00DA3B49" w:rsidP="00FB3357">
      <w:pPr>
        <w:spacing w:before="240" w:after="240"/>
        <w:jc w:val="both"/>
        <w:rPr>
          <w:rFonts w:ascii="Arial" w:eastAsia="Arial Nova" w:hAnsi="Arial" w:cs="Arial"/>
          <w:sz w:val="22"/>
          <w:szCs w:val="22"/>
        </w:rPr>
      </w:pPr>
    </w:p>
    <w:p w14:paraId="39BD7B2A" w14:textId="77777777" w:rsidR="00DA3B49" w:rsidRDefault="00DA3B49" w:rsidP="00FB3357">
      <w:pPr>
        <w:spacing w:before="240" w:after="240"/>
        <w:jc w:val="both"/>
        <w:rPr>
          <w:rFonts w:ascii="Arial" w:eastAsia="Arial Nova" w:hAnsi="Arial" w:cs="Arial"/>
          <w:sz w:val="22"/>
          <w:szCs w:val="22"/>
        </w:rPr>
      </w:pPr>
    </w:p>
    <w:p w14:paraId="487EE497" w14:textId="77777777" w:rsidR="00DA3B49" w:rsidRDefault="00DA3B49" w:rsidP="00FB3357">
      <w:pPr>
        <w:spacing w:before="240" w:after="240"/>
        <w:jc w:val="both"/>
        <w:rPr>
          <w:rFonts w:ascii="Arial" w:eastAsia="Arial Nova" w:hAnsi="Arial" w:cs="Arial"/>
          <w:sz w:val="22"/>
          <w:szCs w:val="22"/>
        </w:rPr>
      </w:pPr>
    </w:p>
    <w:p w14:paraId="727DD845" w14:textId="77777777" w:rsidR="004C4AE1" w:rsidRDefault="004C4AE1" w:rsidP="00FB3357">
      <w:pPr>
        <w:spacing w:before="240" w:after="240"/>
        <w:jc w:val="both"/>
        <w:rPr>
          <w:rFonts w:ascii="Arial" w:eastAsia="Arial Nova" w:hAnsi="Arial" w:cs="Arial"/>
          <w:sz w:val="22"/>
          <w:szCs w:val="22"/>
        </w:rPr>
      </w:pPr>
    </w:p>
    <w:p w14:paraId="5A3ECFCD" w14:textId="53C201B1" w:rsidR="004C4AE1" w:rsidRDefault="004C4AE1" w:rsidP="00E30E76">
      <w:pPr>
        <w:pStyle w:val="Heading1"/>
        <w:spacing w:after="240" w:line="278" w:lineRule="auto"/>
        <w:jc w:val="center"/>
        <w:rPr>
          <w:rFonts w:ascii="Arial" w:eastAsia="Arial Nova" w:hAnsi="Arial" w:cs="Arial"/>
          <w:b/>
          <w:bCs/>
          <w:color w:val="auto"/>
        </w:rPr>
      </w:pPr>
      <w:bookmarkStart w:id="29" w:name="_Toc234790290"/>
      <w:r w:rsidRPr="004C4AE1">
        <w:rPr>
          <w:rFonts w:ascii="Arial" w:eastAsia="Arial Nova" w:hAnsi="Arial" w:cs="Arial"/>
          <w:b/>
          <w:bCs/>
          <w:color w:val="auto"/>
        </w:rPr>
        <w:lastRenderedPageBreak/>
        <w:t>Appendices</w:t>
      </w:r>
      <w:bookmarkEnd w:id="29"/>
    </w:p>
    <w:p w14:paraId="7CDBF6E7" w14:textId="77777777" w:rsidR="0018656D" w:rsidRPr="008751E1" w:rsidRDefault="0018656D" w:rsidP="0018656D">
      <w:pPr>
        <w:pStyle w:val="Heading2"/>
        <w:spacing w:after="240"/>
        <w:rPr>
          <w:rFonts w:ascii="Arial" w:eastAsia="Arial Nova" w:hAnsi="Arial" w:cs="Arial"/>
          <w:b/>
          <w:bCs/>
          <w:color w:val="auto"/>
          <w:sz w:val="22"/>
          <w:szCs w:val="22"/>
        </w:rPr>
      </w:pPr>
      <w:bookmarkStart w:id="30" w:name="_Toc234790291"/>
      <w:r>
        <w:rPr>
          <w:rFonts w:ascii="Arial" w:eastAsia="Arial Nova" w:hAnsi="Arial" w:cs="Arial"/>
          <w:b/>
          <w:bCs/>
          <w:color w:val="auto"/>
          <w:sz w:val="22"/>
          <w:szCs w:val="22"/>
        </w:rPr>
        <w:t>Appendix 1:</w:t>
      </w:r>
      <w:r w:rsidRPr="008751E1">
        <w:rPr>
          <w:rFonts w:ascii="Arial" w:eastAsia="Arial Nova" w:hAnsi="Arial" w:cs="Arial"/>
          <w:b/>
          <w:bCs/>
          <w:color w:val="auto"/>
          <w:sz w:val="22"/>
          <w:szCs w:val="22"/>
        </w:rPr>
        <w:t xml:space="preserve"> PESTEL Analysis</w:t>
      </w:r>
      <w:bookmarkEnd w:id="30"/>
    </w:p>
    <w:p w14:paraId="1D9C05CA" w14:textId="1F1A423C" w:rsidR="0018656D" w:rsidRPr="004D7749" w:rsidRDefault="0018656D" w:rsidP="0018656D">
      <w:pPr>
        <w:jc w:val="both"/>
        <w:rPr>
          <w:rFonts w:ascii="Arial" w:hAnsi="Arial" w:cs="Arial"/>
          <w:i/>
          <w:iCs/>
          <w:sz w:val="22"/>
          <w:szCs w:val="22"/>
        </w:rPr>
      </w:pPr>
      <w:r w:rsidRPr="004D7749">
        <w:rPr>
          <w:rFonts w:ascii="Arial" w:hAnsi="Arial" w:cs="Arial"/>
          <w:i/>
          <w:iCs/>
          <w:sz w:val="22"/>
          <w:szCs w:val="22"/>
        </w:rPr>
        <w:t xml:space="preserve">Figure </w:t>
      </w:r>
      <w:r w:rsidR="00C114FE">
        <w:rPr>
          <w:rFonts w:ascii="Arial" w:hAnsi="Arial" w:cs="Arial"/>
          <w:i/>
          <w:iCs/>
          <w:sz w:val="22"/>
          <w:szCs w:val="22"/>
        </w:rPr>
        <w:t>A1</w:t>
      </w:r>
      <w:r w:rsidR="00FF4EE4">
        <w:rPr>
          <w:rFonts w:ascii="Arial" w:hAnsi="Arial" w:cs="Arial"/>
          <w:i/>
          <w:iCs/>
          <w:sz w:val="22"/>
          <w:szCs w:val="22"/>
        </w:rPr>
        <w:t>. Detailed</w:t>
      </w:r>
      <w:r w:rsidRPr="004D7749">
        <w:rPr>
          <w:rFonts w:ascii="Arial" w:hAnsi="Arial" w:cs="Arial"/>
          <w:i/>
          <w:iCs/>
          <w:sz w:val="22"/>
          <w:szCs w:val="22"/>
        </w:rPr>
        <w:t xml:space="preserve"> PESTEL </w:t>
      </w:r>
      <w:r w:rsidR="00FF4EE4">
        <w:rPr>
          <w:rFonts w:ascii="Arial" w:hAnsi="Arial" w:cs="Arial"/>
          <w:i/>
          <w:iCs/>
          <w:sz w:val="22"/>
          <w:szCs w:val="22"/>
        </w:rPr>
        <w:t>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271"/>
        <w:gridCol w:w="3827"/>
        <w:gridCol w:w="3918"/>
      </w:tblGrid>
      <w:tr w:rsidR="009A1D7A" w:rsidRPr="00FB3357" w14:paraId="18729921" w14:textId="77777777" w:rsidTr="00367012">
        <w:trPr>
          <w:tblHeader/>
          <w:tblCellSpacing w:w="15" w:type="dxa"/>
        </w:trPr>
        <w:tc>
          <w:tcPr>
            <w:tcW w:w="1226" w:type="dxa"/>
            <w:shd w:val="clear" w:color="auto" w:fill="92D050"/>
            <w:vAlign w:val="center"/>
            <w:hideMark/>
          </w:tcPr>
          <w:p w14:paraId="73FAE3B7" w14:textId="77777777" w:rsidR="009A1D7A" w:rsidRPr="00FB3357" w:rsidRDefault="009A1D7A" w:rsidP="00AC2D61">
            <w:pPr>
              <w:jc w:val="center"/>
              <w:rPr>
                <w:rFonts w:ascii="Arial" w:hAnsi="Arial" w:cs="Arial"/>
                <w:b/>
                <w:bCs/>
                <w:sz w:val="22"/>
                <w:szCs w:val="22"/>
              </w:rPr>
            </w:pPr>
            <w:r w:rsidRPr="00FB3357">
              <w:rPr>
                <w:rFonts w:ascii="Arial" w:hAnsi="Arial" w:cs="Arial"/>
                <w:b/>
                <w:bCs/>
                <w:sz w:val="22"/>
                <w:szCs w:val="22"/>
              </w:rPr>
              <w:t>Factor</w:t>
            </w:r>
          </w:p>
        </w:tc>
        <w:tc>
          <w:tcPr>
            <w:tcW w:w="3797" w:type="dxa"/>
            <w:shd w:val="clear" w:color="auto" w:fill="92D050"/>
            <w:vAlign w:val="center"/>
            <w:hideMark/>
          </w:tcPr>
          <w:p w14:paraId="7AFEC8EE" w14:textId="77777777" w:rsidR="009A1D7A" w:rsidRPr="00FB3357" w:rsidRDefault="009A1D7A" w:rsidP="00AC2D61">
            <w:pPr>
              <w:jc w:val="center"/>
              <w:rPr>
                <w:rFonts w:ascii="Arial" w:hAnsi="Arial" w:cs="Arial"/>
                <w:b/>
                <w:bCs/>
                <w:sz w:val="22"/>
                <w:szCs w:val="22"/>
              </w:rPr>
            </w:pPr>
            <w:r w:rsidRPr="00FB3357">
              <w:rPr>
                <w:rFonts w:ascii="Arial" w:hAnsi="Arial" w:cs="Arial"/>
                <w:b/>
                <w:bCs/>
                <w:sz w:val="22"/>
                <w:szCs w:val="22"/>
              </w:rPr>
              <w:t>Key External Issues</w:t>
            </w:r>
          </w:p>
        </w:tc>
        <w:tc>
          <w:tcPr>
            <w:tcW w:w="3873" w:type="dxa"/>
            <w:shd w:val="clear" w:color="auto" w:fill="92D050"/>
            <w:vAlign w:val="center"/>
            <w:hideMark/>
          </w:tcPr>
          <w:p w14:paraId="1B6F5091" w14:textId="77777777" w:rsidR="009A1D7A" w:rsidRPr="00FB3357" w:rsidRDefault="009A1D7A" w:rsidP="00AC2D61">
            <w:pPr>
              <w:jc w:val="center"/>
              <w:rPr>
                <w:rFonts w:ascii="Arial" w:hAnsi="Arial" w:cs="Arial"/>
                <w:b/>
                <w:bCs/>
                <w:sz w:val="22"/>
                <w:szCs w:val="22"/>
              </w:rPr>
            </w:pPr>
            <w:r w:rsidRPr="00FB3357">
              <w:rPr>
                <w:rFonts w:ascii="Arial" w:hAnsi="Arial" w:cs="Arial"/>
                <w:b/>
                <w:bCs/>
                <w:sz w:val="22"/>
                <w:szCs w:val="22"/>
              </w:rPr>
              <w:t>Strategic Implications for VodafoneThree</w:t>
            </w:r>
          </w:p>
        </w:tc>
      </w:tr>
      <w:tr w:rsidR="009A1D7A" w:rsidRPr="00FB3357" w14:paraId="7920BA3E" w14:textId="77777777" w:rsidTr="00367012">
        <w:trPr>
          <w:tblCellSpacing w:w="15" w:type="dxa"/>
        </w:trPr>
        <w:tc>
          <w:tcPr>
            <w:tcW w:w="1226" w:type="dxa"/>
            <w:shd w:val="clear" w:color="auto" w:fill="83CAEB" w:themeFill="accent1" w:themeFillTint="66"/>
            <w:vAlign w:val="center"/>
            <w:hideMark/>
          </w:tcPr>
          <w:p w14:paraId="7F694147" w14:textId="77777777" w:rsidR="009A1D7A" w:rsidRPr="00FB3357" w:rsidRDefault="009A1D7A" w:rsidP="00AC2D61">
            <w:pPr>
              <w:jc w:val="center"/>
              <w:rPr>
                <w:rFonts w:ascii="Arial" w:hAnsi="Arial" w:cs="Arial"/>
                <w:sz w:val="22"/>
                <w:szCs w:val="22"/>
              </w:rPr>
            </w:pPr>
            <w:r w:rsidRPr="00FB3357">
              <w:rPr>
                <w:rFonts w:ascii="Arial" w:hAnsi="Arial" w:cs="Arial"/>
                <w:b/>
                <w:bCs/>
                <w:sz w:val="22"/>
                <w:szCs w:val="22"/>
              </w:rPr>
              <w:t>Political</w:t>
            </w:r>
          </w:p>
        </w:tc>
        <w:tc>
          <w:tcPr>
            <w:tcW w:w="3797" w:type="dxa"/>
            <w:vAlign w:val="center"/>
            <w:hideMark/>
          </w:tcPr>
          <w:p w14:paraId="03FA4D23"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UK industrial policy supporting digital infrastructure; merger commitments imposed by the CMA; spectrum regulation (Competition and Markets Authority, 2024; Ofcom, 2025)</w:t>
            </w:r>
          </w:p>
        </w:tc>
        <w:tc>
          <w:tcPr>
            <w:tcW w:w="3873" w:type="dxa"/>
            <w:vAlign w:val="center"/>
            <w:hideMark/>
          </w:tcPr>
          <w:p w14:paraId="346DF36F"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Government support for digital investment creates opportunities for network expansion, but legally binding commitments reduce strategic flexibility and increase accountability.</w:t>
            </w:r>
          </w:p>
        </w:tc>
      </w:tr>
      <w:tr w:rsidR="009A1D7A" w:rsidRPr="00FB3357" w14:paraId="765EB6D6" w14:textId="77777777" w:rsidTr="00367012">
        <w:trPr>
          <w:tblCellSpacing w:w="15" w:type="dxa"/>
        </w:trPr>
        <w:tc>
          <w:tcPr>
            <w:tcW w:w="1226" w:type="dxa"/>
            <w:shd w:val="clear" w:color="auto" w:fill="83CAEB" w:themeFill="accent1" w:themeFillTint="66"/>
            <w:vAlign w:val="center"/>
            <w:hideMark/>
          </w:tcPr>
          <w:p w14:paraId="7795E351" w14:textId="77777777" w:rsidR="009A1D7A" w:rsidRPr="00FB3357" w:rsidRDefault="009A1D7A" w:rsidP="00AC2D61">
            <w:pPr>
              <w:jc w:val="center"/>
              <w:rPr>
                <w:rFonts w:ascii="Arial" w:hAnsi="Arial" w:cs="Arial"/>
                <w:sz w:val="22"/>
                <w:szCs w:val="22"/>
              </w:rPr>
            </w:pPr>
            <w:r w:rsidRPr="00FB3357">
              <w:rPr>
                <w:rFonts w:ascii="Arial" w:hAnsi="Arial" w:cs="Arial"/>
                <w:b/>
                <w:bCs/>
                <w:sz w:val="22"/>
                <w:szCs w:val="22"/>
              </w:rPr>
              <w:t>Economic</w:t>
            </w:r>
          </w:p>
        </w:tc>
        <w:tc>
          <w:tcPr>
            <w:tcW w:w="3797" w:type="dxa"/>
            <w:vAlign w:val="center"/>
            <w:hideMark/>
          </w:tcPr>
          <w:p w14:paraId="4C3E91F0"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Inflation, cost-of-living pressures, high capital expenditure requirements, increasing enterprise digitalisation (Organisation for Economic Co-operation and Development, 2024; Vodafone Group, 2025)</w:t>
            </w:r>
          </w:p>
        </w:tc>
        <w:tc>
          <w:tcPr>
            <w:tcW w:w="3873" w:type="dxa"/>
            <w:vAlign w:val="center"/>
            <w:hideMark/>
          </w:tcPr>
          <w:p w14:paraId="1771733D"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Consumer spending remains constrained, increasing pressure on value propositions, while enterprise demand offers higher-margin growth opportunities.</w:t>
            </w:r>
          </w:p>
        </w:tc>
      </w:tr>
      <w:tr w:rsidR="009A1D7A" w:rsidRPr="00FB3357" w14:paraId="0E7D8CDA" w14:textId="77777777" w:rsidTr="00367012">
        <w:trPr>
          <w:tblCellSpacing w:w="15" w:type="dxa"/>
        </w:trPr>
        <w:tc>
          <w:tcPr>
            <w:tcW w:w="1226" w:type="dxa"/>
            <w:shd w:val="clear" w:color="auto" w:fill="83CAEB" w:themeFill="accent1" w:themeFillTint="66"/>
            <w:vAlign w:val="center"/>
            <w:hideMark/>
          </w:tcPr>
          <w:p w14:paraId="2A991B1E" w14:textId="77777777" w:rsidR="009A1D7A" w:rsidRPr="00FB3357" w:rsidRDefault="009A1D7A" w:rsidP="00AC2D61">
            <w:pPr>
              <w:jc w:val="center"/>
              <w:rPr>
                <w:rFonts w:ascii="Arial" w:hAnsi="Arial" w:cs="Arial"/>
                <w:sz w:val="22"/>
                <w:szCs w:val="22"/>
              </w:rPr>
            </w:pPr>
            <w:r w:rsidRPr="00FB3357">
              <w:rPr>
                <w:rFonts w:ascii="Arial" w:hAnsi="Arial" w:cs="Arial"/>
                <w:b/>
                <w:bCs/>
                <w:sz w:val="22"/>
                <w:szCs w:val="22"/>
              </w:rPr>
              <w:t>Social</w:t>
            </w:r>
          </w:p>
        </w:tc>
        <w:tc>
          <w:tcPr>
            <w:tcW w:w="3797" w:type="dxa"/>
            <w:vAlign w:val="center"/>
            <w:hideMark/>
          </w:tcPr>
          <w:p w14:paraId="4EB20C9D"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Growth in remote working, digital lifestyles, ageing population, increasing expectations for reliable connectivity (OECD, 2024; GSMA, 2025)</w:t>
            </w:r>
          </w:p>
        </w:tc>
        <w:tc>
          <w:tcPr>
            <w:tcW w:w="3873" w:type="dxa"/>
            <w:vAlign w:val="center"/>
            <w:hideMark/>
          </w:tcPr>
          <w:p w14:paraId="1F9ABE26"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Customer expectations increasingly extend beyond price towards network quality, reliability and digital services, making customer experience a strategic differentiator.</w:t>
            </w:r>
          </w:p>
        </w:tc>
      </w:tr>
      <w:tr w:rsidR="009A1D7A" w:rsidRPr="00FB3357" w14:paraId="515BCD41" w14:textId="77777777" w:rsidTr="00367012">
        <w:trPr>
          <w:tblCellSpacing w:w="15" w:type="dxa"/>
        </w:trPr>
        <w:tc>
          <w:tcPr>
            <w:tcW w:w="1226" w:type="dxa"/>
            <w:shd w:val="clear" w:color="auto" w:fill="83CAEB" w:themeFill="accent1" w:themeFillTint="66"/>
            <w:vAlign w:val="center"/>
            <w:hideMark/>
          </w:tcPr>
          <w:p w14:paraId="019140E5" w14:textId="77777777" w:rsidR="009A1D7A" w:rsidRPr="00FB3357" w:rsidRDefault="009A1D7A" w:rsidP="00AC2D61">
            <w:pPr>
              <w:jc w:val="center"/>
              <w:rPr>
                <w:rFonts w:ascii="Arial" w:hAnsi="Arial" w:cs="Arial"/>
                <w:sz w:val="22"/>
                <w:szCs w:val="22"/>
              </w:rPr>
            </w:pPr>
            <w:r w:rsidRPr="00FB3357">
              <w:rPr>
                <w:rFonts w:ascii="Arial" w:hAnsi="Arial" w:cs="Arial"/>
                <w:b/>
                <w:bCs/>
                <w:sz w:val="22"/>
                <w:szCs w:val="22"/>
              </w:rPr>
              <w:t>Technological</w:t>
            </w:r>
          </w:p>
        </w:tc>
        <w:tc>
          <w:tcPr>
            <w:tcW w:w="3797" w:type="dxa"/>
            <w:vAlign w:val="center"/>
            <w:hideMark/>
          </w:tcPr>
          <w:p w14:paraId="3C733F6C"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Expansion of 5G Standalone, AI, IoT, cloud computing, edge computing and cybersecurity (GSMA, 2025; Vodafone Group, 2025)</w:t>
            </w:r>
          </w:p>
        </w:tc>
        <w:tc>
          <w:tcPr>
            <w:tcW w:w="3873" w:type="dxa"/>
            <w:vAlign w:val="center"/>
            <w:hideMark/>
          </w:tcPr>
          <w:p w14:paraId="2C54EED9"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Technology enables new enterprise revenue streams but also accelerates innovation cycles, requiring continuous investment and capability development.</w:t>
            </w:r>
          </w:p>
        </w:tc>
      </w:tr>
      <w:tr w:rsidR="009A1D7A" w:rsidRPr="00FB3357" w14:paraId="7A2AD996" w14:textId="77777777" w:rsidTr="00367012">
        <w:trPr>
          <w:tblCellSpacing w:w="15" w:type="dxa"/>
        </w:trPr>
        <w:tc>
          <w:tcPr>
            <w:tcW w:w="1226" w:type="dxa"/>
            <w:shd w:val="clear" w:color="auto" w:fill="83CAEB" w:themeFill="accent1" w:themeFillTint="66"/>
            <w:vAlign w:val="center"/>
            <w:hideMark/>
          </w:tcPr>
          <w:p w14:paraId="49DE08F6" w14:textId="77777777" w:rsidR="009A1D7A" w:rsidRPr="00FB3357" w:rsidRDefault="009A1D7A" w:rsidP="00AC2D61">
            <w:pPr>
              <w:jc w:val="center"/>
              <w:rPr>
                <w:rFonts w:ascii="Arial" w:hAnsi="Arial" w:cs="Arial"/>
                <w:sz w:val="22"/>
                <w:szCs w:val="22"/>
              </w:rPr>
            </w:pPr>
            <w:r w:rsidRPr="00FB3357">
              <w:rPr>
                <w:rFonts w:ascii="Arial" w:hAnsi="Arial" w:cs="Arial"/>
                <w:b/>
                <w:bCs/>
                <w:sz w:val="22"/>
                <w:szCs w:val="22"/>
              </w:rPr>
              <w:t>Environmental</w:t>
            </w:r>
          </w:p>
        </w:tc>
        <w:tc>
          <w:tcPr>
            <w:tcW w:w="3797" w:type="dxa"/>
            <w:vAlign w:val="center"/>
            <w:hideMark/>
          </w:tcPr>
          <w:p w14:paraId="660A90BE"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Net-zero commitments, energy-intensive network infrastructure, digital inclusion expectations (Vodafone Group, 2025; GSMA, 2025)</w:t>
            </w:r>
          </w:p>
        </w:tc>
        <w:tc>
          <w:tcPr>
            <w:tcW w:w="3873" w:type="dxa"/>
            <w:vAlign w:val="center"/>
            <w:hideMark/>
          </w:tcPr>
          <w:p w14:paraId="3E5FBEE3"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Sustainability increasingly influences investor confidence, regulatory legitimacy and operational efficiency, requiring energy-efficient infrastructure investment.</w:t>
            </w:r>
          </w:p>
        </w:tc>
      </w:tr>
      <w:tr w:rsidR="009A1D7A" w:rsidRPr="00FB3357" w14:paraId="5A623080" w14:textId="77777777" w:rsidTr="00367012">
        <w:trPr>
          <w:trHeight w:val="1517"/>
          <w:tblCellSpacing w:w="15" w:type="dxa"/>
        </w:trPr>
        <w:tc>
          <w:tcPr>
            <w:tcW w:w="1226" w:type="dxa"/>
            <w:shd w:val="clear" w:color="auto" w:fill="83CAEB" w:themeFill="accent1" w:themeFillTint="66"/>
            <w:vAlign w:val="center"/>
            <w:hideMark/>
          </w:tcPr>
          <w:p w14:paraId="58EA4880" w14:textId="77777777" w:rsidR="009A1D7A" w:rsidRPr="00FB3357" w:rsidRDefault="009A1D7A" w:rsidP="00AC2D61">
            <w:pPr>
              <w:jc w:val="center"/>
              <w:rPr>
                <w:rFonts w:ascii="Arial" w:hAnsi="Arial" w:cs="Arial"/>
                <w:sz w:val="22"/>
                <w:szCs w:val="22"/>
              </w:rPr>
            </w:pPr>
            <w:r w:rsidRPr="00FB3357">
              <w:rPr>
                <w:rFonts w:ascii="Arial" w:hAnsi="Arial" w:cs="Arial"/>
                <w:b/>
                <w:bCs/>
                <w:sz w:val="22"/>
                <w:szCs w:val="22"/>
              </w:rPr>
              <w:t>Legal</w:t>
            </w:r>
          </w:p>
        </w:tc>
        <w:tc>
          <w:tcPr>
            <w:tcW w:w="3797" w:type="dxa"/>
            <w:vAlign w:val="center"/>
            <w:hideMark/>
          </w:tcPr>
          <w:p w14:paraId="2EEC3DD4"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GDPR, cybersecurity regulation, competition law, telecommunications compliance obligations (Ofcom, 2025; CMA, 2024)</w:t>
            </w:r>
          </w:p>
        </w:tc>
        <w:tc>
          <w:tcPr>
            <w:tcW w:w="3873" w:type="dxa"/>
            <w:vAlign w:val="center"/>
            <w:hideMark/>
          </w:tcPr>
          <w:p w14:paraId="380CB400" w14:textId="77777777" w:rsidR="009A1D7A" w:rsidRPr="00FB3357" w:rsidRDefault="009A1D7A" w:rsidP="00AC2D61">
            <w:pPr>
              <w:jc w:val="center"/>
              <w:rPr>
                <w:rFonts w:ascii="Arial" w:hAnsi="Arial" w:cs="Arial"/>
                <w:sz w:val="22"/>
                <w:szCs w:val="22"/>
              </w:rPr>
            </w:pPr>
            <w:r w:rsidRPr="00FB3357">
              <w:rPr>
                <w:rFonts w:ascii="Arial" w:hAnsi="Arial" w:cs="Arial"/>
                <w:sz w:val="22"/>
                <w:szCs w:val="22"/>
              </w:rPr>
              <w:t>Compliance has become a strategic capability, as regulatory failures could undermine both financial performance and corporate reputation.</w:t>
            </w:r>
          </w:p>
        </w:tc>
      </w:tr>
    </w:tbl>
    <w:p w14:paraId="147E1184" w14:textId="77777777" w:rsidR="00367012" w:rsidRDefault="00367012" w:rsidP="00367012">
      <w:pPr>
        <w:spacing w:after="240" w:line="278" w:lineRule="auto"/>
        <w:jc w:val="both"/>
        <w:rPr>
          <w:rFonts w:ascii="Arial" w:hAnsi="Arial" w:cs="Arial"/>
          <w:i/>
          <w:iCs/>
          <w:sz w:val="22"/>
          <w:szCs w:val="22"/>
        </w:rPr>
      </w:pPr>
      <w:r w:rsidRPr="00FB3357">
        <w:rPr>
          <w:rFonts w:ascii="Arial" w:hAnsi="Arial" w:cs="Arial"/>
          <w:i/>
          <w:iCs/>
          <w:sz w:val="22"/>
          <w:szCs w:val="22"/>
        </w:rPr>
        <w:t>Source: Author's analysis.</w:t>
      </w:r>
    </w:p>
    <w:p w14:paraId="4BB50B57" w14:textId="38F329CB" w:rsidR="00C371C6" w:rsidRPr="0044578F" w:rsidRDefault="00C371C6" w:rsidP="00C371C6">
      <w:pPr>
        <w:pStyle w:val="Heading2"/>
        <w:spacing w:before="299" w:after="299"/>
        <w:jc w:val="both"/>
        <w:rPr>
          <w:rFonts w:ascii="Arial" w:hAnsi="Arial" w:cs="Arial"/>
          <w:b/>
          <w:bCs/>
          <w:color w:val="auto"/>
          <w:sz w:val="22"/>
          <w:szCs w:val="22"/>
        </w:rPr>
      </w:pPr>
      <w:bookmarkStart w:id="31" w:name="_Toc234790292"/>
      <w:r w:rsidRPr="0044578F">
        <w:rPr>
          <w:rFonts w:ascii="Arial" w:hAnsi="Arial" w:cs="Arial"/>
          <w:b/>
          <w:bCs/>
          <w:color w:val="auto"/>
          <w:sz w:val="22"/>
          <w:szCs w:val="22"/>
        </w:rPr>
        <w:lastRenderedPageBreak/>
        <w:t xml:space="preserve">Appendix 2: </w:t>
      </w:r>
      <w:r w:rsidRPr="0044578F">
        <w:rPr>
          <w:rFonts w:ascii="Arial" w:eastAsia="Arial Nova" w:hAnsi="Arial" w:cs="Arial"/>
          <w:b/>
          <w:bCs/>
          <w:color w:val="auto"/>
          <w:sz w:val="22"/>
          <w:szCs w:val="22"/>
        </w:rPr>
        <w:t>Porter's Five Forces Analysis</w:t>
      </w:r>
      <w:bookmarkEnd w:id="31"/>
      <w:r w:rsidRPr="0044578F">
        <w:rPr>
          <w:rFonts w:ascii="Arial" w:eastAsia="Arial Nova" w:hAnsi="Arial" w:cs="Arial"/>
          <w:b/>
          <w:bCs/>
          <w:color w:val="auto"/>
          <w:sz w:val="22"/>
          <w:szCs w:val="22"/>
        </w:rPr>
        <w:t xml:space="preserve"> </w:t>
      </w:r>
    </w:p>
    <w:p w14:paraId="7B80E896" w14:textId="61FBC39B" w:rsidR="00C371C6" w:rsidRPr="004D7749" w:rsidRDefault="00C371C6" w:rsidP="00C371C6">
      <w:pPr>
        <w:jc w:val="both"/>
        <w:rPr>
          <w:rFonts w:ascii="Arial" w:hAnsi="Arial" w:cs="Arial"/>
          <w:i/>
          <w:iCs/>
          <w:sz w:val="22"/>
          <w:szCs w:val="22"/>
        </w:rPr>
      </w:pPr>
      <w:r w:rsidRPr="004D7749">
        <w:rPr>
          <w:rFonts w:ascii="Arial" w:hAnsi="Arial" w:cs="Arial"/>
          <w:i/>
          <w:iCs/>
          <w:sz w:val="22"/>
          <w:szCs w:val="22"/>
        </w:rPr>
        <w:t xml:space="preserve">Figure </w:t>
      </w:r>
      <w:r w:rsidR="00001A1C">
        <w:rPr>
          <w:rFonts w:ascii="Arial" w:hAnsi="Arial" w:cs="Arial"/>
          <w:i/>
          <w:iCs/>
          <w:sz w:val="22"/>
          <w:szCs w:val="22"/>
        </w:rPr>
        <w:t>A2</w:t>
      </w:r>
      <w:r w:rsidR="00FA1A4C">
        <w:rPr>
          <w:rFonts w:ascii="Arial" w:hAnsi="Arial" w:cs="Arial"/>
          <w:i/>
          <w:iCs/>
          <w:sz w:val="22"/>
          <w:szCs w:val="22"/>
        </w:rPr>
        <w:t xml:space="preserve">. Detailed </w:t>
      </w:r>
      <w:r w:rsidRPr="004D7749">
        <w:rPr>
          <w:rFonts w:ascii="Arial" w:hAnsi="Arial" w:cs="Arial"/>
          <w:i/>
          <w:iCs/>
          <w:sz w:val="22"/>
          <w:szCs w:val="22"/>
        </w:rPr>
        <w:t xml:space="preserve">Porter's Five Forces </w:t>
      </w:r>
      <w:r w:rsidR="00FA1A4C">
        <w:rPr>
          <w:rFonts w:ascii="Arial" w:hAnsi="Arial" w:cs="Arial"/>
          <w:i/>
          <w:iCs/>
          <w:sz w:val="22"/>
          <w:szCs w:val="22"/>
        </w:rPr>
        <w:t>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4"/>
        <w:gridCol w:w="1058"/>
        <w:gridCol w:w="3192"/>
        <w:gridCol w:w="3282"/>
      </w:tblGrid>
      <w:tr w:rsidR="004679D4" w:rsidRPr="00FB3357" w14:paraId="2D50B5FF" w14:textId="77777777" w:rsidTr="00AC2D61">
        <w:trPr>
          <w:tblHeader/>
          <w:tblCellSpacing w:w="15" w:type="dxa"/>
        </w:trPr>
        <w:tc>
          <w:tcPr>
            <w:tcW w:w="0" w:type="auto"/>
            <w:shd w:val="clear" w:color="auto" w:fill="92D050"/>
            <w:vAlign w:val="center"/>
            <w:hideMark/>
          </w:tcPr>
          <w:p w14:paraId="1E5F698F" w14:textId="77777777" w:rsidR="004679D4" w:rsidRPr="00FB3357" w:rsidRDefault="004679D4" w:rsidP="00AC2D61">
            <w:pPr>
              <w:jc w:val="center"/>
              <w:rPr>
                <w:rFonts w:ascii="Arial" w:hAnsi="Arial" w:cs="Arial"/>
                <w:b/>
                <w:bCs/>
                <w:sz w:val="22"/>
                <w:szCs w:val="22"/>
              </w:rPr>
            </w:pPr>
            <w:r w:rsidRPr="00FB3357">
              <w:rPr>
                <w:rFonts w:ascii="Arial" w:hAnsi="Arial" w:cs="Arial"/>
                <w:b/>
                <w:bCs/>
                <w:sz w:val="22"/>
                <w:szCs w:val="22"/>
              </w:rPr>
              <w:t>Competitive Force</w:t>
            </w:r>
          </w:p>
        </w:tc>
        <w:tc>
          <w:tcPr>
            <w:tcW w:w="0" w:type="auto"/>
            <w:shd w:val="clear" w:color="auto" w:fill="92D050"/>
            <w:vAlign w:val="center"/>
            <w:hideMark/>
          </w:tcPr>
          <w:p w14:paraId="4D615316" w14:textId="77777777" w:rsidR="004679D4" w:rsidRPr="00FB3357" w:rsidRDefault="004679D4" w:rsidP="00AC2D61">
            <w:pPr>
              <w:jc w:val="center"/>
              <w:rPr>
                <w:rFonts w:ascii="Arial" w:hAnsi="Arial" w:cs="Arial"/>
                <w:b/>
                <w:bCs/>
                <w:sz w:val="22"/>
                <w:szCs w:val="22"/>
              </w:rPr>
            </w:pPr>
            <w:r w:rsidRPr="00FB3357">
              <w:rPr>
                <w:rFonts w:ascii="Arial" w:hAnsi="Arial" w:cs="Arial"/>
                <w:b/>
                <w:bCs/>
                <w:sz w:val="22"/>
                <w:szCs w:val="22"/>
              </w:rPr>
              <w:t>Intensity</w:t>
            </w:r>
          </w:p>
        </w:tc>
        <w:tc>
          <w:tcPr>
            <w:tcW w:w="0" w:type="auto"/>
            <w:shd w:val="clear" w:color="auto" w:fill="92D050"/>
            <w:vAlign w:val="center"/>
            <w:hideMark/>
          </w:tcPr>
          <w:p w14:paraId="29BD5F6A" w14:textId="77777777" w:rsidR="004679D4" w:rsidRPr="00FB3357" w:rsidRDefault="004679D4" w:rsidP="00AC2D61">
            <w:pPr>
              <w:jc w:val="center"/>
              <w:rPr>
                <w:rFonts w:ascii="Arial" w:hAnsi="Arial" w:cs="Arial"/>
                <w:b/>
                <w:bCs/>
                <w:sz w:val="22"/>
                <w:szCs w:val="22"/>
              </w:rPr>
            </w:pPr>
            <w:r w:rsidRPr="00FB3357">
              <w:rPr>
                <w:rFonts w:ascii="Arial" w:hAnsi="Arial" w:cs="Arial"/>
                <w:b/>
                <w:bCs/>
                <w:sz w:val="22"/>
                <w:szCs w:val="22"/>
              </w:rPr>
              <w:t>Evidence</w:t>
            </w:r>
          </w:p>
        </w:tc>
        <w:tc>
          <w:tcPr>
            <w:tcW w:w="0" w:type="auto"/>
            <w:shd w:val="clear" w:color="auto" w:fill="92D050"/>
            <w:vAlign w:val="center"/>
            <w:hideMark/>
          </w:tcPr>
          <w:p w14:paraId="610238FA" w14:textId="77777777" w:rsidR="004679D4" w:rsidRPr="00FB3357" w:rsidRDefault="004679D4" w:rsidP="00AC2D61">
            <w:pPr>
              <w:jc w:val="center"/>
              <w:rPr>
                <w:rFonts w:ascii="Arial" w:hAnsi="Arial" w:cs="Arial"/>
                <w:b/>
                <w:bCs/>
                <w:sz w:val="22"/>
                <w:szCs w:val="22"/>
              </w:rPr>
            </w:pPr>
            <w:r w:rsidRPr="00FB3357">
              <w:rPr>
                <w:rFonts w:ascii="Arial" w:hAnsi="Arial" w:cs="Arial"/>
                <w:b/>
                <w:bCs/>
                <w:sz w:val="22"/>
                <w:szCs w:val="22"/>
              </w:rPr>
              <w:t>Strategic Implication for VodafoneThree</w:t>
            </w:r>
          </w:p>
        </w:tc>
      </w:tr>
      <w:tr w:rsidR="004679D4" w:rsidRPr="00FB3357" w14:paraId="6FDCBAE1" w14:textId="77777777" w:rsidTr="00AC2D61">
        <w:trPr>
          <w:tblCellSpacing w:w="15" w:type="dxa"/>
        </w:trPr>
        <w:tc>
          <w:tcPr>
            <w:tcW w:w="0" w:type="auto"/>
            <w:shd w:val="clear" w:color="auto" w:fill="83CAEB" w:themeFill="accent1" w:themeFillTint="66"/>
            <w:vAlign w:val="center"/>
            <w:hideMark/>
          </w:tcPr>
          <w:p w14:paraId="0C62D60D"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Competitive Rivalry</w:t>
            </w:r>
          </w:p>
        </w:tc>
        <w:tc>
          <w:tcPr>
            <w:tcW w:w="0" w:type="auto"/>
            <w:vAlign w:val="center"/>
            <w:hideMark/>
          </w:tcPr>
          <w:p w14:paraId="46BA5F1A"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High</w:t>
            </w:r>
          </w:p>
        </w:tc>
        <w:tc>
          <w:tcPr>
            <w:tcW w:w="0" w:type="auto"/>
            <w:vAlign w:val="center"/>
            <w:hideMark/>
          </w:tcPr>
          <w:p w14:paraId="76DF52FE"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Competition from EE, Virgin Media O2 and MVNOs; continued investment in 5G and bundled services. (Michael Porter, 2008; Ofcom, 2025; Vodafone Group, 2025).</w:t>
            </w:r>
          </w:p>
        </w:tc>
        <w:tc>
          <w:tcPr>
            <w:tcW w:w="0" w:type="auto"/>
            <w:vAlign w:val="center"/>
            <w:hideMark/>
          </w:tcPr>
          <w:p w14:paraId="707FBF59"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Although the merger increases scale, VodafoneThree must differentiate through customer value and enterprise solutions rather than competing primarily on price.</w:t>
            </w:r>
          </w:p>
        </w:tc>
      </w:tr>
      <w:tr w:rsidR="004679D4" w:rsidRPr="00FB3357" w14:paraId="0DA588F8" w14:textId="77777777" w:rsidTr="00AC2D61">
        <w:trPr>
          <w:tblCellSpacing w:w="15" w:type="dxa"/>
        </w:trPr>
        <w:tc>
          <w:tcPr>
            <w:tcW w:w="0" w:type="auto"/>
            <w:shd w:val="clear" w:color="auto" w:fill="83CAEB" w:themeFill="accent1" w:themeFillTint="66"/>
            <w:vAlign w:val="center"/>
            <w:hideMark/>
          </w:tcPr>
          <w:p w14:paraId="01FA4C31"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Threat of New Entrants</w:t>
            </w:r>
          </w:p>
        </w:tc>
        <w:tc>
          <w:tcPr>
            <w:tcW w:w="0" w:type="auto"/>
            <w:vAlign w:val="center"/>
            <w:hideMark/>
          </w:tcPr>
          <w:p w14:paraId="7A49B06A"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Low</w:t>
            </w:r>
          </w:p>
        </w:tc>
        <w:tc>
          <w:tcPr>
            <w:tcW w:w="0" w:type="auto"/>
            <w:vAlign w:val="center"/>
            <w:hideMark/>
          </w:tcPr>
          <w:p w14:paraId="7801D0B0"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Significant spectrum requirements, infrastructure costs and regulatory barriers. (Porter, 2008; Ofcom, 2025; CMA, 2024).</w:t>
            </w:r>
          </w:p>
        </w:tc>
        <w:tc>
          <w:tcPr>
            <w:tcW w:w="0" w:type="auto"/>
            <w:vAlign w:val="center"/>
            <w:hideMark/>
          </w:tcPr>
          <w:p w14:paraId="78AFDC5B"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Large-scale network ownership continues to protect established operators, although digital service providers may compete in selected segments.</w:t>
            </w:r>
          </w:p>
        </w:tc>
      </w:tr>
      <w:tr w:rsidR="004679D4" w:rsidRPr="00FB3357" w14:paraId="3C73AD43" w14:textId="77777777" w:rsidTr="00AC2D61">
        <w:trPr>
          <w:tblCellSpacing w:w="15" w:type="dxa"/>
        </w:trPr>
        <w:tc>
          <w:tcPr>
            <w:tcW w:w="0" w:type="auto"/>
            <w:shd w:val="clear" w:color="auto" w:fill="83CAEB" w:themeFill="accent1" w:themeFillTint="66"/>
            <w:vAlign w:val="center"/>
            <w:hideMark/>
          </w:tcPr>
          <w:p w14:paraId="228459F4"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Buyer Power</w:t>
            </w:r>
          </w:p>
        </w:tc>
        <w:tc>
          <w:tcPr>
            <w:tcW w:w="0" w:type="auto"/>
            <w:vAlign w:val="center"/>
            <w:hideMark/>
          </w:tcPr>
          <w:p w14:paraId="4A7BA089"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High</w:t>
            </w:r>
          </w:p>
        </w:tc>
        <w:tc>
          <w:tcPr>
            <w:tcW w:w="0" w:type="auto"/>
            <w:vAlign w:val="center"/>
            <w:hideMark/>
          </w:tcPr>
          <w:p w14:paraId="03CA78C5"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Low switching costs, number portability, price comparison platforms and frequent promotional offers. (Porter, 2008; Ofcom, 2025).</w:t>
            </w:r>
          </w:p>
        </w:tc>
        <w:tc>
          <w:tcPr>
            <w:tcW w:w="0" w:type="auto"/>
            <w:vAlign w:val="center"/>
            <w:hideMark/>
          </w:tcPr>
          <w:p w14:paraId="0987DE9C"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Customer retention, service quality and value-added services become increasingly important to reduce churn.</w:t>
            </w:r>
          </w:p>
        </w:tc>
      </w:tr>
      <w:tr w:rsidR="004679D4" w:rsidRPr="00FB3357" w14:paraId="58523E5A" w14:textId="77777777" w:rsidTr="00AC2D61">
        <w:trPr>
          <w:tblCellSpacing w:w="15" w:type="dxa"/>
        </w:trPr>
        <w:tc>
          <w:tcPr>
            <w:tcW w:w="0" w:type="auto"/>
            <w:shd w:val="clear" w:color="auto" w:fill="83CAEB" w:themeFill="accent1" w:themeFillTint="66"/>
            <w:vAlign w:val="center"/>
            <w:hideMark/>
          </w:tcPr>
          <w:p w14:paraId="3CCAABB9"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Supplier Power</w:t>
            </w:r>
          </w:p>
        </w:tc>
        <w:tc>
          <w:tcPr>
            <w:tcW w:w="0" w:type="auto"/>
            <w:vAlign w:val="center"/>
            <w:hideMark/>
          </w:tcPr>
          <w:p w14:paraId="462A9D84"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Moderate</w:t>
            </w:r>
          </w:p>
        </w:tc>
        <w:tc>
          <w:tcPr>
            <w:tcW w:w="0" w:type="auto"/>
            <w:vAlign w:val="center"/>
            <w:hideMark/>
          </w:tcPr>
          <w:p w14:paraId="6BE9AB77"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Dependence on a limited number of network equipment suppliers, cloud providers and spectrum availability. (Porter, 2008; GSMA, 2025; Vodafone Group, 2025).</w:t>
            </w:r>
          </w:p>
        </w:tc>
        <w:tc>
          <w:tcPr>
            <w:tcW w:w="0" w:type="auto"/>
            <w:vAlign w:val="center"/>
            <w:hideMark/>
          </w:tcPr>
          <w:p w14:paraId="7E63DE40"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Strategic partnerships and supply chain resilience are increasingly important for technology deployment and cost control.</w:t>
            </w:r>
          </w:p>
        </w:tc>
      </w:tr>
      <w:tr w:rsidR="004679D4" w:rsidRPr="00FB3357" w14:paraId="2AE403A5" w14:textId="77777777" w:rsidTr="00AC2D61">
        <w:trPr>
          <w:tblCellSpacing w:w="15" w:type="dxa"/>
        </w:trPr>
        <w:tc>
          <w:tcPr>
            <w:tcW w:w="0" w:type="auto"/>
            <w:shd w:val="clear" w:color="auto" w:fill="83CAEB" w:themeFill="accent1" w:themeFillTint="66"/>
            <w:vAlign w:val="center"/>
            <w:hideMark/>
          </w:tcPr>
          <w:p w14:paraId="662EDB55"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Threat of Substitutes</w:t>
            </w:r>
          </w:p>
        </w:tc>
        <w:tc>
          <w:tcPr>
            <w:tcW w:w="0" w:type="auto"/>
            <w:vAlign w:val="center"/>
            <w:hideMark/>
          </w:tcPr>
          <w:p w14:paraId="2EA14783" w14:textId="77777777" w:rsidR="004679D4" w:rsidRPr="00FB3357" w:rsidRDefault="004679D4" w:rsidP="00AC2D61">
            <w:pPr>
              <w:jc w:val="center"/>
              <w:rPr>
                <w:rFonts w:ascii="Arial" w:hAnsi="Arial" w:cs="Arial"/>
                <w:sz w:val="22"/>
                <w:szCs w:val="22"/>
              </w:rPr>
            </w:pPr>
            <w:r w:rsidRPr="00FB3357">
              <w:rPr>
                <w:rFonts w:ascii="Arial" w:hAnsi="Arial" w:cs="Arial"/>
                <w:b/>
                <w:bCs/>
                <w:sz w:val="22"/>
                <w:szCs w:val="22"/>
              </w:rPr>
              <w:t>Moderate</w:t>
            </w:r>
          </w:p>
        </w:tc>
        <w:tc>
          <w:tcPr>
            <w:tcW w:w="0" w:type="auto"/>
            <w:vAlign w:val="center"/>
            <w:hideMark/>
          </w:tcPr>
          <w:p w14:paraId="7C413B30"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Wi-Fi, fixed broadband convergence, satellite connectivity and digital communication platforms. (Porter, 2008; GSMA, 2025).</w:t>
            </w:r>
          </w:p>
        </w:tc>
        <w:tc>
          <w:tcPr>
            <w:tcW w:w="0" w:type="auto"/>
            <w:vAlign w:val="center"/>
            <w:hideMark/>
          </w:tcPr>
          <w:p w14:paraId="6D888F07" w14:textId="77777777" w:rsidR="004679D4" w:rsidRPr="00FB3357" w:rsidRDefault="004679D4" w:rsidP="00AC2D61">
            <w:pPr>
              <w:jc w:val="center"/>
              <w:rPr>
                <w:rFonts w:ascii="Arial" w:hAnsi="Arial" w:cs="Arial"/>
                <w:sz w:val="22"/>
                <w:szCs w:val="22"/>
              </w:rPr>
            </w:pPr>
            <w:r w:rsidRPr="00FB3357">
              <w:rPr>
                <w:rFonts w:ascii="Arial" w:hAnsi="Arial" w:cs="Arial"/>
                <w:sz w:val="22"/>
                <w:szCs w:val="22"/>
              </w:rPr>
              <w:t>VodafoneThree must compete through integrated connectivity ecosystems rather than traditional mobile services alone.</w:t>
            </w:r>
          </w:p>
        </w:tc>
      </w:tr>
    </w:tbl>
    <w:p w14:paraId="6593B626" w14:textId="5D1C5E81" w:rsidR="00E30E76" w:rsidRPr="002A54CE" w:rsidRDefault="002A54CE" w:rsidP="002A54CE">
      <w:pPr>
        <w:jc w:val="both"/>
        <w:rPr>
          <w:rFonts w:ascii="Arial" w:hAnsi="Arial" w:cs="Arial"/>
          <w:sz w:val="22"/>
          <w:szCs w:val="22"/>
        </w:rPr>
      </w:pPr>
      <w:r w:rsidRPr="00FB3357">
        <w:rPr>
          <w:rFonts w:ascii="Arial" w:hAnsi="Arial" w:cs="Arial"/>
          <w:i/>
          <w:iCs/>
          <w:sz w:val="22"/>
          <w:szCs w:val="22"/>
        </w:rPr>
        <w:t xml:space="preserve">Source: Author's analysis </w:t>
      </w:r>
    </w:p>
    <w:p w14:paraId="732DE245" w14:textId="77777777" w:rsidR="004C4AE1" w:rsidRDefault="004C4AE1" w:rsidP="004C4AE1"/>
    <w:p w14:paraId="39A49D25" w14:textId="77777777" w:rsidR="004679D4" w:rsidRDefault="004679D4" w:rsidP="004C4AE1"/>
    <w:p w14:paraId="16ECE8DA" w14:textId="77777777" w:rsidR="004679D4" w:rsidRDefault="004679D4" w:rsidP="004C4AE1"/>
    <w:p w14:paraId="3680DEEA" w14:textId="77777777" w:rsidR="004679D4" w:rsidRDefault="004679D4" w:rsidP="004C4AE1"/>
    <w:p w14:paraId="527F94EF" w14:textId="1F0C81F8" w:rsidR="00133FFE" w:rsidRPr="00193FDF" w:rsidRDefault="00133FFE" w:rsidP="00133FFE">
      <w:pPr>
        <w:pStyle w:val="Heading2"/>
        <w:spacing w:before="299" w:after="299"/>
        <w:jc w:val="both"/>
        <w:rPr>
          <w:rFonts w:ascii="Arial" w:hAnsi="Arial" w:cs="Arial"/>
          <w:b/>
          <w:bCs/>
          <w:color w:val="auto"/>
          <w:sz w:val="22"/>
          <w:szCs w:val="22"/>
        </w:rPr>
      </w:pPr>
      <w:bookmarkStart w:id="32" w:name="_Toc234790293"/>
      <w:r w:rsidRPr="00193FDF">
        <w:rPr>
          <w:rFonts w:ascii="Arial" w:hAnsi="Arial" w:cs="Arial"/>
          <w:b/>
          <w:bCs/>
          <w:color w:val="auto"/>
          <w:sz w:val="22"/>
          <w:szCs w:val="22"/>
        </w:rPr>
        <w:lastRenderedPageBreak/>
        <w:t xml:space="preserve">Appendix 3: </w:t>
      </w:r>
      <w:r w:rsidRPr="00193FDF">
        <w:rPr>
          <w:rFonts w:ascii="Arial" w:eastAsia="Arial Nova" w:hAnsi="Arial" w:cs="Arial"/>
          <w:b/>
          <w:bCs/>
          <w:color w:val="auto"/>
          <w:sz w:val="22"/>
          <w:szCs w:val="22"/>
        </w:rPr>
        <w:t>SWOT Analysis</w:t>
      </w:r>
      <w:bookmarkEnd w:id="32"/>
    </w:p>
    <w:p w14:paraId="293D6851" w14:textId="70FE5B3B" w:rsidR="004679D4" w:rsidRDefault="00133FFE" w:rsidP="00133FFE">
      <w:pPr>
        <w:rPr>
          <w:rFonts w:ascii="Arial" w:hAnsi="Arial" w:cs="Arial"/>
          <w:i/>
          <w:iCs/>
          <w:sz w:val="22"/>
          <w:szCs w:val="22"/>
        </w:rPr>
      </w:pPr>
      <w:r w:rsidRPr="004D7749">
        <w:rPr>
          <w:rFonts w:ascii="Arial" w:hAnsi="Arial" w:cs="Arial"/>
          <w:i/>
          <w:iCs/>
          <w:sz w:val="22"/>
          <w:szCs w:val="22"/>
        </w:rPr>
        <w:t xml:space="preserve">Figure </w:t>
      </w:r>
      <w:r w:rsidR="00260C38">
        <w:rPr>
          <w:rFonts w:ascii="Arial" w:hAnsi="Arial" w:cs="Arial"/>
          <w:i/>
          <w:iCs/>
          <w:sz w:val="22"/>
          <w:szCs w:val="22"/>
        </w:rPr>
        <w:t>A3</w:t>
      </w:r>
      <w:r w:rsidR="00FA1A4C">
        <w:rPr>
          <w:rFonts w:ascii="Arial" w:hAnsi="Arial" w:cs="Arial"/>
          <w:i/>
          <w:iCs/>
          <w:sz w:val="22"/>
          <w:szCs w:val="22"/>
        </w:rPr>
        <w:t>. Detailed SWOT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31"/>
        <w:gridCol w:w="4485"/>
      </w:tblGrid>
      <w:tr w:rsidR="00D23DCE" w:rsidRPr="00FB3357" w14:paraId="4F9F9AE7" w14:textId="77777777" w:rsidTr="00AC2D61">
        <w:trPr>
          <w:tblHeader/>
          <w:tblCellSpacing w:w="15" w:type="dxa"/>
        </w:trPr>
        <w:tc>
          <w:tcPr>
            <w:tcW w:w="4486" w:type="dxa"/>
            <w:shd w:val="clear" w:color="auto" w:fill="83CAEB" w:themeFill="accent1" w:themeFillTint="66"/>
            <w:vAlign w:val="center"/>
            <w:hideMark/>
          </w:tcPr>
          <w:p w14:paraId="0F729FA1" w14:textId="77777777" w:rsidR="00D23DCE" w:rsidRPr="00FB3357" w:rsidRDefault="00D23DCE" w:rsidP="008A219C">
            <w:pPr>
              <w:spacing w:after="0" w:line="278" w:lineRule="auto"/>
              <w:jc w:val="center"/>
              <w:rPr>
                <w:rFonts w:ascii="Arial" w:hAnsi="Arial" w:cs="Arial"/>
                <w:b/>
                <w:bCs/>
                <w:sz w:val="22"/>
                <w:szCs w:val="22"/>
              </w:rPr>
            </w:pPr>
            <w:r w:rsidRPr="00FB3357">
              <w:rPr>
                <w:rFonts w:ascii="Arial" w:hAnsi="Arial" w:cs="Arial"/>
                <w:b/>
                <w:bCs/>
                <w:sz w:val="22"/>
                <w:szCs w:val="22"/>
              </w:rPr>
              <w:t>Strengths</w:t>
            </w:r>
          </w:p>
        </w:tc>
        <w:tc>
          <w:tcPr>
            <w:tcW w:w="4440" w:type="dxa"/>
            <w:shd w:val="clear" w:color="auto" w:fill="92D050"/>
            <w:vAlign w:val="center"/>
            <w:hideMark/>
          </w:tcPr>
          <w:p w14:paraId="3B62929E" w14:textId="77777777" w:rsidR="00D23DCE" w:rsidRPr="00FB3357" w:rsidRDefault="00D23DCE" w:rsidP="008A219C">
            <w:pPr>
              <w:spacing w:after="0" w:line="278" w:lineRule="auto"/>
              <w:jc w:val="center"/>
              <w:rPr>
                <w:rFonts w:ascii="Arial" w:hAnsi="Arial" w:cs="Arial"/>
                <w:b/>
                <w:bCs/>
                <w:sz w:val="22"/>
                <w:szCs w:val="22"/>
              </w:rPr>
            </w:pPr>
            <w:r w:rsidRPr="00FB3357">
              <w:rPr>
                <w:rFonts w:ascii="Arial" w:hAnsi="Arial" w:cs="Arial"/>
                <w:b/>
                <w:bCs/>
                <w:sz w:val="22"/>
                <w:szCs w:val="22"/>
              </w:rPr>
              <w:t>Weaknesses</w:t>
            </w:r>
          </w:p>
        </w:tc>
      </w:tr>
      <w:tr w:rsidR="00D23DCE" w:rsidRPr="00FB3357" w14:paraId="487E23F3" w14:textId="77777777" w:rsidTr="00AC2D61">
        <w:trPr>
          <w:tblCellSpacing w:w="15" w:type="dxa"/>
        </w:trPr>
        <w:tc>
          <w:tcPr>
            <w:tcW w:w="4486" w:type="dxa"/>
            <w:vAlign w:val="center"/>
            <w:hideMark/>
          </w:tcPr>
          <w:p w14:paraId="39067226" w14:textId="77777777" w:rsidR="00D23DCE" w:rsidRPr="00FB3357" w:rsidRDefault="00D23DCE" w:rsidP="008A219C">
            <w:pPr>
              <w:spacing w:after="0" w:line="278" w:lineRule="auto"/>
              <w:jc w:val="center"/>
              <w:rPr>
                <w:rFonts w:ascii="Arial" w:hAnsi="Arial" w:cs="Arial"/>
                <w:sz w:val="22"/>
                <w:szCs w:val="22"/>
              </w:rPr>
            </w:pPr>
            <w:r w:rsidRPr="00FB3357">
              <w:rPr>
                <w:rFonts w:ascii="Arial" w:hAnsi="Arial" w:cs="Arial"/>
                <w:sz w:val="22"/>
                <w:szCs w:val="22"/>
              </w:rPr>
              <w:t>Largest UK mobile customer base and expanded spectrum portfolio following the merger, providing greater network capacity and economies of scale</w:t>
            </w:r>
            <w:r w:rsidRPr="002E5176">
              <w:rPr>
                <w:rFonts w:ascii="Arial" w:hAnsi="Arial" w:cs="Arial"/>
                <w:sz w:val="22"/>
                <w:szCs w:val="22"/>
              </w:rPr>
              <w:t>. (Vodafone Group, 2025; CMA, 2024).</w:t>
            </w:r>
          </w:p>
        </w:tc>
        <w:tc>
          <w:tcPr>
            <w:tcW w:w="4440" w:type="dxa"/>
            <w:vAlign w:val="center"/>
            <w:hideMark/>
          </w:tcPr>
          <w:p w14:paraId="4755FAAA" w14:textId="77777777" w:rsidR="00D23DCE" w:rsidRPr="00FB3357" w:rsidRDefault="00D23DCE" w:rsidP="008A219C">
            <w:pPr>
              <w:spacing w:after="0" w:line="278" w:lineRule="auto"/>
              <w:jc w:val="center"/>
              <w:rPr>
                <w:rFonts w:ascii="Arial" w:hAnsi="Arial" w:cs="Arial"/>
                <w:sz w:val="22"/>
                <w:szCs w:val="22"/>
              </w:rPr>
            </w:pPr>
            <w:r w:rsidRPr="00FB3357">
              <w:rPr>
                <w:rFonts w:ascii="Arial" w:hAnsi="Arial" w:cs="Arial"/>
                <w:sz w:val="22"/>
                <w:szCs w:val="22"/>
              </w:rPr>
              <w:t>Complex post-merger integration of networks, systems, processes and organisational culture may delay strategic execution and synergy realisation. (CMA, 2024; Porter, 2008).</w:t>
            </w:r>
          </w:p>
        </w:tc>
      </w:tr>
      <w:tr w:rsidR="00D23DCE" w:rsidRPr="00FB3357" w14:paraId="2E8F9B21" w14:textId="77777777" w:rsidTr="00AC2D61">
        <w:trPr>
          <w:tblCellSpacing w:w="15" w:type="dxa"/>
        </w:trPr>
        <w:tc>
          <w:tcPr>
            <w:tcW w:w="4486" w:type="dxa"/>
            <w:vAlign w:val="center"/>
            <w:hideMark/>
          </w:tcPr>
          <w:p w14:paraId="2A35F31A" w14:textId="77777777" w:rsidR="00D23DCE" w:rsidRPr="00FB3357" w:rsidRDefault="00D23DCE" w:rsidP="008A219C">
            <w:pPr>
              <w:spacing w:after="0" w:line="278" w:lineRule="auto"/>
              <w:jc w:val="center"/>
              <w:rPr>
                <w:rFonts w:ascii="Arial" w:hAnsi="Arial" w:cs="Arial"/>
                <w:sz w:val="22"/>
                <w:szCs w:val="22"/>
              </w:rPr>
            </w:pPr>
            <w:r w:rsidRPr="00FB3357">
              <w:rPr>
                <w:rFonts w:ascii="Arial" w:hAnsi="Arial" w:cs="Arial"/>
                <w:sz w:val="22"/>
                <w:szCs w:val="22"/>
              </w:rPr>
              <w:t>Significant commitment to long-term 5G infrastructure investment, strengthening network capability and enterprise service potential. (Vodafone Group, 2025; GSMA, 2025).</w:t>
            </w:r>
          </w:p>
        </w:tc>
        <w:tc>
          <w:tcPr>
            <w:tcW w:w="4440" w:type="dxa"/>
            <w:vAlign w:val="center"/>
            <w:hideMark/>
          </w:tcPr>
          <w:p w14:paraId="72BBED68" w14:textId="77777777" w:rsidR="00D23DCE" w:rsidRPr="00FB3357" w:rsidRDefault="00D23DCE" w:rsidP="00F623B6">
            <w:pPr>
              <w:spacing w:after="0" w:line="278" w:lineRule="auto"/>
              <w:jc w:val="center"/>
              <w:rPr>
                <w:rFonts w:ascii="Arial" w:hAnsi="Arial" w:cs="Arial"/>
                <w:sz w:val="22"/>
                <w:szCs w:val="22"/>
              </w:rPr>
            </w:pPr>
            <w:r w:rsidRPr="00FB3357">
              <w:rPr>
                <w:rFonts w:ascii="Arial" w:hAnsi="Arial" w:cs="Arial"/>
                <w:sz w:val="22"/>
                <w:szCs w:val="22"/>
              </w:rPr>
              <w:t>High capital expenditure requirements reduce financial flexibility and increase pressure to achieve expected returns on investment. (Vodafone Group, 2025; GSMA, 2025).</w:t>
            </w:r>
          </w:p>
        </w:tc>
      </w:tr>
      <w:tr w:rsidR="00D23DCE" w:rsidRPr="00FB3357" w14:paraId="7BF25491" w14:textId="77777777" w:rsidTr="00AC2D61">
        <w:trPr>
          <w:tblCellSpacing w:w="15" w:type="dxa"/>
        </w:trPr>
        <w:tc>
          <w:tcPr>
            <w:tcW w:w="4486" w:type="dxa"/>
            <w:vAlign w:val="center"/>
            <w:hideMark/>
          </w:tcPr>
          <w:p w14:paraId="563F0DA4" w14:textId="77777777" w:rsidR="00D23DCE" w:rsidRPr="00FB3357" w:rsidRDefault="00D23DCE" w:rsidP="00F623B6">
            <w:pPr>
              <w:spacing w:after="0" w:line="278" w:lineRule="auto"/>
              <w:jc w:val="center"/>
              <w:rPr>
                <w:rFonts w:ascii="Arial" w:hAnsi="Arial" w:cs="Arial"/>
                <w:sz w:val="22"/>
                <w:szCs w:val="22"/>
              </w:rPr>
            </w:pPr>
            <w:r w:rsidRPr="00FB3357">
              <w:rPr>
                <w:rFonts w:ascii="Arial" w:hAnsi="Arial" w:cs="Arial"/>
                <w:sz w:val="22"/>
                <w:szCs w:val="22"/>
              </w:rPr>
              <w:t>Established Vodafone Business division with strong enterprise relationships, supporting expansion into IoT, private 5G and digital connectivity services. (Vodafone Group, 2025; GSMA, 2025)</w:t>
            </w:r>
          </w:p>
        </w:tc>
        <w:tc>
          <w:tcPr>
            <w:tcW w:w="4440" w:type="dxa"/>
            <w:vAlign w:val="center"/>
            <w:hideMark/>
          </w:tcPr>
          <w:p w14:paraId="4BFB1F73" w14:textId="77777777" w:rsidR="00D23DCE" w:rsidRPr="00FB3357" w:rsidRDefault="00D23DCE" w:rsidP="00F623B6">
            <w:pPr>
              <w:spacing w:after="0" w:line="278" w:lineRule="auto"/>
              <w:jc w:val="center"/>
              <w:rPr>
                <w:rFonts w:ascii="Arial" w:hAnsi="Arial" w:cs="Arial"/>
                <w:sz w:val="22"/>
                <w:szCs w:val="22"/>
              </w:rPr>
            </w:pPr>
            <w:r w:rsidRPr="00FB3357">
              <w:rPr>
                <w:rFonts w:ascii="Arial" w:hAnsi="Arial" w:cs="Arial"/>
                <w:sz w:val="22"/>
                <w:szCs w:val="22"/>
              </w:rPr>
              <w:t>Dependence on successful regulatory compliance and delivery of legally binding merger commitments increases execution risk. (CMA, 2024; Ofcom, 2025).</w:t>
            </w:r>
          </w:p>
        </w:tc>
      </w:tr>
      <w:tr w:rsidR="00D23DCE" w:rsidRPr="00FB3357" w14:paraId="57457BBC" w14:textId="77777777" w:rsidTr="00AC2D61">
        <w:trPr>
          <w:tblCellSpacing w:w="15" w:type="dxa"/>
        </w:trPr>
        <w:tc>
          <w:tcPr>
            <w:tcW w:w="4486" w:type="dxa"/>
            <w:vAlign w:val="center"/>
            <w:hideMark/>
          </w:tcPr>
          <w:p w14:paraId="1AA33E0E" w14:textId="77777777" w:rsidR="00D23DCE" w:rsidRPr="00FB3357" w:rsidRDefault="00D23DCE" w:rsidP="002B2584">
            <w:pPr>
              <w:spacing w:after="0" w:line="278" w:lineRule="auto"/>
              <w:jc w:val="center"/>
              <w:rPr>
                <w:rFonts w:ascii="Arial" w:hAnsi="Arial" w:cs="Arial"/>
                <w:sz w:val="22"/>
                <w:szCs w:val="22"/>
              </w:rPr>
            </w:pPr>
            <w:r w:rsidRPr="00FB3357">
              <w:rPr>
                <w:rFonts w:ascii="Arial" w:hAnsi="Arial" w:cs="Arial"/>
                <w:sz w:val="22"/>
                <w:szCs w:val="22"/>
              </w:rPr>
              <w:t>Recognised global brand, technical expertise and extensive telecommunications experience. (Vodafone Group, 2025).</w:t>
            </w:r>
          </w:p>
        </w:tc>
        <w:tc>
          <w:tcPr>
            <w:tcW w:w="4440" w:type="dxa"/>
            <w:vAlign w:val="center"/>
            <w:hideMark/>
          </w:tcPr>
          <w:p w14:paraId="039070D6" w14:textId="77777777" w:rsidR="00D23DCE" w:rsidRPr="00FB3357" w:rsidRDefault="00D23DCE" w:rsidP="002B2584">
            <w:pPr>
              <w:spacing w:after="0" w:line="278" w:lineRule="auto"/>
              <w:jc w:val="center"/>
              <w:rPr>
                <w:rFonts w:ascii="Arial" w:hAnsi="Arial" w:cs="Arial"/>
                <w:sz w:val="22"/>
                <w:szCs w:val="22"/>
              </w:rPr>
            </w:pPr>
            <w:r w:rsidRPr="00FB3357">
              <w:rPr>
                <w:rFonts w:ascii="Arial" w:hAnsi="Arial" w:cs="Arial"/>
                <w:sz w:val="22"/>
                <w:szCs w:val="22"/>
              </w:rPr>
              <w:t>Continued exposure to intense price competition in the mature UK consumer market limits organic revenue growth. (Ofcom, 2025; Porter, 2008).</w:t>
            </w:r>
          </w:p>
        </w:tc>
      </w:tr>
    </w:tbl>
    <w:p w14:paraId="7018385B" w14:textId="77777777" w:rsidR="002A54CE" w:rsidRDefault="002A54CE" w:rsidP="00F623B6">
      <w:pPr>
        <w:spacing w:after="0" w:line="24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31"/>
        <w:gridCol w:w="4485"/>
      </w:tblGrid>
      <w:tr w:rsidR="00CB7E2F" w:rsidRPr="00FB3357" w14:paraId="4D1CC925" w14:textId="77777777" w:rsidTr="00AC2D61">
        <w:trPr>
          <w:tblHeader/>
          <w:tblCellSpacing w:w="15" w:type="dxa"/>
        </w:trPr>
        <w:tc>
          <w:tcPr>
            <w:tcW w:w="4486" w:type="dxa"/>
            <w:shd w:val="clear" w:color="auto" w:fill="83CAEB" w:themeFill="accent1" w:themeFillTint="66"/>
            <w:vAlign w:val="center"/>
            <w:hideMark/>
          </w:tcPr>
          <w:p w14:paraId="12271578" w14:textId="77777777" w:rsidR="00CB7E2F" w:rsidRPr="00FB3357" w:rsidRDefault="00CB7E2F" w:rsidP="00982985">
            <w:pPr>
              <w:spacing w:after="0" w:line="278" w:lineRule="auto"/>
              <w:jc w:val="center"/>
              <w:rPr>
                <w:rFonts w:ascii="Arial" w:hAnsi="Arial" w:cs="Arial"/>
                <w:b/>
                <w:bCs/>
                <w:sz w:val="22"/>
                <w:szCs w:val="22"/>
              </w:rPr>
            </w:pPr>
            <w:r w:rsidRPr="00FB3357">
              <w:rPr>
                <w:rFonts w:ascii="Arial" w:hAnsi="Arial" w:cs="Arial"/>
                <w:b/>
                <w:bCs/>
                <w:sz w:val="22"/>
                <w:szCs w:val="22"/>
              </w:rPr>
              <w:t>Opportunities</w:t>
            </w:r>
          </w:p>
        </w:tc>
        <w:tc>
          <w:tcPr>
            <w:tcW w:w="4440" w:type="dxa"/>
            <w:shd w:val="clear" w:color="auto" w:fill="92D050"/>
            <w:vAlign w:val="center"/>
            <w:hideMark/>
          </w:tcPr>
          <w:p w14:paraId="006F6906" w14:textId="77777777" w:rsidR="00CB7E2F" w:rsidRPr="00FB3357" w:rsidRDefault="00CB7E2F" w:rsidP="00982985">
            <w:pPr>
              <w:spacing w:after="0" w:line="278" w:lineRule="auto"/>
              <w:jc w:val="center"/>
              <w:rPr>
                <w:rFonts w:ascii="Arial" w:hAnsi="Arial" w:cs="Arial"/>
                <w:b/>
                <w:bCs/>
                <w:sz w:val="22"/>
                <w:szCs w:val="22"/>
              </w:rPr>
            </w:pPr>
            <w:r w:rsidRPr="00FB3357">
              <w:rPr>
                <w:rFonts w:ascii="Arial" w:hAnsi="Arial" w:cs="Arial"/>
                <w:b/>
                <w:bCs/>
                <w:sz w:val="22"/>
                <w:szCs w:val="22"/>
              </w:rPr>
              <w:t>Threats</w:t>
            </w:r>
          </w:p>
        </w:tc>
      </w:tr>
      <w:tr w:rsidR="00CB7E2F" w:rsidRPr="00FB3357" w14:paraId="209BDD7C" w14:textId="77777777" w:rsidTr="00AC2D61">
        <w:trPr>
          <w:tblCellSpacing w:w="15" w:type="dxa"/>
        </w:trPr>
        <w:tc>
          <w:tcPr>
            <w:tcW w:w="4486" w:type="dxa"/>
            <w:vAlign w:val="center"/>
            <w:hideMark/>
          </w:tcPr>
          <w:p w14:paraId="645D7299"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Increasing enterprise demand for AI-enabled connectivity, private 5G, IoT and edge computing solutions. (GSMA, 2025; Vodafone Group, 2025).</w:t>
            </w:r>
          </w:p>
        </w:tc>
        <w:tc>
          <w:tcPr>
            <w:tcW w:w="4440" w:type="dxa"/>
            <w:vAlign w:val="center"/>
            <w:hideMark/>
          </w:tcPr>
          <w:p w14:paraId="70023AEF"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Aggressive competitive responses from EE and Virgin Media O2 through pricing, network investment and service innovation. (Ofcom, 2025; Porter, 2008).</w:t>
            </w:r>
          </w:p>
        </w:tc>
      </w:tr>
      <w:tr w:rsidR="00CB7E2F" w:rsidRPr="00FB3357" w14:paraId="2F925DA0" w14:textId="77777777" w:rsidTr="00AC2D61">
        <w:trPr>
          <w:tblCellSpacing w:w="15" w:type="dxa"/>
        </w:trPr>
        <w:tc>
          <w:tcPr>
            <w:tcW w:w="4486" w:type="dxa"/>
            <w:vAlign w:val="center"/>
            <w:hideMark/>
          </w:tcPr>
          <w:p w14:paraId="168C9EDD"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Growing UK demand for secure digital infrastructure driven by business digital transformation. (Ofcom, 2025; GSMA, 2025).</w:t>
            </w:r>
          </w:p>
        </w:tc>
        <w:tc>
          <w:tcPr>
            <w:tcW w:w="4440" w:type="dxa"/>
            <w:vAlign w:val="center"/>
            <w:hideMark/>
          </w:tcPr>
          <w:p w14:paraId="2BB73C55"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Regulatory intervention if merger commitments or competition expectations are not achieved. (CMA, 2024; Ofcom, 2025).</w:t>
            </w:r>
          </w:p>
        </w:tc>
      </w:tr>
      <w:tr w:rsidR="00CB7E2F" w:rsidRPr="00FB3357" w14:paraId="3E8B9B68" w14:textId="77777777" w:rsidTr="00AC2D61">
        <w:trPr>
          <w:tblCellSpacing w:w="15" w:type="dxa"/>
        </w:trPr>
        <w:tc>
          <w:tcPr>
            <w:tcW w:w="4486" w:type="dxa"/>
            <w:vAlign w:val="center"/>
            <w:hideMark/>
          </w:tcPr>
          <w:p w14:paraId="1D1E8750"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Operational efficiencies and cost synergies arising from successful merger integration. (CMA, 2024; Vodafone Group, 2025).</w:t>
            </w:r>
          </w:p>
        </w:tc>
        <w:tc>
          <w:tcPr>
            <w:tcW w:w="4440" w:type="dxa"/>
            <w:vAlign w:val="center"/>
            <w:hideMark/>
          </w:tcPr>
          <w:p w14:paraId="3739C6C7"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Rapid technological change may reduce the duration of competitive advantage created by current investments. (GSMA, 2025; Porter, 2008).</w:t>
            </w:r>
          </w:p>
        </w:tc>
      </w:tr>
      <w:tr w:rsidR="00CB7E2F" w:rsidRPr="00FB3357" w14:paraId="796921B5" w14:textId="77777777" w:rsidTr="00AC2D61">
        <w:trPr>
          <w:tblCellSpacing w:w="15" w:type="dxa"/>
        </w:trPr>
        <w:tc>
          <w:tcPr>
            <w:tcW w:w="4486" w:type="dxa"/>
            <w:vAlign w:val="center"/>
            <w:hideMark/>
          </w:tcPr>
          <w:p w14:paraId="0CD5B9D4"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Expansion of digital infrastructure aligned with national digital economy priorities. (Ofcom, 2025; GSMA, 2025).</w:t>
            </w:r>
          </w:p>
        </w:tc>
        <w:tc>
          <w:tcPr>
            <w:tcW w:w="4440" w:type="dxa"/>
            <w:vAlign w:val="center"/>
            <w:hideMark/>
          </w:tcPr>
          <w:p w14:paraId="7E46B3B5" w14:textId="77777777" w:rsidR="00CB7E2F" w:rsidRPr="00FB3357" w:rsidRDefault="00CB7E2F" w:rsidP="00982985">
            <w:pPr>
              <w:spacing w:after="0" w:line="278" w:lineRule="auto"/>
              <w:jc w:val="center"/>
              <w:rPr>
                <w:rFonts w:ascii="Arial" w:hAnsi="Arial" w:cs="Arial"/>
                <w:sz w:val="22"/>
                <w:szCs w:val="22"/>
              </w:rPr>
            </w:pPr>
            <w:r w:rsidRPr="00FB3357">
              <w:rPr>
                <w:rFonts w:ascii="Arial" w:hAnsi="Arial" w:cs="Arial"/>
                <w:sz w:val="22"/>
                <w:szCs w:val="22"/>
              </w:rPr>
              <w:t>Continuing inflation, customer price sensitivity and cybersecurity risks may constrain profitability. (Ofcom, 2025; Vodafone Group, 2025).</w:t>
            </w:r>
          </w:p>
        </w:tc>
      </w:tr>
    </w:tbl>
    <w:p w14:paraId="012F0510" w14:textId="77777777" w:rsidR="00BE3BE1" w:rsidRPr="00FB3357" w:rsidRDefault="00BE3BE1" w:rsidP="00BE3BE1">
      <w:pPr>
        <w:jc w:val="both"/>
        <w:rPr>
          <w:rFonts w:ascii="Arial" w:hAnsi="Arial" w:cs="Arial"/>
          <w:i/>
          <w:iCs/>
          <w:sz w:val="22"/>
          <w:szCs w:val="22"/>
        </w:rPr>
      </w:pPr>
      <w:r w:rsidRPr="00FB3357">
        <w:rPr>
          <w:rFonts w:ascii="Arial" w:hAnsi="Arial" w:cs="Arial"/>
          <w:i/>
          <w:iCs/>
          <w:sz w:val="22"/>
          <w:szCs w:val="22"/>
        </w:rPr>
        <w:t>Source: Author's analysis</w:t>
      </w:r>
    </w:p>
    <w:p w14:paraId="728A6AAA" w14:textId="3B48456B" w:rsidR="004A61DF" w:rsidRPr="00260C38" w:rsidRDefault="004A61DF" w:rsidP="004A61DF">
      <w:pPr>
        <w:pStyle w:val="Heading2"/>
        <w:rPr>
          <w:rFonts w:ascii="Arial" w:hAnsi="Arial" w:cs="Arial"/>
          <w:b/>
          <w:bCs/>
          <w:color w:val="auto"/>
          <w:sz w:val="22"/>
          <w:szCs w:val="22"/>
        </w:rPr>
      </w:pPr>
      <w:bookmarkStart w:id="33" w:name="_Toc234790294"/>
      <w:r w:rsidRPr="00260C38">
        <w:rPr>
          <w:rFonts w:ascii="Arial" w:hAnsi="Arial" w:cs="Arial"/>
          <w:b/>
          <w:bCs/>
          <w:color w:val="auto"/>
          <w:sz w:val="22"/>
          <w:szCs w:val="22"/>
        </w:rPr>
        <w:lastRenderedPageBreak/>
        <w:t>Appendix 4: Ansoff</w:t>
      </w:r>
      <w:r w:rsidR="00B40373">
        <w:rPr>
          <w:rFonts w:ascii="Arial" w:hAnsi="Arial" w:cs="Arial"/>
          <w:b/>
          <w:bCs/>
          <w:color w:val="auto"/>
          <w:sz w:val="22"/>
          <w:szCs w:val="22"/>
        </w:rPr>
        <w:t xml:space="preserve"> Matrix</w:t>
      </w:r>
      <w:bookmarkEnd w:id="33"/>
    </w:p>
    <w:p w14:paraId="1F9E2CBD" w14:textId="5AB22C60" w:rsidR="00CB7E2F" w:rsidRDefault="004A61DF" w:rsidP="004A61DF">
      <w:pPr>
        <w:jc w:val="both"/>
        <w:rPr>
          <w:rFonts w:ascii="Arial" w:hAnsi="Arial" w:cs="Arial"/>
          <w:b/>
          <w:bCs/>
          <w:sz w:val="22"/>
          <w:szCs w:val="22"/>
        </w:rPr>
      </w:pPr>
      <w:r w:rsidRPr="00FA3D21">
        <w:rPr>
          <w:rFonts w:ascii="Arial" w:hAnsi="Arial" w:cs="Arial"/>
          <w:i/>
          <w:iCs/>
          <w:sz w:val="22"/>
          <w:szCs w:val="22"/>
        </w:rPr>
        <w:t xml:space="preserve">Figure </w:t>
      </w:r>
      <w:r w:rsidR="00B40373">
        <w:rPr>
          <w:rFonts w:ascii="Arial" w:hAnsi="Arial" w:cs="Arial"/>
          <w:i/>
          <w:iCs/>
          <w:sz w:val="22"/>
          <w:szCs w:val="22"/>
        </w:rPr>
        <w:t>A4</w:t>
      </w:r>
      <w:r w:rsidR="00FA1A4C">
        <w:rPr>
          <w:rFonts w:ascii="Arial" w:hAnsi="Arial" w:cs="Arial"/>
          <w:i/>
          <w:iCs/>
          <w:sz w:val="22"/>
          <w:szCs w:val="22"/>
        </w:rPr>
        <w:t>.</w:t>
      </w:r>
      <w:r w:rsidRPr="00FA3D21">
        <w:rPr>
          <w:rFonts w:ascii="Arial" w:hAnsi="Arial" w:cs="Arial"/>
          <w:i/>
          <w:iCs/>
          <w:sz w:val="22"/>
          <w:szCs w:val="22"/>
        </w:rPr>
        <w:t xml:space="preserve"> </w:t>
      </w:r>
      <w:r w:rsidR="00FA1A4C">
        <w:rPr>
          <w:rFonts w:ascii="Arial" w:hAnsi="Arial" w:cs="Arial"/>
          <w:i/>
          <w:iCs/>
          <w:sz w:val="22"/>
          <w:szCs w:val="22"/>
        </w:rPr>
        <w:t>Detailed</w:t>
      </w:r>
      <w:r w:rsidRPr="00FA3D21">
        <w:rPr>
          <w:rFonts w:ascii="Arial" w:hAnsi="Arial" w:cs="Arial"/>
          <w:i/>
          <w:iCs/>
          <w:sz w:val="22"/>
          <w:szCs w:val="22"/>
        </w:rPr>
        <w:t xml:space="preserve"> Ansoff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15"/>
        <w:gridCol w:w="2716"/>
        <w:gridCol w:w="2127"/>
        <w:gridCol w:w="2358"/>
      </w:tblGrid>
      <w:tr w:rsidR="007231C5" w:rsidRPr="00FB3357" w14:paraId="3A786C5A" w14:textId="77777777" w:rsidTr="009A0076">
        <w:trPr>
          <w:tblHeader/>
          <w:tblCellSpacing w:w="15" w:type="dxa"/>
        </w:trPr>
        <w:tc>
          <w:tcPr>
            <w:tcW w:w="0" w:type="auto"/>
            <w:shd w:val="clear" w:color="auto" w:fill="92D050"/>
            <w:vAlign w:val="center"/>
            <w:hideMark/>
          </w:tcPr>
          <w:p w14:paraId="6E1A344C" w14:textId="77777777" w:rsidR="007231C5" w:rsidRPr="00FB3357" w:rsidRDefault="007231C5" w:rsidP="00AC2D61">
            <w:pPr>
              <w:jc w:val="center"/>
              <w:rPr>
                <w:rFonts w:ascii="Arial" w:hAnsi="Arial" w:cs="Arial"/>
                <w:b/>
                <w:bCs/>
                <w:sz w:val="22"/>
                <w:szCs w:val="22"/>
              </w:rPr>
            </w:pPr>
            <w:r w:rsidRPr="00FB3357">
              <w:rPr>
                <w:rFonts w:ascii="Arial" w:hAnsi="Arial" w:cs="Arial"/>
                <w:b/>
                <w:bCs/>
                <w:sz w:val="22"/>
                <w:szCs w:val="22"/>
              </w:rPr>
              <w:t>Ansoff Growth Strategy</w:t>
            </w:r>
          </w:p>
        </w:tc>
        <w:tc>
          <w:tcPr>
            <w:tcW w:w="2686" w:type="dxa"/>
            <w:shd w:val="clear" w:color="auto" w:fill="92D050"/>
            <w:vAlign w:val="center"/>
            <w:hideMark/>
          </w:tcPr>
          <w:p w14:paraId="7E553022" w14:textId="77777777" w:rsidR="007231C5" w:rsidRPr="00FB3357" w:rsidRDefault="007231C5" w:rsidP="00AC2D61">
            <w:pPr>
              <w:jc w:val="center"/>
              <w:rPr>
                <w:rFonts w:ascii="Arial" w:hAnsi="Arial" w:cs="Arial"/>
                <w:b/>
                <w:bCs/>
                <w:sz w:val="22"/>
                <w:szCs w:val="22"/>
              </w:rPr>
            </w:pPr>
            <w:r w:rsidRPr="00FB3357">
              <w:rPr>
                <w:rFonts w:ascii="Arial" w:hAnsi="Arial" w:cs="Arial"/>
                <w:b/>
                <w:bCs/>
                <w:sz w:val="22"/>
                <w:szCs w:val="22"/>
              </w:rPr>
              <w:t>VodafoneThree Application</w:t>
            </w:r>
          </w:p>
        </w:tc>
        <w:tc>
          <w:tcPr>
            <w:tcW w:w="2097" w:type="dxa"/>
            <w:shd w:val="clear" w:color="auto" w:fill="92D050"/>
            <w:vAlign w:val="center"/>
            <w:hideMark/>
          </w:tcPr>
          <w:p w14:paraId="2524712E" w14:textId="77777777" w:rsidR="007231C5" w:rsidRPr="00FB3357" w:rsidRDefault="007231C5" w:rsidP="00AC2D61">
            <w:pPr>
              <w:jc w:val="center"/>
              <w:rPr>
                <w:rFonts w:ascii="Arial" w:hAnsi="Arial" w:cs="Arial"/>
                <w:b/>
                <w:bCs/>
                <w:sz w:val="22"/>
                <w:szCs w:val="22"/>
              </w:rPr>
            </w:pPr>
            <w:r w:rsidRPr="00FB3357">
              <w:rPr>
                <w:rFonts w:ascii="Arial" w:hAnsi="Arial" w:cs="Arial"/>
                <w:b/>
                <w:bCs/>
                <w:sz w:val="22"/>
                <w:szCs w:val="22"/>
              </w:rPr>
              <w:t>Strategic Benefits</w:t>
            </w:r>
          </w:p>
        </w:tc>
        <w:tc>
          <w:tcPr>
            <w:tcW w:w="2313" w:type="dxa"/>
            <w:shd w:val="clear" w:color="auto" w:fill="92D050"/>
            <w:vAlign w:val="center"/>
            <w:hideMark/>
          </w:tcPr>
          <w:p w14:paraId="0216A9B0" w14:textId="77777777" w:rsidR="007231C5" w:rsidRPr="00FB3357" w:rsidRDefault="007231C5" w:rsidP="00AC2D61">
            <w:pPr>
              <w:jc w:val="center"/>
              <w:rPr>
                <w:rFonts w:ascii="Arial" w:hAnsi="Arial" w:cs="Arial"/>
                <w:b/>
                <w:bCs/>
                <w:sz w:val="22"/>
                <w:szCs w:val="22"/>
              </w:rPr>
            </w:pPr>
            <w:r w:rsidRPr="00FB3357">
              <w:rPr>
                <w:rFonts w:ascii="Arial" w:hAnsi="Arial" w:cs="Arial"/>
                <w:b/>
                <w:bCs/>
                <w:sz w:val="22"/>
                <w:szCs w:val="22"/>
              </w:rPr>
              <w:t>Key Challenges / Risks</w:t>
            </w:r>
          </w:p>
        </w:tc>
      </w:tr>
      <w:tr w:rsidR="007231C5" w:rsidRPr="00FB3357" w14:paraId="0765E643" w14:textId="77777777" w:rsidTr="009A0076">
        <w:trPr>
          <w:tblCellSpacing w:w="15" w:type="dxa"/>
        </w:trPr>
        <w:tc>
          <w:tcPr>
            <w:tcW w:w="0" w:type="auto"/>
            <w:shd w:val="clear" w:color="auto" w:fill="60CAF3" w:themeFill="accent4" w:themeFillTint="99"/>
            <w:vAlign w:val="center"/>
            <w:hideMark/>
          </w:tcPr>
          <w:p w14:paraId="38E18101" w14:textId="77777777" w:rsidR="007231C5" w:rsidRPr="00FB3357" w:rsidRDefault="007231C5" w:rsidP="00AC2D61">
            <w:pPr>
              <w:jc w:val="center"/>
              <w:rPr>
                <w:rFonts w:ascii="Arial" w:hAnsi="Arial" w:cs="Arial"/>
                <w:sz w:val="22"/>
                <w:szCs w:val="22"/>
              </w:rPr>
            </w:pPr>
            <w:r w:rsidRPr="00FB3357">
              <w:rPr>
                <w:rFonts w:ascii="Arial" w:hAnsi="Arial" w:cs="Arial"/>
                <w:b/>
                <w:bCs/>
                <w:sz w:val="22"/>
                <w:szCs w:val="22"/>
              </w:rPr>
              <w:t>Market Penetration</w:t>
            </w:r>
            <w:r w:rsidRPr="00FB3357">
              <w:rPr>
                <w:rFonts w:ascii="Arial" w:hAnsi="Arial" w:cs="Arial"/>
                <w:sz w:val="22"/>
                <w:szCs w:val="22"/>
              </w:rPr>
              <w:t xml:space="preserve"> </w:t>
            </w:r>
            <w:r w:rsidRPr="00FB3357">
              <w:rPr>
                <w:rFonts w:ascii="Arial" w:hAnsi="Arial" w:cs="Arial"/>
                <w:i/>
                <w:iCs/>
                <w:sz w:val="22"/>
                <w:szCs w:val="22"/>
              </w:rPr>
              <w:t>(Existing Products – Existing Markets)</w:t>
            </w:r>
          </w:p>
        </w:tc>
        <w:tc>
          <w:tcPr>
            <w:tcW w:w="2686" w:type="dxa"/>
            <w:vAlign w:val="center"/>
            <w:hideMark/>
          </w:tcPr>
          <w:p w14:paraId="3E1ED8B5" w14:textId="77777777" w:rsidR="007231C5" w:rsidRPr="00FB3357" w:rsidRDefault="007231C5" w:rsidP="00AC2D61">
            <w:pPr>
              <w:jc w:val="center"/>
              <w:rPr>
                <w:rFonts w:ascii="Arial" w:hAnsi="Arial" w:cs="Arial"/>
                <w:sz w:val="22"/>
                <w:szCs w:val="22"/>
              </w:rPr>
            </w:pPr>
            <w:r w:rsidRPr="00FB3357">
              <w:rPr>
                <w:rFonts w:ascii="Arial" w:hAnsi="Arial" w:cs="Arial"/>
                <w:sz w:val="22"/>
                <w:szCs w:val="22"/>
              </w:rPr>
              <w:t>Increase market share by completing merger integration, improving network quality, reducing customer churn, strengthening bundled mobile and broadband services, and enhancing customer experience within the UK market. (H. Igor Ansoff, 1957; Vodafone Group, 2025; CMA, 2024).</w:t>
            </w:r>
          </w:p>
        </w:tc>
        <w:tc>
          <w:tcPr>
            <w:tcW w:w="2097" w:type="dxa"/>
            <w:vAlign w:val="center"/>
            <w:hideMark/>
          </w:tcPr>
          <w:p w14:paraId="406C6D53"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Delivers merger synergies</w:t>
            </w:r>
          </w:p>
          <w:p w14:paraId="1AAACD44"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Supports CMA investment commitments</w:t>
            </w:r>
          </w:p>
          <w:p w14:paraId="25916174"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Improves customer retention and operational efficiency</w:t>
            </w:r>
          </w:p>
          <w:p w14:paraId="55545803"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Lowest implementation risk. (Vodafone Group, 2025; CMA, 2024).</w:t>
            </w:r>
          </w:p>
        </w:tc>
        <w:tc>
          <w:tcPr>
            <w:tcW w:w="2313" w:type="dxa"/>
            <w:vAlign w:val="center"/>
            <w:hideMark/>
          </w:tcPr>
          <w:p w14:paraId="1FC13FC3"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UK mobile market is mature</w:t>
            </w:r>
          </w:p>
          <w:p w14:paraId="53B7D90E"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Limited long-term organic growth</w:t>
            </w:r>
          </w:p>
          <w:p w14:paraId="4F0ED749"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Aggressive pricing and promotional responses from competitors. (Ofcom, 2025).</w:t>
            </w:r>
          </w:p>
        </w:tc>
      </w:tr>
      <w:tr w:rsidR="007231C5" w:rsidRPr="00FB3357" w14:paraId="2D514AB9" w14:textId="77777777" w:rsidTr="009A0076">
        <w:trPr>
          <w:tblCellSpacing w:w="15" w:type="dxa"/>
        </w:trPr>
        <w:tc>
          <w:tcPr>
            <w:tcW w:w="0" w:type="auto"/>
            <w:shd w:val="clear" w:color="auto" w:fill="60CAF3" w:themeFill="accent4" w:themeFillTint="99"/>
            <w:vAlign w:val="center"/>
            <w:hideMark/>
          </w:tcPr>
          <w:p w14:paraId="6B3F4A8A" w14:textId="77777777" w:rsidR="007231C5" w:rsidRPr="00FB3357" w:rsidRDefault="007231C5" w:rsidP="00AC2D61">
            <w:pPr>
              <w:jc w:val="center"/>
              <w:rPr>
                <w:rFonts w:ascii="Arial" w:hAnsi="Arial" w:cs="Arial"/>
                <w:sz w:val="22"/>
                <w:szCs w:val="22"/>
              </w:rPr>
            </w:pPr>
            <w:r w:rsidRPr="00FB3357">
              <w:rPr>
                <w:rFonts w:ascii="Arial" w:hAnsi="Arial" w:cs="Arial"/>
                <w:b/>
                <w:bCs/>
                <w:sz w:val="22"/>
                <w:szCs w:val="22"/>
              </w:rPr>
              <w:t>Product Development</w:t>
            </w:r>
            <w:r w:rsidRPr="00FB3357">
              <w:rPr>
                <w:rFonts w:ascii="Arial" w:hAnsi="Arial" w:cs="Arial"/>
                <w:sz w:val="22"/>
                <w:szCs w:val="22"/>
              </w:rPr>
              <w:t xml:space="preserve"> </w:t>
            </w:r>
            <w:r w:rsidRPr="00FB3357">
              <w:rPr>
                <w:rFonts w:ascii="Arial" w:hAnsi="Arial" w:cs="Arial"/>
                <w:i/>
                <w:iCs/>
                <w:sz w:val="22"/>
                <w:szCs w:val="22"/>
              </w:rPr>
              <w:t>(New Products – Existing Markets)</w:t>
            </w:r>
          </w:p>
        </w:tc>
        <w:tc>
          <w:tcPr>
            <w:tcW w:w="2686" w:type="dxa"/>
            <w:vAlign w:val="center"/>
            <w:hideMark/>
          </w:tcPr>
          <w:p w14:paraId="761B84CB" w14:textId="77777777" w:rsidR="007231C5" w:rsidRPr="00FB3357" w:rsidRDefault="007231C5" w:rsidP="00AC2D61">
            <w:pPr>
              <w:jc w:val="center"/>
              <w:rPr>
                <w:rFonts w:ascii="Arial" w:hAnsi="Arial" w:cs="Arial"/>
                <w:sz w:val="22"/>
                <w:szCs w:val="22"/>
              </w:rPr>
            </w:pPr>
            <w:r w:rsidRPr="00FB3357">
              <w:rPr>
                <w:rFonts w:ascii="Arial" w:hAnsi="Arial" w:cs="Arial"/>
                <w:sz w:val="22"/>
                <w:szCs w:val="22"/>
              </w:rPr>
              <w:t>Expand Vodafone Business through AI-enabled connectivity, private 5G networks, IoT, edge computing and managed digital services for existing consumer and enterprise customers.</w:t>
            </w:r>
            <w:r w:rsidRPr="00FB3357">
              <w:rPr>
                <w:rFonts w:ascii="Arial" w:hAnsi="Arial" w:cs="Arial"/>
                <w:b/>
                <w:bCs/>
                <w:sz w:val="22"/>
                <w:szCs w:val="22"/>
              </w:rPr>
              <w:t xml:space="preserve"> </w:t>
            </w:r>
            <w:r w:rsidRPr="00FB3357">
              <w:rPr>
                <w:rFonts w:ascii="Arial" w:hAnsi="Arial" w:cs="Arial"/>
                <w:sz w:val="22"/>
                <w:szCs w:val="22"/>
              </w:rPr>
              <w:t>(Ansoff, 1957; Vodafone Group, 2025; GSMA, 2025).</w:t>
            </w:r>
          </w:p>
        </w:tc>
        <w:tc>
          <w:tcPr>
            <w:tcW w:w="2097" w:type="dxa"/>
            <w:vAlign w:val="center"/>
            <w:hideMark/>
          </w:tcPr>
          <w:p w14:paraId="18C258E8"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Creates higher-margin enterprise revenue streams</w:t>
            </w:r>
          </w:p>
          <w:p w14:paraId="72D98B2E"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Builds on Vodafone Business capabilities</w:t>
            </w:r>
          </w:p>
          <w:p w14:paraId="1EBD47D1"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Differentiates beyond price competition</w:t>
            </w:r>
          </w:p>
          <w:p w14:paraId="5E78EA2D"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Exploits post-merger network assets (Vodafone Group, 2025; GSMA, 2025).</w:t>
            </w:r>
          </w:p>
        </w:tc>
        <w:tc>
          <w:tcPr>
            <w:tcW w:w="2313" w:type="dxa"/>
            <w:vAlign w:val="center"/>
            <w:hideMark/>
          </w:tcPr>
          <w:p w14:paraId="5FBCA49A"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Requires organisational capability development</w:t>
            </w:r>
          </w:p>
          <w:p w14:paraId="63038322"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Significant investment required</w:t>
            </w:r>
          </w:p>
          <w:p w14:paraId="18CA8B5E"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Commercial adoption remains uncertain in some sectors. (GSMA, 2025).</w:t>
            </w:r>
          </w:p>
        </w:tc>
      </w:tr>
      <w:tr w:rsidR="007231C5" w:rsidRPr="00FB3357" w14:paraId="2D0BB994" w14:textId="77777777" w:rsidTr="009A0076">
        <w:trPr>
          <w:tblCellSpacing w:w="15" w:type="dxa"/>
        </w:trPr>
        <w:tc>
          <w:tcPr>
            <w:tcW w:w="0" w:type="auto"/>
            <w:shd w:val="clear" w:color="auto" w:fill="60CAF3" w:themeFill="accent4" w:themeFillTint="99"/>
            <w:vAlign w:val="center"/>
            <w:hideMark/>
          </w:tcPr>
          <w:p w14:paraId="22AC702E" w14:textId="77777777" w:rsidR="007231C5" w:rsidRPr="00FB3357" w:rsidRDefault="007231C5" w:rsidP="00AC2D61">
            <w:pPr>
              <w:jc w:val="center"/>
              <w:rPr>
                <w:rFonts w:ascii="Arial" w:hAnsi="Arial" w:cs="Arial"/>
                <w:sz w:val="22"/>
                <w:szCs w:val="22"/>
              </w:rPr>
            </w:pPr>
            <w:r w:rsidRPr="00FB3357">
              <w:rPr>
                <w:rFonts w:ascii="Arial" w:hAnsi="Arial" w:cs="Arial"/>
                <w:b/>
                <w:bCs/>
                <w:sz w:val="22"/>
                <w:szCs w:val="22"/>
              </w:rPr>
              <w:t>Market Development</w:t>
            </w:r>
            <w:r w:rsidRPr="00FB3357">
              <w:rPr>
                <w:rFonts w:ascii="Arial" w:hAnsi="Arial" w:cs="Arial"/>
                <w:sz w:val="22"/>
                <w:szCs w:val="22"/>
              </w:rPr>
              <w:t xml:space="preserve"> </w:t>
            </w:r>
            <w:r w:rsidRPr="00FB3357">
              <w:rPr>
                <w:rFonts w:ascii="Arial" w:hAnsi="Arial" w:cs="Arial"/>
                <w:i/>
                <w:iCs/>
                <w:sz w:val="22"/>
                <w:szCs w:val="22"/>
              </w:rPr>
              <w:t>(Existing Products – New Markets)</w:t>
            </w:r>
          </w:p>
        </w:tc>
        <w:tc>
          <w:tcPr>
            <w:tcW w:w="2686" w:type="dxa"/>
            <w:vAlign w:val="center"/>
            <w:hideMark/>
          </w:tcPr>
          <w:p w14:paraId="4C584770" w14:textId="77777777" w:rsidR="007231C5" w:rsidRPr="00FB3357" w:rsidRDefault="007231C5" w:rsidP="00AC2D61">
            <w:pPr>
              <w:jc w:val="center"/>
              <w:rPr>
                <w:rFonts w:ascii="Arial" w:hAnsi="Arial" w:cs="Arial"/>
                <w:sz w:val="22"/>
                <w:szCs w:val="22"/>
              </w:rPr>
            </w:pPr>
            <w:r w:rsidRPr="00FB3357">
              <w:rPr>
                <w:rFonts w:ascii="Arial" w:hAnsi="Arial" w:cs="Arial"/>
                <w:sz w:val="22"/>
                <w:szCs w:val="22"/>
              </w:rPr>
              <w:t>Extend enterprise connectivity and digital infrastructure services into additional UK industries and underserved business sectors using the expanded post-merger network. (Ansoff, 1957; Vodafone Group, 2025; Ofcom, 2025).</w:t>
            </w:r>
          </w:p>
        </w:tc>
        <w:tc>
          <w:tcPr>
            <w:tcW w:w="2097" w:type="dxa"/>
            <w:vAlign w:val="center"/>
            <w:hideMark/>
          </w:tcPr>
          <w:p w14:paraId="71B96C66"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Broadens customer base</w:t>
            </w:r>
          </w:p>
          <w:p w14:paraId="718087A7"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Leverages existing infrastructure efficiently</w:t>
            </w:r>
          </w:p>
          <w:p w14:paraId="6AE10295"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Lower risk than diversification. (Ansoff, 1957).</w:t>
            </w:r>
          </w:p>
        </w:tc>
        <w:tc>
          <w:tcPr>
            <w:tcW w:w="2313" w:type="dxa"/>
            <w:vAlign w:val="center"/>
            <w:hideMark/>
          </w:tcPr>
          <w:p w14:paraId="552D0424"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Slower market adoption</w:t>
            </w:r>
          </w:p>
          <w:p w14:paraId="3B04B637"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Competitive responses may reduce expected returns</w:t>
            </w:r>
          </w:p>
          <w:p w14:paraId="3ECF2D5A"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Limited differentiation if competitors target the same sectors. (Ofcom, 2025; GSMA, 2025).</w:t>
            </w:r>
          </w:p>
        </w:tc>
      </w:tr>
      <w:tr w:rsidR="007231C5" w:rsidRPr="00FB3357" w14:paraId="26C55E58" w14:textId="77777777" w:rsidTr="009A0076">
        <w:trPr>
          <w:tblCellSpacing w:w="15" w:type="dxa"/>
        </w:trPr>
        <w:tc>
          <w:tcPr>
            <w:tcW w:w="0" w:type="auto"/>
            <w:shd w:val="clear" w:color="auto" w:fill="60CAF3" w:themeFill="accent4" w:themeFillTint="99"/>
            <w:vAlign w:val="center"/>
            <w:hideMark/>
          </w:tcPr>
          <w:p w14:paraId="35DB1B1D" w14:textId="77777777" w:rsidR="007231C5" w:rsidRPr="00FB3357" w:rsidRDefault="007231C5" w:rsidP="00AC2D61">
            <w:pPr>
              <w:jc w:val="center"/>
              <w:rPr>
                <w:rFonts w:ascii="Arial" w:hAnsi="Arial" w:cs="Arial"/>
                <w:sz w:val="22"/>
                <w:szCs w:val="22"/>
              </w:rPr>
            </w:pPr>
            <w:r w:rsidRPr="00FB3357">
              <w:rPr>
                <w:rFonts w:ascii="Arial" w:hAnsi="Arial" w:cs="Arial"/>
                <w:b/>
                <w:bCs/>
                <w:sz w:val="22"/>
                <w:szCs w:val="22"/>
              </w:rPr>
              <w:lastRenderedPageBreak/>
              <w:t>Diversification</w:t>
            </w:r>
            <w:r w:rsidRPr="00FB3357">
              <w:rPr>
                <w:rFonts w:ascii="Arial" w:hAnsi="Arial" w:cs="Arial"/>
                <w:sz w:val="22"/>
                <w:szCs w:val="22"/>
              </w:rPr>
              <w:t xml:space="preserve"> </w:t>
            </w:r>
            <w:r w:rsidRPr="00FB3357">
              <w:rPr>
                <w:rFonts w:ascii="Arial" w:hAnsi="Arial" w:cs="Arial"/>
                <w:i/>
                <w:iCs/>
                <w:sz w:val="22"/>
                <w:szCs w:val="22"/>
              </w:rPr>
              <w:t>(New Products – New Markets)</w:t>
            </w:r>
          </w:p>
        </w:tc>
        <w:tc>
          <w:tcPr>
            <w:tcW w:w="2686" w:type="dxa"/>
            <w:vAlign w:val="center"/>
            <w:hideMark/>
          </w:tcPr>
          <w:p w14:paraId="31ABF1CA" w14:textId="77777777" w:rsidR="007231C5" w:rsidRPr="00FB3357" w:rsidRDefault="007231C5" w:rsidP="00AC2D61">
            <w:pPr>
              <w:jc w:val="center"/>
              <w:rPr>
                <w:rFonts w:ascii="Arial" w:hAnsi="Arial" w:cs="Arial"/>
                <w:sz w:val="22"/>
                <w:szCs w:val="22"/>
              </w:rPr>
            </w:pPr>
            <w:r w:rsidRPr="00FB3357">
              <w:rPr>
                <w:rFonts w:ascii="Arial" w:hAnsi="Arial" w:cs="Arial"/>
                <w:sz w:val="22"/>
                <w:szCs w:val="22"/>
              </w:rPr>
              <w:t>Expand into unrelated digital technology businesses beyond VodafoneThree’s core telecommunications capabilities. (Ansoff, 1957).</w:t>
            </w:r>
          </w:p>
        </w:tc>
        <w:tc>
          <w:tcPr>
            <w:tcW w:w="2097" w:type="dxa"/>
            <w:vAlign w:val="center"/>
            <w:hideMark/>
          </w:tcPr>
          <w:p w14:paraId="2C67AC73" w14:textId="77777777" w:rsidR="007231C5" w:rsidRPr="00FB3357" w:rsidRDefault="007231C5" w:rsidP="00AC2D61">
            <w:pPr>
              <w:jc w:val="center"/>
              <w:rPr>
                <w:rFonts w:ascii="Arial" w:hAnsi="Arial" w:cs="Arial"/>
                <w:sz w:val="22"/>
                <w:szCs w:val="22"/>
              </w:rPr>
            </w:pPr>
            <w:r w:rsidRPr="00FB3357">
              <w:rPr>
                <w:rFonts w:ascii="Arial" w:hAnsi="Arial" w:cs="Arial"/>
                <w:sz w:val="22"/>
                <w:szCs w:val="22"/>
              </w:rPr>
              <w:t>• Potential long-term revenue diversification. (Ofcom, 2025).</w:t>
            </w:r>
          </w:p>
        </w:tc>
        <w:tc>
          <w:tcPr>
            <w:tcW w:w="2313" w:type="dxa"/>
            <w:vAlign w:val="center"/>
            <w:hideMark/>
          </w:tcPr>
          <w:p w14:paraId="204F77FE"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Weak strategic fit with post-merger priorities</w:t>
            </w:r>
          </w:p>
          <w:p w14:paraId="23BB184D"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Highest execution and financial risk</w:t>
            </w:r>
          </w:p>
          <w:p w14:paraId="5BA01152" w14:textId="77777777" w:rsidR="007231C5" w:rsidRPr="00FB3357" w:rsidRDefault="007231C5" w:rsidP="00AC2D61">
            <w:pPr>
              <w:spacing w:after="0"/>
              <w:jc w:val="center"/>
              <w:rPr>
                <w:rFonts w:ascii="Arial" w:hAnsi="Arial" w:cs="Arial"/>
                <w:sz w:val="22"/>
                <w:szCs w:val="22"/>
              </w:rPr>
            </w:pPr>
            <w:r w:rsidRPr="00FB3357">
              <w:rPr>
                <w:rFonts w:ascii="Arial" w:hAnsi="Arial" w:cs="Arial"/>
                <w:sz w:val="22"/>
                <w:szCs w:val="22"/>
              </w:rPr>
              <w:t>• Diverts management attention from integration and synergy delivery. (Ansoff, 1957; Vodafone Group, 2025; CMA, 2024).</w:t>
            </w:r>
          </w:p>
        </w:tc>
      </w:tr>
    </w:tbl>
    <w:p w14:paraId="72DD1AED" w14:textId="77777777" w:rsidR="000C6C6A" w:rsidRPr="00FB3357" w:rsidRDefault="000C6C6A" w:rsidP="000C6C6A">
      <w:pPr>
        <w:jc w:val="both"/>
        <w:rPr>
          <w:rFonts w:ascii="Arial" w:hAnsi="Arial" w:cs="Arial"/>
          <w:i/>
          <w:iCs/>
          <w:sz w:val="22"/>
          <w:szCs w:val="22"/>
        </w:rPr>
      </w:pPr>
      <w:r w:rsidRPr="00FB3357">
        <w:rPr>
          <w:rFonts w:ascii="Arial" w:hAnsi="Arial" w:cs="Arial"/>
          <w:b/>
          <w:bCs/>
          <w:i/>
          <w:iCs/>
          <w:sz w:val="22"/>
          <w:szCs w:val="22"/>
        </w:rPr>
        <w:t>Source:</w:t>
      </w:r>
      <w:r w:rsidRPr="00FB3357">
        <w:rPr>
          <w:rFonts w:ascii="Arial" w:hAnsi="Arial" w:cs="Arial"/>
          <w:i/>
          <w:iCs/>
          <w:sz w:val="22"/>
          <w:szCs w:val="22"/>
        </w:rPr>
        <w:t xml:space="preserve"> Adapted from Ansoff (1957) and applied using Vodafone Group Plc (2025), Competition and Markets Authority (2024), Ofcom (2025), GSMA (2025), and findings from Chapter 2.</w:t>
      </w:r>
    </w:p>
    <w:p w14:paraId="36FCE53E" w14:textId="77777777" w:rsidR="004A61DF" w:rsidRPr="004A61DF" w:rsidRDefault="004A61DF" w:rsidP="004A61DF">
      <w:pPr>
        <w:jc w:val="both"/>
        <w:rPr>
          <w:rFonts w:ascii="Arial" w:hAnsi="Arial" w:cs="Arial"/>
          <w:sz w:val="22"/>
          <w:szCs w:val="22"/>
        </w:rPr>
      </w:pPr>
    </w:p>
    <w:sectPr w:rsidR="004A61DF" w:rsidRPr="004A61DF" w:rsidSect="002C4A56">
      <w:headerReference w:type="default"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EC855" w14:textId="77777777" w:rsidR="00D34B59" w:rsidRDefault="00D34B59">
      <w:pPr>
        <w:spacing w:after="0" w:line="240" w:lineRule="auto"/>
      </w:pPr>
      <w:r>
        <w:separator/>
      </w:r>
    </w:p>
  </w:endnote>
  <w:endnote w:type="continuationSeparator" w:id="0">
    <w:p w14:paraId="2DEBBC2B" w14:textId="77777777" w:rsidR="00D34B59" w:rsidRDefault="00D34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5856441"/>
      <w:docPartObj>
        <w:docPartGallery w:val="Page Numbers (Bottom of Page)"/>
        <w:docPartUnique/>
      </w:docPartObj>
    </w:sdtPr>
    <w:sdtEndPr>
      <w:rPr>
        <w:noProof/>
      </w:rPr>
    </w:sdtEndPr>
    <w:sdtContent>
      <w:p w14:paraId="08D6699F" w14:textId="687D3C69" w:rsidR="00DF206F" w:rsidRDefault="00DF20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3B02F1" w14:textId="69177A9B" w:rsidR="36EAF6F7" w:rsidRDefault="36EAF6F7" w:rsidP="36EAF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4AB99" w14:textId="77777777" w:rsidR="00D34B59" w:rsidRDefault="00D34B59">
      <w:pPr>
        <w:spacing w:after="0" w:line="240" w:lineRule="auto"/>
      </w:pPr>
      <w:r>
        <w:separator/>
      </w:r>
    </w:p>
  </w:footnote>
  <w:footnote w:type="continuationSeparator" w:id="0">
    <w:p w14:paraId="79AB083C" w14:textId="77777777" w:rsidR="00D34B59" w:rsidRDefault="00D34B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EAF6F7" w14:paraId="56CBC2F5" w14:textId="77777777" w:rsidTr="36EAF6F7">
      <w:trPr>
        <w:trHeight w:val="300"/>
      </w:trPr>
      <w:tc>
        <w:tcPr>
          <w:tcW w:w="3005" w:type="dxa"/>
        </w:tcPr>
        <w:p w14:paraId="1B96F6A7" w14:textId="78DE7D28" w:rsidR="36EAF6F7" w:rsidRDefault="36EAF6F7" w:rsidP="36EAF6F7">
          <w:pPr>
            <w:pStyle w:val="Header"/>
            <w:ind w:left="-115"/>
          </w:pPr>
        </w:p>
      </w:tc>
      <w:tc>
        <w:tcPr>
          <w:tcW w:w="3005" w:type="dxa"/>
        </w:tcPr>
        <w:p w14:paraId="70A00AE8" w14:textId="345BF3B0" w:rsidR="36EAF6F7" w:rsidRDefault="36EAF6F7" w:rsidP="36EAF6F7">
          <w:pPr>
            <w:pStyle w:val="Header"/>
            <w:jc w:val="center"/>
          </w:pPr>
        </w:p>
      </w:tc>
      <w:tc>
        <w:tcPr>
          <w:tcW w:w="3005" w:type="dxa"/>
        </w:tcPr>
        <w:p w14:paraId="5B04DDA5" w14:textId="7474E735" w:rsidR="36EAF6F7" w:rsidRDefault="36EAF6F7" w:rsidP="36EAF6F7">
          <w:pPr>
            <w:pStyle w:val="Header"/>
            <w:ind w:right="-115"/>
            <w:jc w:val="right"/>
          </w:pPr>
        </w:p>
      </w:tc>
    </w:tr>
  </w:tbl>
  <w:p w14:paraId="0A12D996" w14:textId="705509CD" w:rsidR="36EAF6F7" w:rsidRDefault="36EAF6F7" w:rsidP="36EAF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7793D"/>
    <w:multiLevelType w:val="hybridMultilevel"/>
    <w:tmpl w:val="0A28E7C8"/>
    <w:lvl w:ilvl="0" w:tplc="60EA702C">
      <w:start w:val="1"/>
      <w:numFmt w:val="bullet"/>
      <w:lvlText w:val=""/>
      <w:lvlJc w:val="left"/>
      <w:pPr>
        <w:ind w:left="720" w:hanging="360"/>
      </w:pPr>
      <w:rPr>
        <w:rFonts w:ascii="Symbol" w:hAnsi="Symbol" w:hint="default"/>
      </w:rPr>
    </w:lvl>
    <w:lvl w:ilvl="1" w:tplc="B60C6158">
      <w:start w:val="1"/>
      <w:numFmt w:val="bullet"/>
      <w:lvlText w:val="o"/>
      <w:lvlJc w:val="left"/>
      <w:pPr>
        <w:ind w:left="1440" w:hanging="360"/>
      </w:pPr>
      <w:rPr>
        <w:rFonts w:ascii="Courier New" w:hAnsi="Courier New" w:hint="default"/>
      </w:rPr>
    </w:lvl>
    <w:lvl w:ilvl="2" w:tplc="C76ABC24">
      <w:start w:val="1"/>
      <w:numFmt w:val="bullet"/>
      <w:lvlText w:val=""/>
      <w:lvlJc w:val="left"/>
      <w:pPr>
        <w:ind w:left="2160" w:hanging="360"/>
      </w:pPr>
      <w:rPr>
        <w:rFonts w:ascii="Wingdings" w:hAnsi="Wingdings" w:hint="default"/>
      </w:rPr>
    </w:lvl>
    <w:lvl w:ilvl="3" w:tplc="66FC6838">
      <w:start w:val="1"/>
      <w:numFmt w:val="bullet"/>
      <w:lvlText w:val=""/>
      <w:lvlJc w:val="left"/>
      <w:pPr>
        <w:ind w:left="2880" w:hanging="360"/>
      </w:pPr>
      <w:rPr>
        <w:rFonts w:ascii="Symbol" w:hAnsi="Symbol" w:hint="default"/>
      </w:rPr>
    </w:lvl>
    <w:lvl w:ilvl="4" w:tplc="AFC6C90A">
      <w:start w:val="1"/>
      <w:numFmt w:val="bullet"/>
      <w:lvlText w:val="o"/>
      <w:lvlJc w:val="left"/>
      <w:pPr>
        <w:ind w:left="3600" w:hanging="360"/>
      </w:pPr>
      <w:rPr>
        <w:rFonts w:ascii="Courier New" w:hAnsi="Courier New" w:hint="default"/>
      </w:rPr>
    </w:lvl>
    <w:lvl w:ilvl="5" w:tplc="3CDE97E4">
      <w:start w:val="1"/>
      <w:numFmt w:val="bullet"/>
      <w:lvlText w:val=""/>
      <w:lvlJc w:val="left"/>
      <w:pPr>
        <w:ind w:left="4320" w:hanging="360"/>
      </w:pPr>
      <w:rPr>
        <w:rFonts w:ascii="Wingdings" w:hAnsi="Wingdings" w:hint="default"/>
      </w:rPr>
    </w:lvl>
    <w:lvl w:ilvl="6" w:tplc="AFA62206">
      <w:start w:val="1"/>
      <w:numFmt w:val="bullet"/>
      <w:lvlText w:val=""/>
      <w:lvlJc w:val="left"/>
      <w:pPr>
        <w:ind w:left="5040" w:hanging="360"/>
      </w:pPr>
      <w:rPr>
        <w:rFonts w:ascii="Symbol" w:hAnsi="Symbol" w:hint="default"/>
      </w:rPr>
    </w:lvl>
    <w:lvl w:ilvl="7" w:tplc="B6183C44">
      <w:start w:val="1"/>
      <w:numFmt w:val="bullet"/>
      <w:lvlText w:val="o"/>
      <w:lvlJc w:val="left"/>
      <w:pPr>
        <w:ind w:left="5760" w:hanging="360"/>
      </w:pPr>
      <w:rPr>
        <w:rFonts w:ascii="Courier New" w:hAnsi="Courier New" w:hint="default"/>
      </w:rPr>
    </w:lvl>
    <w:lvl w:ilvl="8" w:tplc="811E019A">
      <w:start w:val="1"/>
      <w:numFmt w:val="bullet"/>
      <w:lvlText w:val=""/>
      <w:lvlJc w:val="left"/>
      <w:pPr>
        <w:ind w:left="6480" w:hanging="360"/>
      </w:pPr>
      <w:rPr>
        <w:rFonts w:ascii="Wingdings" w:hAnsi="Wingdings" w:hint="default"/>
      </w:rPr>
    </w:lvl>
  </w:abstractNum>
  <w:abstractNum w:abstractNumId="1" w15:restartNumberingAfterBreak="0">
    <w:nsid w:val="048C48AF"/>
    <w:multiLevelType w:val="hybridMultilevel"/>
    <w:tmpl w:val="6A72031A"/>
    <w:lvl w:ilvl="0" w:tplc="47B2D0AE">
      <w:start w:val="1"/>
      <w:numFmt w:val="bullet"/>
      <w:lvlText w:val=""/>
      <w:lvlJc w:val="left"/>
      <w:pPr>
        <w:ind w:left="720" w:hanging="360"/>
      </w:pPr>
      <w:rPr>
        <w:rFonts w:ascii="Symbol" w:hAnsi="Symbol" w:hint="default"/>
      </w:rPr>
    </w:lvl>
    <w:lvl w:ilvl="1" w:tplc="1C1A63E8">
      <w:start w:val="1"/>
      <w:numFmt w:val="bullet"/>
      <w:lvlText w:val="o"/>
      <w:lvlJc w:val="left"/>
      <w:pPr>
        <w:ind w:left="1440" w:hanging="360"/>
      </w:pPr>
      <w:rPr>
        <w:rFonts w:ascii="Courier New" w:hAnsi="Courier New" w:hint="default"/>
      </w:rPr>
    </w:lvl>
    <w:lvl w:ilvl="2" w:tplc="565455B8">
      <w:start w:val="1"/>
      <w:numFmt w:val="bullet"/>
      <w:lvlText w:val=""/>
      <w:lvlJc w:val="left"/>
      <w:pPr>
        <w:ind w:left="2160" w:hanging="360"/>
      </w:pPr>
      <w:rPr>
        <w:rFonts w:ascii="Wingdings" w:hAnsi="Wingdings" w:hint="default"/>
      </w:rPr>
    </w:lvl>
    <w:lvl w:ilvl="3" w:tplc="F3CEDEFC">
      <w:start w:val="1"/>
      <w:numFmt w:val="bullet"/>
      <w:lvlText w:val=""/>
      <w:lvlJc w:val="left"/>
      <w:pPr>
        <w:ind w:left="2880" w:hanging="360"/>
      </w:pPr>
      <w:rPr>
        <w:rFonts w:ascii="Symbol" w:hAnsi="Symbol" w:hint="default"/>
      </w:rPr>
    </w:lvl>
    <w:lvl w:ilvl="4" w:tplc="113217FE">
      <w:start w:val="1"/>
      <w:numFmt w:val="bullet"/>
      <w:lvlText w:val="o"/>
      <w:lvlJc w:val="left"/>
      <w:pPr>
        <w:ind w:left="3600" w:hanging="360"/>
      </w:pPr>
      <w:rPr>
        <w:rFonts w:ascii="Courier New" w:hAnsi="Courier New" w:hint="default"/>
      </w:rPr>
    </w:lvl>
    <w:lvl w:ilvl="5" w:tplc="DC24E2BE">
      <w:start w:val="1"/>
      <w:numFmt w:val="bullet"/>
      <w:lvlText w:val=""/>
      <w:lvlJc w:val="left"/>
      <w:pPr>
        <w:ind w:left="4320" w:hanging="360"/>
      </w:pPr>
      <w:rPr>
        <w:rFonts w:ascii="Wingdings" w:hAnsi="Wingdings" w:hint="default"/>
      </w:rPr>
    </w:lvl>
    <w:lvl w:ilvl="6" w:tplc="4EB4E104">
      <w:start w:val="1"/>
      <w:numFmt w:val="bullet"/>
      <w:lvlText w:val=""/>
      <w:lvlJc w:val="left"/>
      <w:pPr>
        <w:ind w:left="5040" w:hanging="360"/>
      </w:pPr>
      <w:rPr>
        <w:rFonts w:ascii="Symbol" w:hAnsi="Symbol" w:hint="default"/>
      </w:rPr>
    </w:lvl>
    <w:lvl w:ilvl="7" w:tplc="EB641368">
      <w:start w:val="1"/>
      <w:numFmt w:val="bullet"/>
      <w:lvlText w:val="o"/>
      <w:lvlJc w:val="left"/>
      <w:pPr>
        <w:ind w:left="5760" w:hanging="360"/>
      </w:pPr>
      <w:rPr>
        <w:rFonts w:ascii="Courier New" w:hAnsi="Courier New" w:hint="default"/>
      </w:rPr>
    </w:lvl>
    <w:lvl w:ilvl="8" w:tplc="E91A0DFA">
      <w:start w:val="1"/>
      <w:numFmt w:val="bullet"/>
      <w:lvlText w:val=""/>
      <w:lvlJc w:val="left"/>
      <w:pPr>
        <w:ind w:left="6480" w:hanging="360"/>
      </w:pPr>
      <w:rPr>
        <w:rFonts w:ascii="Wingdings" w:hAnsi="Wingdings" w:hint="default"/>
      </w:rPr>
    </w:lvl>
  </w:abstractNum>
  <w:abstractNum w:abstractNumId="2" w15:restartNumberingAfterBreak="0">
    <w:nsid w:val="0ADB2E59"/>
    <w:multiLevelType w:val="hybridMultilevel"/>
    <w:tmpl w:val="B8B6C7AA"/>
    <w:lvl w:ilvl="0" w:tplc="48E0385C">
      <w:start w:val="1"/>
      <w:numFmt w:val="bullet"/>
      <w:lvlText w:val=""/>
      <w:lvlJc w:val="left"/>
      <w:pPr>
        <w:ind w:left="720" w:hanging="360"/>
      </w:pPr>
      <w:rPr>
        <w:rFonts w:ascii="Symbol" w:hAnsi="Symbol" w:hint="default"/>
      </w:rPr>
    </w:lvl>
    <w:lvl w:ilvl="1" w:tplc="78D28D9E">
      <w:start w:val="1"/>
      <w:numFmt w:val="bullet"/>
      <w:lvlText w:val="o"/>
      <w:lvlJc w:val="left"/>
      <w:pPr>
        <w:ind w:left="1440" w:hanging="360"/>
      </w:pPr>
      <w:rPr>
        <w:rFonts w:ascii="Courier New" w:hAnsi="Courier New" w:hint="default"/>
      </w:rPr>
    </w:lvl>
    <w:lvl w:ilvl="2" w:tplc="5B4AA306">
      <w:start w:val="1"/>
      <w:numFmt w:val="bullet"/>
      <w:lvlText w:val=""/>
      <w:lvlJc w:val="left"/>
      <w:pPr>
        <w:ind w:left="2160" w:hanging="360"/>
      </w:pPr>
      <w:rPr>
        <w:rFonts w:ascii="Wingdings" w:hAnsi="Wingdings" w:hint="default"/>
      </w:rPr>
    </w:lvl>
    <w:lvl w:ilvl="3" w:tplc="9B6CF892">
      <w:start w:val="1"/>
      <w:numFmt w:val="bullet"/>
      <w:lvlText w:val=""/>
      <w:lvlJc w:val="left"/>
      <w:pPr>
        <w:ind w:left="2880" w:hanging="360"/>
      </w:pPr>
      <w:rPr>
        <w:rFonts w:ascii="Symbol" w:hAnsi="Symbol" w:hint="default"/>
      </w:rPr>
    </w:lvl>
    <w:lvl w:ilvl="4" w:tplc="B46627F8">
      <w:start w:val="1"/>
      <w:numFmt w:val="bullet"/>
      <w:lvlText w:val="o"/>
      <w:lvlJc w:val="left"/>
      <w:pPr>
        <w:ind w:left="3600" w:hanging="360"/>
      </w:pPr>
      <w:rPr>
        <w:rFonts w:ascii="Courier New" w:hAnsi="Courier New" w:hint="default"/>
      </w:rPr>
    </w:lvl>
    <w:lvl w:ilvl="5" w:tplc="D8E8C2C4">
      <w:start w:val="1"/>
      <w:numFmt w:val="bullet"/>
      <w:lvlText w:val=""/>
      <w:lvlJc w:val="left"/>
      <w:pPr>
        <w:ind w:left="4320" w:hanging="360"/>
      </w:pPr>
      <w:rPr>
        <w:rFonts w:ascii="Wingdings" w:hAnsi="Wingdings" w:hint="default"/>
      </w:rPr>
    </w:lvl>
    <w:lvl w:ilvl="6" w:tplc="9208DEE8">
      <w:start w:val="1"/>
      <w:numFmt w:val="bullet"/>
      <w:lvlText w:val=""/>
      <w:lvlJc w:val="left"/>
      <w:pPr>
        <w:ind w:left="5040" w:hanging="360"/>
      </w:pPr>
      <w:rPr>
        <w:rFonts w:ascii="Symbol" w:hAnsi="Symbol" w:hint="default"/>
      </w:rPr>
    </w:lvl>
    <w:lvl w:ilvl="7" w:tplc="F53816CE">
      <w:start w:val="1"/>
      <w:numFmt w:val="bullet"/>
      <w:lvlText w:val="o"/>
      <w:lvlJc w:val="left"/>
      <w:pPr>
        <w:ind w:left="5760" w:hanging="360"/>
      </w:pPr>
      <w:rPr>
        <w:rFonts w:ascii="Courier New" w:hAnsi="Courier New" w:hint="default"/>
      </w:rPr>
    </w:lvl>
    <w:lvl w:ilvl="8" w:tplc="60087BDA">
      <w:start w:val="1"/>
      <w:numFmt w:val="bullet"/>
      <w:lvlText w:val=""/>
      <w:lvlJc w:val="left"/>
      <w:pPr>
        <w:ind w:left="6480" w:hanging="360"/>
      </w:pPr>
      <w:rPr>
        <w:rFonts w:ascii="Wingdings" w:hAnsi="Wingdings" w:hint="default"/>
      </w:rPr>
    </w:lvl>
  </w:abstractNum>
  <w:abstractNum w:abstractNumId="3" w15:restartNumberingAfterBreak="0">
    <w:nsid w:val="0D7F73A7"/>
    <w:multiLevelType w:val="hybridMultilevel"/>
    <w:tmpl w:val="73CE1C26"/>
    <w:lvl w:ilvl="0" w:tplc="1C880D68">
      <w:start w:val="1"/>
      <w:numFmt w:val="bullet"/>
      <w:lvlText w:val=""/>
      <w:lvlJc w:val="left"/>
      <w:pPr>
        <w:ind w:left="720" w:hanging="360"/>
      </w:pPr>
      <w:rPr>
        <w:rFonts w:ascii="Symbol" w:hAnsi="Symbol" w:hint="default"/>
      </w:rPr>
    </w:lvl>
    <w:lvl w:ilvl="1" w:tplc="B11C3604">
      <w:start w:val="1"/>
      <w:numFmt w:val="bullet"/>
      <w:lvlText w:val="o"/>
      <w:lvlJc w:val="left"/>
      <w:pPr>
        <w:ind w:left="1440" w:hanging="360"/>
      </w:pPr>
      <w:rPr>
        <w:rFonts w:ascii="Courier New" w:hAnsi="Courier New" w:hint="default"/>
      </w:rPr>
    </w:lvl>
    <w:lvl w:ilvl="2" w:tplc="A5BA3A40">
      <w:start w:val="1"/>
      <w:numFmt w:val="bullet"/>
      <w:lvlText w:val=""/>
      <w:lvlJc w:val="left"/>
      <w:pPr>
        <w:ind w:left="2160" w:hanging="360"/>
      </w:pPr>
      <w:rPr>
        <w:rFonts w:ascii="Wingdings" w:hAnsi="Wingdings" w:hint="default"/>
      </w:rPr>
    </w:lvl>
    <w:lvl w:ilvl="3" w:tplc="3934CE92">
      <w:start w:val="1"/>
      <w:numFmt w:val="bullet"/>
      <w:lvlText w:val=""/>
      <w:lvlJc w:val="left"/>
      <w:pPr>
        <w:ind w:left="2880" w:hanging="360"/>
      </w:pPr>
      <w:rPr>
        <w:rFonts w:ascii="Symbol" w:hAnsi="Symbol" w:hint="default"/>
      </w:rPr>
    </w:lvl>
    <w:lvl w:ilvl="4" w:tplc="745EC3D4">
      <w:start w:val="1"/>
      <w:numFmt w:val="bullet"/>
      <w:lvlText w:val="o"/>
      <w:lvlJc w:val="left"/>
      <w:pPr>
        <w:ind w:left="3600" w:hanging="360"/>
      </w:pPr>
      <w:rPr>
        <w:rFonts w:ascii="Courier New" w:hAnsi="Courier New" w:hint="default"/>
      </w:rPr>
    </w:lvl>
    <w:lvl w:ilvl="5" w:tplc="4D3AFE82">
      <w:start w:val="1"/>
      <w:numFmt w:val="bullet"/>
      <w:lvlText w:val=""/>
      <w:lvlJc w:val="left"/>
      <w:pPr>
        <w:ind w:left="4320" w:hanging="360"/>
      </w:pPr>
      <w:rPr>
        <w:rFonts w:ascii="Wingdings" w:hAnsi="Wingdings" w:hint="default"/>
      </w:rPr>
    </w:lvl>
    <w:lvl w:ilvl="6" w:tplc="6FDCC31E">
      <w:start w:val="1"/>
      <w:numFmt w:val="bullet"/>
      <w:lvlText w:val=""/>
      <w:lvlJc w:val="left"/>
      <w:pPr>
        <w:ind w:left="5040" w:hanging="360"/>
      </w:pPr>
      <w:rPr>
        <w:rFonts w:ascii="Symbol" w:hAnsi="Symbol" w:hint="default"/>
      </w:rPr>
    </w:lvl>
    <w:lvl w:ilvl="7" w:tplc="E0105FC0">
      <w:start w:val="1"/>
      <w:numFmt w:val="bullet"/>
      <w:lvlText w:val="o"/>
      <w:lvlJc w:val="left"/>
      <w:pPr>
        <w:ind w:left="5760" w:hanging="360"/>
      </w:pPr>
      <w:rPr>
        <w:rFonts w:ascii="Courier New" w:hAnsi="Courier New" w:hint="default"/>
      </w:rPr>
    </w:lvl>
    <w:lvl w:ilvl="8" w:tplc="BADE5AEA">
      <w:start w:val="1"/>
      <w:numFmt w:val="bullet"/>
      <w:lvlText w:val=""/>
      <w:lvlJc w:val="left"/>
      <w:pPr>
        <w:ind w:left="6480" w:hanging="360"/>
      </w:pPr>
      <w:rPr>
        <w:rFonts w:ascii="Wingdings" w:hAnsi="Wingdings" w:hint="default"/>
      </w:rPr>
    </w:lvl>
  </w:abstractNum>
  <w:abstractNum w:abstractNumId="4" w15:restartNumberingAfterBreak="0">
    <w:nsid w:val="13D60D5A"/>
    <w:multiLevelType w:val="hybridMultilevel"/>
    <w:tmpl w:val="B266A7E2"/>
    <w:lvl w:ilvl="0" w:tplc="2A042BA4">
      <w:start w:val="1"/>
      <w:numFmt w:val="bullet"/>
      <w:lvlText w:val=""/>
      <w:lvlJc w:val="left"/>
      <w:pPr>
        <w:ind w:left="720" w:hanging="360"/>
      </w:pPr>
      <w:rPr>
        <w:rFonts w:ascii="Symbol" w:hAnsi="Symbol" w:hint="default"/>
      </w:rPr>
    </w:lvl>
    <w:lvl w:ilvl="1" w:tplc="82FEDA52">
      <w:start w:val="1"/>
      <w:numFmt w:val="bullet"/>
      <w:lvlText w:val="o"/>
      <w:lvlJc w:val="left"/>
      <w:pPr>
        <w:ind w:left="1440" w:hanging="360"/>
      </w:pPr>
      <w:rPr>
        <w:rFonts w:ascii="Courier New" w:hAnsi="Courier New" w:hint="default"/>
      </w:rPr>
    </w:lvl>
    <w:lvl w:ilvl="2" w:tplc="168EC5A8">
      <w:start w:val="1"/>
      <w:numFmt w:val="bullet"/>
      <w:lvlText w:val=""/>
      <w:lvlJc w:val="left"/>
      <w:pPr>
        <w:ind w:left="2160" w:hanging="360"/>
      </w:pPr>
      <w:rPr>
        <w:rFonts w:ascii="Wingdings" w:hAnsi="Wingdings" w:hint="default"/>
      </w:rPr>
    </w:lvl>
    <w:lvl w:ilvl="3" w:tplc="4A6C69B4">
      <w:start w:val="1"/>
      <w:numFmt w:val="bullet"/>
      <w:lvlText w:val=""/>
      <w:lvlJc w:val="left"/>
      <w:pPr>
        <w:ind w:left="2880" w:hanging="360"/>
      </w:pPr>
      <w:rPr>
        <w:rFonts w:ascii="Symbol" w:hAnsi="Symbol" w:hint="default"/>
      </w:rPr>
    </w:lvl>
    <w:lvl w:ilvl="4" w:tplc="BBC861B8">
      <w:start w:val="1"/>
      <w:numFmt w:val="bullet"/>
      <w:lvlText w:val="o"/>
      <w:lvlJc w:val="left"/>
      <w:pPr>
        <w:ind w:left="3600" w:hanging="360"/>
      </w:pPr>
      <w:rPr>
        <w:rFonts w:ascii="Courier New" w:hAnsi="Courier New" w:hint="default"/>
      </w:rPr>
    </w:lvl>
    <w:lvl w:ilvl="5" w:tplc="320C878E">
      <w:start w:val="1"/>
      <w:numFmt w:val="bullet"/>
      <w:lvlText w:val=""/>
      <w:lvlJc w:val="left"/>
      <w:pPr>
        <w:ind w:left="4320" w:hanging="360"/>
      </w:pPr>
      <w:rPr>
        <w:rFonts w:ascii="Wingdings" w:hAnsi="Wingdings" w:hint="default"/>
      </w:rPr>
    </w:lvl>
    <w:lvl w:ilvl="6" w:tplc="D12E849A">
      <w:start w:val="1"/>
      <w:numFmt w:val="bullet"/>
      <w:lvlText w:val=""/>
      <w:lvlJc w:val="left"/>
      <w:pPr>
        <w:ind w:left="5040" w:hanging="360"/>
      </w:pPr>
      <w:rPr>
        <w:rFonts w:ascii="Symbol" w:hAnsi="Symbol" w:hint="default"/>
      </w:rPr>
    </w:lvl>
    <w:lvl w:ilvl="7" w:tplc="7174D5D0">
      <w:start w:val="1"/>
      <w:numFmt w:val="bullet"/>
      <w:lvlText w:val="o"/>
      <w:lvlJc w:val="left"/>
      <w:pPr>
        <w:ind w:left="5760" w:hanging="360"/>
      </w:pPr>
      <w:rPr>
        <w:rFonts w:ascii="Courier New" w:hAnsi="Courier New" w:hint="default"/>
      </w:rPr>
    </w:lvl>
    <w:lvl w:ilvl="8" w:tplc="3D1A723E">
      <w:start w:val="1"/>
      <w:numFmt w:val="bullet"/>
      <w:lvlText w:val=""/>
      <w:lvlJc w:val="left"/>
      <w:pPr>
        <w:ind w:left="6480" w:hanging="360"/>
      </w:pPr>
      <w:rPr>
        <w:rFonts w:ascii="Wingdings" w:hAnsi="Wingdings" w:hint="default"/>
      </w:rPr>
    </w:lvl>
  </w:abstractNum>
  <w:abstractNum w:abstractNumId="5" w15:restartNumberingAfterBreak="0">
    <w:nsid w:val="1A1A5826"/>
    <w:multiLevelType w:val="hybridMultilevel"/>
    <w:tmpl w:val="C6426700"/>
    <w:lvl w:ilvl="0" w:tplc="F3221F7E">
      <w:start w:val="1"/>
      <w:numFmt w:val="bullet"/>
      <w:lvlText w:val=""/>
      <w:lvlJc w:val="left"/>
      <w:pPr>
        <w:ind w:left="720" w:hanging="360"/>
      </w:pPr>
      <w:rPr>
        <w:rFonts w:ascii="Symbol" w:hAnsi="Symbol" w:hint="default"/>
      </w:rPr>
    </w:lvl>
    <w:lvl w:ilvl="1" w:tplc="859634B6">
      <w:start w:val="1"/>
      <w:numFmt w:val="bullet"/>
      <w:lvlText w:val="o"/>
      <w:lvlJc w:val="left"/>
      <w:pPr>
        <w:ind w:left="1440" w:hanging="360"/>
      </w:pPr>
      <w:rPr>
        <w:rFonts w:ascii="Courier New" w:hAnsi="Courier New" w:hint="default"/>
      </w:rPr>
    </w:lvl>
    <w:lvl w:ilvl="2" w:tplc="A8D44978">
      <w:start w:val="1"/>
      <w:numFmt w:val="bullet"/>
      <w:lvlText w:val=""/>
      <w:lvlJc w:val="left"/>
      <w:pPr>
        <w:ind w:left="2160" w:hanging="360"/>
      </w:pPr>
      <w:rPr>
        <w:rFonts w:ascii="Wingdings" w:hAnsi="Wingdings" w:hint="default"/>
      </w:rPr>
    </w:lvl>
    <w:lvl w:ilvl="3" w:tplc="FA2E56D2">
      <w:start w:val="1"/>
      <w:numFmt w:val="bullet"/>
      <w:lvlText w:val=""/>
      <w:lvlJc w:val="left"/>
      <w:pPr>
        <w:ind w:left="2880" w:hanging="360"/>
      </w:pPr>
      <w:rPr>
        <w:rFonts w:ascii="Symbol" w:hAnsi="Symbol" w:hint="default"/>
      </w:rPr>
    </w:lvl>
    <w:lvl w:ilvl="4" w:tplc="3F4A4A4E">
      <w:start w:val="1"/>
      <w:numFmt w:val="bullet"/>
      <w:lvlText w:val="o"/>
      <w:lvlJc w:val="left"/>
      <w:pPr>
        <w:ind w:left="3600" w:hanging="360"/>
      </w:pPr>
      <w:rPr>
        <w:rFonts w:ascii="Courier New" w:hAnsi="Courier New" w:hint="default"/>
      </w:rPr>
    </w:lvl>
    <w:lvl w:ilvl="5" w:tplc="13F606CC">
      <w:start w:val="1"/>
      <w:numFmt w:val="bullet"/>
      <w:lvlText w:val=""/>
      <w:lvlJc w:val="left"/>
      <w:pPr>
        <w:ind w:left="4320" w:hanging="360"/>
      </w:pPr>
      <w:rPr>
        <w:rFonts w:ascii="Wingdings" w:hAnsi="Wingdings" w:hint="default"/>
      </w:rPr>
    </w:lvl>
    <w:lvl w:ilvl="6" w:tplc="140A08CA">
      <w:start w:val="1"/>
      <w:numFmt w:val="bullet"/>
      <w:lvlText w:val=""/>
      <w:lvlJc w:val="left"/>
      <w:pPr>
        <w:ind w:left="5040" w:hanging="360"/>
      </w:pPr>
      <w:rPr>
        <w:rFonts w:ascii="Symbol" w:hAnsi="Symbol" w:hint="default"/>
      </w:rPr>
    </w:lvl>
    <w:lvl w:ilvl="7" w:tplc="8402EAE8">
      <w:start w:val="1"/>
      <w:numFmt w:val="bullet"/>
      <w:lvlText w:val="o"/>
      <w:lvlJc w:val="left"/>
      <w:pPr>
        <w:ind w:left="5760" w:hanging="360"/>
      </w:pPr>
      <w:rPr>
        <w:rFonts w:ascii="Courier New" w:hAnsi="Courier New" w:hint="default"/>
      </w:rPr>
    </w:lvl>
    <w:lvl w:ilvl="8" w:tplc="6A5235C6">
      <w:start w:val="1"/>
      <w:numFmt w:val="bullet"/>
      <w:lvlText w:val=""/>
      <w:lvlJc w:val="left"/>
      <w:pPr>
        <w:ind w:left="6480" w:hanging="360"/>
      </w:pPr>
      <w:rPr>
        <w:rFonts w:ascii="Wingdings" w:hAnsi="Wingdings" w:hint="default"/>
      </w:rPr>
    </w:lvl>
  </w:abstractNum>
  <w:abstractNum w:abstractNumId="6" w15:restartNumberingAfterBreak="0">
    <w:nsid w:val="304DBB0B"/>
    <w:multiLevelType w:val="hybridMultilevel"/>
    <w:tmpl w:val="22687AAE"/>
    <w:lvl w:ilvl="0" w:tplc="C520169A">
      <w:start w:val="1"/>
      <w:numFmt w:val="bullet"/>
      <w:lvlText w:val=""/>
      <w:lvlJc w:val="left"/>
      <w:pPr>
        <w:ind w:left="720" w:hanging="360"/>
      </w:pPr>
      <w:rPr>
        <w:rFonts w:ascii="Symbol" w:hAnsi="Symbol" w:hint="default"/>
      </w:rPr>
    </w:lvl>
    <w:lvl w:ilvl="1" w:tplc="8124DA2E">
      <w:start w:val="1"/>
      <w:numFmt w:val="bullet"/>
      <w:lvlText w:val="o"/>
      <w:lvlJc w:val="left"/>
      <w:pPr>
        <w:ind w:left="1440" w:hanging="360"/>
      </w:pPr>
      <w:rPr>
        <w:rFonts w:ascii="Courier New" w:hAnsi="Courier New" w:hint="default"/>
      </w:rPr>
    </w:lvl>
    <w:lvl w:ilvl="2" w:tplc="A998B9CE">
      <w:start w:val="1"/>
      <w:numFmt w:val="bullet"/>
      <w:lvlText w:val=""/>
      <w:lvlJc w:val="left"/>
      <w:pPr>
        <w:ind w:left="2160" w:hanging="360"/>
      </w:pPr>
      <w:rPr>
        <w:rFonts w:ascii="Wingdings" w:hAnsi="Wingdings" w:hint="default"/>
      </w:rPr>
    </w:lvl>
    <w:lvl w:ilvl="3" w:tplc="8B248974">
      <w:start w:val="1"/>
      <w:numFmt w:val="bullet"/>
      <w:lvlText w:val=""/>
      <w:lvlJc w:val="left"/>
      <w:pPr>
        <w:ind w:left="2880" w:hanging="360"/>
      </w:pPr>
      <w:rPr>
        <w:rFonts w:ascii="Symbol" w:hAnsi="Symbol" w:hint="default"/>
      </w:rPr>
    </w:lvl>
    <w:lvl w:ilvl="4" w:tplc="8990DD3C">
      <w:start w:val="1"/>
      <w:numFmt w:val="bullet"/>
      <w:lvlText w:val="o"/>
      <w:lvlJc w:val="left"/>
      <w:pPr>
        <w:ind w:left="3600" w:hanging="360"/>
      </w:pPr>
      <w:rPr>
        <w:rFonts w:ascii="Courier New" w:hAnsi="Courier New" w:hint="default"/>
      </w:rPr>
    </w:lvl>
    <w:lvl w:ilvl="5" w:tplc="FCAE4FFA">
      <w:start w:val="1"/>
      <w:numFmt w:val="bullet"/>
      <w:lvlText w:val=""/>
      <w:lvlJc w:val="left"/>
      <w:pPr>
        <w:ind w:left="4320" w:hanging="360"/>
      </w:pPr>
      <w:rPr>
        <w:rFonts w:ascii="Wingdings" w:hAnsi="Wingdings" w:hint="default"/>
      </w:rPr>
    </w:lvl>
    <w:lvl w:ilvl="6" w:tplc="8DEC0486">
      <w:start w:val="1"/>
      <w:numFmt w:val="bullet"/>
      <w:lvlText w:val=""/>
      <w:lvlJc w:val="left"/>
      <w:pPr>
        <w:ind w:left="5040" w:hanging="360"/>
      </w:pPr>
      <w:rPr>
        <w:rFonts w:ascii="Symbol" w:hAnsi="Symbol" w:hint="default"/>
      </w:rPr>
    </w:lvl>
    <w:lvl w:ilvl="7" w:tplc="CE1817CC">
      <w:start w:val="1"/>
      <w:numFmt w:val="bullet"/>
      <w:lvlText w:val="o"/>
      <w:lvlJc w:val="left"/>
      <w:pPr>
        <w:ind w:left="5760" w:hanging="360"/>
      </w:pPr>
      <w:rPr>
        <w:rFonts w:ascii="Courier New" w:hAnsi="Courier New" w:hint="default"/>
      </w:rPr>
    </w:lvl>
    <w:lvl w:ilvl="8" w:tplc="3C305D2C">
      <w:start w:val="1"/>
      <w:numFmt w:val="bullet"/>
      <w:lvlText w:val=""/>
      <w:lvlJc w:val="left"/>
      <w:pPr>
        <w:ind w:left="6480" w:hanging="360"/>
      </w:pPr>
      <w:rPr>
        <w:rFonts w:ascii="Wingdings" w:hAnsi="Wingdings" w:hint="default"/>
      </w:rPr>
    </w:lvl>
  </w:abstractNum>
  <w:abstractNum w:abstractNumId="7" w15:restartNumberingAfterBreak="0">
    <w:nsid w:val="32245294"/>
    <w:multiLevelType w:val="hybridMultilevel"/>
    <w:tmpl w:val="4864A356"/>
    <w:lvl w:ilvl="0" w:tplc="B9B00E88">
      <w:start w:val="1"/>
      <w:numFmt w:val="bullet"/>
      <w:lvlText w:val=""/>
      <w:lvlJc w:val="left"/>
      <w:pPr>
        <w:ind w:left="720" w:hanging="360"/>
      </w:pPr>
      <w:rPr>
        <w:rFonts w:ascii="Symbol" w:hAnsi="Symbol" w:hint="default"/>
      </w:rPr>
    </w:lvl>
    <w:lvl w:ilvl="1" w:tplc="D5AE072E">
      <w:start w:val="1"/>
      <w:numFmt w:val="bullet"/>
      <w:lvlText w:val="o"/>
      <w:lvlJc w:val="left"/>
      <w:pPr>
        <w:ind w:left="1440" w:hanging="360"/>
      </w:pPr>
      <w:rPr>
        <w:rFonts w:ascii="Courier New" w:hAnsi="Courier New" w:hint="default"/>
      </w:rPr>
    </w:lvl>
    <w:lvl w:ilvl="2" w:tplc="EF227C2E">
      <w:start w:val="1"/>
      <w:numFmt w:val="bullet"/>
      <w:lvlText w:val=""/>
      <w:lvlJc w:val="left"/>
      <w:pPr>
        <w:ind w:left="2160" w:hanging="360"/>
      </w:pPr>
      <w:rPr>
        <w:rFonts w:ascii="Wingdings" w:hAnsi="Wingdings" w:hint="default"/>
      </w:rPr>
    </w:lvl>
    <w:lvl w:ilvl="3" w:tplc="7BA4DFFA">
      <w:start w:val="1"/>
      <w:numFmt w:val="bullet"/>
      <w:lvlText w:val=""/>
      <w:lvlJc w:val="left"/>
      <w:pPr>
        <w:ind w:left="2880" w:hanging="360"/>
      </w:pPr>
      <w:rPr>
        <w:rFonts w:ascii="Symbol" w:hAnsi="Symbol" w:hint="default"/>
      </w:rPr>
    </w:lvl>
    <w:lvl w:ilvl="4" w:tplc="F76A21D2">
      <w:start w:val="1"/>
      <w:numFmt w:val="bullet"/>
      <w:lvlText w:val="o"/>
      <w:lvlJc w:val="left"/>
      <w:pPr>
        <w:ind w:left="3600" w:hanging="360"/>
      </w:pPr>
      <w:rPr>
        <w:rFonts w:ascii="Courier New" w:hAnsi="Courier New" w:hint="default"/>
      </w:rPr>
    </w:lvl>
    <w:lvl w:ilvl="5" w:tplc="D3529BF0">
      <w:start w:val="1"/>
      <w:numFmt w:val="bullet"/>
      <w:lvlText w:val=""/>
      <w:lvlJc w:val="left"/>
      <w:pPr>
        <w:ind w:left="4320" w:hanging="360"/>
      </w:pPr>
      <w:rPr>
        <w:rFonts w:ascii="Wingdings" w:hAnsi="Wingdings" w:hint="default"/>
      </w:rPr>
    </w:lvl>
    <w:lvl w:ilvl="6" w:tplc="AF82B562">
      <w:start w:val="1"/>
      <w:numFmt w:val="bullet"/>
      <w:lvlText w:val=""/>
      <w:lvlJc w:val="left"/>
      <w:pPr>
        <w:ind w:left="5040" w:hanging="360"/>
      </w:pPr>
      <w:rPr>
        <w:rFonts w:ascii="Symbol" w:hAnsi="Symbol" w:hint="default"/>
      </w:rPr>
    </w:lvl>
    <w:lvl w:ilvl="7" w:tplc="15804820">
      <w:start w:val="1"/>
      <w:numFmt w:val="bullet"/>
      <w:lvlText w:val="o"/>
      <w:lvlJc w:val="left"/>
      <w:pPr>
        <w:ind w:left="5760" w:hanging="360"/>
      </w:pPr>
      <w:rPr>
        <w:rFonts w:ascii="Courier New" w:hAnsi="Courier New" w:hint="default"/>
      </w:rPr>
    </w:lvl>
    <w:lvl w:ilvl="8" w:tplc="6728D99C">
      <w:start w:val="1"/>
      <w:numFmt w:val="bullet"/>
      <w:lvlText w:val=""/>
      <w:lvlJc w:val="left"/>
      <w:pPr>
        <w:ind w:left="6480" w:hanging="360"/>
      </w:pPr>
      <w:rPr>
        <w:rFonts w:ascii="Wingdings" w:hAnsi="Wingdings" w:hint="default"/>
      </w:rPr>
    </w:lvl>
  </w:abstractNum>
  <w:abstractNum w:abstractNumId="8" w15:restartNumberingAfterBreak="0">
    <w:nsid w:val="436A1918"/>
    <w:multiLevelType w:val="hybridMultilevel"/>
    <w:tmpl w:val="F9D4E3B2"/>
    <w:lvl w:ilvl="0" w:tplc="C8562AEE">
      <w:start w:val="1"/>
      <w:numFmt w:val="bullet"/>
      <w:lvlText w:val=""/>
      <w:lvlJc w:val="left"/>
      <w:pPr>
        <w:ind w:left="720" w:hanging="360"/>
      </w:pPr>
      <w:rPr>
        <w:rFonts w:ascii="Symbol" w:hAnsi="Symbol" w:hint="default"/>
      </w:rPr>
    </w:lvl>
    <w:lvl w:ilvl="1" w:tplc="5A468E68">
      <w:start w:val="1"/>
      <w:numFmt w:val="bullet"/>
      <w:lvlText w:val="o"/>
      <w:lvlJc w:val="left"/>
      <w:pPr>
        <w:ind w:left="1440" w:hanging="360"/>
      </w:pPr>
      <w:rPr>
        <w:rFonts w:ascii="Courier New" w:hAnsi="Courier New" w:hint="default"/>
      </w:rPr>
    </w:lvl>
    <w:lvl w:ilvl="2" w:tplc="C172A650">
      <w:start w:val="1"/>
      <w:numFmt w:val="bullet"/>
      <w:lvlText w:val=""/>
      <w:lvlJc w:val="left"/>
      <w:pPr>
        <w:ind w:left="2160" w:hanging="360"/>
      </w:pPr>
      <w:rPr>
        <w:rFonts w:ascii="Wingdings" w:hAnsi="Wingdings" w:hint="default"/>
      </w:rPr>
    </w:lvl>
    <w:lvl w:ilvl="3" w:tplc="DEFABCBE">
      <w:start w:val="1"/>
      <w:numFmt w:val="bullet"/>
      <w:lvlText w:val=""/>
      <w:lvlJc w:val="left"/>
      <w:pPr>
        <w:ind w:left="2880" w:hanging="360"/>
      </w:pPr>
      <w:rPr>
        <w:rFonts w:ascii="Symbol" w:hAnsi="Symbol" w:hint="default"/>
      </w:rPr>
    </w:lvl>
    <w:lvl w:ilvl="4" w:tplc="764C9CF8">
      <w:start w:val="1"/>
      <w:numFmt w:val="bullet"/>
      <w:lvlText w:val="o"/>
      <w:lvlJc w:val="left"/>
      <w:pPr>
        <w:ind w:left="3600" w:hanging="360"/>
      </w:pPr>
      <w:rPr>
        <w:rFonts w:ascii="Courier New" w:hAnsi="Courier New" w:hint="default"/>
      </w:rPr>
    </w:lvl>
    <w:lvl w:ilvl="5" w:tplc="7DEC55A8">
      <w:start w:val="1"/>
      <w:numFmt w:val="bullet"/>
      <w:lvlText w:val=""/>
      <w:lvlJc w:val="left"/>
      <w:pPr>
        <w:ind w:left="4320" w:hanging="360"/>
      </w:pPr>
      <w:rPr>
        <w:rFonts w:ascii="Wingdings" w:hAnsi="Wingdings" w:hint="default"/>
      </w:rPr>
    </w:lvl>
    <w:lvl w:ilvl="6" w:tplc="8194685C">
      <w:start w:val="1"/>
      <w:numFmt w:val="bullet"/>
      <w:lvlText w:val=""/>
      <w:lvlJc w:val="left"/>
      <w:pPr>
        <w:ind w:left="5040" w:hanging="360"/>
      </w:pPr>
      <w:rPr>
        <w:rFonts w:ascii="Symbol" w:hAnsi="Symbol" w:hint="default"/>
      </w:rPr>
    </w:lvl>
    <w:lvl w:ilvl="7" w:tplc="15DE5A96">
      <w:start w:val="1"/>
      <w:numFmt w:val="bullet"/>
      <w:lvlText w:val="o"/>
      <w:lvlJc w:val="left"/>
      <w:pPr>
        <w:ind w:left="5760" w:hanging="360"/>
      </w:pPr>
      <w:rPr>
        <w:rFonts w:ascii="Courier New" w:hAnsi="Courier New" w:hint="default"/>
      </w:rPr>
    </w:lvl>
    <w:lvl w:ilvl="8" w:tplc="A9083F02">
      <w:start w:val="1"/>
      <w:numFmt w:val="bullet"/>
      <w:lvlText w:val=""/>
      <w:lvlJc w:val="left"/>
      <w:pPr>
        <w:ind w:left="6480" w:hanging="360"/>
      </w:pPr>
      <w:rPr>
        <w:rFonts w:ascii="Wingdings" w:hAnsi="Wingdings" w:hint="default"/>
      </w:rPr>
    </w:lvl>
  </w:abstractNum>
  <w:abstractNum w:abstractNumId="9" w15:restartNumberingAfterBreak="0">
    <w:nsid w:val="47AECCC4"/>
    <w:multiLevelType w:val="hybridMultilevel"/>
    <w:tmpl w:val="E86061CC"/>
    <w:lvl w:ilvl="0" w:tplc="50100B3C">
      <w:start w:val="1"/>
      <w:numFmt w:val="bullet"/>
      <w:lvlText w:val=""/>
      <w:lvlJc w:val="left"/>
      <w:pPr>
        <w:ind w:left="720" w:hanging="360"/>
      </w:pPr>
      <w:rPr>
        <w:rFonts w:ascii="Symbol" w:hAnsi="Symbol" w:hint="default"/>
      </w:rPr>
    </w:lvl>
    <w:lvl w:ilvl="1" w:tplc="55FC40A8">
      <w:start w:val="1"/>
      <w:numFmt w:val="bullet"/>
      <w:lvlText w:val="o"/>
      <w:lvlJc w:val="left"/>
      <w:pPr>
        <w:ind w:left="1440" w:hanging="360"/>
      </w:pPr>
      <w:rPr>
        <w:rFonts w:ascii="Courier New" w:hAnsi="Courier New" w:hint="default"/>
      </w:rPr>
    </w:lvl>
    <w:lvl w:ilvl="2" w:tplc="BFC2E6E0">
      <w:start w:val="1"/>
      <w:numFmt w:val="bullet"/>
      <w:lvlText w:val=""/>
      <w:lvlJc w:val="left"/>
      <w:pPr>
        <w:ind w:left="2160" w:hanging="360"/>
      </w:pPr>
      <w:rPr>
        <w:rFonts w:ascii="Wingdings" w:hAnsi="Wingdings" w:hint="default"/>
      </w:rPr>
    </w:lvl>
    <w:lvl w:ilvl="3" w:tplc="C72A4916">
      <w:start w:val="1"/>
      <w:numFmt w:val="bullet"/>
      <w:lvlText w:val=""/>
      <w:lvlJc w:val="left"/>
      <w:pPr>
        <w:ind w:left="2880" w:hanging="360"/>
      </w:pPr>
      <w:rPr>
        <w:rFonts w:ascii="Symbol" w:hAnsi="Symbol" w:hint="default"/>
      </w:rPr>
    </w:lvl>
    <w:lvl w:ilvl="4" w:tplc="5D48FBCA">
      <w:start w:val="1"/>
      <w:numFmt w:val="bullet"/>
      <w:lvlText w:val="o"/>
      <w:lvlJc w:val="left"/>
      <w:pPr>
        <w:ind w:left="3600" w:hanging="360"/>
      </w:pPr>
      <w:rPr>
        <w:rFonts w:ascii="Courier New" w:hAnsi="Courier New" w:hint="default"/>
      </w:rPr>
    </w:lvl>
    <w:lvl w:ilvl="5" w:tplc="177A0D12">
      <w:start w:val="1"/>
      <w:numFmt w:val="bullet"/>
      <w:lvlText w:val=""/>
      <w:lvlJc w:val="left"/>
      <w:pPr>
        <w:ind w:left="4320" w:hanging="360"/>
      </w:pPr>
      <w:rPr>
        <w:rFonts w:ascii="Wingdings" w:hAnsi="Wingdings" w:hint="default"/>
      </w:rPr>
    </w:lvl>
    <w:lvl w:ilvl="6" w:tplc="EBB05FD4">
      <w:start w:val="1"/>
      <w:numFmt w:val="bullet"/>
      <w:lvlText w:val=""/>
      <w:lvlJc w:val="left"/>
      <w:pPr>
        <w:ind w:left="5040" w:hanging="360"/>
      </w:pPr>
      <w:rPr>
        <w:rFonts w:ascii="Symbol" w:hAnsi="Symbol" w:hint="default"/>
      </w:rPr>
    </w:lvl>
    <w:lvl w:ilvl="7" w:tplc="BF78F594">
      <w:start w:val="1"/>
      <w:numFmt w:val="bullet"/>
      <w:lvlText w:val="o"/>
      <w:lvlJc w:val="left"/>
      <w:pPr>
        <w:ind w:left="5760" w:hanging="360"/>
      </w:pPr>
      <w:rPr>
        <w:rFonts w:ascii="Courier New" w:hAnsi="Courier New" w:hint="default"/>
      </w:rPr>
    </w:lvl>
    <w:lvl w:ilvl="8" w:tplc="E9C6F4BC">
      <w:start w:val="1"/>
      <w:numFmt w:val="bullet"/>
      <w:lvlText w:val=""/>
      <w:lvlJc w:val="left"/>
      <w:pPr>
        <w:ind w:left="6480" w:hanging="360"/>
      </w:pPr>
      <w:rPr>
        <w:rFonts w:ascii="Wingdings" w:hAnsi="Wingdings" w:hint="default"/>
      </w:rPr>
    </w:lvl>
  </w:abstractNum>
  <w:abstractNum w:abstractNumId="10" w15:restartNumberingAfterBreak="0">
    <w:nsid w:val="5066010D"/>
    <w:multiLevelType w:val="hybridMultilevel"/>
    <w:tmpl w:val="919ED294"/>
    <w:lvl w:ilvl="0" w:tplc="3894E410">
      <w:start w:val="1"/>
      <w:numFmt w:val="bullet"/>
      <w:lvlText w:val=""/>
      <w:lvlJc w:val="left"/>
      <w:pPr>
        <w:ind w:left="720" w:hanging="360"/>
      </w:pPr>
      <w:rPr>
        <w:rFonts w:ascii="Symbol" w:hAnsi="Symbol" w:hint="default"/>
      </w:rPr>
    </w:lvl>
    <w:lvl w:ilvl="1" w:tplc="F8FA3A92">
      <w:start w:val="1"/>
      <w:numFmt w:val="bullet"/>
      <w:lvlText w:val="o"/>
      <w:lvlJc w:val="left"/>
      <w:pPr>
        <w:ind w:left="1440" w:hanging="360"/>
      </w:pPr>
      <w:rPr>
        <w:rFonts w:ascii="Courier New" w:hAnsi="Courier New" w:hint="default"/>
      </w:rPr>
    </w:lvl>
    <w:lvl w:ilvl="2" w:tplc="7446307C">
      <w:start w:val="1"/>
      <w:numFmt w:val="bullet"/>
      <w:lvlText w:val=""/>
      <w:lvlJc w:val="left"/>
      <w:pPr>
        <w:ind w:left="2160" w:hanging="360"/>
      </w:pPr>
      <w:rPr>
        <w:rFonts w:ascii="Wingdings" w:hAnsi="Wingdings" w:hint="default"/>
      </w:rPr>
    </w:lvl>
    <w:lvl w:ilvl="3" w:tplc="4BA0CA16">
      <w:start w:val="1"/>
      <w:numFmt w:val="bullet"/>
      <w:lvlText w:val=""/>
      <w:lvlJc w:val="left"/>
      <w:pPr>
        <w:ind w:left="2880" w:hanging="360"/>
      </w:pPr>
      <w:rPr>
        <w:rFonts w:ascii="Symbol" w:hAnsi="Symbol" w:hint="default"/>
      </w:rPr>
    </w:lvl>
    <w:lvl w:ilvl="4" w:tplc="661A887E">
      <w:start w:val="1"/>
      <w:numFmt w:val="bullet"/>
      <w:lvlText w:val="o"/>
      <w:lvlJc w:val="left"/>
      <w:pPr>
        <w:ind w:left="3600" w:hanging="360"/>
      </w:pPr>
      <w:rPr>
        <w:rFonts w:ascii="Courier New" w:hAnsi="Courier New" w:hint="default"/>
      </w:rPr>
    </w:lvl>
    <w:lvl w:ilvl="5" w:tplc="DB141DBE">
      <w:start w:val="1"/>
      <w:numFmt w:val="bullet"/>
      <w:lvlText w:val=""/>
      <w:lvlJc w:val="left"/>
      <w:pPr>
        <w:ind w:left="4320" w:hanging="360"/>
      </w:pPr>
      <w:rPr>
        <w:rFonts w:ascii="Wingdings" w:hAnsi="Wingdings" w:hint="default"/>
      </w:rPr>
    </w:lvl>
    <w:lvl w:ilvl="6" w:tplc="8B34B82E">
      <w:start w:val="1"/>
      <w:numFmt w:val="bullet"/>
      <w:lvlText w:val=""/>
      <w:lvlJc w:val="left"/>
      <w:pPr>
        <w:ind w:left="5040" w:hanging="360"/>
      </w:pPr>
      <w:rPr>
        <w:rFonts w:ascii="Symbol" w:hAnsi="Symbol" w:hint="default"/>
      </w:rPr>
    </w:lvl>
    <w:lvl w:ilvl="7" w:tplc="6EAE6CCE">
      <w:start w:val="1"/>
      <w:numFmt w:val="bullet"/>
      <w:lvlText w:val="o"/>
      <w:lvlJc w:val="left"/>
      <w:pPr>
        <w:ind w:left="5760" w:hanging="360"/>
      </w:pPr>
      <w:rPr>
        <w:rFonts w:ascii="Courier New" w:hAnsi="Courier New" w:hint="default"/>
      </w:rPr>
    </w:lvl>
    <w:lvl w:ilvl="8" w:tplc="ABBE18E0">
      <w:start w:val="1"/>
      <w:numFmt w:val="bullet"/>
      <w:lvlText w:val=""/>
      <w:lvlJc w:val="left"/>
      <w:pPr>
        <w:ind w:left="6480" w:hanging="360"/>
      </w:pPr>
      <w:rPr>
        <w:rFonts w:ascii="Wingdings" w:hAnsi="Wingdings" w:hint="default"/>
      </w:rPr>
    </w:lvl>
  </w:abstractNum>
  <w:abstractNum w:abstractNumId="11" w15:restartNumberingAfterBreak="0">
    <w:nsid w:val="568186BC"/>
    <w:multiLevelType w:val="hybridMultilevel"/>
    <w:tmpl w:val="39583646"/>
    <w:lvl w:ilvl="0" w:tplc="654A5E14">
      <w:start w:val="1"/>
      <w:numFmt w:val="bullet"/>
      <w:lvlText w:val=""/>
      <w:lvlJc w:val="left"/>
      <w:pPr>
        <w:ind w:left="720" w:hanging="360"/>
      </w:pPr>
      <w:rPr>
        <w:rFonts w:ascii="Symbol" w:hAnsi="Symbol" w:hint="default"/>
      </w:rPr>
    </w:lvl>
    <w:lvl w:ilvl="1" w:tplc="AAB0982C">
      <w:start w:val="1"/>
      <w:numFmt w:val="bullet"/>
      <w:lvlText w:val="o"/>
      <w:lvlJc w:val="left"/>
      <w:pPr>
        <w:ind w:left="1440" w:hanging="360"/>
      </w:pPr>
      <w:rPr>
        <w:rFonts w:ascii="Courier New" w:hAnsi="Courier New" w:hint="default"/>
      </w:rPr>
    </w:lvl>
    <w:lvl w:ilvl="2" w:tplc="7A488FE4">
      <w:start w:val="1"/>
      <w:numFmt w:val="bullet"/>
      <w:lvlText w:val=""/>
      <w:lvlJc w:val="left"/>
      <w:pPr>
        <w:ind w:left="2160" w:hanging="360"/>
      </w:pPr>
      <w:rPr>
        <w:rFonts w:ascii="Wingdings" w:hAnsi="Wingdings" w:hint="default"/>
      </w:rPr>
    </w:lvl>
    <w:lvl w:ilvl="3" w:tplc="83B8CC2A">
      <w:start w:val="1"/>
      <w:numFmt w:val="bullet"/>
      <w:lvlText w:val=""/>
      <w:lvlJc w:val="left"/>
      <w:pPr>
        <w:ind w:left="2880" w:hanging="360"/>
      </w:pPr>
      <w:rPr>
        <w:rFonts w:ascii="Symbol" w:hAnsi="Symbol" w:hint="default"/>
      </w:rPr>
    </w:lvl>
    <w:lvl w:ilvl="4" w:tplc="F4D05E88">
      <w:start w:val="1"/>
      <w:numFmt w:val="bullet"/>
      <w:lvlText w:val="o"/>
      <w:lvlJc w:val="left"/>
      <w:pPr>
        <w:ind w:left="3600" w:hanging="360"/>
      </w:pPr>
      <w:rPr>
        <w:rFonts w:ascii="Courier New" w:hAnsi="Courier New" w:hint="default"/>
      </w:rPr>
    </w:lvl>
    <w:lvl w:ilvl="5" w:tplc="DFCE82F0">
      <w:start w:val="1"/>
      <w:numFmt w:val="bullet"/>
      <w:lvlText w:val=""/>
      <w:lvlJc w:val="left"/>
      <w:pPr>
        <w:ind w:left="4320" w:hanging="360"/>
      </w:pPr>
      <w:rPr>
        <w:rFonts w:ascii="Wingdings" w:hAnsi="Wingdings" w:hint="default"/>
      </w:rPr>
    </w:lvl>
    <w:lvl w:ilvl="6" w:tplc="CDCED6CC">
      <w:start w:val="1"/>
      <w:numFmt w:val="bullet"/>
      <w:lvlText w:val=""/>
      <w:lvlJc w:val="left"/>
      <w:pPr>
        <w:ind w:left="5040" w:hanging="360"/>
      </w:pPr>
      <w:rPr>
        <w:rFonts w:ascii="Symbol" w:hAnsi="Symbol" w:hint="default"/>
      </w:rPr>
    </w:lvl>
    <w:lvl w:ilvl="7" w:tplc="F67695D8">
      <w:start w:val="1"/>
      <w:numFmt w:val="bullet"/>
      <w:lvlText w:val="o"/>
      <w:lvlJc w:val="left"/>
      <w:pPr>
        <w:ind w:left="5760" w:hanging="360"/>
      </w:pPr>
      <w:rPr>
        <w:rFonts w:ascii="Courier New" w:hAnsi="Courier New" w:hint="default"/>
      </w:rPr>
    </w:lvl>
    <w:lvl w:ilvl="8" w:tplc="20D2A22C">
      <w:start w:val="1"/>
      <w:numFmt w:val="bullet"/>
      <w:lvlText w:val=""/>
      <w:lvlJc w:val="left"/>
      <w:pPr>
        <w:ind w:left="6480" w:hanging="360"/>
      </w:pPr>
      <w:rPr>
        <w:rFonts w:ascii="Wingdings" w:hAnsi="Wingdings" w:hint="default"/>
      </w:rPr>
    </w:lvl>
  </w:abstractNum>
  <w:abstractNum w:abstractNumId="12" w15:restartNumberingAfterBreak="0">
    <w:nsid w:val="650C0E8B"/>
    <w:multiLevelType w:val="hybridMultilevel"/>
    <w:tmpl w:val="4FEEBC8A"/>
    <w:lvl w:ilvl="0" w:tplc="87C893BE">
      <w:start w:val="1"/>
      <w:numFmt w:val="bullet"/>
      <w:lvlText w:val=""/>
      <w:lvlJc w:val="left"/>
      <w:pPr>
        <w:ind w:left="720" w:hanging="360"/>
      </w:pPr>
      <w:rPr>
        <w:rFonts w:ascii="Symbol" w:hAnsi="Symbol" w:hint="default"/>
      </w:rPr>
    </w:lvl>
    <w:lvl w:ilvl="1" w:tplc="4302109C">
      <w:start w:val="1"/>
      <w:numFmt w:val="bullet"/>
      <w:lvlText w:val="o"/>
      <w:lvlJc w:val="left"/>
      <w:pPr>
        <w:ind w:left="1440" w:hanging="360"/>
      </w:pPr>
      <w:rPr>
        <w:rFonts w:ascii="Courier New" w:hAnsi="Courier New" w:hint="default"/>
      </w:rPr>
    </w:lvl>
    <w:lvl w:ilvl="2" w:tplc="A32C7450">
      <w:start w:val="1"/>
      <w:numFmt w:val="bullet"/>
      <w:lvlText w:val=""/>
      <w:lvlJc w:val="left"/>
      <w:pPr>
        <w:ind w:left="2160" w:hanging="360"/>
      </w:pPr>
      <w:rPr>
        <w:rFonts w:ascii="Wingdings" w:hAnsi="Wingdings" w:hint="default"/>
      </w:rPr>
    </w:lvl>
    <w:lvl w:ilvl="3" w:tplc="C5B2FA78">
      <w:start w:val="1"/>
      <w:numFmt w:val="bullet"/>
      <w:lvlText w:val=""/>
      <w:lvlJc w:val="left"/>
      <w:pPr>
        <w:ind w:left="2880" w:hanging="360"/>
      </w:pPr>
      <w:rPr>
        <w:rFonts w:ascii="Symbol" w:hAnsi="Symbol" w:hint="default"/>
      </w:rPr>
    </w:lvl>
    <w:lvl w:ilvl="4" w:tplc="995A9546">
      <w:start w:val="1"/>
      <w:numFmt w:val="bullet"/>
      <w:lvlText w:val="o"/>
      <w:lvlJc w:val="left"/>
      <w:pPr>
        <w:ind w:left="3600" w:hanging="360"/>
      </w:pPr>
      <w:rPr>
        <w:rFonts w:ascii="Courier New" w:hAnsi="Courier New" w:hint="default"/>
      </w:rPr>
    </w:lvl>
    <w:lvl w:ilvl="5" w:tplc="30E41158">
      <w:start w:val="1"/>
      <w:numFmt w:val="bullet"/>
      <w:lvlText w:val=""/>
      <w:lvlJc w:val="left"/>
      <w:pPr>
        <w:ind w:left="4320" w:hanging="360"/>
      </w:pPr>
      <w:rPr>
        <w:rFonts w:ascii="Wingdings" w:hAnsi="Wingdings" w:hint="default"/>
      </w:rPr>
    </w:lvl>
    <w:lvl w:ilvl="6" w:tplc="989AEDFA">
      <w:start w:val="1"/>
      <w:numFmt w:val="bullet"/>
      <w:lvlText w:val=""/>
      <w:lvlJc w:val="left"/>
      <w:pPr>
        <w:ind w:left="5040" w:hanging="360"/>
      </w:pPr>
      <w:rPr>
        <w:rFonts w:ascii="Symbol" w:hAnsi="Symbol" w:hint="default"/>
      </w:rPr>
    </w:lvl>
    <w:lvl w:ilvl="7" w:tplc="3D3A4DD4">
      <w:start w:val="1"/>
      <w:numFmt w:val="bullet"/>
      <w:lvlText w:val="o"/>
      <w:lvlJc w:val="left"/>
      <w:pPr>
        <w:ind w:left="5760" w:hanging="360"/>
      </w:pPr>
      <w:rPr>
        <w:rFonts w:ascii="Courier New" w:hAnsi="Courier New" w:hint="default"/>
      </w:rPr>
    </w:lvl>
    <w:lvl w:ilvl="8" w:tplc="280CCEB4">
      <w:start w:val="1"/>
      <w:numFmt w:val="bullet"/>
      <w:lvlText w:val=""/>
      <w:lvlJc w:val="left"/>
      <w:pPr>
        <w:ind w:left="6480" w:hanging="360"/>
      </w:pPr>
      <w:rPr>
        <w:rFonts w:ascii="Wingdings" w:hAnsi="Wingdings" w:hint="default"/>
      </w:rPr>
    </w:lvl>
  </w:abstractNum>
  <w:abstractNum w:abstractNumId="13" w15:restartNumberingAfterBreak="0">
    <w:nsid w:val="6EB08A34"/>
    <w:multiLevelType w:val="hybridMultilevel"/>
    <w:tmpl w:val="CF742FE6"/>
    <w:lvl w:ilvl="0" w:tplc="0E6A694A">
      <w:start w:val="1"/>
      <w:numFmt w:val="bullet"/>
      <w:lvlText w:val=""/>
      <w:lvlJc w:val="left"/>
      <w:pPr>
        <w:ind w:left="720" w:hanging="360"/>
      </w:pPr>
      <w:rPr>
        <w:rFonts w:ascii="Symbol" w:hAnsi="Symbol" w:hint="default"/>
      </w:rPr>
    </w:lvl>
    <w:lvl w:ilvl="1" w:tplc="CEEA65B8">
      <w:start w:val="1"/>
      <w:numFmt w:val="bullet"/>
      <w:lvlText w:val="o"/>
      <w:lvlJc w:val="left"/>
      <w:pPr>
        <w:ind w:left="1440" w:hanging="360"/>
      </w:pPr>
      <w:rPr>
        <w:rFonts w:ascii="Courier New" w:hAnsi="Courier New" w:hint="default"/>
      </w:rPr>
    </w:lvl>
    <w:lvl w:ilvl="2" w:tplc="B4A47BB2">
      <w:start w:val="1"/>
      <w:numFmt w:val="bullet"/>
      <w:lvlText w:val=""/>
      <w:lvlJc w:val="left"/>
      <w:pPr>
        <w:ind w:left="2160" w:hanging="360"/>
      </w:pPr>
      <w:rPr>
        <w:rFonts w:ascii="Wingdings" w:hAnsi="Wingdings" w:hint="default"/>
      </w:rPr>
    </w:lvl>
    <w:lvl w:ilvl="3" w:tplc="C7D85144">
      <w:start w:val="1"/>
      <w:numFmt w:val="bullet"/>
      <w:lvlText w:val=""/>
      <w:lvlJc w:val="left"/>
      <w:pPr>
        <w:ind w:left="2880" w:hanging="360"/>
      </w:pPr>
      <w:rPr>
        <w:rFonts w:ascii="Symbol" w:hAnsi="Symbol" w:hint="default"/>
      </w:rPr>
    </w:lvl>
    <w:lvl w:ilvl="4" w:tplc="0AB4FEFA">
      <w:start w:val="1"/>
      <w:numFmt w:val="bullet"/>
      <w:lvlText w:val="o"/>
      <w:lvlJc w:val="left"/>
      <w:pPr>
        <w:ind w:left="3600" w:hanging="360"/>
      </w:pPr>
      <w:rPr>
        <w:rFonts w:ascii="Courier New" w:hAnsi="Courier New" w:hint="default"/>
      </w:rPr>
    </w:lvl>
    <w:lvl w:ilvl="5" w:tplc="7ABE5C3E">
      <w:start w:val="1"/>
      <w:numFmt w:val="bullet"/>
      <w:lvlText w:val=""/>
      <w:lvlJc w:val="left"/>
      <w:pPr>
        <w:ind w:left="4320" w:hanging="360"/>
      </w:pPr>
      <w:rPr>
        <w:rFonts w:ascii="Wingdings" w:hAnsi="Wingdings" w:hint="default"/>
      </w:rPr>
    </w:lvl>
    <w:lvl w:ilvl="6" w:tplc="1D54678E">
      <w:start w:val="1"/>
      <w:numFmt w:val="bullet"/>
      <w:lvlText w:val=""/>
      <w:lvlJc w:val="left"/>
      <w:pPr>
        <w:ind w:left="5040" w:hanging="360"/>
      </w:pPr>
      <w:rPr>
        <w:rFonts w:ascii="Symbol" w:hAnsi="Symbol" w:hint="default"/>
      </w:rPr>
    </w:lvl>
    <w:lvl w:ilvl="7" w:tplc="33D4BE82">
      <w:start w:val="1"/>
      <w:numFmt w:val="bullet"/>
      <w:lvlText w:val="o"/>
      <w:lvlJc w:val="left"/>
      <w:pPr>
        <w:ind w:left="5760" w:hanging="360"/>
      </w:pPr>
      <w:rPr>
        <w:rFonts w:ascii="Courier New" w:hAnsi="Courier New" w:hint="default"/>
      </w:rPr>
    </w:lvl>
    <w:lvl w:ilvl="8" w:tplc="04882CAC">
      <w:start w:val="1"/>
      <w:numFmt w:val="bullet"/>
      <w:lvlText w:val=""/>
      <w:lvlJc w:val="left"/>
      <w:pPr>
        <w:ind w:left="6480" w:hanging="360"/>
      </w:pPr>
      <w:rPr>
        <w:rFonts w:ascii="Wingdings" w:hAnsi="Wingdings" w:hint="default"/>
      </w:rPr>
    </w:lvl>
  </w:abstractNum>
  <w:abstractNum w:abstractNumId="14" w15:restartNumberingAfterBreak="0">
    <w:nsid w:val="7167A993"/>
    <w:multiLevelType w:val="hybridMultilevel"/>
    <w:tmpl w:val="DF6A96FE"/>
    <w:lvl w:ilvl="0" w:tplc="F258AAF8">
      <w:start w:val="1"/>
      <w:numFmt w:val="bullet"/>
      <w:lvlText w:val=""/>
      <w:lvlJc w:val="left"/>
      <w:pPr>
        <w:ind w:left="720" w:hanging="360"/>
      </w:pPr>
      <w:rPr>
        <w:rFonts w:ascii="Symbol" w:hAnsi="Symbol" w:hint="default"/>
      </w:rPr>
    </w:lvl>
    <w:lvl w:ilvl="1" w:tplc="99FCF542">
      <w:start w:val="1"/>
      <w:numFmt w:val="bullet"/>
      <w:lvlText w:val="o"/>
      <w:lvlJc w:val="left"/>
      <w:pPr>
        <w:ind w:left="1440" w:hanging="360"/>
      </w:pPr>
      <w:rPr>
        <w:rFonts w:ascii="Courier New" w:hAnsi="Courier New" w:hint="default"/>
      </w:rPr>
    </w:lvl>
    <w:lvl w:ilvl="2" w:tplc="70E0A460">
      <w:start w:val="1"/>
      <w:numFmt w:val="bullet"/>
      <w:lvlText w:val=""/>
      <w:lvlJc w:val="left"/>
      <w:pPr>
        <w:ind w:left="2160" w:hanging="360"/>
      </w:pPr>
      <w:rPr>
        <w:rFonts w:ascii="Wingdings" w:hAnsi="Wingdings" w:hint="default"/>
      </w:rPr>
    </w:lvl>
    <w:lvl w:ilvl="3" w:tplc="77940978">
      <w:start w:val="1"/>
      <w:numFmt w:val="bullet"/>
      <w:lvlText w:val=""/>
      <w:lvlJc w:val="left"/>
      <w:pPr>
        <w:ind w:left="2880" w:hanging="360"/>
      </w:pPr>
      <w:rPr>
        <w:rFonts w:ascii="Symbol" w:hAnsi="Symbol" w:hint="default"/>
      </w:rPr>
    </w:lvl>
    <w:lvl w:ilvl="4" w:tplc="7B5605E6">
      <w:start w:val="1"/>
      <w:numFmt w:val="bullet"/>
      <w:lvlText w:val="o"/>
      <w:lvlJc w:val="left"/>
      <w:pPr>
        <w:ind w:left="3600" w:hanging="360"/>
      </w:pPr>
      <w:rPr>
        <w:rFonts w:ascii="Courier New" w:hAnsi="Courier New" w:hint="default"/>
      </w:rPr>
    </w:lvl>
    <w:lvl w:ilvl="5" w:tplc="873EB602">
      <w:start w:val="1"/>
      <w:numFmt w:val="bullet"/>
      <w:lvlText w:val=""/>
      <w:lvlJc w:val="left"/>
      <w:pPr>
        <w:ind w:left="4320" w:hanging="360"/>
      </w:pPr>
      <w:rPr>
        <w:rFonts w:ascii="Wingdings" w:hAnsi="Wingdings" w:hint="default"/>
      </w:rPr>
    </w:lvl>
    <w:lvl w:ilvl="6" w:tplc="209A015A">
      <w:start w:val="1"/>
      <w:numFmt w:val="bullet"/>
      <w:lvlText w:val=""/>
      <w:lvlJc w:val="left"/>
      <w:pPr>
        <w:ind w:left="5040" w:hanging="360"/>
      </w:pPr>
      <w:rPr>
        <w:rFonts w:ascii="Symbol" w:hAnsi="Symbol" w:hint="default"/>
      </w:rPr>
    </w:lvl>
    <w:lvl w:ilvl="7" w:tplc="445CE642">
      <w:start w:val="1"/>
      <w:numFmt w:val="bullet"/>
      <w:lvlText w:val="o"/>
      <w:lvlJc w:val="left"/>
      <w:pPr>
        <w:ind w:left="5760" w:hanging="360"/>
      </w:pPr>
      <w:rPr>
        <w:rFonts w:ascii="Courier New" w:hAnsi="Courier New" w:hint="default"/>
      </w:rPr>
    </w:lvl>
    <w:lvl w:ilvl="8" w:tplc="F2E0FD28">
      <w:start w:val="1"/>
      <w:numFmt w:val="bullet"/>
      <w:lvlText w:val=""/>
      <w:lvlJc w:val="left"/>
      <w:pPr>
        <w:ind w:left="6480" w:hanging="360"/>
      </w:pPr>
      <w:rPr>
        <w:rFonts w:ascii="Wingdings" w:hAnsi="Wingdings" w:hint="default"/>
      </w:rPr>
    </w:lvl>
  </w:abstractNum>
  <w:num w:numId="1" w16cid:durableId="1712656631">
    <w:abstractNumId w:val="6"/>
  </w:num>
  <w:num w:numId="2" w16cid:durableId="1437823907">
    <w:abstractNumId w:val="8"/>
  </w:num>
  <w:num w:numId="3" w16cid:durableId="1733625246">
    <w:abstractNumId w:val="1"/>
  </w:num>
  <w:num w:numId="4" w16cid:durableId="1287351775">
    <w:abstractNumId w:val="12"/>
  </w:num>
  <w:num w:numId="5" w16cid:durableId="1073355804">
    <w:abstractNumId w:val="11"/>
  </w:num>
  <w:num w:numId="6" w16cid:durableId="1078211376">
    <w:abstractNumId w:val="13"/>
  </w:num>
  <w:num w:numId="7" w16cid:durableId="927930692">
    <w:abstractNumId w:val="9"/>
  </w:num>
  <w:num w:numId="8" w16cid:durableId="95562076">
    <w:abstractNumId w:val="14"/>
  </w:num>
  <w:num w:numId="9" w16cid:durableId="1600479173">
    <w:abstractNumId w:val="4"/>
  </w:num>
  <w:num w:numId="10" w16cid:durableId="789471647">
    <w:abstractNumId w:val="10"/>
  </w:num>
  <w:num w:numId="11" w16cid:durableId="2127694638">
    <w:abstractNumId w:val="2"/>
  </w:num>
  <w:num w:numId="12" w16cid:durableId="1421681126">
    <w:abstractNumId w:val="7"/>
  </w:num>
  <w:num w:numId="13" w16cid:durableId="1036545177">
    <w:abstractNumId w:val="0"/>
  </w:num>
  <w:num w:numId="14" w16cid:durableId="514149504">
    <w:abstractNumId w:val="5"/>
  </w:num>
  <w:num w:numId="15" w16cid:durableId="11837837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0C618D"/>
    <w:rsid w:val="00001A1C"/>
    <w:rsid w:val="0000214B"/>
    <w:rsid w:val="00022C3A"/>
    <w:rsid w:val="00026BB3"/>
    <w:rsid w:val="00026BC0"/>
    <w:rsid w:val="00057D48"/>
    <w:rsid w:val="0007265A"/>
    <w:rsid w:val="0007B096"/>
    <w:rsid w:val="000828BC"/>
    <w:rsid w:val="000A0C4B"/>
    <w:rsid w:val="000B5E43"/>
    <w:rsid w:val="000C6C6A"/>
    <w:rsid w:val="000D0488"/>
    <w:rsid w:val="000D19A6"/>
    <w:rsid w:val="000D5833"/>
    <w:rsid w:val="000F0282"/>
    <w:rsid w:val="000F6222"/>
    <w:rsid w:val="0010269F"/>
    <w:rsid w:val="00110A9A"/>
    <w:rsid w:val="0011470A"/>
    <w:rsid w:val="001152A2"/>
    <w:rsid w:val="0012266D"/>
    <w:rsid w:val="00125AD9"/>
    <w:rsid w:val="00133FFE"/>
    <w:rsid w:val="001346E1"/>
    <w:rsid w:val="0014151F"/>
    <w:rsid w:val="00141B23"/>
    <w:rsid w:val="001434B9"/>
    <w:rsid w:val="00146524"/>
    <w:rsid w:val="001470FA"/>
    <w:rsid w:val="00156C16"/>
    <w:rsid w:val="00161236"/>
    <w:rsid w:val="0016195F"/>
    <w:rsid w:val="00162943"/>
    <w:rsid w:val="0018483B"/>
    <w:rsid w:val="001857D0"/>
    <w:rsid w:val="0018656D"/>
    <w:rsid w:val="00186DBD"/>
    <w:rsid w:val="00193FDF"/>
    <w:rsid w:val="00195E2D"/>
    <w:rsid w:val="00196677"/>
    <w:rsid w:val="001B3B53"/>
    <w:rsid w:val="001C090A"/>
    <w:rsid w:val="001C2367"/>
    <w:rsid w:val="001C25ED"/>
    <w:rsid w:val="001D36E8"/>
    <w:rsid w:val="001E11E7"/>
    <w:rsid w:val="001E5915"/>
    <w:rsid w:val="001E6DB1"/>
    <w:rsid w:val="00205DA0"/>
    <w:rsid w:val="00212C1F"/>
    <w:rsid w:val="00217D39"/>
    <w:rsid w:val="00224739"/>
    <w:rsid w:val="0024129C"/>
    <w:rsid w:val="00245CEB"/>
    <w:rsid w:val="00245F71"/>
    <w:rsid w:val="00253B99"/>
    <w:rsid w:val="00260C38"/>
    <w:rsid w:val="00260CE1"/>
    <w:rsid w:val="0026459F"/>
    <w:rsid w:val="002739CD"/>
    <w:rsid w:val="0027499E"/>
    <w:rsid w:val="00276761"/>
    <w:rsid w:val="00280557"/>
    <w:rsid w:val="00280622"/>
    <w:rsid w:val="002832AE"/>
    <w:rsid w:val="00292033"/>
    <w:rsid w:val="002A4922"/>
    <w:rsid w:val="002A4BEA"/>
    <w:rsid w:val="002A54CE"/>
    <w:rsid w:val="002B2584"/>
    <w:rsid w:val="002B6C9A"/>
    <w:rsid w:val="002B773E"/>
    <w:rsid w:val="002C00EF"/>
    <w:rsid w:val="002C1775"/>
    <w:rsid w:val="002C4A56"/>
    <w:rsid w:val="002E5176"/>
    <w:rsid w:val="002F64E6"/>
    <w:rsid w:val="003014B3"/>
    <w:rsid w:val="0030482B"/>
    <w:rsid w:val="00310B7C"/>
    <w:rsid w:val="00311AFE"/>
    <w:rsid w:val="00313D18"/>
    <w:rsid w:val="00335F21"/>
    <w:rsid w:val="00337C18"/>
    <w:rsid w:val="00343D33"/>
    <w:rsid w:val="00355E11"/>
    <w:rsid w:val="00364130"/>
    <w:rsid w:val="00365624"/>
    <w:rsid w:val="00367012"/>
    <w:rsid w:val="00373124"/>
    <w:rsid w:val="003829B1"/>
    <w:rsid w:val="00383086"/>
    <w:rsid w:val="003A1AB1"/>
    <w:rsid w:val="003A3377"/>
    <w:rsid w:val="003A4C59"/>
    <w:rsid w:val="003C2EDC"/>
    <w:rsid w:val="003E7876"/>
    <w:rsid w:val="003F32AE"/>
    <w:rsid w:val="003F3A36"/>
    <w:rsid w:val="003F518C"/>
    <w:rsid w:val="003F632E"/>
    <w:rsid w:val="003F72FA"/>
    <w:rsid w:val="00400D70"/>
    <w:rsid w:val="00404F29"/>
    <w:rsid w:val="00415AF3"/>
    <w:rsid w:val="0043481C"/>
    <w:rsid w:val="004434E2"/>
    <w:rsid w:val="0044578F"/>
    <w:rsid w:val="004679D4"/>
    <w:rsid w:val="004847B0"/>
    <w:rsid w:val="00485D73"/>
    <w:rsid w:val="004A009A"/>
    <w:rsid w:val="004A61DF"/>
    <w:rsid w:val="004B0186"/>
    <w:rsid w:val="004B61DE"/>
    <w:rsid w:val="004B7026"/>
    <w:rsid w:val="004C49F2"/>
    <w:rsid w:val="004C4AE1"/>
    <w:rsid w:val="004D7749"/>
    <w:rsid w:val="004F639E"/>
    <w:rsid w:val="005026CA"/>
    <w:rsid w:val="005055FA"/>
    <w:rsid w:val="00507F60"/>
    <w:rsid w:val="00521232"/>
    <w:rsid w:val="00525116"/>
    <w:rsid w:val="00526F99"/>
    <w:rsid w:val="0057201B"/>
    <w:rsid w:val="00573FB0"/>
    <w:rsid w:val="00574930"/>
    <w:rsid w:val="00582762"/>
    <w:rsid w:val="0059063F"/>
    <w:rsid w:val="005918AB"/>
    <w:rsid w:val="00592ABE"/>
    <w:rsid w:val="00592EA9"/>
    <w:rsid w:val="005C04E7"/>
    <w:rsid w:val="005C3CE4"/>
    <w:rsid w:val="005D2518"/>
    <w:rsid w:val="005E205A"/>
    <w:rsid w:val="00616376"/>
    <w:rsid w:val="0063484D"/>
    <w:rsid w:val="0065283A"/>
    <w:rsid w:val="00653AC6"/>
    <w:rsid w:val="00677D3D"/>
    <w:rsid w:val="006969D1"/>
    <w:rsid w:val="006A6595"/>
    <w:rsid w:val="006D21C7"/>
    <w:rsid w:val="006D395C"/>
    <w:rsid w:val="006E009F"/>
    <w:rsid w:val="006F0584"/>
    <w:rsid w:val="006F269E"/>
    <w:rsid w:val="00702CD1"/>
    <w:rsid w:val="007223CC"/>
    <w:rsid w:val="007231C5"/>
    <w:rsid w:val="00724883"/>
    <w:rsid w:val="00727162"/>
    <w:rsid w:val="00742325"/>
    <w:rsid w:val="0076399C"/>
    <w:rsid w:val="007859C9"/>
    <w:rsid w:val="007907F9"/>
    <w:rsid w:val="007A0564"/>
    <w:rsid w:val="007A42CB"/>
    <w:rsid w:val="007A4BB4"/>
    <w:rsid w:val="007B01CF"/>
    <w:rsid w:val="007D097E"/>
    <w:rsid w:val="007F00DD"/>
    <w:rsid w:val="008113FA"/>
    <w:rsid w:val="00815AD6"/>
    <w:rsid w:val="008366D1"/>
    <w:rsid w:val="00844E94"/>
    <w:rsid w:val="00854F0E"/>
    <w:rsid w:val="00865251"/>
    <w:rsid w:val="00870C32"/>
    <w:rsid w:val="0087175A"/>
    <w:rsid w:val="00874A5B"/>
    <w:rsid w:val="008751E1"/>
    <w:rsid w:val="008A219C"/>
    <w:rsid w:val="008D6795"/>
    <w:rsid w:val="008F04A5"/>
    <w:rsid w:val="008F216E"/>
    <w:rsid w:val="008F2299"/>
    <w:rsid w:val="008F7421"/>
    <w:rsid w:val="008F7432"/>
    <w:rsid w:val="00900188"/>
    <w:rsid w:val="009031B8"/>
    <w:rsid w:val="00912795"/>
    <w:rsid w:val="00916757"/>
    <w:rsid w:val="009279FA"/>
    <w:rsid w:val="00943174"/>
    <w:rsid w:val="00955B1A"/>
    <w:rsid w:val="00957512"/>
    <w:rsid w:val="00967CF8"/>
    <w:rsid w:val="00974946"/>
    <w:rsid w:val="00982985"/>
    <w:rsid w:val="00992817"/>
    <w:rsid w:val="009A0076"/>
    <w:rsid w:val="009A1D7A"/>
    <w:rsid w:val="009A5437"/>
    <w:rsid w:val="009C132F"/>
    <w:rsid w:val="009D6FF2"/>
    <w:rsid w:val="009D76F2"/>
    <w:rsid w:val="009E3137"/>
    <w:rsid w:val="00A000C6"/>
    <w:rsid w:val="00A04325"/>
    <w:rsid w:val="00A139FA"/>
    <w:rsid w:val="00A3488B"/>
    <w:rsid w:val="00A37D1F"/>
    <w:rsid w:val="00A40CBE"/>
    <w:rsid w:val="00A44E05"/>
    <w:rsid w:val="00A53276"/>
    <w:rsid w:val="00A5715D"/>
    <w:rsid w:val="00A57DFF"/>
    <w:rsid w:val="00A85726"/>
    <w:rsid w:val="00A90393"/>
    <w:rsid w:val="00A912CF"/>
    <w:rsid w:val="00A95B85"/>
    <w:rsid w:val="00A962BD"/>
    <w:rsid w:val="00AA0C48"/>
    <w:rsid w:val="00AA59C3"/>
    <w:rsid w:val="00AA7294"/>
    <w:rsid w:val="00AA7684"/>
    <w:rsid w:val="00AB2B28"/>
    <w:rsid w:val="00AC0095"/>
    <w:rsid w:val="00AC4009"/>
    <w:rsid w:val="00AD5A5B"/>
    <w:rsid w:val="00AD75D2"/>
    <w:rsid w:val="00B025B9"/>
    <w:rsid w:val="00B049EC"/>
    <w:rsid w:val="00B15968"/>
    <w:rsid w:val="00B3173E"/>
    <w:rsid w:val="00B40373"/>
    <w:rsid w:val="00B46293"/>
    <w:rsid w:val="00B538AC"/>
    <w:rsid w:val="00B60177"/>
    <w:rsid w:val="00B61DFB"/>
    <w:rsid w:val="00B92BC3"/>
    <w:rsid w:val="00B97583"/>
    <w:rsid w:val="00BD49D0"/>
    <w:rsid w:val="00BE3BE1"/>
    <w:rsid w:val="00C114FE"/>
    <w:rsid w:val="00C1246A"/>
    <w:rsid w:val="00C13863"/>
    <w:rsid w:val="00C150BD"/>
    <w:rsid w:val="00C24C55"/>
    <w:rsid w:val="00C371C6"/>
    <w:rsid w:val="00C40456"/>
    <w:rsid w:val="00C46F93"/>
    <w:rsid w:val="00C672C6"/>
    <w:rsid w:val="00C6765F"/>
    <w:rsid w:val="00C819A5"/>
    <w:rsid w:val="00C874F2"/>
    <w:rsid w:val="00C9394B"/>
    <w:rsid w:val="00C93D5D"/>
    <w:rsid w:val="00CA20A1"/>
    <w:rsid w:val="00CB3613"/>
    <w:rsid w:val="00CB5007"/>
    <w:rsid w:val="00CB6F7A"/>
    <w:rsid w:val="00CB7C15"/>
    <w:rsid w:val="00CB7E2F"/>
    <w:rsid w:val="00CC1EC1"/>
    <w:rsid w:val="00CC7F21"/>
    <w:rsid w:val="00CD3F52"/>
    <w:rsid w:val="00CD71F9"/>
    <w:rsid w:val="00CE3099"/>
    <w:rsid w:val="00CE395A"/>
    <w:rsid w:val="00D019E4"/>
    <w:rsid w:val="00D10B23"/>
    <w:rsid w:val="00D21B12"/>
    <w:rsid w:val="00D23B49"/>
    <w:rsid w:val="00D23DCE"/>
    <w:rsid w:val="00D34B59"/>
    <w:rsid w:val="00D352BF"/>
    <w:rsid w:val="00D42249"/>
    <w:rsid w:val="00D64A7E"/>
    <w:rsid w:val="00D67358"/>
    <w:rsid w:val="00D708CA"/>
    <w:rsid w:val="00D90311"/>
    <w:rsid w:val="00D92FC9"/>
    <w:rsid w:val="00DA2386"/>
    <w:rsid w:val="00DA3B49"/>
    <w:rsid w:val="00DB7E16"/>
    <w:rsid w:val="00DD480C"/>
    <w:rsid w:val="00DF206F"/>
    <w:rsid w:val="00DF41CE"/>
    <w:rsid w:val="00E12CE0"/>
    <w:rsid w:val="00E20DC2"/>
    <w:rsid w:val="00E253FD"/>
    <w:rsid w:val="00E30E76"/>
    <w:rsid w:val="00E33A5C"/>
    <w:rsid w:val="00E42175"/>
    <w:rsid w:val="00E57DAC"/>
    <w:rsid w:val="00E6123F"/>
    <w:rsid w:val="00E859AC"/>
    <w:rsid w:val="00EA27AB"/>
    <w:rsid w:val="00EB1DE1"/>
    <w:rsid w:val="00EB254A"/>
    <w:rsid w:val="00ED2238"/>
    <w:rsid w:val="00ED3F1A"/>
    <w:rsid w:val="00ED5EE3"/>
    <w:rsid w:val="00EE272F"/>
    <w:rsid w:val="00EE4377"/>
    <w:rsid w:val="00EF2E59"/>
    <w:rsid w:val="00EF3E6A"/>
    <w:rsid w:val="00F03595"/>
    <w:rsid w:val="00F050BB"/>
    <w:rsid w:val="00F06B47"/>
    <w:rsid w:val="00F3347F"/>
    <w:rsid w:val="00F3432E"/>
    <w:rsid w:val="00F524A0"/>
    <w:rsid w:val="00F56F42"/>
    <w:rsid w:val="00F623B6"/>
    <w:rsid w:val="00F62E77"/>
    <w:rsid w:val="00F7006B"/>
    <w:rsid w:val="00F708A8"/>
    <w:rsid w:val="00F75369"/>
    <w:rsid w:val="00F81B7B"/>
    <w:rsid w:val="00F81DAC"/>
    <w:rsid w:val="00F87A22"/>
    <w:rsid w:val="00F87AE6"/>
    <w:rsid w:val="00F943E7"/>
    <w:rsid w:val="00F96355"/>
    <w:rsid w:val="00FA1A4C"/>
    <w:rsid w:val="00FA3D21"/>
    <w:rsid w:val="00FB2AF2"/>
    <w:rsid w:val="00FB3357"/>
    <w:rsid w:val="00FC5F3E"/>
    <w:rsid w:val="00FE2FDF"/>
    <w:rsid w:val="00FE6423"/>
    <w:rsid w:val="00FF2D0D"/>
    <w:rsid w:val="00FF2ED8"/>
    <w:rsid w:val="00FF4EE4"/>
    <w:rsid w:val="03BD5E39"/>
    <w:rsid w:val="050CDB72"/>
    <w:rsid w:val="07F690C6"/>
    <w:rsid w:val="08B051FE"/>
    <w:rsid w:val="0932E8CB"/>
    <w:rsid w:val="0959DEAD"/>
    <w:rsid w:val="0979262C"/>
    <w:rsid w:val="09B96874"/>
    <w:rsid w:val="0B593253"/>
    <w:rsid w:val="0DEACE0E"/>
    <w:rsid w:val="0E5E862F"/>
    <w:rsid w:val="1026325A"/>
    <w:rsid w:val="106BFB27"/>
    <w:rsid w:val="10EFE235"/>
    <w:rsid w:val="1105596A"/>
    <w:rsid w:val="11F3FA1F"/>
    <w:rsid w:val="1252739D"/>
    <w:rsid w:val="12805E0F"/>
    <w:rsid w:val="13B30C85"/>
    <w:rsid w:val="16C1398B"/>
    <w:rsid w:val="1B686384"/>
    <w:rsid w:val="1BB05BBF"/>
    <w:rsid w:val="1C117902"/>
    <w:rsid w:val="1DACED6F"/>
    <w:rsid w:val="20396723"/>
    <w:rsid w:val="224A496D"/>
    <w:rsid w:val="23C4767F"/>
    <w:rsid w:val="24C464E0"/>
    <w:rsid w:val="24E8FAAE"/>
    <w:rsid w:val="2515EAE4"/>
    <w:rsid w:val="2516FF17"/>
    <w:rsid w:val="25349A22"/>
    <w:rsid w:val="25C51FF0"/>
    <w:rsid w:val="26035936"/>
    <w:rsid w:val="265BAE24"/>
    <w:rsid w:val="28358BB5"/>
    <w:rsid w:val="2B305321"/>
    <w:rsid w:val="2C684EF0"/>
    <w:rsid w:val="2C80E0C4"/>
    <w:rsid w:val="2D27647E"/>
    <w:rsid w:val="2E40366D"/>
    <w:rsid w:val="320346EC"/>
    <w:rsid w:val="348109AD"/>
    <w:rsid w:val="36EAF6F7"/>
    <w:rsid w:val="37239564"/>
    <w:rsid w:val="375B93A6"/>
    <w:rsid w:val="37AB82C4"/>
    <w:rsid w:val="37E3E707"/>
    <w:rsid w:val="383ECE92"/>
    <w:rsid w:val="39891EB9"/>
    <w:rsid w:val="3AC4B4F0"/>
    <w:rsid w:val="3D8386C2"/>
    <w:rsid w:val="410A1204"/>
    <w:rsid w:val="434AB46E"/>
    <w:rsid w:val="4364A894"/>
    <w:rsid w:val="46C8A792"/>
    <w:rsid w:val="4AD49334"/>
    <w:rsid w:val="4D3DEAE1"/>
    <w:rsid w:val="4D41580E"/>
    <w:rsid w:val="4D49A340"/>
    <w:rsid w:val="4F74E34D"/>
    <w:rsid w:val="50DE121E"/>
    <w:rsid w:val="51EE1BBB"/>
    <w:rsid w:val="527EE0D4"/>
    <w:rsid w:val="529E96D2"/>
    <w:rsid w:val="53F4B15D"/>
    <w:rsid w:val="548CCCAC"/>
    <w:rsid w:val="5495B2F4"/>
    <w:rsid w:val="54CD49D8"/>
    <w:rsid w:val="54FB0A78"/>
    <w:rsid w:val="5591BD34"/>
    <w:rsid w:val="5EA39CA0"/>
    <w:rsid w:val="5F0C618D"/>
    <w:rsid w:val="6020CEC6"/>
    <w:rsid w:val="60B0AC36"/>
    <w:rsid w:val="63BB315B"/>
    <w:rsid w:val="677FBF76"/>
    <w:rsid w:val="681D1969"/>
    <w:rsid w:val="68230309"/>
    <w:rsid w:val="68B3CB94"/>
    <w:rsid w:val="6DE1C80D"/>
    <w:rsid w:val="6F379178"/>
    <w:rsid w:val="70D5C9B0"/>
    <w:rsid w:val="71E98CBB"/>
    <w:rsid w:val="7350FDFE"/>
    <w:rsid w:val="7368A633"/>
    <w:rsid w:val="737527DD"/>
    <w:rsid w:val="739724CE"/>
    <w:rsid w:val="73D64777"/>
    <w:rsid w:val="73F2CE32"/>
    <w:rsid w:val="75A69F14"/>
    <w:rsid w:val="77DB0F26"/>
    <w:rsid w:val="77EAC387"/>
    <w:rsid w:val="789DA94D"/>
    <w:rsid w:val="790DEDB3"/>
    <w:rsid w:val="79130482"/>
    <w:rsid w:val="79E34B8B"/>
    <w:rsid w:val="7C0B6F32"/>
    <w:rsid w:val="7C3D5506"/>
    <w:rsid w:val="7C73DF60"/>
    <w:rsid w:val="7CB821CD"/>
    <w:rsid w:val="7CBF721A"/>
    <w:rsid w:val="7F228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CD3FE"/>
  <w15:chartTrackingRefBased/>
  <w15:docId w15:val="{94A4D08B-B61C-49DD-A094-31C4A98B1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6EAF6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6EAF6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6EAF6F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6EAF6F7"/>
    <w:pPr>
      <w:ind w:left="720"/>
      <w:contextualSpacing/>
    </w:pPr>
  </w:style>
  <w:style w:type="character" w:styleId="Hyperlink">
    <w:name w:val="Hyperlink"/>
    <w:basedOn w:val="DefaultParagraphFont"/>
    <w:uiPriority w:val="99"/>
    <w:unhideWhenUsed/>
    <w:rsid w:val="36EAF6F7"/>
    <w:rPr>
      <w:color w:val="467886"/>
      <w:u w:val="single"/>
    </w:rPr>
  </w:style>
  <w:style w:type="paragraph" w:styleId="Header">
    <w:name w:val="header"/>
    <w:basedOn w:val="Normal"/>
    <w:uiPriority w:val="99"/>
    <w:unhideWhenUsed/>
    <w:rsid w:val="36EAF6F7"/>
    <w:pPr>
      <w:tabs>
        <w:tab w:val="center" w:pos="4680"/>
        <w:tab w:val="right" w:pos="9360"/>
      </w:tabs>
      <w:spacing w:after="0" w:line="240" w:lineRule="auto"/>
    </w:pPr>
  </w:style>
  <w:style w:type="paragraph" w:styleId="Footer">
    <w:name w:val="footer"/>
    <w:basedOn w:val="Normal"/>
    <w:link w:val="FooterChar"/>
    <w:uiPriority w:val="99"/>
    <w:unhideWhenUsed/>
    <w:rsid w:val="36EAF6F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C24C55"/>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C24C55"/>
    <w:pPr>
      <w:spacing w:after="100" w:line="259" w:lineRule="auto"/>
      <w:ind w:left="220"/>
    </w:pPr>
    <w:rPr>
      <w:rFonts w:cs="Times New Roman"/>
      <w:sz w:val="22"/>
      <w:szCs w:val="22"/>
      <w:lang w:val="en-US" w:eastAsia="en-US"/>
    </w:rPr>
  </w:style>
  <w:style w:type="paragraph" w:styleId="TOC1">
    <w:name w:val="toc 1"/>
    <w:basedOn w:val="Normal"/>
    <w:next w:val="Normal"/>
    <w:autoRedefine/>
    <w:uiPriority w:val="39"/>
    <w:unhideWhenUsed/>
    <w:rsid w:val="00C24C55"/>
    <w:pPr>
      <w:spacing w:after="100" w:line="259" w:lineRule="auto"/>
    </w:pPr>
    <w:rPr>
      <w:rFonts w:cs="Times New Roman"/>
      <w:sz w:val="22"/>
      <w:szCs w:val="22"/>
      <w:lang w:val="en-US" w:eastAsia="en-US"/>
    </w:rPr>
  </w:style>
  <w:style w:type="paragraph" w:styleId="TOC3">
    <w:name w:val="toc 3"/>
    <w:basedOn w:val="Normal"/>
    <w:next w:val="Normal"/>
    <w:autoRedefine/>
    <w:uiPriority w:val="39"/>
    <w:unhideWhenUsed/>
    <w:rsid w:val="00C24C55"/>
    <w:pPr>
      <w:spacing w:after="100" w:line="259" w:lineRule="auto"/>
      <w:ind w:left="440"/>
    </w:pPr>
    <w:rPr>
      <w:rFonts w:cs="Times New Roman"/>
      <w:sz w:val="22"/>
      <w:szCs w:val="22"/>
      <w:lang w:val="en-US" w:eastAsia="en-US"/>
    </w:rPr>
  </w:style>
  <w:style w:type="character" w:customStyle="1" w:styleId="FooterChar">
    <w:name w:val="Footer Char"/>
    <w:basedOn w:val="DefaultParagraphFont"/>
    <w:link w:val="Footer"/>
    <w:uiPriority w:val="99"/>
    <w:rsid w:val="00DF206F"/>
  </w:style>
  <w:style w:type="character" w:customStyle="1" w:styleId="Heading2Char">
    <w:name w:val="Heading 2 Char"/>
    <w:basedOn w:val="DefaultParagraphFont"/>
    <w:link w:val="Heading2"/>
    <w:uiPriority w:val="9"/>
    <w:rsid w:val="0018656D"/>
    <w:rPr>
      <w:rFonts w:asciiTheme="majorHAnsi" w:eastAsiaTheme="majorEastAsia" w:hAnsiTheme="majorHAnsi" w:cstheme="majorBidi"/>
      <w:color w:val="0F4761" w:themeColor="accent1" w:themeShade="BF"/>
      <w:sz w:val="32"/>
      <w:szCs w:val="32"/>
    </w:rPr>
  </w:style>
  <w:style w:type="paragraph" w:styleId="NoSpacing">
    <w:name w:val="No Spacing"/>
    <w:link w:val="NoSpacingChar"/>
    <w:uiPriority w:val="1"/>
    <w:qFormat/>
    <w:rsid w:val="002C4A56"/>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2C4A56"/>
    <w:rPr>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sma.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y.com" TargetMode="External"/><Relationship Id="rId5" Type="http://schemas.openxmlformats.org/officeDocument/2006/relationships/webSettings" Target="webSettings.xml"/><Relationship Id="rId15" Type="http://schemas.openxmlformats.org/officeDocument/2006/relationships/hyperlink" Target="https://www.pwc.com" TargetMode="External"/><Relationship Id="rId10" Type="http://schemas.openxmlformats.org/officeDocument/2006/relationships/hyperlink" Target="https://doi.org/10.1186/s13731-024-00446-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fco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Date: 13/07/2026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7652</Words>
  <Characters>43623</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
Individual Report</dc:title>
  <dc:subject>LCLM6001</dc:subject>
  <dc:creator>Svetlana Boaghe (2332687</dc:creator>
  <cp:keywords/>
  <dc:description/>
  <cp:lastModifiedBy>Daniel Gordillo Rosales</cp:lastModifiedBy>
  <cp:revision>4</cp:revision>
  <dcterms:created xsi:type="dcterms:W3CDTF">2026-07-12T22:43:00Z</dcterms:created>
  <dcterms:modified xsi:type="dcterms:W3CDTF">2026-07-12T22:50:00Z</dcterms:modified>
</cp:coreProperties>
</file>