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BE7809" w14:textId="77777777" w:rsidR="000B038B" w:rsidRDefault="000B038B" w:rsidP="00810ED3">
      <w:pPr>
        <w:spacing w:after="0" w:line="360" w:lineRule="auto"/>
      </w:pPr>
    </w:p>
    <w:p w14:paraId="211AEAF0" w14:textId="7EEB21BF" w:rsidR="00B17E48" w:rsidRPr="00B17E48" w:rsidRDefault="0075258E" w:rsidP="00810ED3">
      <w:pPr>
        <w:spacing w:after="0" w:line="360" w:lineRule="auto"/>
        <w:jc w:val="center"/>
        <w:rPr>
          <w:b/>
          <w:bCs/>
          <w:sz w:val="28"/>
          <w:szCs w:val="28"/>
        </w:rPr>
      </w:pPr>
      <w:r w:rsidRPr="00B17E48">
        <w:rPr>
          <w:b/>
          <w:bCs/>
          <w:sz w:val="28"/>
          <w:szCs w:val="28"/>
        </w:rPr>
        <w:t>A CRITICAL EXAMINATION OF UK HEALTH, WELLBEING AND SUSTAINABILITY POLICIES: SDG 3 AND SDG 10</w:t>
      </w:r>
    </w:p>
    <w:p w14:paraId="368B0E31" w14:textId="77777777" w:rsidR="00B17E48" w:rsidRDefault="00B17E48" w:rsidP="00810ED3">
      <w:pPr>
        <w:spacing w:after="0" w:line="360" w:lineRule="auto"/>
      </w:pPr>
    </w:p>
    <w:p w14:paraId="5D01FA45" w14:textId="1EE1D658" w:rsidR="00B17E48" w:rsidRPr="00552855" w:rsidRDefault="00552855" w:rsidP="00810ED3">
      <w:pPr>
        <w:spacing w:after="0" w:line="360" w:lineRule="auto"/>
        <w:jc w:val="center"/>
        <w:rPr>
          <w:b/>
          <w:bCs/>
        </w:rPr>
      </w:pPr>
      <w:r w:rsidRPr="00552855">
        <w:rPr>
          <w:b/>
          <w:bCs/>
        </w:rPr>
        <w:t>STUDENT NAME</w:t>
      </w:r>
      <w:r w:rsidR="0034309A">
        <w:rPr>
          <w:b/>
          <w:bCs/>
        </w:rPr>
        <w:t xml:space="preserve"> Sameena Iqbal </w:t>
      </w:r>
    </w:p>
    <w:p w14:paraId="37DCC59D" w14:textId="2689D089" w:rsidR="00552855" w:rsidRPr="00552855" w:rsidRDefault="00552855" w:rsidP="00810ED3">
      <w:pPr>
        <w:spacing w:after="0" w:line="360" w:lineRule="auto"/>
        <w:jc w:val="center"/>
        <w:rPr>
          <w:b/>
          <w:bCs/>
        </w:rPr>
      </w:pPr>
      <w:r w:rsidRPr="00552855">
        <w:rPr>
          <w:b/>
          <w:bCs/>
        </w:rPr>
        <w:t>STUDENT ID</w:t>
      </w:r>
      <w:r w:rsidR="0034309A">
        <w:rPr>
          <w:b/>
          <w:bCs/>
        </w:rPr>
        <w:t xml:space="preserve"> 2315950</w:t>
      </w:r>
    </w:p>
    <w:p w14:paraId="1171A62D" w14:textId="06AD5659" w:rsidR="00552855" w:rsidRPr="00552855" w:rsidRDefault="00552855" w:rsidP="00810ED3">
      <w:pPr>
        <w:spacing w:after="0" w:line="360" w:lineRule="auto"/>
        <w:jc w:val="center"/>
        <w:rPr>
          <w:b/>
          <w:bCs/>
        </w:rPr>
      </w:pPr>
    </w:p>
    <w:p w14:paraId="68FA6C00" w14:textId="77777777" w:rsidR="00B17E48" w:rsidRDefault="00B17E48" w:rsidP="00810ED3">
      <w:pPr>
        <w:spacing w:after="0" w:line="360" w:lineRule="auto"/>
      </w:pPr>
    </w:p>
    <w:p w14:paraId="3A20A280" w14:textId="77777777" w:rsidR="00B17E48" w:rsidRDefault="00B17E48" w:rsidP="00810ED3">
      <w:pPr>
        <w:spacing w:after="0" w:line="360" w:lineRule="auto"/>
      </w:pPr>
    </w:p>
    <w:p w14:paraId="50CCADC7" w14:textId="77777777" w:rsidR="00B17E48" w:rsidRDefault="00B17E48" w:rsidP="00810ED3">
      <w:pPr>
        <w:spacing w:after="0" w:line="360" w:lineRule="auto"/>
      </w:pPr>
    </w:p>
    <w:p w14:paraId="6D22CB0F" w14:textId="77777777" w:rsidR="00B17E48" w:rsidRDefault="00B17E48" w:rsidP="00810ED3">
      <w:pPr>
        <w:spacing w:after="0" w:line="360" w:lineRule="auto"/>
      </w:pPr>
    </w:p>
    <w:p w14:paraId="04408C33" w14:textId="77777777" w:rsidR="00B17E48" w:rsidRDefault="00B17E48" w:rsidP="00810ED3">
      <w:pPr>
        <w:spacing w:after="0" w:line="360" w:lineRule="auto"/>
      </w:pPr>
    </w:p>
    <w:p w14:paraId="69B00ED7" w14:textId="77777777" w:rsidR="00B17E48" w:rsidRDefault="00B17E48" w:rsidP="00810ED3">
      <w:pPr>
        <w:spacing w:after="0" w:line="360" w:lineRule="auto"/>
      </w:pPr>
    </w:p>
    <w:p w14:paraId="1894FC4E" w14:textId="77777777" w:rsidR="00B17E48" w:rsidRDefault="00B17E48" w:rsidP="00810ED3">
      <w:pPr>
        <w:spacing w:after="0" w:line="360" w:lineRule="auto"/>
      </w:pPr>
    </w:p>
    <w:p w14:paraId="624C7E63" w14:textId="77777777" w:rsidR="00B17E48" w:rsidRDefault="00B17E48" w:rsidP="00810ED3">
      <w:pPr>
        <w:spacing w:after="0" w:line="360" w:lineRule="auto"/>
      </w:pPr>
    </w:p>
    <w:p w14:paraId="3A3AA6A5" w14:textId="77777777" w:rsidR="00B17E48" w:rsidRDefault="00B17E48" w:rsidP="00810ED3">
      <w:pPr>
        <w:spacing w:after="0" w:line="360" w:lineRule="auto"/>
      </w:pPr>
    </w:p>
    <w:p w14:paraId="6A09C9A7" w14:textId="77777777" w:rsidR="00B17E48" w:rsidRDefault="00B17E48" w:rsidP="00810ED3">
      <w:pPr>
        <w:spacing w:after="0" w:line="360" w:lineRule="auto"/>
      </w:pPr>
    </w:p>
    <w:p w14:paraId="0E8340DC" w14:textId="77777777" w:rsidR="00B17E48" w:rsidRDefault="00B17E48" w:rsidP="00810ED3">
      <w:pPr>
        <w:spacing w:after="0" w:line="360" w:lineRule="auto"/>
      </w:pPr>
    </w:p>
    <w:p w14:paraId="4F0626D8" w14:textId="77777777" w:rsidR="00B17E48" w:rsidRDefault="00B17E48" w:rsidP="00810ED3">
      <w:pPr>
        <w:spacing w:after="0" w:line="360" w:lineRule="auto"/>
      </w:pPr>
    </w:p>
    <w:p w14:paraId="22784233" w14:textId="77777777" w:rsidR="00B17E48" w:rsidRDefault="00B17E48" w:rsidP="00810ED3">
      <w:pPr>
        <w:spacing w:after="0" w:line="360" w:lineRule="auto"/>
      </w:pPr>
    </w:p>
    <w:p w14:paraId="0EF9F2C7" w14:textId="77777777" w:rsidR="00B17E48" w:rsidRDefault="00B17E48" w:rsidP="00810ED3">
      <w:pPr>
        <w:spacing w:after="0" w:line="360" w:lineRule="auto"/>
      </w:pPr>
    </w:p>
    <w:p w14:paraId="230F958C" w14:textId="77777777" w:rsidR="00B17E48" w:rsidRDefault="00B17E48" w:rsidP="00810ED3">
      <w:pPr>
        <w:spacing w:after="0" w:line="360" w:lineRule="auto"/>
      </w:pPr>
    </w:p>
    <w:p w14:paraId="2E0172E4" w14:textId="77777777" w:rsidR="00B17E48" w:rsidRDefault="00B17E48" w:rsidP="00810ED3">
      <w:pPr>
        <w:spacing w:after="0" w:line="360" w:lineRule="auto"/>
      </w:pPr>
    </w:p>
    <w:p w14:paraId="33CEEB6A" w14:textId="77777777" w:rsidR="00B17E48" w:rsidRDefault="00B17E48" w:rsidP="00810ED3">
      <w:pPr>
        <w:spacing w:after="0" w:line="360" w:lineRule="auto"/>
      </w:pPr>
    </w:p>
    <w:p w14:paraId="7E623742" w14:textId="77777777" w:rsidR="00B17E48" w:rsidRDefault="00B17E48" w:rsidP="00810ED3">
      <w:pPr>
        <w:spacing w:after="0" w:line="360" w:lineRule="auto"/>
      </w:pPr>
    </w:p>
    <w:p w14:paraId="201FAC03" w14:textId="77777777" w:rsidR="00B17E48" w:rsidRDefault="00B17E48" w:rsidP="00810ED3">
      <w:pPr>
        <w:spacing w:after="0" w:line="360" w:lineRule="auto"/>
      </w:pPr>
    </w:p>
    <w:p w14:paraId="5164867A" w14:textId="77777777" w:rsidR="00B17E48" w:rsidRDefault="00B17E48" w:rsidP="00810ED3">
      <w:pPr>
        <w:spacing w:after="0" w:line="360" w:lineRule="auto"/>
      </w:pPr>
    </w:p>
    <w:p w14:paraId="2DD9401A" w14:textId="77777777" w:rsidR="00B17E48" w:rsidRDefault="00B17E48" w:rsidP="00810ED3">
      <w:pPr>
        <w:spacing w:after="0" w:line="360" w:lineRule="auto"/>
      </w:pPr>
    </w:p>
    <w:p w14:paraId="0E26FE8B" w14:textId="77777777" w:rsidR="00B17E48" w:rsidRDefault="00B17E48" w:rsidP="00810ED3">
      <w:pPr>
        <w:spacing w:after="0" w:line="360" w:lineRule="auto"/>
      </w:pPr>
    </w:p>
    <w:p w14:paraId="58CCEF49" w14:textId="77777777" w:rsidR="00B17E48" w:rsidRDefault="00B17E48" w:rsidP="00810ED3">
      <w:pPr>
        <w:spacing w:after="0" w:line="360" w:lineRule="auto"/>
      </w:pPr>
    </w:p>
    <w:p w14:paraId="5351AA5B" w14:textId="77777777" w:rsidR="00B17E48" w:rsidRDefault="00B17E48" w:rsidP="00810ED3">
      <w:pPr>
        <w:spacing w:after="0" w:line="360" w:lineRule="auto"/>
      </w:pPr>
    </w:p>
    <w:p w14:paraId="715A86BF" w14:textId="77777777" w:rsidR="00B17E48" w:rsidRDefault="00B17E48" w:rsidP="00810ED3">
      <w:pPr>
        <w:spacing w:after="0" w:line="360" w:lineRule="auto"/>
      </w:pPr>
    </w:p>
    <w:p w14:paraId="723A1580" w14:textId="77777777" w:rsidR="00B17E48" w:rsidRDefault="00B17E48" w:rsidP="00810ED3">
      <w:pPr>
        <w:spacing w:after="0" w:line="360" w:lineRule="auto"/>
      </w:pPr>
    </w:p>
    <w:sdt>
      <w:sdtPr>
        <w:rPr>
          <w:b/>
          <w:bCs/>
        </w:rPr>
        <w:id w:val="-857726372"/>
        <w:docPartObj>
          <w:docPartGallery w:val="Table of Contents"/>
          <w:docPartUnique/>
        </w:docPartObj>
      </w:sdtPr>
      <w:sdtEndPr>
        <w:rPr>
          <w:noProof/>
        </w:rPr>
      </w:sdtEndPr>
      <w:sdtContent>
        <w:p w14:paraId="4AD2A50C" w14:textId="497DD1C5" w:rsidR="008607DA" w:rsidRPr="00810ED3" w:rsidRDefault="00810ED3" w:rsidP="00810ED3">
          <w:pPr>
            <w:jc w:val="center"/>
            <w:rPr>
              <w:b/>
              <w:bCs/>
            </w:rPr>
          </w:pPr>
          <w:r w:rsidRPr="00810ED3">
            <w:rPr>
              <w:b/>
              <w:bCs/>
            </w:rPr>
            <w:t>TABLE OF CONTENTS</w:t>
          </w:r>
        </w:p>
        <w:p w14:paraId="36925AFD" w14:textId="45CABEF9" w:rsidR="00B75DF0" w:rsidRDefault="008607DA">
          <w:pPr>
            <w:pStyle w:val="TOC1"/>
            <w:tabs>
              <w:tab w:val="right" w:leader="dot" w:pos="9350"/>
            </w:tabs>
            <w:rPr>
              <w:rFonts w:asciiTheme="minorHAnsi" w:eastAsiaTheme="minorEastAsia" w:hAnsiTheme="minorHAnsi"/>
              <w:noProof/>
              <w:sz w:val="24"/>
              <w:szCs w:val="24"/>
            </w:rPr>
          </w:pPr>
          <w:r>
            <w:fldChar w:fldCharType="begin"/>
          </w:r>
          <w:r>
            <w:instrText xml:space="preserve"> TOC \o "1-3" \h \z \u </w:instrText>
          </w:r>
          <w:r>
            <w:fldChar w:fldCharType="separate"/>
          </w:r>
          <w:hyperlink w:anchor="_Toc233115586" w:history="1">
            <w:r w:rsidR="00B75DF0" w:rsidRPr="0026201D">
              <w:rPr>
                <w:rStyle w:val="Hyperlink"/>
                <w:noProof/>
              </w:rPr>
              <w:t>1. INTRODUCTION</w:t>
            </w:r>
            <w:r w:rsidR="00B75DF0">
              <w:rPr>
                <w:noProof/>
                <w:webHidden/>
              </w:rPr>
              <w:tab/>
            </w:r>
            <w:r w:rsidR="00B75DF0">
              <w:rPr>
                <w:noProof/>
                <w:webHidden/>
              </w:rPr>
              <w:fldChar w:fldCharType="begin"/>
            </w:r>
            <w:r w:rsidR="00B75DF0">
              <w:rPr>
                <w:noProof/>
                <w:webHidden/>
              </w:rPr>
              <w:instrText xml:space="preserve"> PAGEREF _Toc233115586 \h </w:instrText>
            </w:r>
            <w:r w:rsidR="00B75DF0">
              <w:rPr>
                <w:noProof/>
                <w:webHidden/>
              </w:rPr>
            </w:r>
            <w:r w:rsidR="00B75DF0">
              <w:rPr>
                <w:noProof/>
                <w:webHidden/>
              </w:rPr>
              <w:fldChar w:fldCharType="separate"/>
            </w:r>
            <w:r w:rsidR="00B75DF0">
              <w:rPr>
                <w:noProof/>
                <w:webHidden/>
              </w:rPr>
              <w:t>3</w:t>
            </w:r>
            <w:r w:rsidR="00B75DF0">
              <w:rPr>
                <w:noProof/>
                <w:webHidden/>
              </w:rPr>
              <w:fldChar w:fldCharType="end"/>
            </w:r>
          </w:hyperlink>
        </w:p>
        <w:p w14:paraId="27B963B1" w14:textId="2908BC0B" w:rsidR="00B75DF0" w:rsidRDefault="00B75DF0">
          <w:pPr>
            <w:pStyle w:val="TOC1"/>
            <w:tabs>
              <w:tab w:val="right" w:leader="dot" w:pos="9350"/>
            </w:tabs>
            <w:rPr>
              <w:rFonts w:asciiTheme="minorHAnsi" w:eastAsiaTheme="minorEastAsia" w:hAnsiTheme="minorHAnsi"/>
              <w:noProof/>
              <w:sz w:val="24"/>
              <w:szCs w:val="24"/>
            </w:rPr>
          </w:pPr>
          <w:hyperlink w:anchor="_Toc233115587" w:history="1">
            <w:r w:rsidRPr="0026201D">
              <w:rPr>
                <w:rStyle w:val="Hyperlink"/>
                <w:noProof/>
              </w:rPr>
              <w:t>2. SUSTAINABLE DEVELOPMENT GOAL 3 – GOOD HEALTH AND WELLBEING</w:t>
            </w:r>
            <w:r>
              <w:rPr>
                <w:noProof/>
                <w:webHidden/>
              </w:rPr>
              <w:tab/>
            </w:r>
            <w:r>
              <w:rPr>
                <w:noProof/>
                <w:webHidden/>
              </w:rPr>
              <w:fldChar w:fldCharType="begin"/>
            </w:r>
            <w:r>
              <w:rPr>
                <w:noProof/>
                <w:webHidden/>
              </w:rPr>
              <w:instrText xml:space="preserve"> PAGEREF _Toc233115587 \h </w:instrText>
            </w:r>
            <w:r>
              <w:rPr>
                <w:noProof/>
                <w:webHidden/>
              </w:rPr>
            </w:r>
            <w:r>
              <w:rPr>
                <w:noProof/>
                <w:webHidden/>
              </w:rPr>
              <w:fldChar w:fldCharType="separate"/>
            </w:r>
            <w:r>
              <w:rPr>
                <w:noProof/>
                <w:webHidden/>
              </w:rPr>
              <w:t>4</w:t>
            </w:r>
            <w:r>
              <w:rPr>
                <w:noProof/>
                <w:webHidden/>
              </w:rPr>
              <w:fldChar w:fldCharType="end"/>
            </w:r>
          </w:hyperlink>
        </w:p>
        <w:p w14:paraId="0E325798" w14:textId="04576967" w:rsidR="00B75DF0" w:rsidRDefault="00B75DF0">
          <w:pPr>
            <w:pStyle w:val="TOC2"/>
            <w:tabs>
              <w:tab w:val="right" w:leader="dot" w:pos="9350"/>
            </w:tabs>
            <w:rPr>
              <w:rFonts w:asciiTheme="minorHAnsi" w:eastAsiaTheme="minorEastAsia" w:hAnsiTheme="minorHAnsi"/>
              <w:noProof/>
              <w:sz w:val="24"/>
              <w:szCs w:val="24"/>
            </w:rPr>
          </w:pPr>
          <w:hyperlink w:anchor="_Toc233115588" w:history="1">
            <w:r w:rsidRPr="0026201D">
              <w:rPr>
                <w:rStyle w:val="Hyperlink"/>
                <w:noProof/>
              </w:rPr>
              <w:t>2.1 Analysis of SDG 3 and Its Impact on Citizens' Health and Wellbeing</w:t>
            </w:r>
            <w:r>
              <w:rPr>
                <w:noProof/>
                <w:webHidden/>
              </w:rPr>
              <w:tab/>
            </w:r>
            <w:r>
              <w:rPr>
                <w:noProof/>
                <w:webHidden/>
              </w:rPr>
              <w:fldChar w:fldCharType="begin"/>
            </w:r>
            <w:r>
              <w:rPr>
                <w:noProof/>
                <w:webHidden/>
              </w:rPr>
              <w:instrText xml:space="preserve"> PAGEREF _Toc233115588 \h </w:instrText>
            </w:r>
            <w:r>
              <w:rPr>
                <w:noProof/>
                <w:webHidden/>
              </w:rPr>
            </w:r>
            <w:r>
              <w:rPr>
                <w:noProof/>
                <w:webHidden/>
              </w:rPr>
              <w:fldChar w:fldCharType="separate"/>
            </w:r>
            <w:r>
              <w:rPr>
                <w:noProof/>
                <w:webHidden/>
              </w:rPr>
              <w:t>4</w:t>
            </w:r>
            <w:r>
              <w:rPr>
                <w:noProof/>
                <w:webHidden/>
              </w:rPr>
              <w:fldChar w:fldCharType="end"/>
            </w:r>
          </w:hyperlink>
        </w:p>
        <w:p w14:paraId="3C5710F9" w14:textId="68637BD4" w:rsidR="00B75DF0" w:rsidRDefault="00B75DF0">
          <w:pPr>
            <w:pStyle w:val="TOC2"/>
            <w:tabs>
              <w:tab w:val="right" w:leader="dot" w:pos="9350"/>
            </w:tabs>
            <w:rPr>
              <w:rFonts w:asciiTheme="minorHAnsi" w:eastAsiaTheme="minorEastAsia" w:hAnsiTheme="minorHAnsi"/>
              <w:noProof/>
              <w:sz w:val="24"/>
              <w:szCs w:val="24"/>
            </w:rPr>
          </w:pPr>
          <w:hyperlink w:anchor="_Toc233115589" w:history="1">
            <w:r w:rsidRPr="0026201D">
              <w:rPr>
                <w:rStyle w:val="Hyperlink"/>
                <w:noProof/>
              </w:rPr>
              <w:t>2.2 National Initiatives: NHS Long Term Plan and the Five Year Forward View for Mental Health</w:t>
            </w:r>
            <w:r>
              <w:rPr>
                <w:noProof/>
                <w:webHidden/>
              </w:rPr>
              <w:tab/>
            </w:r>
            <w:r>
              <w:rPr>
                <w:noProof/>
                <w:webHidden/>
              </w:rPr>
              <w:fldChar w:fldCharType="begin"/>
            </w:r>
            <w:r>
              <w:rPr>
                <w:noProof/>
                <w:webHidden/>
              </w:rPr>
              <w:instrText xml:space="preserve"> PAGEREF _Toc233115589 \h </w:instrText>
            </w:r>
            <w:r>
              <w:rPr>
                <w:noProof/>
                <w:webHidden/>
              </w:rPr>
            </w:r>
            <w:r>
              <w:rPr>
                <w:noProof/>
                <w:webHidden/>
              </w:rPr>
              <w:fldChar w:fldCharType="separate"/>
            </w:r>
            <w:r>
              <w:rPr>
                <w:noProof/>
                <w:webHidden/>
              </w:rPr>
              <w:t>5</w:t>
            </w:r>
            <w:r>
              <w:rPr>
                <w:noProof/>
                <w:webHidden/>
              </w:rPr>
              <w:fldChar w:fldCharType="end"/>
            </w:r>
          </w:hyperlink>
        </w:p>
        <w:p w14:paraId="7333077B" w14:textId="4A25B52C" w:rsidR="00B75DF0" w:rsidRDefault="00B75DF0">
          <w:pPr>
            <w:pStyle w:val="TOC2"/>
            <w:tabs>
              <w:tab w:val="right" w:leader="dot" w:pos="9350"/>
            </w:tabs>
            <w:rPr>
              <w:rFonts w:asciiTheme="minorHAnsi" w:eastAsiaTheme="minorEastAsia" w:hAnsiTheme="minorHAnsi"/>
              <w:noProof/>
              <w:sz w:val="24"/>
              <w:szCs w:val="24"/>
            </w:rPr>
          </w:pPr>
          <w:hyperlink w:anchor="_Toc233115590" w:history="1">
            <w:r w:rsidRPr="0026201D">
              <w:rPr>
                <w:rStyle w:val="Hyperlink"/>
                <w:noProof/>
              </w:rPr>
              <w:t>2.3 Local Initiative: Barnet Suicide Prevention Campaign</w:t>
            </w:r>
            <w:r>
              <w:rPr>
                <w:noProof/>
                <w:webHidden/>
              </w:rPr>
              <w:tab/>
            </w:r>
            <w:r>
              <w:rPr>
                <w:noProof/>
                <w:webHidden/>
              </w:rPr>
              <w:fldChar w:fldCharType="begin"/>
            </w:r>
            <w:r>
              <w:rPr>
                <w:noProof/>
                <w:webHidden/>
              </w:rPr>
              <w:instrText xml:space="preserve"> PAGEREF _Toc233115590 \h </w:instrText>
            </w:r>
            <w:r>
              <w:rPr>
                <w:noProof/>
                <w:webHidden/>
              </w:rPr>
            </w:r>
            <w:r>
              <w:rPr>
                <w:noProof/>
                <w:webHidden/>
              </w:rPr>
              <w:fldChar w:fldCharType="separate"/>
            </w:r>
            <w:r>
              <w:rPr>
                <w:noProof/>
                <w:webHidden/>
              </w:rPr>
              <w:t>6</w:t>
            </w:r>
            <w:r>
              <w:rPr>
                <w:noProof/>
                <w:webHidden/>
              </w:rPr>
              <w:fldChar w:fldCharType="end"/>
            </w:r>
          </w:hyperlink>
        </w:p>
        <w:p w14:paraId="07B2F086" w14:textId="7063761C" w:rsidR="00B75DF0" w:rsidRDefault="00B75DF0">
          <w:pPr>
            <w:pStyle w:val="TOC2"/>
            <w:tabs>
              <w:tab w:val="right" w:leader="dot" w:pos="9350"/>
            </w:tabs>
            <w:rPr>
              <w:rFonts w:asciiTheme="minorHAnsi" w:eastAsiaTheme="minorEastAsia" w:hAnsiTheme="minorHAnsi"/>
              <w:noProof/>
              <w:sz w:val="24"/>
              <w:szCs w:val="24"/>
            </w:rPr>
          </w:pPr>
          <w:hyperlink w:anchor="_Toc233115591" w:history="1">
            <w:r w:rsidRPr="0026201D">
              <w:rPr>
                <w:rStyle w:val="Hyperlink"/>
                <w:noProof/>
              </w:rPr>
              <w:t>2.4 Recommendations for Strengthening SDG 3 Implementation</w:t>
            </w:r>
            <w:r>
              <w:rPr>
                <w:noProof/>
                <w:webHidden/>
              </w:rPr>
              <w:tab/>
            </w:r>
            <w:r>
              <w:rPr>
                <w:noProof/>
                <w:webHidden/>
              </w:rPr>
              <w:fldChar w:fldCharType="begin"/>
            </w:r>
            <w:r>
              <w:rPr>
                <w:noProof/>
                <w:webHidden/>
              </w:rPr>
              <w:instrText xml:space="preserve"> PAGEREF _Toc233115591 \h </w:instrText>
            </w:r>
            <w:r>
              <w:rPr>
                <w:noProof/>
                <w:webHidden/>
              </w:rPr>
            </w:r>
            <w:r>
              <w:rPr>
                <w:noProof/>
                <w:webHidden/>
              </w:rPr>
              <w:fldChar w:fldCharType="separate"/>
            </w:r>
            <w:r>
              <w:rPr>
                <w:noProof/>
                <w:webHidden/>
              </w:rPr>
              <w:t>6</w:t>
            </w:r>
            <w:r>
              <w:rPr>
                <w:noProof/>
                <w:webHidden/>
              </w:rPr>
              <w:fldChar w:fldCharType="end"/>
            </w:r>
          </w:hyperlink>
        </w:p>
        <w:p w14:paraId="76C1FB73" w14:textId="3377CA92" w:rsidR="00B75DF0" w:rsidRDefault="00B75DF0">
          <w:pPr>
            <w:pStyle w:val="TOC1"/>
            <w:tabs>
              <w:tab w:val="right" w:leader="dot" w:pos="9350"/>
            </w:tabs>
            <w:rPr>
              <w:rFonts w:asciiTheme="minorHAnsi" w:eastAsiaTheme="minorEastAsia" w:hAnsiTheme="minorHAnsi"/>
              <w:noProof/>
              <w:sz w:val="24"/>
              <w:szCs w:val="24"/>
            </w:rPr>
          </w:pPr>
          <w:hyperlink w:anchor="_Toc233115592" w:history="1">
            <w:r w:rsidRPr="0026201D">
              <w:rPr>
                <w:rStyle w:val="Hyperlink"/>
                <w:noProof/>
              </w:rPr>
              <w:t>3. SUSTAINABLE DEVELOPMENT GOAL 10 – REDUCED INEQUALITIES</w:t>
            </w:r>
            <w:r>
              <w:rPr>
                <w:noProof/>
                <w:webHidden/>
              </w:rPr>
              <w:tab/>
            </w:r>
            <w:r>
              <w:rPr>
                <w:noProof/>
                <w:webHidden/>
              </w:rPr>
              <w:fldChar w:fldCharType="begin"/>
            </w:r>
            <w:r>
              <w:rPr>
                <w:noProof/>
                <w:webHidden/>
              </w:rPr>
              <w:instrText xml:space="preserve"> PAGEREF _Toc233115592 \h </w:instrText>
            </w:r>
            <w:r>
              <w:rPr>
                <w:noProof/>
                <w:webHidden/>
              </w:rPr>
            </w:r>
            <w:r>
              <w:rPr>
                <w:noProof/>
                <w:webHidden/>
              </w:rPr>
              <w:fldChar w:fldCharType="separate"/>
            </w:r>
            <w:r>
              <w:rPr>
                <w:noProof/>
                <w:webHidden/>
              </w:rPr>
              <w:t>7</w:t>
            </w:r>
            <w:r>
              <w:rPr>
                <w:noProof/>
                <w:webHidden/>
              </w:rPr>
              <w:fldChar w:fldCharType="end"/>
            </w:r>
          </w:hyperlink>
        </w:p>
        <w:p w14:paraId="0AD86284" w14:textId="2E3B8E0A" w:rsidR="00B75DF0" w:rsidRDefault="00B75DF0">
          <w:pPr>
            <w:pStyle w:val="TOC2"/>
            <w:tabs>
              <w:tab w:val="right" w:leader="dot" w:pos="9350"/>
            </w:tabs>
            <w:rPr>
              <w:rFonts w:asciiTheme="minorHAnsi" w:eastAsiaTheme="minorEastAsia" w:hAnsiTheme="minorHAnsi"/>
              <w:noProof/>
              <w:sz w:val="24"/>
              <w:szCs w:val="24"/>
            </w:rPr>
          </w:pPr>
          <w:hyperlink w:anchor="_Toc233115593" w:history="1">
            <w:r w:rsidRPr="0026201D">
              <w:rPr>
                <w:rStyle w:val="Hyperlink"/>
                <w:noProof/>
              </w:rPr>
              <w:t>3.1 Analysis of SDG 10 and Its Impact on Citizens' Health and Wellbeing</w:t>
            </w:r>
            <w:r>
              <w:rPr>
                <w:noProof/>
                <w:webHidden/>
              </w:rPr>
              <w:tab/>
            </w:r>
            <w:r>
              <w:rPr>
                <w:noProof/>
                <w:webHidden/>
              </w:rPr>
              <w:fldChar w:fldCharType="begin"/>
            </w:r>
            <w:r>
              <w:rPr>
                <w:noProof/>
                <w:webHidden/>
              </w:rPr>
              <w:instrText xml:space="preserve"> PAGEREF _Toc233115593 \h </w:instrText>
            </w:r>
            <w:r>
              <w:rPr>
                <w:noProof/>
                <w:webHidden/>
              </w:rPr>
            </w:r>
            <w:r>
              <w:rPr>
                <w:noProof/>
                <w:webHidden/>
              </w:rPr>
              <w:fldChar w:fldCharType="separate"/>
            </w:r>
            <w:r>
              <w:rPr>
                <w:noProof/>
                <w:webHidden/>
              </w:rPr>
              <w:t>7</w:t>
            </w:r>
            <w:r>
              <w:rPr>
                <w:noProof/>
                <w:webHidden/>
              </w:rPr>
              <w:fldChar w:fldCharType="end"/>
            </w:r>
          </w:hyperlink>
        </w:p>
        <w:p w14:paraId="2A481F9F" w14:textId="465D6F8D" w:rsidR="00B75DF0" w:rsidRDefault="00B75DF0">
          <w:pPr>
            <w:pStyle w:val="TOC2"/>
            <w:tabs>
              <w:tab w:val="right" w:leader="dot" w:pos="9350"/>
            </w:tabs>
            <w:rPr>
              <w:rFonts w:asciiTheme="minorHAnsi" w:eastAsiaTheme="minorEastAsia" w:hAnsiTheme="minorHAnsi"/>
              <w:noProof/>
              <w:sz w:val="24"/>
              <w:szCs w:val="24"/>
            </w:rPr>
          </w:pPr>
          <w:hyperlink w:anchor="_Toc233115594" w:history="1">
            <w:r w:rsidRPr="0026201D">
              <w:rPr>
                <w:rStyle w:val="Hyperlink"/>
                <w:noProof/>
              </w:rPr>
              <w:t>3.2 National Initiatives: The Equality Act 2010 and the Marmot Review</w:t>
            </w:r>
            <w:r>
              <w:rPr>
                <w:noProof/>
                <w:webHidden/>
              </w:rPr>
              <w:tab/>
            </w:r>
            <w:r>
              <w:rPr>
                <w:noProof/>
                <w:webHidden/>
              </w:rPr>
              <w:fldChar w:fldCharType="begin"/>
            </w:r>
            <w:r>
              <w:rPr>
                <w:noProof/>
                <w:webHidden/>
              </w:rPr>
              <w:instrText xml:space="preserve"> PAGEREF _Toc233115594 \h </w:instrText>
            </w:r>
            <w:r>
              <w:rPr>
                <w:noProof/>
                <w:webHidden/>
              </w:rPr>
            </w:r>
            <w:r>
              <w:rPr>
                <w:noProof/>
                <w:webHidden/>
              </w:rPr>
              <w:fldChar w:fldCharType="separate"/>
            </w:r>
            <w:r>
              <w:rPr>
                <w:noProof/>
                <w:webHidden/>
              </w:rPr>
              <w:t>7</w:t>
            </w:r>
            <w:r>
              <w:rPr>
                <w:noProof/>
                <w:webHidden/>
              </w:rPr>
              <w:fldChar w:fldCharType="end"/>
            </w:r>
          </w:hyperlink>
        </w:p>
        <w:p w14:paraId="2BF1DD0C" w14:textId="0F45D2FA" w:rsidR="00B75DF0" w:rsidRDefault="00B75DF0">
          <w:pPr>
            <w:pStyle w:val="TOC2"/>
            <w:tabs>
              <w:tab w:val="right" w:leader="dot" w:pos="9350"/>
            </w:tabs>
            <w:rPr>
              <w:rFonts w:asciiTheme="minorHAnsi" w:eastAsiaTheme="minorEastAsia" w:hAnsiTheme="minorHAnsi"/>
              <w:noProof/>
              <w:sz w:val="24"/>
              <w:szCs w:val="24"/>
            </w:rPr>
          </w:pPr>
          <w:hyperlink w:anchor="_Toc233115595" w:history="1">
            <w:r w:rsidRPr="0026201D">
              <w:rPr>
                <w:rStyle w:val="Hyperlink"/>
                <w:noProof/>
              </w:rPr>
              <w:t>3.3 Local Initiative: Community Champions Programme in Kirklees</w:t>
            </w:r>
            <w:r>
              <w:rPr>
                <w:noProof/>
                <w:webHidden/>
              </w:rPr>
              <w:tab/>
            </w:r>
            <w:r>
              <w:rPr>
                <w:noProof/>
                <w:webHidden/>
              </w:rPr>
              <w:fldChar w:fldCharType="begin"/>
            </w:r>
            <w:r>
              <w:rPr>
                <w:noProof/>
                <w:webHidden/>
              </w:rPr>
              <w:instrText xml:space="preserve"> PAGEREF _Toc233115595 \h </w:instrText>
            </w:r>
            <w:r>
              <w:rPr>
                <w:noProof/>
                <w:webHidden/>
              </w:rPr>
            </w:r>
            <w:r>
              <w:rPr>
                <w:noProof/>
                <w:webHidden/>
              </w:rPr>
              <w:fldChar w:fldCharType="separate"/>
            </w:r>
            <w:r>
              <w:rPr>
                <w:noProof/>
                <w:webHidden/>
              </w:rPr>
              <w:t>8</w:t>
            </w:r>
            <w:r>
              <w:rPr>
                <w:noProof/>
                <w:webHidden/>
              </w:rPr>
              <w:fldChar w:fldCharType="end"/>
            </w:r>
          </w:hyperlink>
        </w:p>
        <w:p w14:paraId="78B9D75E" w14:textId="26387B7B" w:rsidR="00B75DF0" w:rsidRDefault="00B75DF0">
          <w:pPr>
            <w:pStyle w:val="TOC2"/>
            <w:tabs>
              <w:tab w:val="right" w:leader="dot" w:pos="9350"/>
            </w:tabs>
            <w:rPr>
              <w:rFonts w:asciiTheme="minorHAnsi" w:eastAsiaTheme="minorEastAsia" w:hAnsiTheme="minorHAnsi"/>
              <w:noProof/>
              <w:sz w:val="24"/>
              <w:szCs w:val="24"/>
            </w:rPr>
          </w:pPr>
          <w:hyperlink w:anchor="_Toc233115596" w:history="1">
            <w:r w:rsidRPr="0026201D">
              <w:rPr>
                <w:rStyle w:val="Hyperlink"/>
                <w:noProof/>
              </w:rPr>
              <w:t>3.4 Recommendations for Strengthening SDG 10 Implementation</w:t>
            </w:r>
            <w:r>
              <w:rPr>
                <w:noProof/>
                <w:webHidden/>
              </w:rPr>
              <w:tab/>
            </w:r>
            <w:r>
              <w:rPr>
                <w:noProof/>
                <w:webHidden/>
              </w:rPr>
              <w:fldChar w:fldCharType="begin"/>
            </w:r>
            <w:r>
              <w:rPr>
                <w:noProof/>
                <w:webHidden/>
              </w:rPr>
              <w:instrText xml:space="preserve"> PAGEREF _Toc233115596 \h </w:instrText>
            </w:r>
            <w:r>
              <w:rPr>
                <w:noProof/>
                <w:webHidden/>
              </w:rPr>
            </w:r>
            <w:r>
              <w:rPr>
                <w:noProof/>
                <w:webHidden/>
              </w:rPr>
              <w:fldChar w:fldCharType="separate"/>
            </w:r>
            <w:r>
              <w:rPr>
                <w:noProof/>
                <w:webHidden/>
              </w:rPr>
              <w:t>8</w:t>
            </w:r>
            <w:r>
              <w:rPr>
                <w:noProof/>
                <w:webHidden/>
              </w:rPr>
              <w:fldChar w:fldCharType="end"/>
            </w:r>
          </w:hyperlink>
        </w:p>
        <w:p w14:paraId="0C883254" w14:textId="13448DA4" w:rsidR="00B75DF0" w:rsidRDefault="00B75DF0">
          <w:pPr>
            <w:pStyle w:val="TOC1"/>
            <w:tabs>
              <w:tab w:val="right" w:leader="dot" w:pos="9350"/>
            </w:tabs>
            <w:rPr>
              <w:rFonts w:asciiTheme="minorHAnsi" w:eastAsiaTheme="minorEastAsia" w:hAnsiTheme="minorHAnsi"/>
              <w:noProof/>
              <w:sz w:val="24"/>
              <w:szCs w:val="24"/>
            </w:rPr>
          </w:pPr>
          <w:hyperlink w:anchor="_Toc233115597" w:history="1">
            <w:r w:rsidRPr="0026201D">
              <w:rPr>
                <w:rStyle w:val="Hyperlink"/>
                <w:noProof/>
              </w:rPr>
              <w:t>4. CONCLUSION</w:t>
            </w:r>
            <w:r>
              <w:rPr>
                <w:noProof/>
                <w:webHidden/>
              </w:rPr>
              <w:tab/>
            </w:r>
            <w:r>
              <w:rPr>
                <w:noProof/>
                <w:webHidden/>
              </w:rPr>
              <w:fldChar w:fldCharType="begin"/>
            </w:r>
            <w:r>
              <w:rPr>
                <w:noProof/>
                <w:webHidden/>
              </w:rPr>
              <w:instrText xml:space="preserve"> PAGEREF _Toc233115597 \h </w:instrText>
            </w:r>
            <w:r>
              <w:rPr>
                <w:noProof/>
                <w:webHidden/>
              </w:rPr>
            </w:r>
            <w:r>
              <w:rPr>
                <w:noProof/>
                <w:webHidden/>
              </w:rPr>
              <w:fldChar w:fldCharType="separate"/>
            </w:r>
            <w:r>
              <w:rPr>
                <w:noProof/>
                <w:webHidden/>
              </w:rPr>
              <w:t>9</w:t>
            </w:r>
            <w:r>
              <w:rPr>
                <w:noProof/>
                <w:webHidden/>
              </w:rPr>
              <w:fldChar w:fldCharType="end"/>
            </w:r>
          </w:hyperlink>
        </w:p>
        <w:p w14:paraId="5FFF79AF" w14:textId="712BFDF4" w:rsidR="00B75DF0" w:rsidRDefault="00B75DF0">
          <w:pPr>
            <w:pStyle w:val="TOC1"/>
            <w:tabs>
              <w:tab w:val="right" w:leader="dot" w:pos="9350"/>
            </w:tabs>
            <w:rPr>
              <w:rFonts w:asciiTheme="minorHAnsi" w:eastAsiaTheme="minorEastAsia" w:hAnsiTheme="minorHAnsi"/>
              <w:noProof/>
              <w:sz w:val="24"/>
              <w:szCs w:val="24"/>
            </w:rPr>
          </w:pPr>
          <w:hyperlink w:anchor="_Toc233115598" w:history="1">
            <w:r w:rsidRPr="0026201D">
              <w:rPr>
                <w:rStyle w:val="Hyperlink"/>
                <w:noProof/>
              </w:rPr>
              <w:t>REFERENCE</w:t>
            </w:r>
            <w:r>
              <w:rPr>
                <w:noProof/>
                <w:webHidden/>
              </w:rPr>
              <w:tab/>
            </w:r>
            <w:r>
              <w:rPr>
                <w:noProof/>
                <w:webHidden/>
              </w:rPr>
              <w:fldChar w:fldCharType="begin"/>
            </w:r>
            <w:r>
              <w:rPr>
                <w:noProof/>
                <w:webHidden/>
              </w:rPr>
              <w:instrText xml:space="preserve"> PAGEREF _Toc233115598 \h </w:instrText>
            </w:r>
            <w:r>
              <w:rPr>
                <w:noProof/>
                <w:webHidden/>
              </w:rPr>
            </w:r>
            <w:r>
              <w:rPr>
                <w:noProof/>
                <w:webHidden/>
              </w:rPr>
              <w:fldChar w:fldCharType="separate"/>
            </w:r>
            <w:r>
              <w:rPr>
                <w:noProof/>
                <w:webHidden/>
              </w:rPr>
              <w:t>10</w:t>
            </w:r>
            <w:r>
              <w:rPr>
                <w:noProof/>
                <w:webHidden/>
              </w:rPr>
              <w:fldChar w:fldCharType="end"/>
            </w:r>
          </w:hyperlink>
        </w:p>
        <w:p w14:paraId="0E129D6C" w14:textId="66EC1F1D" w:rsidR="008607DA" w:rsidRDefault="008607DA" w:rsidP="00810ED3">
          <w:pPr>
            <w:spacing w:after="0" w:line="360" w:lineRule="auto"/>
          </w:pPr>
          <w:r>
            <w:rPr>
              <w:b/>
              <w:bCs/>
              <w:noProof/>
            </w:rPr>
            <w:fldChar w:fldCharType="end"/>
          </w:r>
        </w:p>
      </w:sdtContent>
    </w:sdt>
    <w:p w14:paraId="78A29FE4" w14:textId="77777777" w:rsidR="00B17E48" w:rsidRDefault="00B17E48" w:rsidP="00810ED3">
      <w:pPr>
        <w:spacing w:after="0" w:line="360" w:lineRule="auto"/>
      </w:pPr>
    </w:p>
    <w:p w14:paraId="6231AB69" w14:textId="77777777" w:rsidR="00B17E48" w:rsidRDefault="00B17E48" w:rsidP="00810ED3">
      <w:pPr>
        <w:spacing w:after="0" w:line="360" w:lineRule="auto"/>
      </w:pPr>
    </w:p>
    <w:p w14:paraId="0D248B62" w14:textId="77777777" w:rsidR="00B17E48" w:rsidRDefault="00B17E48" w:rsidP="00810ED3">
      <w:pPr>
        <w:spacing w:after="0" w:line="360" w:lineRule="auto"/>
      </w:pPr>
    </w:p>
    <w:p w14:paraId="08DC2A39" w14:textId="77777777" w:rsidR="00B17E48" w:rsidRDefault="00B17E48" w:rsidP="00810ED3">
      <w:pPr>
        <w:spacing w:after="0" w:line="360" w:lineRule="auto"/>
      </w:pPr>
    </w:p>
    <w:p w14:paraId="6DC7894A" w14:textId="77777777" w:rsidR="00B17E48" w:rsidRDefault="00B17E48" w:rsidP="00810ED3">
      <w:pPr>
        <w:spacing w:after="0" w:line="360" w:lineRule="auto"/>
      </w:pPr>
    </w:p>
    <w:p w14:paraId="3BA31C64" w14:textId="77777777" w:rsidR="00B17E48" w:rsidRDefault="00B17E48" w:rsidP="00810ED3">
      <w:pPr>
        <w:spacing w:after="0" w:line="360" w:lineRule="auto"/>
      </w:pPr>
    </w:p>
    <w:p w14:paraId="35DF7DC1" w14:textId="77777777" w:rsidR="00B17E48" w:rsidRDefault="00B17E48" w:rsidP="00810ED3">
      <w:pPr>
        <w:spacing w:after="0" w:line="360" w:lineRule="auto"/>
      </w:pPr>
    </w:p>
    <w:p w14:paraId="3B191B6B" w14:textId="77777777" w:rsidR="00B17E48" w:rsidRDefault="00B17E48" w:rsidP="00810ED3">
      <w:pPr>
        <w:spacing w:after="0" w:line="360" w:lineRule="auto"/>
      </w:pPr>
    </w:p>
    <w:p w14:paraId="50594180" w14:textId="77777777" w:rsidR="00B17E48" w:rsidRDefault="00B17E48" w:rsidP="00810ED3">
      <w:pPr>
        <w:spacing w:after="0" w:line="360" w:lineRule="auto"/>
      </w:pPr>
    </w:p>
    <w:p w14:paraId="300C5724" w14:textId="77777777" w:rsidR="00B17E48" w:rsidRDefault="00B17E48" w:rsidP="00810ED3">
      <w:pPr>
        <w:spacing w:after="0" w:line="360" w:lineRule="auto"/>
      </w:pPr>
    </w:p>
    <w:p w14:paraId="65011D44" w14:textId="77777777" w:rsidR="00B17E48" w:rsidRDefault="00B17E48" w:rsidP="00810ED3">
      <w:pPr>
        <w:spacing w:after="0" w:line="360" w:lineRule="auto"/>
      </w:pPr>
    </w:p>
    <w:p w14:paraId="233EF669" w14:textId="77777777" w:rsidR="00B17E48" w:rsidRDefault="00B17E48" w:rsidP="00810ED3">
      <w:pPr>
        <w:spacing w:after="0" w:line="360" w:lineRule="auto"/>
      </w:pPr>
    </w:p>
    <w:p w14:paraId="5F7E98BE" w14:textId="77777777" w:rsidR="00B17E48" w:rsidRDefault="00B17E48" w:rsidP="00810ED3">
      <w:pPr>
        <w:spacing w:after="0" w:line="360" w:lineRule="auto"/>
      </w:pPr>
    </w:p>
    <w:p w14:paraId="757B40A0" w14:textId="77777777" w:rsidR="00B17E48" w:rsidRDefault="00B17E48" w:rsidP="00810ED3">
      <w:pPr>
        <w:spacing w:after="0" w:line="360" w:lineRule="auto"/>
      </w:pPr>
    </w:p>
    <w:p w14:paraId="6E539529" w14:textId="77777777" w:rsidR="00B17E48" w:rsidRDefault="00B17E48" w:rsidP="00810ED3">
      <w:pPr>
        <w:spacing w:after="0" w:line="360" w:lineRule="auto"/>
      </w:pPr>
    </w:p>
    <w:p w14:paraId="45583F1B" w14:textId="77777777" w:rsidR="00B17E48" w:rsidRDefault="00B17E48" w:rsidP="00810ED3">
      <w:pPr>
        <w:spacing w:after="0" w:line="360" w:lineRule="auto"/>
      </w:pPr>
    </w:p>
    <w:p w14:paraId="0CA5F362" w14:textId="77777777" w:rsidR="00B17E48" w:rsidRDefault="00B17E48" w:rsidP="00810ED3">
      <w:pPr>
        <w:spacing w:after="0" w:line="360" w:lineRule="auto"/>
      </w:pPr>
    </w:p>
    <w:p w14:paraId="4755D12F" w14:textId="77777777" w:rsidR="00B17E48" w:rsidRDefault="00B17E48" w:rsidP="00810ED3">
      <w:pPr>
        <w:spacing w:after="0" w:line="360" w:lineRule="auto"/>
      </w:pPr>
    </w:p>
    <w:p w14:paraId="2946DF53" w14:textId="3C1F5966" w:rsidR="00B17E48" w:rsidRDefault="00752F63" w:rsidP="00810ED3">
      <w:pPr>
        <w:pStyle w:val="Heading1"/>
        <w:spacing w:before="0" w:after="0" w:line="360" w:lineRule="auto"/>
      </w:pPr>
      <w:bookmarkStart w:id="0" w:name="_Toc233115586"/>
      <w:r>
        <w:t>1. INTRODUCTION</w:t>
      </w:r>
      <w:bookmarkEnd w:id="0"/>
    </w:p>
    <w:p w14:paraId="4FF68427" w14:textId="21A2DBD3" w:rsidR="00B17E48" w:rsidRDefault="00B17E48" w:rsidP="00810ED3">
      <w:pPr>
        <w:spacing w:after="0" w:line="360" w:lineRule="auto"/>
      </w:pPr>
      <w:r>
        <w:t>Health, wellbeing</w:t>
      </w:r>
      <w:r w:rsidR="006A1F50">
        <w:t xml:space="preserve">, and sustainable development go hand in hand and need to be addressed at the international, </w:t>
      </w:r>
      <w:r w:rsidR="00251F9D">
        <w:t>national, and local</w:t>
      </w:r>
      <w:r>
        <w:t xml:space="preserve"> levels</w:t>
      </w:r>
      <w:r w:rsidR="000206CA">
        <w:t xml:space="preserve"> (</w:t>
      </w:r>
      <w:r w:rsidR="000206CA" w:rsidRPr="000206CA">
        <w:t xml:space="preserve">United Nations Development </w:t>
      </w:r>
      <w:r w:rsidR="007331E5">
        <w:t>Program</w:t>
      </w:r>
      <w:r w:rsidR="000206CA">
        <w:t>, 2023)</w:t>
      </w:r>
      <w:r>
        <w:t xml:space="preserve">. The United Nations Sustainable Development Goals (SDGs) offer </w:t>
      </w:r>
      <w:r w:rsidR="006A1F50">
        <w:t>a framework for tackling</w:t>
      </w:r>
      <w:r>
        <w:t xml:space="preserve"> these challenges through integrated policies and practices that support equitable social and economic development</w:t>
      </w:r>
      <w:r w:rsidR="008B7FB4">
        <w:t xml:space="preserve"> (</w:t>
      </w:r>
      <w:r w:rsidR="008B7FB4" w:rsidRPr="008B7FB4">
        <w:t>Shayan</w:t>
      </w:r>
      <w:r w:rsidR="008B7FB4">
        <w:t xml:space="preserve"> et al., 2022)</w:t>
      </w:r>
      <w:r>
        <w:t xml:space="preserve">. This report critically discusses the effects of SDG 3 (Good Health and Wellbeing) and SDG 10 (Reduced Inequalities) on </w:t>
      </w:r>
      <w:r w:rsidR="00A05CBE">
        <w:t>citizens'</w:t>
      </w:r>
      <w:r>
        <w:t xml:space="preserve"> health and wellbeing</w:t>
      </w:r>
      <w:r w:rsidR="00742396">
        <w:t xml:space="preserve"> (</w:t>
      </w:r>
      <w:r w:rsidR="00742396" w:rsidRPr="00742396">
        <w:t>Morton</w:t>
      </w:r>
      <w:r w:rsidR="00742396">
        <w:t xml:space="preserve"> et al., 2022)</w:t>
      </w:r>
      <w:r>
        <w:t xml:space="preserve">. </w:t>
      </w:r>
      <w:r w:rsidR="00056B6F">
        <w:t>The</w:t>
      </w:r>
      <w:r>
        <w:t xml:space="preserve"> </w:t>
      </w:r>
      <w:r w:rsidR="00056B6F">
        <w:t>review</w:t>
      </w:r>
      <w:r>
        <w:t xml:space="preserve"> assesses the effectiveness of </w:t>
      </w:r>
      <w:r w:rsidR="006A1F50">
        <w:t>selected</w:t>
      </w:r>
      <w:r>
        <w:t xml:space="preserve"> national and local initiatives in the United Kingdom and recommends ways to improve planning and implementation in the future. Given that SDG 10 </w:t>
      </w:r>
      <w:r w:rsidR="006A1F50">
        <w:t xml:space="preserve">focuses on social and economic </w:t>
      </w:r>
      <w:r w:rsidR="00A05CBE">
        <w:t>disadvantages</w:t>
      </w:r>
      <w:r w:rsidR="006A1F50">
        <w:t xml:space="preserve">, which strongly </w:t>
      </w:r>
      <w:r w:rsidR="00EF567D">
        <w:t>influence</w:t>
      </w:r>
      <w:r>
        <w:t xml:space="preserve"> health inequalities, it is especially significant. The Marmot Review (2010) stressed that action needs to be taken on the wider determinants of health as well as on health services to reduce health inequalities. Improved population health requires </w:t>
      </w:r>
      <w:r w:rsidR="006A1F50">
        <w:t>effective inter-agency interfaces and linkages among health, social,</w:t>
      </w:r>
      <w:r>
        <w:t xml:space="preserve"> and economic policies.</w:t>
      </w:r>
    </w:p>
    <w:p w14:paraId="6539454C" w14:textId="77777777" w:rsidR="00810ED3" w:rsidRDefault="00810ED3" w:rsidP="00810ED3">
      <w:pPr>
        <w:spacing w:after="0" w:line="240" w:lineRule="auto"/>
      </w:pPr>
    </w:p>
    <w:p w14:paraId="31850A5A" w14:textId="77777777" w:rsidR="00DA53DD" w:rsidRDefault="00DA53DD" w:rsidP="00810ED3">
      <w:pPr>
        <w:keepNext/>
        <w:spacing w:after="0" w:line="360" w:lineRule="auto"/>
        <w:jc w:val="center"/>
      </w:pPr>
      <w:r>
        <w:rPr>
          <w:noProof/>
        </w:rPr>
        <w:drawing>
          <wp:inline distT="0" distB="0" distL="0" distR="0" wp14:anchorId="6C80BBD5" wp14:editId="422CB852">
            <wp:extent cx="5193030" cy="3080004"/>
            <wp:effectExtent l="19050" t="19050" r="26670" b="25400"/>
            <wp:docPr id="599084896" name="Picture 1" descr="Sustainable Development Goals (SDGs) and Disability | Division for  Inclusive Social Development (DI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SDGs) and Disability | Division for  Inclusive Social Development (DI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03004" cy="3085919"/>
                    </a:xfrm>
                    <a:prstGeom prst="rect">
                      <a:avLst/>
                    </a:prstGeom>
                    <a:noFill/>
                    <a:ln>
                      <a:solidFill>
                        <a:schemeClr val="tx1"/>
                      </a:solidFill>
                    </a:ln>
                  </pic:spPr>
                </pic:pic>
              </a:graphicData>
            </a:graphic>
          </wp:inline>
        </w:drawing>
      </w:r>
    </w:p>
    <w:p w14:paraId="7DF2C79C" w14:textId="08E0FC5F" w:rsidR="00DA53DD" w:rsidRDefault="00DA53DD" w:rsidP="00810ED3">
      <w:pPr>
        <w:pStyle w:val="Caption"/>
        <w:spacing w:after="0" w:line="360" w:lineRule="auto"/>
        <w:jc w:val="center"/>
      </w:pPr>
      <w:r>
        <w:t xml:space="preserve">Figure </w:t>
      </w:r>
      <w:r w:rsidR="00595AA3">
        <w:fldChar w:fldCharType="begin"/>
      </w:r>
      <w:r w:rsidR="00595AA3">
        <w:instrText xml:space="preserve"> SEQ Figure \* ARABIC </w:instrText>
      </w:r>
      <w:r w:rsidR="00595AA3">
        <w:fldChar w:fldCharType="separate"/>
      </w:r>
      <w:r w:rsidR="00595AA3">
        <w:rPr>
          <w:noProof/>
        </w:rPr>
        <w:t>1</w:t>
      </w:r>
      <w:r w:rsidR="00595AA3">
        <w:rPr>
          <w:noProof/>
        </w:rPr>
        <w:fldChar w:fldCharType="end"/>
      </w:r>
      <w:r>
        <w:t xml:space="preserve"> </w:t>
      </w:r>
      <w:r w:rsidRPr="0040079E">
        <w:t>Sustainable Development Goals (SDGs</w:t>
      </w:r>
      <w:r w:rsidR="00FA22BE" w:rsidRPr="0040079E">
        <w:t>)</w:t>
      </w:r>
      <w:r w:rsidR="00FA22BE">
        <w:t xml:space="preserve"> (</w:t>
      </w:r>
      <w:r w:rsidRPr="0040079E">
        <w:t>United Nations</w:t>
      </w:r>
      <w:r>
        <w:t>, 2024)</w:t>
      </w:r>
    </w:p>
    <w:p w14:paraId="57EC7ED1" w14:textId="77777777" w:rsidR="00810ED3" w:rsidRPr="00810ED3" w:rsidRDefault="00810ED3" w:rsidP="00810ED3">
      <w:pPr>
        <w:spacing w:line="240" w:lineRule="auto"/>
      </w:pPr>
    </w:p>
    <w:p w14:paraId="11B6FA5B" w14:textId="5E11E1F1" w:rsidR="00B17E48" w:rsidRDefault="00752F63" w:rsidP="00810ED3">
      <w:pPr>
        <w:pStyle w:val="Heading1"/>
        <w:spacing w:before="0" w:after="0" w:line="360" w:lineRule="auto"/>
      </w:pPr>
      <w:bookmarkStart w:id="1" w:name="_Toc233115587"/>
      <w:r>
        <w:t xml:space="preserve">2. </w:t>
      </w:r>
      <w:r w:rsidRPr="00752F63">
        <w:t>SUSTAINABLE DEVELOPMENT GOAL 3 – GOOD HEALTH AND WELLBEING</w:t>
      </w:r>
      <w:bookmarkEnd w:id="1"/>
    </w:p>
    <w:p w14:paraId="641FC581" w14:textId="11AE4861" w:rsidR="00B17E48" w:rsidRDefault="00752F63" w:rsidP="00810ED3">
      <w:pPr>
        <w:pStyle w:val="Heading2"/>
        <w:spacing w:before="0" w:after="0" w:line="360" w:lineRule="auto"/>
      </w:pPr>
      <w:bookmarkStart w:id="2" w:name="_Toc233115588"/>
      <w:r>
        <w:t xml:space="preserve">2.1 </w:t>
      </w:r>
      <w:r w:rsidRPr="00752F63">
        <w:t xml:space="preserve">Analysis of SDG 3 and Its Impact on </w:t>
      </w:r>
      <w:r w:rsidR="00A05CBE">
        <w:t>Citizens'</w:t>
      </w:r>
      <w:r w:rsidRPr="00752F63">
        <w:t xml:space="preserve"> Health and Wellbeing</w:t>
      </w:r>
      <w:bookmarkEnd w:id="2"/>
    </w:p>
    <w:p w14:paraId="31E8DDD3" w14:textId="05F67C1F" w:rsidR="00B17E48" w:rsidRDefault="00B17E48" w:rsidP="00810ED3">
      <w:pPr>
        <w:spacing w:after="0" w:line="360" w:lineRule="auto"/>
      </w:pPr>
      <w:r>
        <w:t xml:space="preserve">One of the Sustainable Development Goals is to ensure healthy lives and promote wellbeing for all people </w:t>
      </w:r>
      <w:r w:rsidR="00A05CBE">
        <w:t>of</w:t>
      </w:r>
      <w:r>
        <w:t xml:space="preserve"> all ages (SDG 3)</w:t>
      </w:r>
      <w:r w:rsidR="00936D9B">
        <w:t xml:space="preserve"> (</w:t>
      </w:r>
      <w:proofErr w:type="spellStart"/>
      <w:r w:rsidR="00936D9B" w:rsidRPr="00936D9B">
        <w:t>Lakioti</w:t>
      </w:r>
      <w:proofErr w:type="spellEnd"/>
      <w:r w:rsidR="00936D9B">
        <w:t xml:space="preserve"> et al., 2025)</w:t>
      </w:r>
      <w:r>
        <w:t xml:space="preserve">. They aim to </w:t>
      </w:r>
      <w:r w:rsidR="006A1F50">
        <w:t>reduce maternal and child mortality, prevent communicable and non-communicable diseases, support mental health, improve universal coverage, and strengthen</w:t>
      </w:r>
      <w:r>
        <w:t xml:space="preserve"> healthcare systems (United Nations, 2024). The goal has taken a </w:t>
      </w:r>
      <w:r w:rsidR="006A1F50">
        <w:t>whole-person</w:t>
      </w:r>
      <w:r>
        <w:t xml:space="preserve"> approach to health, </w:t>
      </w:r>
      <w:r w:rsidR="006A1F50">
        <w:t>considering the individual's health as well as the social and environmental factors that impact it</w:t>
      </w:r>
      <w:r w:rsidR="00F96B54">
        <w:t xml:space="preserve"> (</w:t>
      </w:r>
      <w:r w:rsidR="00F96B54" w:rsidRPr="00F96B54">
        <w:t>National Center for Complementary and Integrative Health</w:t>
      </w:r>
      <w:r w:rsidR="00F96B54">
        <w:t>, 2022)</w:t>
      </w:r>
      <w:r>
        <w:t>.</w:t>
      </w:r>
    </w:p>
    <w:p w14:paraId="10F93D40" w14:textId="3DDC7C11" w:rsidR="00B17E48" w:rsidRDefault="00B17E48" w:rsidP="00810ED3">
      <w:pPr>
        <w:spacing w:after="0" w:line="360" w:lineRule="auto"/>
      </w:pPr>
      <w:r>
        <w:t>In the UK, SDG 3 has led to the development of health policies and improved accountability for the health of the population</w:t>
      </w:r>
      <w:r w:rsidR="00AB4149">
        <w:t xml:space="preserve"> (</w:t>
      </w:r>
      <w:r w:rsidR="00AB4149" w:rsidRPr="00AB4149">
        <w:t>Ramzani</w:t>
      </w:r>
      <w:r w:rsidR="00AB4149">
        <w:t xml:space="preserve"> et al., 2022)</w:t>
      </w:r>
      <w:r>
        <w:t>. The UK has made impressive improvements in areas including maternal mortality, child mortality and immunisation rates, according to the OECD (202</w:t>
      </w:r>
      <w:r w:rsidR="00B93BD4">
        <w:t>4</w:t>
      </w:r>
      <w:r>
        <w:t>). But there are still obstacles to overcome. While there have been modest gains towards decreasing premature mortality and substance misuse, better access to health care is not enough to meet the challenge of complex public health issues (OECD, 202</w:t>
      </w:r>
      <w:r w:rsidR="00B93BD4">
        <w:t>4</w:t>
      </w:r>
      <w:r>
        <w:t>).</w:t>
      </w:r>
    </w:p>
    <w:p w14:paraId="1D8C6EFD" w14:textId="1AE7EF9F" w:rsidR="00B17E48" w:rsidRDefault="00595AA3" w:rsidP="00810ED3">
      <w:pPr>
        <w:spacing w:after="0" w:line="360" w:lineRule="auto"/>
      </w:pPr>
      <w:r>
        <w:t xml:space="preserve">According to </w:t>
      </w:r>
      <w:r w:rsidR="00A05CBE">
        <w:t>Dahlgren and Whitehead (1991),</w:t>
      </w:r>
      <w:r w:rsidR="00B17E48">
        <w:t xml:space="preserve"> </w:t>
      </w:r>
      <w:r>
        <w:t xml:space="preserve">the </w:t>
      </w:r>
      <w:r w:rsidR="00B17E48">
        <w:t xml:space="preserve">Rainbow Model offers a helpful way of thinking about these issues. The model shows that health outcomes are affected by </w:t>
      </w:r>
      <w:r w:rsidR="006A1F50">
        <w:t>several</w:t>
      </w:r>
      <w:r w:rsidR="00B17E48">
        <w:t xml:space="preserve"> interrelated levels of factors, from individual </w:t>
      </w:r>
      <w:r w:rsidR="00F85578">
        <w:t>behaviors, social relationships, living conditions, employment,</w:t>
      </w:r>
      <w:r w:rsidR="00B17E48">
        <w:t xml:space="preserve"> and education to broader socio-economic environments. When these determinants are distributed unevenly among society, health inequalities occur. </w:t>
      </w:r>
      <w:r w:rsidR="00A05CBE">
        <w:t>Interventions</w:t>
      </w:r>
      <w:r w:rsidR="00B17E48">
        <w:t xml:space="preserve"> </w:t>
      </w:r>
      <w:r w:rsidR="006A1F50">
        <w:t>beyond the scope of health care services are needed to achieve SDG 3, which also addresses</w:t>
      </w:r>
      <w:r w:rsidR="00B17E48">
        <w:t xml:space="preserve"> social conditions</w:t>
      </w:r>
      <w:r w:rsidR="00461472">
        <w:t xml:space="preserve"> (</w:t>
      </w:r>
      <w:r w:rsidR="00461472" w:rsidRPr="00461472">
        <w:t>Abdi</w:t>
      </w:r>
      <w:r w:rsidR="00461472">
        <w:t xml:space="preserve"> et al., 2025)</w:t>
      </w:r>
      <w:r w:rsidR="00B17E48">
        <w:t>.</w:t>
      </w:r>
    </w:p>
    <w:p w14:paraId="1F1A2541" w14:textId="77777777" w:rsidR="00E73829" w:rsidRDefault="00E73829" w:rsidP="00E73829">
      <w:pPr>
        <w:spacing w:after="0" w:line="240" w:lineRule="auto"/>
      </w:pPr>
    </w:p>
    <w:p w14:paraId="7BA3E074" w14:textId="77777777" w:rsidR="00595AA3" w:rsidRDefault="00DA53DD" w:rsidP="00810ED3">
      <w:pPr>
        <w:keepNext/>
        <w:spacing w:after="0" w:line="360" w:lineRule="auto"/>
        <w:jc w:val="center"/>
      </w:pPr>
      <w:r>
        <w:rPr>
          <w:noProof/>
        </w:rPr>
        <w:drawing>
          <wp:inline distT="0" distB="0" distL="0" distR="0" wp14:anchorId="7265BBF8" wp14:editId="13B27865">
            <wp:extent cx="5127982" cy="3431804"/>
            <wp:effectExtent l="19050" t="19050" r="15875" b="16510"/>
            <wp:docPr id="1273682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82978" name=""/>
                    <pic:cNvPicPr/>
                  </pic:nvPicPr>
                  <pic:blipFill>
                    <a:blip r:embed="rId6"/>
                    <a:stretch>
                      <a:fillRect/>
                    </a:stretch>
                  </pic:blipFill>
                  <pic:spPr>
                    <a:xfrm>
                      <a:off x="0" y="0"/>
                      <a:ext cx="5138377" cy="3438761"/>
                    </a:xfrm>
                    <a:prstGeom prst="rect">
                      <a:avLst/>
                    </a:prstGeom>
                    <a:ln>
                      <a:solidFill>
                        <a:schemeClr val="tx1"/>
                      </a:solidFill>
                    </a:ln>
                  </pic:spPr>
                </pic:pic>
              </a:graphicData>
            </a:graphic>
          </wp:inline>
        </w:drawing>
      </w:r>
    </w:p>
    <w:p w14:paraId="32BAE554" w14:textId="1E6ED1BF" w:rsidR="00DA53DD" w:rsidRDefault="00595AA3" w:rsidP="00810ED3">
      <w:pPr>
        <w:pStyle w:val="Caption"/>
        <w:spacing w:after="0" w:line="360" w:lineRule="auto"/>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713B86">
        <w:t xml:space="preserve">Rainbow Model </w:t>
      </w:r>
      <w:r>
        <w:t>(Dahlgren and Whitehead, 1991)</w:t>
      </w:r>
    </w:p>
    <w:p w14:paraId="51CDFE42" w14:textId="320E6B4F" w:rsidR="00B17E48" w:rsidRDefault="00972C8A" w:rsidP="00810ED3">
      <w:pPr>
        <w:pStyle w:val="Heading2"/>
        <w:spacing w:before="0" w:after="0" w:line="360" w:lineRule="auto"/>
      </w:pPr>
      <w:bookmarkStart w:id="3" w:name="_Toc233115589"/>
      <w:r>
        <w:t xml:space="preserve">2.2 </w:t>
      </w:r>
      <w:r w:rsidRPr="00972C8A">
        <w:t>National Initiatives: NHS Long Term Plan and the Five Year Forward View for Mental Health</w:t>
      </w:r>
      <w:bookmarkEnd w:id="3"/>
    </w:p>
    <w:p w14:paraId="66A00F81" w14:textId="06E20410" w:rsidR="00B17E48" w:rsidRDefault="00B17E48" w:rsidP="00810ED3">
      <w:pPr>
        <w:spacing w:after="0" w:line="360" w:lineRule="auto"/>
      </w:pPr>
      <w:r>
        <w:t xml:space="preserve">NHS England's National NHS Long Term Plan (2019) is a significant national strategy aimed at tackling </w:t>
      </w:r>
      <w:r w:rsidR="006A1F50">
        <w:t>health inequalities</w:t>
      </w:r>
      <w:r>
        <w:t xml:space="preserve"> and improving health outcomes. The Plan focuses on prevention, integrated care, personalised services</w:t>
      </w:r>
      <w:r w:rsidR="006A1F50">
        <w:t>, and mental health improvement, thereby sharing a similar emphasis on prevention to SDG 3</w:t>
      </w:r>
      <w:r>
        <w:t xml:space="preserve">. This contains pledges to tackle </w:t>
      </w:r>
      <w:r w:rsidR="006A1F50">
        <w:t>health inequalities by focusing investments on</w:t>
      </w:r>
      <w:r>
        <w:t xml:space="preserve"> disadvantaged populations and taking evidence-based action</w:t>
      </w:r>
      <w:r w:rsidR="00D733AB">
        <w:t xml:space="preserve"> (</w:t>
      </w:r>
      <w:r w:rsidR="00D733AB" w:rsidRPr="00D733AB">
        <w:t>World Health Organi</w:t>
      </w:r>
      <w:r w:rsidR="004A6DD1">
        <w:t>sation</w:t>
      </w:r>
      <w:r w:rsidR="00D733AB">
        <w:t>, 2023)</w:t>
      </w:r>
      <w:r>
        <w:t>.</w:t>
      </w:r>
    </w:p>
    <w:p w14:paraId="2D205FEB" w14:textId="7F6B9B80" w:rsidR="00B17E48" w:rsidRDefault="00B17E48" w:rsidP="00810ED3">
      <w:pPr>
        <w:spacing w:after="0" w:line="360" w:lineRule="auto"/>
      </w:pPr>
      <w:r>
        <w:t xml:space="preserve">One of the </w:t>
      </w:r>
      <w:r w:rsidR="006A1F50">
        <w:t>Plan's key strengths is its emphasis on prevention as a core</w:t>
      </w:r>
      <w:r>
        <w:t xml:space="preserve"> element of health service provision. The focus on tackling smoking, obesity, poor diet, alcohol misuse, </w:t>
      </w:r>
      <w:r w:rsidR="006A1F50">
        <w:t xml:space="preserve">and </w:t>
      </w:r>
      <w:r>
        <w:t>cardiovascular risk factors aligns the case with key determinants of population health (NHS England, 2019). In addition, the Plan adopts the concept of proportionate universalism</w:t>
      </w:r>
      <w:r w:rsidR="00A05CBE">
        <w:t>, as articulated</w:t>
      </w:r>
      <w:r>
        <w:t xml:space="preserve"> </w:t>
      </w:r>
      <w:r w:rsidR="006A1F50">
        <w:t xml:space="preserve">by Marmot et al. (2010), which holds that services </w:t>
      </w:r>
      <w:r w:rsidR="004A6DD1">
        <w:t>should</w:t>
      </w:r>
      <w:r w:rsidR="006A1F50">
        <w:t xml:space="preserve"> be provided to everyone but be more intensive for those</w:t>
      </w:r>
      <w:r>
        <w:t xml:space="preserve"> most disadvantaged.</w:t>
      </w:r>
    </w:p>
    <w:p w14:paraId="4F23C0E4" w14:textId="5AF2FDA9" w:rsidR="00B17E48" w:rsidRDefault="00B17E48" w:rsidP="00810ED3">
      <w:pPr>
        <w:spacing w:after="0" w:line="360" w:lineRule="auto"/>
      </w:pPr>
      <w:r>
        <w:t xml:space="preserve">Nevertheless, there are some </w:t>
      </w:r>
      <w:r w:rsidR="006A1F50">
        <w:t>implementation issues</w:t>
      </w:r>
      <w:r>
        <w:t xml:space="preserve">. The Faculty of Public Health (2025) states that the Plan </w:t>
      </w:r>
      <w:r w:rsidR="006A1F50">
        <w:t xml:space="preserve">places too much emphasis on individual behaviour change and not enough on the </w:t>
      </w:r>
      <w:r>
        <w:t>wider structural determinants of health. Better governance and accountability mechanisms and systems for population health outcomes may be needed if improvements are to be limited. A whole systems approach is therefore needed</w:t>
      </w:r>
      <w:r w:rsidR="00241FBD">
        <w:t xml:space="preserve"> (</w:t>
      </w:r>
      <w:r w:rsidR="00241FBD" w:rsidRPr="00241FBD">
        <w:t>Nejatian</w:t>
      </w:r>
      <w:r w:rsidR="00241FBD">
        <w:t xml:space="preserve"> et al., 2024)</w:t>
      </w:r>
      <w:r>
        <w:t>.</w:t>
      </w:r>
    </w:p>
    <w:p w14:paraId="3CC74FC0" w14:textId="19048323" w:rsidR="00B17E48" w:rsidRDefault="006A1F50" w:rsidP="00810ED3">
      <w:pPr>
        <w:spacing w:after="0" w:line="360" w:lineRule="auto"/>
      </w:pPr>
      <w:r>
        <w:t>Promoting</w:t>
      </w:r>
      <w:r w:rsidR="00B17E48">
        <w:t xml:space="preserve"> mental health is another priority under SDG3. The </w:t>
      </w:r>
      <w:r>
        <w:t xml:space="preserve">Five-Year Forward View for Mental Health (NHS England, 2016) aimed to increase access to mental health services, increase investment, and better integrate mental </w:t>
      </w:r>
      <w:r w:rsidR="00B17E48">
        <w:t>and physical health services. However, the condition of mental health remains a challenge. Persistent under-provision of services for mental health and rising suicide rates are signs of service gaps (Current UK Impacts on Health and Wellbeing, 2025). The Men's Health Strategy also notes the need for services to be tailored to men's needs, as men are more likely to be affected by suicide and less likely to access services for help (UK Parliament, 2026).</w:t>
      </w:r>
    </w:p>
    <w:p w14:paraId="1CEF9AEA" w14:textId="77777777" w:rsidR="00D9623E" w:rsidRDefault="00D9623E" w:rsidP="00D9623E">
      <w:pPr>
        <w:spacing w:after="0" w:line="240" w:lineRule="auto"/>
      </w:pPr>
    </w:p>
    <w:p w14:paraId="362FE3E4" w14:textId="2E4E9A1C" w:rsidR="00B17E48" w:rsidRDefault="00EC22CD" w:rsidP="00810ED3">
      <w:pPr>
        <w:pStyle w:val="Heading2"/>
        <w:spacing w:before="0" w:after="0" w:line="360" w:lineRule="auto"/>
      </w:pPr>
      <w:bookmarkStart w:id="4" w:name="_Toc233115590"/>
      <w:r>
        <w:t xml:space="preserve">2.3 </w:t>
      </w:r>
      <w:r w:rsidRPr="00EC22CD">
        <w:t>Local Initiative: Barnet Suicide Prevention Campaign</w:t>
      </w:r>
      <w:bookmarkEnd w:id="4"/>
    </w:p>
    <w:p w14:paraId="66467BAA" w14:textId="607CF147" w:rsidR="00B17E48" w:rsidRDefault="00B17E48" w:rsidP="00810ED3">
      <w:pPr>
        <w:spacing w:after="0" w:line="360" w:lineRule="auto"/>
      </w:pPr>
      <w:r>
        <w:t>Local initiatives are important in bringing national policy to fruition</w:t>
      </w:r>
      <w:r w:rsidR="008E2EFB">
        <w:t xml:space="preserve"> (</w:t>
      </w:r>
      <w:r w:rsidR="008E2EFB" w:rsidRPr="008E2EFB">
        <w:t>Tom</w:t>
      </w:r>
      <w:r w:rsidR="008E2EFB">
        <w:t>, 2025)</w:t>
      </w:r>
      <w:r>
        <w:t>. The Barnet Suicide Prevention Campaign is an example of a community-based intervention that can help to achieve SDG 3 goals</w:t>
      </w:r>
      <w:r w:rsidR="00B11DF4">
        <w:t xml:space="preserve"> (</w:t>
      </w:r>
      <w:r w:rsidR="00B11DF4" w:rsidRPr="00B11DF4">
        <w:t>Chabé-Ferret</w:t>
      </w:r>
      <w:r w:rsidR="00B11DF4">
        <w:t xml:space="preserve"> and </w:t>
      </w:r>
      <w:r w:rsidR="00B11DF4" w:rsidRPr="00B11DF4">
        <w:t>Marzano</w:t>
      </w:r>
      <w:r w:rsidR="00B11DF4">
        <w:t>, 2025)</w:t>
      </w:r>
      <w:r>
        <w:t>. The campaign included digital awareness campaigns, outreach targeting priority groups, promotion of the Stay Alive app, and the creation of peer-support networks, including Andy's Man Club (Barnet Public Health Directorate, 2025).</w:t>
      </w:r>
    </w:p>
    <w:p w14:paraId="480DE523" w14:textId="67092F7A" w:rsidR="00B17E48" w:rsidRDefault="00B17E48" w:rsidP="00810ED3">
      <w:pPr>
        <w:spacing w:after="0" w:line="360" w:lineRule="auto"/>
      </w:pPr>
      <w:r>
        <w:t xml:space="preserve">Evaluation results showed the intervention caused a significant decrease in suicide rates and prevented an estimated 6 to 9 deaths </w:t>
      </w:r>
      <w:r w:rsidR="006A1F50">
        <w:t xml:space="preserve">during and after the </w:t>
      </w:r>
      <w:r>
        <w:t>intervention periods</w:t>
      </w:r>
      <w:r w:rsidR="001E5B4C">
        <w:t xml:space="preserve"> (</w:t>
      </w:r>
      <w:r w:rsidR="001E5B4C" w:rsidRPr="001E5B4C">
        <w:t>Jeong</w:t>
      </w:r>
      <w:r w:rsidR="001E5B4C">
        <w:t xml:space="preserve"> et al., 2024)</w:t>
      </w:r>
      <w:r>
        <w:t xml:space="preserve">. The outcomes of the initiative were delivered at a relatively low cost, and the initiative was seen as having a good value for money (Value for Money) (Barnet Public Health Directorate, 2025). The campaign </w:t>
      </w:r>
      <w:r w:rsidR="00A05CBE">
        <w:t>successfully engaged men working in traditionally male-dominated sectors, who are often considered</w:t>
      </w:r>
      <w:r>
        <w:t xml:space="preserve"> hard to reach by traditional mental health services</w:t>
      </w:r>
      <w:r w:rsidR="00CC159C">
        <w:t xml:space="preserve"> (</w:t>
      </w:r>
      <w:r w:rsidR="00CC159C" w:rsidRPr="00CC159C">
        <w:t>Shepherd</w:t>
      </w:r>
      <w:r w:rsidR="00CC159C">
        <w:t xml:space="preserve"> et al., 2023)</w:t>
      </w:r>
      <w:r>
        <w:t>.</w:t>
      </w:r>
    </w:p>
    <w:p w14:paraId="4E81124D" w14:textId="00539D83" w:rsidR="00B17E48" w:rsidRDefault="00B17E48" w:rsidP="00810ED3">
      <w:pPr>
        <w:spacing w:after="0" w:line="360" w:lineRule="auto"/>
      </w:pPr>
      <w:r>
        <w:t>The success of the Barnet campaign demonstrates the need for community engagement, peer support</w:t>
      </w:r>
      <w:r w:rsidR="006A1F50">
        <w:t>,</w:t>
      </w:r>
      <w:r>
        <w:t xml:space="preserve"> and targeted communication strategies</w:t>
      </w:r>
      <w:r w:rsidR="00483EA4">
        <w:t xml:space="preserve"> (</w:t>
      </w:r>
      <w:r w:rsidR="00483EA4" w:rsidRPr="00483EA4">
        <w:t>Stover</w:t>
      </w:r>
      <w:r w:rsidR="00483EA4">
        <w:t xml:space="preserve"> et al., 2024)</w:t>
      </w:r>
      <w:r>
        <w:t xml:space="preserve">. It also showcases the ability of local governments to play an active role </w:t>
      </w:r>
      <w:r w:rsidR="00A05CBE">
        <w:t>in directly achieving SDG 3 by removing barriers to accessing mental health services and reducing the stigma attached to seeking them</w:t>
      </w:r>
      <w:r w:rsidR="00415D13">
        <w:t xml:space="preserve"> (</w:t>
      </w:r>
      <w:r w:rsidR="00415D13" w:rsidRPr="00415D13">
        <w:t>Aberese-Ako</w:t>
      </w:r>
      <w:r w:rsidR="00415D13">
        <w:t xml:space="preserve"> et al., 2024)</w:t>
      </w:r>
      <w:r>
        <w:t>.</w:t>
      </w:r>
    </w:p>
    <w:p w14:paraId="76E6C503" w14:textId="77777777" w:rsidR="00D9623E" w:rsidRDefault="00D9623E" w:rsidP="00D9623E">
      <w:pPr>
        <w:spacing w:after="0" w:line="240" w:lineRule="auto"/>
      </w:pPr>
    </w:p>
    <w:p w14:paraId="3662176F" w14:textId="64CF8906" w:rsidR="00B17E48" w:rsidRDefault="000C5D01" w:rsidP="00810ED3">
      <w:pPr>
        <w:pStyle w:val="Heading2"/>
        <w:spacing w:before="0" w:after="0" w:line="360" w:lineRule="auto"/>
      </w:pPr>
      <w:bookmarkStart w:id="5" w:name="_Toc233115591"/>
      <w:r>
        <w:t xml:space="preserve">2.4 </w:t>
      </w:r>
      <w:r w:rsidRPr="000C5D01">
        <w:t>Recommendations for Strengthening SDG 3 Implementation</w:t>
      </w:r>
      <w:bookmarkEnd w:id="5"/>
    </w:p>
    <w:p w14:paraId="3EFEB886" w14:textId="56802458" w:rsidR="00B17E48" w:rsidRDefault="006A1F50" w:rsidP="00810ED3">
      <w:pPr>
        <w:spacing w:after="0" w:line="360" w:lineRule="auto"/>
      </w:pPr>
      <w:r>
        <w:t>Several steps can</w:t>
      </w:r>
      <w:r w:rsidR="00B17E48">
        <w:t xml:space="preserve"> be taken to enhance progress towards SDG 3. The NHS needs to take a more systemic approach to prevention, in addition to individual behaviours, by tackling broader determinants of health; </w:t>
      </w:r>
      <w:r>
        <w:t>accountability</w:t>
      </w:r>
      <w:r w:rsidR="00B17E48">
        <w:t xml:space="preserve"> would be supported by improved governance structures and definition of performance measures (Faculty of Public Health, 2025).</w:t>
      </w:r>
      <w:r w:rsidR="00800930">
        <w:t xml:space="preserve"> T</w:t>
      </w:r>
      <w:r w:rsidR="00B17E48">
        <w:t xml:space="preserve">he successful community-based mental health initiative needs to have sustainable funding. If successful, programmes </w:t>
      </w:r>
      <w:r>
        <w:t>such as the Suicide Prevention Pathfinders Programme should be thoroughly evaluated</w:t>
      </w:r>
      <w:r w:rsidR="00B17E48">
        <w:t xml:space="preserve"> and scaled up (UK Parliament, 2026).</w:t>
      </w:r>
      <w:r w:rsidR="00800930">
        <w:t xml:space="preserve"> T</w:t>
      </w:r>
      <w:r w:rsidR="00B17E48">
        <w:t xml:space="preserve">here would be </w:t>
      </w:r>
      <w:r>
        <w:t>a benefit to investing</w:t>
      </w:r>
      <w:r w:rsidR="00B17E48">
        <w:t xml:space="preserve"> in real-time public health surveillance systems to enhance monitoring and evaluation of health outcomes</w:t>
      </w:r>
      <w:r w:rsidR="00A84D3A">
        <w:t xml:space="preserve"> (</w:t>
      </w:r>
      <w:proofErr w:type="spellStart"/>
      <w:r w:rsidR="00A84D3A" w:rsidRPr="00A84D3A">
        <w:t>Niederdeppe</w:t>
      </w:r>
      <w:proofErr w:type="spellEnd"/>
      <w:r w:rsidR="00A84D3A">
        <w:t xml:space="preserve"> et al., 2024)</w:t>
      </w:r>
      <w:r w:rsidR="00B17E48">
        <w:t xml:space="preserve">. Improved data would help </w:t>
      </w:r>
      <w:r>
        <w:t xml:space="preserve">planners better identify new challenges and </w:t>
      </w:r>
      <w:r w:rsidR="00B17E48">
        <w:t>evaluate the effectiveness of interventions (Barnet Public Health Directorate, 2025).</w:t>
      </w:r>
    </w:p>
    <w:p w14:paraId="781E3352" w14:textId="77777777" w:rsidR="00D9623E" w:rsidRDefault="00D9623E" w:rsidP="00D9623E">
      <w:pPr>
        <w:spacing w:after="0" w:line="240" w:lineRule="auto"/>
      </w:pPr>
    </w:p>
    <w:p w14:paraId="3555037B" w14:textId="341995DA" w:rsidR="004C3830" w:rsidRDefault="004C3830" w:rsidP="00810ED3">
      <w:pPr>
        <w:pStyle w:val="Heading1"/>
        <w:spacing w:before="0" w:after="0" w:line="360" w:lineRule="auto"/>
      </w:pPr>
      <w:bookmarkStart w:id="6" w:name="_Toc233115592"/>
      <w:r>
        <w:t xml:space="preserve">3. </w:t>
      </w:r>
      <w:r w:rsidRPr="004C3830">
        <w:t>SUSTAINABLE DEVELOPMENT GOAL 10 – REDUCED INEQUALITIES</w:t>
      </w:r>
      <w:bookmarkEnd w:id="6"/>
    </w:p>
    <w:p w14:paraId="766DF985" w14:textId="2632A620" w:rsidR="00FE5FC4" w:rsidRDefault="000B0A3A" w:rsidP="00810ED3">
      <w:pPr>
        <w:pStyle w:val="Heading2"/>
        <w:spacing w:before="0" w:after="0" w:line="360" w:lineRule="auto"/>
      </w:pPr>
      <w:bookmarkStart w:id="7" w:name="_Toc233115593"/>
      <w:r>
        <w:t xml:space="preserve">3.1 </w:t>
      </w:r>
      <w:r w:rsidR="00FE5FC4">
        <w:t xml:space="preserve">Analysis of SDG 10 and Its Impact on </w:t>
      </w:r>
      <w:r w:rsidR="00A05CBE">
        <w:t>Citizens'</w:t>
      </w:r>
      <w:r w:rsidR="00FE5FC4">
        <w:t xml:space="preserve"> Health and Wellbeing</w:t>
      </w:r>
      <w:bookmarkEnd w:id="7"/>
    </w:p>
    <w:p w14:paraId="4D1FFC7F" w14:textId="6D40A1C8" w:rsidR="00FE5FC4" w:rsidRDefault="00FE5FC4" w:rsidP="00810ED3">
      <w:pPr>
        <w:spacing w:after="0" w:line="360" w:lineRule="auto"/>
      </w:pPr>
      <w:r>
        <w:t xml:space="preserve">Sustainable Development Goal 10 seeks to reduce inequalities </w:t>
      </w:r>
      <w:r w:rsidR="00A05CBE">
        <w:t>between</w:t>
      </w:r>
      <w:r>
        <w:t xml:space="preserve"> and </w:t>
      </w:r>
      <w:r w:rsidR="00EF567D">
        <w:t>within</w:t>
      </w:r>
      <w:r>
        <w:t xml:space="preserve"> countries. The aim acknowledges that inequalities in resource access, opportunities and services are </w:t>
      </w:r>
      <w:r w:rsidR="006A1F50">
        <w:t>direct contributors to poorer health outcomes and reduced</w:t>
      </w:r>
      <w:r>
        <w:t xml:space="preserve"> wellbeing (United Nations, 2024). SDG 10 is therefore </w:t>
      </w:r>
      <w:r w:rsidR="00A05CBE">
        <w:t>closely related</w:t>
      </w:r>
      <w:r>
        <w:t xml:space="preserve"> to SDG 3 </w:t>
      </w:r>
      <w:r w:rsidR="00A05CBE">
        <w:t>because</w:t>
      </w:r>
      <w:r>
        <w:t xml:space="preserve"> social and economic inequalities contribute significantly to health inequalities</w:t>
      </w:r>
      <w:r w:rsidR="004803EF">
        <w:t xml:space="preserve"> (</w:t>
      </w:r>
      <w:r w:rsidR="004803EF" w:rsidRPr="004803EF">
        <w:t>Oerther</w:t>
      </w:r>
      <w:r w:rsidR="004803EF">
        <w:t xml:space="preserve"> and </w:t>
      </w:r>
      <w:r w:rsidR="004803EF" w:rsidRPr="004803EF">
        <w:t>Rosa</w:t>
      </w:r>
      <w:r w:rsidR="004803EF">
        <w:t>, 2022)</w:t>
      </w:r>
      <w:r>
        <w:t>.</w:t>
      </w:r>
    </w:p>
    <w:p w14:paraId="5E843671" w14:textId="46A6C2FB" w:rsidR="00FE5FC4" w:rsidRDefault="00FE5FC4" w:rsidP="00810ED3">
      <w:pPr>
        <w:spacing w:after="0" w:line="360" w:lineRule="auto"/>
      </w:pPr>
      <w:r>
        <w:t xml:space="preserve">The Marmot Review (2010) found that inequalities in health </w:t>
      </w:r>
      <w:r w:rsidR="006A1F50">
        <w:t>stem from inequalities in the social determinants of health, such as education, employment, housing,</w:t>
      </w:r>
      <w:r>
        <w:t xml:space="preserve"> and income. The health of low-income people is worse, and they have a lower life expectancy than people in </w:t>
      </w:r>
      <w:r w:rsidR="006A1F50">
        <w:t>higher-income</w:t>
      </w:r>
      <w:r>
        <w:t xml:space="preserve"> areas. These inequalities are preventable and are important issues of social justice</w:t>
      </w:r>
      <w:r w:rsidR="00E91462">
        <w:t xml:space="preserve"> (</w:t>
      </w:r>
      <w:r w:rsidR="00E91462" w:rsidRPr="00E91462">
        <w:t>WHO</w:t>
      </w:r>
      <w:r w:rsidR="00E91462">
        <w:t>, 2025)</w:t>
      </w:r>
      <w:r>
        <w:t>.</w:t>
      </w:r>
    </w:p>
    <w:p w14:paraId="7E9BF0A2" w14:textId="48D69DA2" w:rsidR="00FE5FC4" w:rsidRDefault="00FE5FC4" w:rsidP="00810ED3">
      <w:pPr>
        <w:spacing w:after="0" w:line="360" w:lineRule="auto"/>
      </w:pPr>
      <w:r>
        <w:t xml:space="preserve">Evidence suggests that progress in reducing inequalities has been limited. During the last decade, health inequalities have </w:t>
      </w:r>
      <w:r w:rsidR="006A1F50">
        <w:t>increased, according to Marmot et al. (2020), and for some groups,</w:t>
      </w:r>
      <w:r>
        <w:t xml:space="preserve"> life expectancy has not improved. Policies can have a huge impact on health outcomes, with the economic austerity measures contributing to the deteriorating living standards. Likewise, the </w:t>
      </w:r>
      <w:r w:rsidR="006A1F50">
        <w:t>OECD (202</w:t>
      </w:r>
      <w:r w:rsidR="00B93BD4">
        <w:t>4</w:t>
      </w:r>
      <w:r w:rsidR="006A1F50">
        <w:t>) study shows</w:t>
      </w:r>
      <w:r>
        <w:t xml:space="preserve"> that inequalities in healthy life expectancy are persistent in the UK.</w:t>
      </w:r>
    </w:p>
    <w:p w14:paraId="15E906AF" w14:textId="2465F538" w:rsidR="00FE5FC4" w:rsidRDefault="00FE5FC4" w:rsidP="00810ED3">
      <w:pPr>
        <w:spacing w:after="0" w:line="360" w:lineRule="auto"/>
      </w:pPr>
      <w:r>
        <w:t xml:space="preserve">The Public Health Outcomes Framework (PHOF) is a valuable tool for tracking inequalities in health. The framework includes </w:t>
      </w:r>
      <w:r w:rsidR="006A1F50">
        <w:t>indicators measured across four areas: wider determinants of health, health improvement, health protection,</w:t>
      </w:r>
      <w:r>
        <w:t xml:space="preserve"> and healthcare outcomes</w:t>
      </w:r>
      <w:r w:rsidR="0069317E">
        <w:t xml:space="preserve"> (</w:t>
      </w:r>
      <w:r w:rsidR="0069317E" w:rsidRPr="0069317E">
        <w:t>Public Health England</w:t>
      </w:r>
      <w:r w:rsidR="0069317E">
        <w:t>, 2019)</w:t>
      </w:r>
      <w:r>
        <w:t>. More recently, there has been a focus on social determinants of health in relation to poverty, deprivation and fuel poverty (Office for Health Improvement and Disparities, 2026).</w:t>
      </w:r>
    </w:p>
    <w:p w14:paraId="5AB999B5" w14:textId="77777777" w:rsidR="00D9623E" w:rsidRDefault="00D9623E" w:rsidP="00D9623E">
      <w:pPr>
        <w:spacing w:after="0" w:line="240" w:lineRule="auto"/>
      </w:pPr>
    </w:p>
    <w:p w14:paraId="4C6DC39B" w14:textId="53911392" w:rsidR="00FE5FC4" w:rsidRDefault="009B07C2" w:rsidP="00810ED3">
      <w:pPr>
        <w:pStyle w:val="Heading2"/>
        <w:spacing w:before="0" w:after="0" w:line="360" w:lineRule="auto"/>
      </w:pPr>
      <w:bookmarkStart w:id="8" w:name="_Toc233115594"/>
      <w:r>
        <w:t xml:space="preserve">3.2 </w:t>
      </w:r>
      <w:r w:rsidR="000B0A3A" w:rsidRPr="000B0A3A">
        <w:t>National Initiatives: The Equality Act 2010 and the Marmot Review</w:t>
      </w:r>
      <w:bookmarkEnd w:id="8"/>
    </w:p>
    <w:p w14:paraId="29F5EA40" w14:textId="08040CA1" w:rsidR="00FE5FC4" w:rsidRDefault="00FE5FC4" w:rsidP="00810ED3">
      <w:pPr>
        <w:spacing w:after="0" w:line="360" w:lineRule="auto"/>
      </w:pPr>
      <w:r>
        <w:t xml:space="preserve">The Equality Act 2010 is the </w:t>
      </w:r>
      <w:r w:rsidR="006A1F50">
        <w:t xml:space="preserve">legislative basis for minimising discrimination and maximising </w:t>
      </w:r>
      <w:r>
        <w:t xml:space="preserve">access to services. The Act ensures that individuals are not discriminated against </w:t>
      </w:r>
      <w:r w:rsidR="00A05CBE">
        <w:t>based on their race, age, disability, or gender, and provides</w:t>
      </w:r>
      <w:r>
        <w:t xml:space="preserve"> fair access to healthcare and essential services</w:t>
      </w:r>
      <w:r w:rsidR="00E16B7B">
        <w:t xml:space="preserve"> (</w:t>
      </w:r>
      <w:proofErr w:type="spellStart"/>
      <w:r w:rsidR="00E16B7B" w:rsidRPr="00E16B7B">
        <w:t>Togioka</w:t>
      </w:r>
      <w:proofErr w:type="spellEnd"/>
      <w:r w:rsidR="00E16B7B">
        <w:t xml:space="preserve"> and </w:t>
      </w:r>
      <w:r w:rsidR="00E16B7B" w:rsidRPr="00E16B7B">
        <w:t>Young</w:t>
      </w:r>
      <w:r w:rsidR="00E16B7B">
        <w:t>, 2024)</w:t>
      </w:r>
      <w:r>
        <w:t>. There have been recent proposals, such as the Equality (Race and Disability) Bill, which seek to build on these protections (UK Parliament, 2025).</w:t>
      </w:r>
    </w:p>
    <w:p w14:paraId="5A924505" w14:textId="4439232A" w:rsidR="00FE5FC4" w:rsidRDefault="00FE5FC4" w:rsidP="00810ED3">
      <w:pPr>
        <w:spacing w:after="0" w:line="360" w:lineRule="auto"/>
      </w:pPr>
      <w:r>
        <w:t xml:space="preserve">The Marmot Review </w:t>
      </w:r>
      <w:r w:rsidR="006A1F50">
        <w:t>has also</w:t>
      </w:r>
      <w:r>
        <w:t xml:space="preserve"> had a strong influence on the development of policy responses to health inequalities. It has six policy goals</w:t>
      </w:r>
      <w:r w:rsidR="00202246">
        <w:t xml:space="preserve"> </w:t>
      </w:r>
      <w:r w:rsidR="006A1F50">
        <w:t>"</w:t>
      </w:r>
      <w:r>
        <w:t>Early childhood development, Education, Employment, Living standards, Healthy environments</w:t>
      </w:r>
      <w:r w:rsidR="006A1F50">
        <w:t>,</w:t>
      </w:r>
      <w:r>
        <w:t xml:space="preserve"> and Prevention</w:t>
      </w:r>
      <w:r w:rsidR="006A1F50">
        <w:t>"</w:t>
      </w:r>
      <w:r>
        <w:t xml:space="preserve"> (Marmot et al., 2010). These aims acknowledge that inequalities can't be solved through health care.</w:t>
      </w:r>
    </w:p>
    <w:p w14:paraId="0BEB7A4C" w14:textId="01B9EB7E" w:rsidR="00FE5FC4" w:rsidRDefault="006A1F50" w:rsidP="00810ED3">
      <w:pPr>
        <w:spacing w:after="0" w:line="360" w:lineRule="auto"/>
      </w:pPr>
      <w:r>
        <w:t xml:space="preserve">Employment is a significant factor and </w:t>
      </w:r>
      <w:r w:rsidR="00FE5FC4">
        <w:t>determinant of health</w:t>
      </w:r>
      <w:r w:rsidR="004F4542">
        <w:t xml:space="preserve"> (</w:t>
      </w:r>
      <w:r w:rsidR="004F4542" w:rsidRPr="004F4542">
        <w:t>Armenti</w:t>
      </w:r>
      <w:r w:rsidR="004F4542">
        <w:t xml:space="preserve"> et al., 2023)</w:t>
      </w:r>
      <w:r w:rsidR="00FE5FC4">
        <w:t xml:space="preserve">. Positive employment-related physical and mental health benefits are linked to a secure and meaningful work experience, and negative effects on physical and mental health (including higher mortality) are linked to unemployment and less positive aspects of work (Marmot et al., 2010). The Government's Pathways to Work Green Paper (2025) aims to enhance the participation of people with disabilities and long-term health conditions in the labour market. While there is scope for these changes to enhance the Employment Service, they will only be successful if </w:t>
      </w:r>
      <w:r>
        <w:t xml:space="preserve">sustainable employment opportunities are </w:t>
      </w:r>
      <w:r w:rsidR="00FE5FC4">
        <w:t>available</w:t>
      </w:r>
      <w:r w:rsidR="00EF567D">
        <w:t>, supportive,</w:t>
      </w:r>
      <w:r w:rsidR="00FE5FC4">
        <w:t xml:space="preserve"> and of good quality</w:t>
      </w:r>
      <w:r w:rsidR="007F7F0E">
        <w:t xml:space="preserve"> (</w:t>
      </w:r>
      <w:r w:rsidR="007F7F0E" w:rsidRPr="007F7F0E">
        <w:t>Bozionelos</w:t>
      </w:r>
      <w:r w:rsidR="007F7F0E">
        <w:t xml:space="preserve"> et al., 2022)</w:t>
      </w:r>
      <w:r w:rsidR="00FE5FC4">
        <w:t>.</w:t>
      </w:r>
    </w:p>
    <w:p w14:paraId="04BD56E2" w14:textId="77777777" w:rsidR="00D9623E" w:rsidRDefault="00D9623E" w:rsidP="00D9623E">
      <w:pPr>
        <w:spacing w:after="0" w:line="240" w:lineRule="auto"/>
      </w:pPr>
    </w:p>
    <w:p w14:paraId="52F11672" w14:textId="4A1DE36B" w:rsidR="00FE5FC4" w:rsidRDefault="0026325E" w:rsidP="00810ED3">
      <w:pPr>
        <w:pStyle w:val="Heading2"/>
        <w:spacing w:before="0" w:after="0" w:line="360" w:lineRule="auto"/>
      </w:pPr>
      <w:bookmarkStart w:id="9" w:name="_Toc233115595"/>
      <w:r>
        <w:t xml:space="preserve">3.3 </w:t>
      </w:r>
      <w:r w:rsidRPr="0026325E">
        <w:t>Local Initiative: Community Champions Programme in Kirklees</w:t>
      </w:r>
      <w:bookmarkEnd w:id="9"/>
    </w:p>
    <w:p w14:paraId="05F6F1C1" w14:textId="1F1B33E1" w:rsidR="00FE5FC4" w:rsidRDefault="00FE5FC4" w:rsidP="00810ED3">
      <w:pPr>
        <w:spacing w:after="0" w:line="360" w:lineRule="auto"/>
      </w:pPr>
      <w:r>
        <w:t xml:space="preserve">The Community Champions Programme in Kirklees is an example of a </w:t>
      </w:r>
      <w:r w:rsidR="00A05CBE">
        <w:t>successful local</w:t>
      </w:r>
      <w:r>
        <w:t xml:space="preserve"> health inequalities </w:t>
      </w:r>
      <w:proofErr w:type="spellStart"/>
      <w:r>
        <w:t>programme</w:t>
      </w:r>
      <w:proofErr w:type="spellEnd"/>
      <w:r w:rsidR="00DE4D19">
        <w:t xml:space="preserve"> (</w:t>
      </w:r>
      <w:proofErr w:type="spellStart"/>
      <w:r w:rsidR="00DE4D19" w:rsidRPr="00DE4D19">
        <w:t>Vanderslott</w:t>
      </w:r>
      <w:proofErr w:type="spellEnd"/>
      <w:r w:rsidR="00DE4D19">
        <w:t xml:space="preserve"> et al., 2024)</w:t>
      </w:r>
      <w:r>
        <w:t xml:space="preserve">. The programme educates the community members on how to disseminate health information and </w:t>
      </w:r>
      <w:r w:rsidR="00A05CBE">
        <w:t>refers</w:t>
      </w:r>
      <w:r>
        <w:t xml:space="preserve"> them to support services within their community</w:t>
      </w:r>
      <w:r w:rsidR="00627A3E">
        <w:t xml:space="preserve"> (</w:t>
      </w:r>
      <w:r w:rsidR="00627A3E" w:rsidRPr="00627A3E">
        <w:t>Howlett</w:t>
      </w:r>
      <w:r w:rsidR="00627A3E">
        <w:t xml:space="preserve"> et al., 2024)</w:t>
      </w:r>
      <w:r>
        <w:t xml:space="preserve">. The programme has the advantage of utilising trusted local people, which enhances engagement with </w:t>
      </w:r>
      <w:r w:rsidR="006A1F50">
        <w:t>those who may not be seen as</w:t>
      </w:r>
      <w:r>
        <w:t xml:space="preserve"> accessing formal services (Kirklees Council, 2025).</w:t>
      </w:r>
    </w:p>
    <w:p w14:paraId="72DDA359" w14:textId="78AB7A8D" w:rsidR="00FE5FC4" w:rsidRDefault="00FE5FC4" w:rsidP="00810ED3">
      <w:pPr>
        <w:spacing w:after="0" w:line="360" w:lineRule="auto"/>
      </w:pPr>
      <w:r>
        <w:t xml:space="preserve">The strong points of the programme are its cultural competence and </w:t>
      </w:r>
      <w:r w:rsidR="006A1F50">
        <w:t>its ease of access</w:t>
      </w:r>
      <w:r>
        <w:t>. The communities speak 20 languages</w:t>
      </w:r>
      <w:r w:rsidR="006A1F50">
        <w:t>,</w:t>
      </w:r>
      <w:r>
        <w:t xml:space="preserve"> and the Community Champions have in-depth knowledge of local communities</w:t>
      </w:r>
      <w:r w:rsidR="00647F2A">
        <w:t xml:space="preserve"> (</w:t>
      </w:r>
      <w:r w:rsidR="00647F2A" w:rsidRPr="00647F2A">
        <w:t>Karras</w:t>
      </w:r>
      <w:r w:rsidR="00647F2A">
        <w:t xml:space="preserve"> et al., 2025)</w:t>
      </w:r>
      <w:r>
        <w:t xml:space="preserve">. This helps them to share health information in a meaningful way and overcome cultural barriers to engagement. Their work has helped </w:t>
      </w:r>
      <w:r w:rsidR="006A1F50">
        <w:t>raise awareness of diabetes, cervical, bowel, and breast cancer issues,</w:t>
      </w:r>
      <w:r>
        <w:t xml:space="preserve"> reaching thousands of residents (Kirklees Council, 2025).</w:t>
      </w:r>
    </w:p>
    <w:p w14:paraId="46B681D9" w14:textId="139BD460" w:rsidR="00FE5FC4" w:rsidRDefault="00FE5FC4" w:rsidP="00810ED3">
      <w:pPr>
        <w:spacing w:after="0" w:line="360" w:lineRule="auto"/>
      </w:pPr>
      <w:r>
        <w:t xml:space="preserve">The programme </w:t>
      </w:r>
      <w:r w:rsidR="00A05CBE">
        <w:t>shows</w:t>
      </w:r>
      <w:r>
        <w:t xml:space="preserve"> the use of community-led strategies to </w:t>
      </w:r>
      <w:r w:rsidR="006A1F50">
        <w:t>reduce inequalities by increasing access to information, raising health awareness, and improving</w:t>
      </w:r>
      <w:r>
        <w:t xml:space="preserve"> trust between communities and public services</w:t>
      </w:r>
      <w:r w:rsidR="005F68CE">
        <w:t xml:space="preserve"> (</w:t>
      </w:r>
      <w:r w:rsidR="005F68CE" w:rsidRPr="005F68CE">
        <w:t>Hajek</w:t>
      </w:r>
      <w:r w:rsidR="005F68CE">
        <w:t xml:space="preserve"> et al., 2022)</w:t>
      </w:r>
      <w:r>
        <w:t>.</w:t>
      </w:r>
    </w:p>
    <w:p w14:paraId="59293540" w14:textId="77777777" w:rsidR="00D9623E" w:rsidRDefault="00D9623E" w:rsidP="00D9623E">
      <w:pPr>
        <w:spacing w:after="0" w:line="240" w:lineRule="auto"/>
      </w:pPr>
    </w:p>
    <w:p w14:paraId="358261B2" w14:textId="232DA350" w:rsidR="00FE5FC4" w:rsidRDefault="00EC29AC" w:rsidP="00810ED3">
      <w:pPr>
        <w:pStyle w:val="Heading2"/>
        <w:spacing w:before="0" w:after="0" w:line="360" w:lineRule="auto"/>
      </w:pPr>
      <w:bookmarkStart w:id="10" w:name="_Toc233115596"/>
      <w:r>
        <w:t xml:space="preserve">3.4 </w:t>
      </w:r>
      <w:r w:rsidRPr="00EC29AC">
        <w:t>Recommendations for Strengthening SDG 10 Implementation</w:t>
      </w:r>
      <w:bookmarkEnd w:id="10"/>
    </w:p>
    <w:p w14:paraId="65EAC872" w14:textId="3D58B4A3" w:rsidR="00FE5FC4" w:rsidRDefault="006A1F50" w:rsidP="00810ED3">
      <w:pPr>
        <w:spacing w:after="0" w:line="360" w:lineRule="auto"/>
      </w:pPr>
      <w:r>
        <w:t>To promote progress towards SDG10, health equity needs to be integrated across all aspects of policymaking</w:t>
      </w:r>
      <w:r w:rsidR="00FE5FC4">
        <w:t>. All policies related to housing, education, employment</w:t>
      </w:r>
      <w:r>
        <w:t>,</w:t>
      </w:r>
      <w:r w:rsidR="00FE5FC4">
        <w:t xml:space="preserve"> and the environment should be evaluated for their contribution to health inequalities using a health-in-all-policies approach (Marmot et al., 2020).</w:t>
      </w:r>
    </w:p>
    <w:p w14:paraId="7DE496F0" w14:textId="7BFD4163" w:rsidR="00FE5FC4" w:rsidRDefault="00FE5FC4" w:rsidP="00810ED3">
      <w:pPr>
        <w:spacing w:after="0" w:line="360" w:lineRule="auto"/>
      </w:pPr>
      <w:r>
        <w:t xml:space="preserve">Secondly, sustainable funds should be allocated to successful community-based programmes. There is also uncertainty </w:t>
      </w:r>
      <w:r w:rsidR="006A1F50">
        <w:t>regarding funding for schemes such as the Kirklees Community Champions Programme, highlighting the</w:t>
      </w:r>
      <w:r>
        <w:t xml:space="preserve"> need for more long-term investment (Kirklees Council, 2025).</w:t>
      </w:r>
    </w:p>
    <w:p w14:paraId="47C13850" w14:textId="7F68CA09" w:rsidR="00FE5FC4" w:rsidRDefault="00FE5FC4" w:rsidP="00810ED3">
      <w:pPr>
        <w:spacing w:after="0" w:line="360" w:lineRule="auto"/>
      </w:pPr>
      <w:r>
        <w:t xml:space="preserve">Lastly, strengthening data collection and monitoring systems should be </w:t>
      </w:r>
      <w:r w:rsidR="00A05CBE">
        <w:t>improved</w:t>
      </w:r>
      <w:r>
        <w:t xml:space="preserve">. Ongoing investment in the Public Health Outcomes Framework and analytical tools would </w:t>
      </w:r>
      <w:r w:rsidR="00A05CBE">
        <w:t xml:space="preserve">enable more accurate identification of inequality trends and their use to inform </w:t>
      </w:r>
      <w:r w:rsidR="00D9623E">
        <w:t>evidence-based decision-making</w:t>
      </w:r>
      <w:r w:rsidR="00A05CBE">
        <w:t xml:space="preserve"> </w:t>
      </w:r>
      <w:r>
        <w:t>(Office for Health Improvement and Disparities, 2025).</w:t>
      </w:r>
    </w:p>
    <w:p w14:paraId="4F700F6B" w14:textId="77777777" w:rsidR="00D9623E" w:rsidRDefault="00D9623E" w:rsidP="00D9623E">
      <w:pPr>
        <w:spacing w:after="0" w:line="240" w:lineRule="auto"/>
      </w:pPr>
    </w:p>
    <w:p w14:paraId="698A3421" w14:textId="005E36D2" w:rsidR="00FE5FC4" w:rsidRDefault="003A4377" w:rsidP="00810ED3">
      <w:pPr>
        <w:pStyle w:val="Heading1"/>
        <w:spacing w:before="0" w:after="0" w:line="360" w:lineRule="auto"/>
      </w:pPr>
      <w:bookmarkStart w:id="11" w:name="_Toc233115597"/>
      <w:r>
        <w:t>4. CONCLUSION</w:t>
      </w:r>
      <w:bookmarkEnd w:id="11"/>
    </w:p>
    <w:p w14:paraId="4977E97C" w14:textId="2558FB2B" w:rsidR="00FE5FC4" w:rsidRDefault="00FE5FC4" w:rsidP="00810ED3">
      <w:pPr>
        <w:spacing w:after="0" w:line="360" w:lineRule="auto"/>
      </w:pPr>
      <w:r>
        <w:t>This report has explored how SDG 3 and SDG 10 can impact health and wellbeing in the United Kingdom. The results highlight that</w:t>
      </w:r>
      <w:r w:rsidR="006A1F50">
        <w:t>, despite the existence of considerable policy frameworks, progress is uneven and significant inequalities persist</w:t>
      </w:r>
      <w:r>
        <w:t xml:space="preserve">. </w:t>
      </w:r>
      <w:r w:rsidR="006A1F50">
        <w:t>Several national strategies provide a sound basis for improving health outcomes and reducing inequality, including the NHS Long Term Plan, the Equality Act 2010,</w:t>
      </w:r>
      <w:r>
        <w:t xml:space="preserve"> and the Marmot Review. But effective implementation will require action on the broader determinants of health and effective coordination of policy across sectors.</w:t>
      </w:r>
    </w:p>
    <w:p w14:paraId="2E7D2D1A" w14:textId="0B8BD93C" w:rsidR="00FE5FC4" w:rsidRDefault="00FE5FC4" w:rsidP="00810ED3">
      <w:pPr>
        <w:spacing w:after="0" w:line="360" w:lineRule="auto"/>
      </w:pPr>
      <w:r>
        <w:t xml:space="preserve">We see how communities around us work to meet needs and secure improvements, for example, the Barnet Suicide Prevention Campaign and the Kirklees Community Champions Programme. However, these programmes need to be funded on an </w:t>
      </w:r>
      <w:r w:rsidR="006A1F50">
        <w:t>ongoing</w:t>
      </w:r>
      <w:r>
        <w:t xml:space="preserve"> basis and integrated into mainstream services.</w:t>
      </w:r>
    </w:p>
    <w:p w14:paraId="256CCC0D" w14:textId="04B619EB" w:rsidR="00B17E48" w:rsidRDefault="00FE5FC4" w:rsidP="00810ED3">
      <w:pPr>
        <w:spacing w:after="0" w:line="360" w:lineRule="auto"/>
      </w:pPr>
      <w:r>
        <w:t xml:space="preserve">Long-term investment, political commitment, and increased action on the social determinants of health will all be needed to attain SDG 3 and SDG 10 by 2030. The UK could make more significant strides towards a healthier and fairer society if it </w:t>
      </w:r>
      <w:r w:rsidR="006A1F50">
        <w:t>were</w:t>
      </w:r>
      <w:r>
        <w:t xml:space="preserve"> able to build on local delivery and national policy leadership.</w:t>
      </w:r>
    </w:p>
    <w:p w14:paraId="073DB73E" w14:textId="77777777" w:rsidR="00B17E48" w:rsidRDefault="00B17E48" w:rsidP="00810ED3">
      <w:pPr>
        <w:spacing w:after="0" w:line="360" w:lineRule="auto"/>
      </w:pPr>
    </w:p>
    <w:p w14:paraId="177945B0" w14:textId="77777777" w:rsidR="008E0A86" w:rsidRDefault="008E0A86" w:rsidP="00810ED3">
      <w:pPr>
        <w:spacing w:after="0" w:line="360" w:lineRule="auto"/>
      </w:pPr>
    </w:p>
    <w:p w14:paraId="36824598" w14:textId="77777777" w:rsidR="008E0A86" w:rsidRDefault="008E0A86" w:rsidP="00810ED3">
      <w:pPr>
        <w:spacing w:after="0" w:line="360" w:lineRule="auto"/>
      </w:pPr>
    </w:p>
    <w:p w14:paraId="343405BA" w14:textId="77777777" w:rsidR="008E0A86" w:rsidRDefault="008E0A86" w:rsidP="00810ED3">
      <w:pPr>
        <w:spacing w:after="0" w:line="360" w:lineRule="auto"/>
      </w:pPr>
    </w:p>
    <w:p w14:paraId="22BBBD45" w14:textId="77777777" w:rsidR="008E0A86" w:rsidRDefault="008E0A86" w:rsidP="00810ED3">
      <w:pPr>
        <w:spacing w:after="0" w:line="360" w:lineRule="auto"/>
      </w:pPr>
    </w:p>
    <w:p w14:paraId="41D86290" w14:textId="77777777" w:rsidR="008E0A86" w:rsidRDefault="008E0A86" w:rsidP="00810ED3">
      <w:pPr>
        <w:spacing w:after="0" w:line="360" w:lineRule="auto"/>
      </w:pPr>
    </w:p>
    <w:p w14:paraId="253005F2" w14:textId="77777777" w:rsidR="008E0A86" w:rsidRDefault="008E0A86" w:rsidP="00810ED3">
      <w:pPr>
        <w:spacing w:after="0" w:line="360" w:lineRule="auto"/>
      </w:pPr>
    </w:p>
    <w:p w14:paraId="228FAF05" w14:textId="77777777" w:rsidR="008E0A86" w:rsidRDefault="008E0A86" w:rsidP="00810ED3">
      <w:pPr>
        <w:spacing w:after="0" w:line="360" w:lineRule="auto"/>
      </w:pPr>
    </w:p>
    <w:p w14:paraId="37243081" w14:textId="77777777" w:rsidR="008E0A86" w:rsidRDefault="008E0A86" w:rsidP="00810ED3">
      <w:pPr>
        <w:spacing w:after="0" w:line="360" w:lineRule="auto"/>
      </w:pPr>
    </w:p>
    <w:p w14:paraId="0DAEC646" w14:textId="77777777" w:rsidR="008E0A86" w:rsidRDefault="008E0A86" w:rsidP="00810ED3">
      <w:pPr>
        <w:spacing w:after="0" w:line="360" w:lineRule="auto"/>
      </w:pPr>
    </w:p>
    <w:p w14:paraId="679EAADD" w14:textId="77777777" w:rsidR="008E0A86" w:rsidRDefault="008E0A86" w:rsidP="00810ED3">
      <w:pPr>
        <w:spacing w:after="0" w:line="360" w:lineRule="auto"/>
      </w:pPr>
    </w:p>
    <w:p w14:paraId="2542316D" w14:textId="77777777" w:rsidR="008E0A86" w:rsidRDefault="008E0A86" w:rsidP="00810ED3">
      <w:pPr>
        <w:spacing w:after="0" w:line="360" w:lineRule="auto"/>
      </w:pPr>
    </w:p>
    <w:p w14:paraId="73173D10" w14:textId="77777777" w:rsidR="008E0A86" w:rsidRDefault="008E0A86" w:rsidP="00810ED3">
      <w:pPr>
        <w:spacing w:after="0" w:line="360" w:lineRule="auto"/>
      </w:pPr>
    </w:p>
    <w:p w14:paraId="3DCA03F7" w14:textId="77777777" w:rsidR="008E0A86" w:rsidRDefault="008E0A86" w:rsidP="00810ED3">
      <w:pPr>
        <w:spacing w:after="0" w:line="360" w:lineRule="auto"/>
      </w:pPr>
    </w:p>
    <w:p w14:paraId="4538155C" w14:textId="77777777" w:rsidR="008E0A86" w:rsidRDefault="008E0A86" w:rsidP="00810ED3">
      <w:pPr>
        <w:spacing w:after="0" w:line="360" w:lineRule="auto"/>
      </w:pPr>
    </w:p>
    <w:p w14:paraId="5611D265" w14:textId="77777777" w:rsidR="008E0A86" w:rsidRDefault="008E0A86" w:rsidP="00810ED3">
      <w:pPr>
        <w:spacing w:after="0" w:line="360" w:lineRule="auto"/>
      </w:pPr>
    </w:p>
    <w:p w14:paraId="07F7A759" w14:textId="77777777" w:rsidR="008E0A86" w:rsidRDefault="008E0A86" w:rsidP="00810ED3">
      <w:pPr>
        <w:spacing w:after="0" w:line="360" w:lineRule="auto"/>
      </w:pPr>
    </w:p>
    <w:p w14:paraId="7F78349A" w14:textId="77777777" w:rsidR="008E0A86" w:rsidRDefault="008E0A86" w:rsidP="00810ED3">
      <w:pPr>
        <w:spacing w:after="0" w:line="360" w:lineRule="auto"/>
      </w:pPr>
    </w:p>
    <w:p w14:paraId="74042371" w14:textId="77777777" w:rsidR="008E0A86" w:rsidRDefault="008E0A86" w:rsidP="00810ED3">
      <w:pPr>
        <w:spacing w:after="0" w:line="360" w:lineRule="auto"/>
      </w:pPr>
    </w:p>
    <w:p w14:paraId="244B2E31" w14:textId="77777777" w:rsidR="008E0A86" w:rsidRDefault="008E0A86" w:rsidP="00810ED3">
      <w:pPr>
        <w:spacing w:after="0" w:line="360" w:lineRule="auto"/>
      </w:pPr>
    </w:p>
    <w:p w14:paraId="41E0FA35" w14:textId="77777777" w:rsidR="008E0A86" w:rsidRDefault="008E0A86" w:rsidP="00810ED3">
      <w:pPr>
        <w:spacing w:after="0" w:line="360" w:lineRule="auto"/>
      </w:pPr>
    </w:p>
    <w:p w14:paraId="6177A20F" w14:textId="77777777" w:rsidR="008E0A86" w:rsidRDefault="008E0A86" w:rsidP="00810ED3">
      <w:pPr>
        <w:spacing w:after="0" w:line="360" w:lineRule="auto"/>
      </w:pPr>
    </w:p>
    <w:p w14:paraId="683C083D" w14:textId="77777777" w:rsidR="008E0A86" w:rsidRDefault="008E0A86" w:rsidP="00810ED3">
      <w:pPr>
        <w:spacing w:after="0" w:line="360" w:lineRule="auto"/>
      </w:pPr>
    </w:p>
    <w:p w14:paraId="58B109AF" w14:textId="77777777" w:rsidR="008E0A86" w:rsidRDefault="008E0A86" w:rsidP="00810ED3">
      <w:pPr>
        <w:spacing w:after="0" w:line="360" w:lineRule="auto"/>
      </w:pPr>
    </w:p>
    <w:p w14:paraId="56F2FC12" w14:textId="77777777" w:rsidR="008E0A86" w:rsidRDefault="008E0A86" w:rsidP="00810ED3">
      <w:pPr>
        <w:spacing w:after="0" w:line="360" w:lineRule="auto"/>
      </w:pPr>
    </w:p>
    <w:p w14:paraId="6B855119" w14:textId="77777777" w:rsidR="008E0A86" w:rsidRDefault="008E0A86" w:rsidP="00810ED3">
      <w:pPr>
        <w:spacing w:after="0" w:line="360" w:lineRule="auto"/>
      </w:pPr>
    </w:p>
    <w:p w14:paraId="1D555D51" w14:textId="61229DA4" w:rsidR="008E0A86" w:rsidRPr="008E0A86" w:rsidRDefault="008F435E" w:rsidP="00810ED3">
      <w:pPr>
        <w:pStyle w:val="Heading1"/>
        <w:spacing w:before="0" w:after="0" w:line="360" w:lineRule="auto"/>
      </w:pPr>
      <w:bookmarkStart w:id="12" w:name="_Toc233115598"/>
      <w:r w:rsidRPr="008E0A86">
        <w:t>REFERENCE</w:t>
      </w:r>
      <w:bookmarkEnd w:id="12"/>
      <w:r>
        <w:t xml:space="preserve"> </w:t>
      </w:r>
    </w:p>
    <w:p w14:paraId="6EE99DBA" w14:textId="77777777" w:rsidR="008E0A86" w:rsidRPr="008E0A86" w:rsidRDefault="008E0A86" w:rsidP="00D9623E">
      <w:pPr>
        <w:spacing w:after="0" w:line="240" w:lineRule="auto"/>
        <w:ind w:left="720" w:hanging="720"/>
      </w:pPr>
      <w:r w:rsidRPr="008E0A86">
        <w:t xml:space="preserve">Abdi, Y.H., Abdi, M.S., Bashir, S.G., Ahmed, N.I. and Abdullahi, Y.B. (2025). Understanding Global Health Inequality and Inequity: Causes, Consequences, and the Path Toward Justice in Healthcare. </w:t>
      </w:r>
      <w:r w:rsidRPr="008E0A86">
        <w:rPr>
          <w:i/>
          <w:iCs/>
        </w:rPr>
        <w:t>Public Health Challenges</w:t>
      </w:r>
      <w:r w:rsidRPr="008E0A86">
        <w:t>, [online] 4(4). doi:</w:t>
      </w:r>
      <w:hyperlink r:id="rId7" w:history="1">
        <w:r w:rsidRPr="008E0A86">
          <w:rPr>
            <w:rStyle w:val="Hyperlink"/>
          </w:rPr>
          <w:t>https://doi.org/10.1002/puh2.70156</w:t>
        </w:r>
      </w:hyperlink>
      <w:r w:rsidRPr="008E0A86">
        <w:t>.</w:t>
      </w:r>
    </w:p>
    <w:p w14:paraId="1354D658" w14:textId="6EBBDF9C" w:rsidR="008E0A86" w:rsidRPr="008E0A86" w:rsidRDefault="008E0A86" w:rsidP="00D9623E">
      <w:pPr>
        <w:spacing w:after="0" w:line="240" w:lineRule="auto"/>
        <w:ind w:left="720" w:hanging="720"/>
      </w:pPr>
      <w:r w:rsidRPr="008E0A86">
        <w:t>Aberese-Ako, M., Phidelia Theresa Doegah, Lebene Kpodo, Wisdom Ebelin, Mawulom Kuatewo, Atubiga Alobit Baba, Atsu Godsway Kpordorlor, Samuel Yaw Lissah, Anthony Kolsabilik Kuug</w:t>
      </w:r>
      <w:r w:rsidR="00A05CBE">
        <w:t>,</w:t>
      </w:r>
      <w:r w:rsidRPr="008E0A86">
        <w:t xml:space="preserve"> and Ansah, E. (2024). The role of community engagement toward ensuring healthy lives: a case study of COVID-19 management in two Ghanaian municipalities. </w:t>
      </w:r>
      <w:r w:rsidRPr="008E0A86">
        <w:rPr>
          <w:i/>
          <w:iCs/>
        </w:rPr>
        <w:t>Frontiers in Public Health</w:t>
      </w:r>
      <w:r w:rsidRPr="008E0A86">
        <w:t>, [online] 11. doi:</w:t>
      </w:r>
      <w:hyperlink r:id="rId8" w:history="1">
        <w:r w:rsidRPr="008E0A86">
          <w:rPr>
            <w:rStyle w:val="Hyperlink"/>
          </w:rPr>
          <w:t>https://doi.org/10.3389/fpubh.2023.1213121</w:t>
        </w:r>
      </w:hyperlink>
      <w:r w:rsidRPr="008E0A86">
        <w:t>.</w:t>
      </w:r>
    </w:p>
    <w:p w14:paraId="36B3CB81" w14:textId="77777777" w:rsidR="009858F8" w:rsidRPr="009858F8" w:rsidRDefault="009858F8" w:rsidP="009858F8">
      <w:pPr>
        <w:spacing w:after="0" w:line="240" w:lineRule="auto"/>
        <w:ind w:left="720" w:hanging="720"/>
      </w:pPr>
      <w:r w:rsidRPr="009858F8">
        <w:t xml:space="preserve">Armenti, K., Sweeney, M., Lingwall, C. and Yang, L. (2023). Work: A Social Determinant of Health Worth Capturing. </w:t>
      </w:r>
      <w:r w:rsidRPr="009858F8">
        <w:rPr>
          <w:i/>
          <w:iCs/>
        </w:rPr>
        <w:t>International Journal of Environmental Research and Public Health</w:t>
      </w:r>
      <w:r w:rsidRPr="009858F8">
        <w:t>, [online] 20(2), p.1199. doi:</w:t>
      </w:r>
      <w:hyperlink r:id="rId9" w:history="1">
        <w:r w:rsidRPr="009858F8">
          <w:rPr>
            <w:rStyle w:val="Hyperlink"/>
          </w:rPr>
          <w:t>https://doi.org/10.3390/ijerph20021199</w:t>
        </w:r>
      </w:hyperlink>
      <w:r w:rsidRPr="009858F8">
        <w:t>.</w:t>
      </w:r>
    </w:p>
    <w:p w14:paraId="38AFA57E" w14:textId="38EBA839" w:rsidR="008E0A86" w:rsidRPr="008E0A86" w:rsidRDefault="008E0A86" w:rsidP="00D9623E">
      <w:pPr>
        <w:spacing w:after="0" w:line="240" w:lineRule="auto"/>
        <w:ind w:left="720" w:hanging="720"/>
      </w:pPr>
      <w:r w:rsidRPr="008E0A86">
        <w:t xml:space="preserve">Bozionelos, N., Lin, C.-H. and Lee, K.Y. (2022). Enhancing the sustainability of </w:t>
      </w:r>
      <w:r w:rsidR="00A05CBE">
        <w:t>employees'</w:t>
      </w:r>
      <w:r w:rsidRPr="008E0A86">
        <w:t xml:space="preserve"> careers through training: The roles of career </w:t>
      </w:r>
      <w:r w:rsidR="00A05CBE">
        <w:t>actors'</w:t>
      </w:r>
      <w:r w:rsidRPr="008E0A86">
        <w:t xml:space="preserve"> openness and of supervisor support. </w:t>
      </w:r>
      <w:r w:rsidRPr="008E0A86">
        <w:rPr>
          <w:i/>
          <w:iCs/>
        </w:rPr>
        <w:t>Journal of Vocational Behavior</w:t>
      </w:r>
      <w:r w:rsidRPr="008E0A86">
        <w:t>, 117(1), p.103333. doi:</w:t>
      </w:r>
      <w:hyperlink r:id="rId10" w:history="1">
        <w:r w:rsidRPr="008E0A86">
          <w:rPr>
            <w:rStyle w:val="Hyperlink"/>
          </w:rPr>
          <w:t>https://doi.org/10.1016/j.jvb.2019.103333</w:t>
        </w:r>
      </w:hyperlink>
      <w:r w:rsidRPr="008E0A86">
        <w:t>.</w:t>
      </w:r>
    </w:p>
    <w:p w14:paraId="456C9D1A" w14:textId="77777777" w:rsidR="008E0A86" w:rsidRPr="008E0A86" w:rsidRDefault="008E0A86" w:rsidP="00D9623E">
      <w:pPr>
        <w:spacing w:after="0" w:line="240" w:lineRule="auto"/>
        <w:ind w:left="720" w:hanging="720"/>
      </w:pPr>
      <w:r w:rsidRPr="008E0A86">
        <w:t xml:space="preserve">Chabé-Ferret, B. and Marzano, L. (2025). Can a local low-budget intervention make a difference to suicide rates? Evaluating the effectiveness of the Barnet (London) suicide prevention campaign using real-time suspected suicide data. </w:t>
      </w:r>
      <w:r w:rsidRPr="008E0A86">
        <w:rPr>
          <w:i/>
          <w:iCs/>
        </w:rPr>
        <w:t>BMC Public Health</w:t>
      </w:r>
      <w:r w:rsidRPr="008E0A86">
        <w:t>, 25(1). doi:</w:t>
      </w:r>
      <w:hyperlink r:id="rId11" w:history="1">
        <w:r w:rsidRPr="008E0A86">
          <w:rPr>
            <w:rStyle w:val="Hyperlink"/>
          </w:rPr>
          <w:t>https://doi.org/10.1186/s12889-025-24553-8</w:t>
        </w:r>
      </w:hyperlink>
      <w:r w:rsidRPr="008E0A86">
        <w:t>.</w:t>
      </w:r>
    </w:p>
    <w:p w14:paraId="72D3CF7A" w14:textId="44739167" w:rsidR="008E0A86" w:rsidRPr="008E0A86" w:rsidRDefault="008E0A86" w:rsidP="00D9623E">
      <w:pPr>
        <w:spacing w:after="0" w:line="240" w:lineRule="auto"/>
        <w:ind w:left="720" w:hanging="720"/>
      </w:pPr>
      <w:r w:rsidRPr="008E0A86">
        <w:t xml:space="preserve">Dahlgren, G. and Whitehead, M. (1991). </w:t>
      </w:r>
      <w:r w:rsidRPr="008E0A86">
        <w:rPr>
          <w:i/>
          <w:iCs/>
        </w:rPr>
        <w:t xml:space="preserve">Policies and Strategies to Promote Social Equity in </w:t>
      </w:r>
      <w:r w:rsidR="00A05CBE">
        <w:rPr>
          <w:i/>
          <w:iCs/>
        </w:rPr>
        <w:t>Health</w:t>
      </w:r>
      <w:r w:rsidRPr="008E0A86">
        <w:rPr>
          <w:i/>
          <w:iCs/>
        </w:rPr>
        <w:t>. Background Document to WHO - Strategy Paper for Europe</w:t>
      </w:r>
      <w:r w:rsidRPr="008E0A86">
        <w:t xml:space="preserve">. [online] ResearchGate. Available at: </w:t>
      </w:r>
      <w:hyperlink r:id="rId12" w:history="1">
        <w:r w:rsidRPr="008E0A86">
          <w:rPr>
            <w:rStyle w:val="Hyperlink"/>
          </w:rPr>
          <w:t>https://www.researchgate.net/publication/5095964_Policies_and_strategies_to_promote_social_equity_in_health_Background_document_to_WHO_-_Strategy_paper_for_Europe</w:t>
        </w:r>
      </w:hyperlink>
      <w:r w:rsidRPr="008E0A86">
        <w:t>.</w:t>
      </w:r>
    </w:p>
    <w:p w14:paraId="42CB5DC7" w14:textId="77777777" w:rsidR="008E0A86" w:rsidRPr="008E0A86" w:rsidRDefault="008E0A86" w:rsidP="00D9623E">
      <w:pPr>
        <w:spacing w:after="0" w:line="240" w:lineRule="auto"/>
        <w:ind w:left="720" w:hanging="720"/>
      </w:pPr>
      <w:r w:rsidRPr="008E0A86">
        <w:t xml:space="preserve">Faculty of Public Health (2025). </w:t>
      </w:r>
      <w:r w:rsidRPr="008E0A86">
        <w:rPr>
          <w:i/>
          <w:iCs/>
        </w:rPr>
        <w:t>A public health assessment of the NHS Long Term Plan: part one - Faculty of Public Health</w:t>
      </w:r>
      <w:r w:rsidRPr="008E0A86">
        <w:t xml:space="preserve">. [online] Faculty of Public Health. Available at: </w:t>
      </w:r>
      <w:hyperlink r:id="rId13" w:history="1">
        <w:r w:rsidRPr="008E0A86">
          <w:rPr>
            <w:rStyle w:val="Hyperlink"/>
          </w:rPr>
          <w:t>https://www.fph.org.uk/blog/a-public-health-assessment-of-the-nhs-long-term-plan-part-one/</w:t>
        </w:r>
      </w:hyperlink>
      <w:r w:rsidRPr="008E0A86">
        <w:t xml:space="preserve"> [Accessed 20 Jun. 2026].</w:t>
      </w:r>
    </w:p>
    <w:p w14:paraId="0ED968D9" w14:textId="00EB4299" w:rsidR="008E0A86" w:rsidRPr="008E0A86" w:rsidRDefault="008E0A86" w:rsidP="00D9623E">
      <w:pPr>
        <w:spacing w:after="0" w:line="240" w:lineRule="auto"/>
        <w:ind w:left="720" w:hanging="720"/>
      </w:pPr>
      <w:r w:rsidRPr="008E0A86">
        <w:t>Hajek, J., Karidakis, M., Riccardo Amorati, Hao, Y.</w:t>
      </w:r>
      <w:r w:rsidR="00A05CBE">
        <w:t>,</w:t>
      </w:r>
      <w:r w:rsidRPr="008E0A86">
        <w:t xml:space="preserve"> and Woodward-Kron, R. (2022). </w:t>
      </w:r>
      <w:r w:rsidRPr="008E0A86">
        <w:rPr>
          <w:i/>
          <w:iCs/>
        </w:rPr>
        <w:t>Understanding the experiences and communication needs of culturally and linguistically diverse communities during the COVID-19 pandemic</w:t>
      </w:r>
      <w:r w:rsidRPr="008E0A86">
        <w:t xml:space="preserve">. [online] Available at: </w:t>
      </w:r>
      <w:hyperlink r:id="rId14" w:history="1">
        <w:r w:rsidRPr="008E0A86">
          <w:rPr>
            <w:rStyle w:val="Hyperlink"/>
          </w:rPr>
          <w:t>https://www.researchgate.net/publication/359385319_Understanding_the_experiences_and_communication_needs_of_culturally_and_linguistically_diverse_communities_during_the_COVID-19_pandemic</w:t>
        </w:r>
      </w:hyperlink>
      <w:r w:rsidRPr="008E0A86">
        <w:t>.</w:t>
      </w:r>
    </w:p>
    <w:p w14:paraId="7B575C57" w14:textId="77777777" w:rsidR="009858F8" w:rsidRPr="009858F8" w:rsidRDefault="009858F8" w:rsidP="009858F8">
      <w:pPr>
        <w:spacing w:after="0" w:line="240" w:lineRule="auto"/>
        <w:ind w:left="720" w:hanging="720"/>
      </w:pPr>
      <w:r w:rsidRPr="009858F8">
        <w:t xml:space="preserve">Howlett, N., </w:t>
      </w:r>
      <w:proofErr w:type="spellStart"/>
      <w:r w:rsidRPr="009858F8">
        <w:t>Olujoke</w:t>
      </w:r>
      <w:proofErr w:type="spellEnd"/>
      <w:r w:rsidRPr="009858F8">
        <w:t xml:space="preserve"> </w:t>
      </w:r>
      <w:proofErr w:type="spellStart"/>
      <w:r w:rsidRPr="009858F8">
        <w:t>Fakoya</w:t>
      </w:r>
      <w:proofErr w:type="spellEnd"/>
      <w:r w:rsidRPr="009858F8">
        <w:t xml:space="preserve">, </w:t>
      </w:r>
      <w:proofErr w:type="spellStart"/>
      <w:r w:rsidRPr="009858F8">
        <w:t>Bontoft</w:t>
      </w:r>
      <w:proofErr w:type="spellEnd"/>
      <w:r w:rsidRPr="009858F8">
        <w:t xml:space="preserve">, C., Simmons, I., Miners, L., Wagner, A.P. and Brown, K. (2024). A realist evaluation of community champion and participatory action approaches during the COVID-19 pandemic. </w:t>
      </w:r>
      <w:r w:rsidRPr="009858F8">
        <w:rPr>
          <w:i/>
          <w:iCs/>
        </w:rPr>
        <w:t>Frontiers in public health</w:t>
      </w:r>
      <w:r w:rsidRPr="009858F8">
        <w:t>, 12. doi:</w:t>
      </w:r>
      <w:hyperlink r:id="rId15" w:history="1">
        <w:r w:rsidRPr="009858F8">
          <w:rPr>
            <w:rStyle w:val="Hyperlink"/>
          </w:rPr>
          <w:t>https://doi.org/10.3389/fpubh.2024.1355944</w:t>
        </w:r>
      </w:hyperlink>
      <w:r w:rsidRPr="009858F8">
        <w:t>.</w:t>
      </w:r>
    </w:p>
    <w:p w14:paraId="4598003C" w14:textId="77777777" w:rsidR="008E0A86" w:rsidRPr="008E0A86" w:rsidRDefault="008E0A86" w:rsidP="00D9623E">
      <w:pPr>
        <w:spacing w:after="0" w:line="240" w:lineRule="auto"/>
        <w:ind w:left="720" w:hanging="720"/>
      </w:pPr>
      <w:r w:rsidRPr="008E0A86">
        <w:t xml:space="preserve">Jeong, H., Hyeon Woo Yim, Lee, S.-Y., Park, M. and Ko, W. (2024). The effectiveness of a suicide prevention program in primary care clinics supported by community public health resources: A difference-in-differences analysis. </w:t>
      </w:r>
      <w:r w:rsidRPr="008E0A86">
        <w:rPr>
          <w:i/>
          <w:iCs/>
        </w:rPr>
        <w:t>Psychiatry Research</w:t>
      </w:r>
      <w:r w:rsidRPr="008E0A86">
        <w:t>, 334, pp.115803–115803. doi:</w:t>
      </w:r>
      <w:hyperlink r:id="rId16" w:history="1">
        <w:r w:rsidRPr="008E0A86">
          <w:rPr>
            <w:rStyle w:val="Hyperlink"/>
          </w:rPr>
          <w:t>https://doi.org/10.1016/j.psychres.2024.115803</w:t>
        </w:r>
      </w:hyperlink>
      <w:r w:rsidRPr="008E0A86">
        <w:t>.</w:t>
      </w:r>
    </w:p>
    <w:p w14:paraId="734DC87F" w14:textId="77777777" w:rsidR="008E0A86" w:rsidRPr="008E0A86" w:rsidRDefault="008E0A86" w:rsidP="00D9623E">
      <w:pPr>
        <w:spacing w:after="0" w:line="240" w:lineRule="auto"/>
        <w:ind w:left="720" w:hanging="720"/>
      </w:pPr>
      <w:r w:rsidRPr="008E0A86">
        <w:t xml:space="preserve">Kirklees Council (2025). </w:t>
      </w:r>
      <w:r w:rsidRPr="008E0A86">
        <w:rPr>
          <w:i/>
          <w:iCs/>
        </w:rPr>
        <w:t>Kirklees Council: Community champions empowering people to make informed health choices</w:t>
      </w:r>
      <w:r w:rsidRPr="008E0A86">
        <w:t xml:space="preserve">. [online] Local.gov.uk. Available at: </w:t>
      </w:r>
      <w:hyperlink r:id="rId17" w:history="1">
        <w:r w:rsidRPr="008E0A86">
          <w:rPr>
            <w:rStyle w:val="Hyperlink"/>
          </w:rPr>
          <w:t>https://www.local.gov.uk/case-studies/kirklees-council-community-champions-empowering-people-make-informed-health-choices</w:t>
        </w:r>
      </w:hyperlink>
      <w:r w:rsidRPr="008E0A86">
        <w:t>.</w:t>
      </w:r>
    </w:p>
    <w:p w14:paraId="73B8144C" w14:textId="77777777" w:rsidR="009858F8" w:rsidRPr="009858F8" w:rsidRDefault="009858F8" w:rsidP="009858F8">
      <w:pPr>
        <w:spacing w:after="0" w:line="240" w:lineRule="auto"/>
        <w:ind w:left="720" w:hanging="720"/>
      </w:pPr>
      <w:r w:rsidRPr="009858F8">
        <w:t xml:space="preserve">Karras, J., Harrison, M., </w:t>
      </w:r>
      <w:proofErr w:type="spellStart"/>
      <w:r w:rsidRPr="009858F8">
        <w:t>Danchin</w:t>
      </w:r>
      <w:proofErr w:type="spellEnd"/>
      <w:r w:rsidRPr="009858F8">
        <w:t xml:space="preserve">, M., Kaufman, J., Leask, J., Petrakis, D., Gore, E. and Seale, H. (2025). Supporting dialogue amongst multicultural communities: Exploring the role of vaccine champions. </w:t>
      </w:r>
      <w:r w:rsidRPr="009858F8">
        <w:rPr>
          <w:i/>
          <w:iCs/>
        </w:rPr>
        <w:t>Vaccine</w:t>
      </w:r>
      <w:r w:rsidRPr="009858F8">
        <w:t>, [online] 63, p.127629. doi:</w:t>
      </w:r>
      <w:hyperlink r:id="rId18" w:history="1">
        <w:r w:rsidRPr="009858F8">
          <w:rPr>
            <w:rStyle w:val="Hyperlink"/>
          </w:rPr>
          <w:t>https://doi.org/10.1016/j.vaccine.2025.127629</w:t>
        </w:r>
      </w:hyperlink>
      <w:r w:rsidRPr="009858F8">
        <w:t>.</w:t>
      </w:r>
    </w:p>
    <w:p w14:paraId="24002F0B" w14:textId="77777777" w:rsidR="009858F8" w:rsidRDefault="009858F8" w:rsidP="009858F8">
      <w:pPr>
        <w:spacing w:after="0" w:line="240" w:lineRule="auto"/>
        <w:ind w:left="720" w:hanging="720"/>
      </w:pPr>
      <w:proofErr w:type="spellStart"/>
      <w:r w:rsidRPr="009858F8">
        <w:t>Lakioti</w:t>
      </w:r>
      <w:proofErr w:type="spellEnd"/>
      <w:r w:rsidRPr="009858F8">
        <w:t xml:space="preserve">, E., Pagonis, N., </w:t>
      </w:r>
      <w:proofErr w:type="spellStart"/>
      <w:r w:rsidRPr="009858F8">
        <w:t>Flegkas</w:t>
      </w:r>
      <w:proofErr w:type="spellEnd"/>
      <w:r w:rsidRPr="009858F8">
        <w:t xml:space="preserve">, D., </w:t>
      </w:r>
      <w:proofErr w:type="spellStart"/>
      <w:r w:rsidRPr="009858F8">
        <w:t>Itziou</w:t>
      </w:r>
      <w:proofErr w:type="spellEnd"/>
      <w:r w:rsidRPr="009858F8">
        <w:t xml:space="preserve">, A., Moustakas, K. and </w:t>
      </w:r>
      <w:proofErr w:type="spellStart"/>
      <w:r w:rsidRPr="009858F8">
        <w:t>Karayannis</w:t>
      </w:r>
      <w:proofErr w:type="spellEnd"/>
      <w:r w:rsidRPr="009858F8">
        <w:t xml:space="preserve">, V. (2025). Social Factors and Policies Promoting Good Health and Well-Being as a Sustainable Development Goal: Current Achievements and Future Pathways. </w:t>
      </w:r>
      <w:r w:rsidRPr="009858F8">
        <w:rPr>
          <w:i/>
          <w:iCs/>
        </w:rPr>
        <w:t>Sustainability</w:t>
      </w:r>
      <w:r w:rsidRPr="009858F8">
        <w:t>, [online] 17(11), p.5063. doi:</w:t>
      </w:r>
      <w:hyperlink r:id="rId19" w:history="1">
        <w:r w:rsidRPr="009858F8">
          <w:rPr>
            <w:rStyle w:val="Hyperlink"/>
          </w:rPr>
          <w:t>https://doi.org/10.3390/su17115063</w:t>
        </w:r>
      </w:hyperlink>
      <w:r w:rsidRPr="009858F8">
        <w:t>.</w:t>
      </w:r>
    </w:p>
    <w:p w14:paraId="0A11B404" w14:textId="07A36FAF" w:rsidR="008E0A86" w:rsidRPr="008E0A86" w:rsidRDefault="008E0A86" w:rsidP="009858F8">
      <w:pPr>
        <w:spacing w:after="0" w:line="240" w:lineRule="auto"/>
        <w:ind w:left="720" w:hanging="720"/>
      </w:pPr>
      <w:r w:rsidRPr="008E0A86">
        <w:t>Marmot, M., Allen, J., Boyce, T., Goldblatt, P.</w:t>
      </w:r>
      <w:r w:rsidR="00A05CBE">
        <w:t>,</w:t>
      </w:r>
      <w:r w:rsidRPr="008E0A86">
        <w:t xml:space="preserve"> and Morrison, J. (2020). </w:t>
      </w:r>
      <w:r w:rsidRPr="008E0A86">
        <w:rPr>
          <w:i/>
          <w:iCs/>
        </w:rPr>
        <w:t>Health Equity in England: the Marmot Review 10 Years On</w:t>
      </w:r>
      <w:r w:rsidRPr="008E0A86">
        <w:t xml:space="preserve">. [online] Institute of Health Equity. Available at: </w:t>
      </w:r>
      <w:hyperlink r:id="rId20" w:history="1">
        <w:r w:rsidRPr="008E0A86">
          <w:rPr>
            <w:rStyle w:val="Hyperlink"/>
          </w:rPr>
          <w:t>https://www.instituteofhealthequity.org/resources-reports/marmot-review-10-years-on/the-marmot-review-10-years-on-full-report.pdf</w:t>
        </w:r>
      </w:hyperlink>
      <w:r w:rsidRPr="008E0A86">
        <w:t>.</w:t>
      </w:r>
    </w:p>
    <w:p w14:paraId="6433A4F0" w14:textId="77777777" w:rsidR="008E0A86" w:rsidRPr="008E0A86" w:rsidRDefault="008E0A86" w:rsidP="00D9623E">
      <w:pPr>
        <w:spacing w:after="0" w:line="240" w:lineRule="auto"/>
        <w:ind w:left="720" w:hanging="720"/>
      </w:pPr>
      <w:r w:rsidRPr="008E0A86">
        <w:t xml:space="preserve">Marmot, M.G., Allen, J., Goldblatt, P., Boyce, T. and Geddes, I. (2010). </w:t>
      </w:r>
      <w:r w:rsidRPr="008E0A86">
        <w:rPr>
          <w:i/>
          <w:iCs/>
        </w:rPr>
        <w:t>Fair Society Healthy Lives</w:t>
      </w:r>
      <w:r w:rsidRPr="008E0A86">
        <w:t xml:space="preserve">. [online] Available at: </w:t>
      </w:r>
      <w:hyperlink r:id="rId21" w:history="1">
        <w:r w:rsidRPr="008E0A86">
          <w:rPr>
            <w:rStyle w:val="Hyperlink"/>
          </w:rPr>
          <w:t>https://www.researchgate.net/publication/330440892_Fair_Society_Healthy_Lives</w:t>
        </w:r>
      </w:hyperlink>
      <w:r w:rsidRPr="008E0A86">
        <w:t>.</w:t>
      </w:r>
    </w:p>
    <w:p w14:paraId="2C4B80D4" w14:textId="3C565B9F" w:rsidR="008E0A86" w:rsidRPr="008E0A86" w:rsidRDefault="008E0A86" w:rsidP="00D9623E">
      <w:pPr>
        <w:spacing w:after="0" w:line="240" w:lineRule="auto"/>
        <w:ind w:left="720" w:hanging="720"/>
      </w:pPr>
      <w:r w:rsidRPr="008E0A86">
        <w:t xml:space="preserve">Morton, S., Pencheon, D. and Squires, N. (2022). </w:t>
      </w:r>
      <w:r w:rsidRPr="008E0A86">
        <w:rPr>
          <w:i/>
          <w:iCs/>
        </w:rPr>
        <w:t xml:space="preserve">Sustainable Development Goals (SDGs) and their implementation: A national global framework for </w:t>
      </w:r>
      <w:r w:rsidR="00A05CBE" w:rsidRPr="008E0A86">
        <w:rPr>
          <w:i/>
          <w:iCs/>
        </w:rPr>
        <w:t>health,</w:t>
      </w:r>
      <w:r w:rsidRPr="008E0A86">
        <w:t xml:space="preserve"> [online] ResearchGate. Available at: </w:t>
      </w:r>
      <w:hyperlink r:id="rId22" w:history="1">
        <w:r w:rsidRPr="008E0A86">
          <w:rPr>
            <w:rStyle w:val="Hyperlink"/>
          </w:rPr>
          <w:t>https://www.researchgate.net/publication/320685121_Sustainable_Development_Goals_SDGs_and_their_implementation_A_national_global_framework_for_health_development_and_equity_needs_a_systems_approach_at_every_level</w:t>
        </w:r>
      </w:hyperlink>
      <w:r w:rsidRPr="008E0A86">
        <w:t>.</w:t>
      </w:r>
    </w:p>
    <w:p w14:paraId="5FD20006" w14:textId="77777777" w:rsidR="009858F8" w:rsidRPr="009858F8" w:rsidRDefault="009858F8" w:rsidP="009858F8">
      <w:pPr>
        <w:spacing w:after="0" w:line="240" w:lineRule="auto"/>
        <w:ind w:left="720" w:hanging="720"/>
      </w:pPr>
      <w:proofErr w:type="spellStart"/>
      <w:r w:rsidRPr="009858F8">
        <w:t>Niederdeppe</w:t>
      </w:r>
      <w:proofErr w:type="spellEnd"/>
      <w:r w:rsidRPr="009858F8">
        <w:t xml:space="preserve">, J., Boyd, A.D., King, A.J. and Rimal, R.N. (2024). Strategies for Effective Public Health Communication in a Complex Information Environment. </w:t>
      </w:r>
      <w:r w:rsidRPr="009858F8">
        <w:rPr>
          <w:i/>
          <w:iCs/>
        </w:rPr>
        <w:t>Annual Review of Public Health</w:t>
      </w:r>
      <w:r w:rsidRPr="009858F8">
        <w:t>, 46. doi:</w:t>
      </w:r>
      <w:hyperlink r:id="rId23" w:history="1">
        <w:r w:rsidRPr="009858F8">
          <w:rPr>
            <w:rStyle w:val="Hyperlink"/>
          </w:rPr>
          <w:t>https://doi.org/10.1146/annurev-publhealth-071723-120721</w:t>
        </w:r>
      </w:hyperlink>
      <w:r w:rsidRPr="009858F8">
        <w:t>.</w:t>
      </w:r>
    </w:p>
    <w:p w14:paraId="6799FF3C" w14:textId="4590EE91" w:rsidR="008E0A86" w:rsidRPr="008E0A86" w:rsidRDefault="008E0A86" w:rsidP="00D9623E">
      <w:pPr>
        <w:spacing w:after="0" w:line="240" w:lineRule="auto"/>
        <w:ind w:left="720" w:hanging="720"/>
      </w:pPr>
      <w:r w:rsidRPr="008E0A86">
        <w:t xml:space="preserve">National Center for Complementary and Integrative Health (2022). </w:t>
      </w:r>
      <w:r w:rsidRPr="008E0A86">
        <w:rPr>
          <w:i/>
          <w:iCs/>
        </w:rPr>
        <w:t xml:space="preserve">Whole Person Health: What It Is and Why </w:t>
      </w:r>
      <w:r w:rsidR="00A05CBE">
        <w:rPr>
          <w:i/>
          <w:iCs/>
        </w:rPr>
        <w:t>It's</w:t>
      </w:r>
      <w:r w:rsidRPr="008E0A86">
        <w:rPr>
          <w:i/>
          <w:iCs/>
        </w:rPr>
        <w:t xml:space="preserve"> Important</w:t>
      </w:r>
      <w:r w:rsidRPr="008E0A86">
        <w:t xml:space="preserve">. [online] NCCIH. Available at: </w:t>
      </w:r>
      <w:hyperlink r:id="rId24" w:history="1">
        <w:r w:rsidRPr="008E0A86">
          <w:rPr>
            <w:rStyle w:val="Hyperlink"/>
          </w:rPr>
          <w:t>https://www.nccih.nih.gov/health/whole-person-health-what-it-is-and-why-its-important</w:t>
        </w:r>
      </w:hyperlink>
      <w:r w:rsidRPr="008E0A86">
        <w:t>.</w:t>
      </w:r>
    </w:p>
    <w:p w14:paraId="19E17FCF" w14:textId="4AEA2271" w:rsidR="008E0A86" w:rsidRPr="008E0A86" w:rsidRDefault="008E0A86" w:rsidP="00D9623E">
      <w:pPr>
        <w:spacing w:after="0" w:line="240" w:lineRule="auto"/>
        <w:ind w:left="720" w:hanging="720"/>
      </w:pPr>
      <w:r w:rsidRPr="008E0A86">
        <w:t>Nejatian, A., Arab, M., Amirhossein Takian</w:t>
      </w:r>
      <w:r w:rsidR="00A05CBE">
        <w:t>,</w:t>
      </w:r>
      <w:r w:rsidRPr="008E0A86">
        <w:t xml:space="preserve"> and Kiomars Ashtarian (2024). Social Accountability in Health System Governance: A Scoping Review. </w:t>
      </w:r>
      <w:r w:rsidRPr="008E0A86">
        <w:rPr>
          <w:i/>
          <w:iCs/>
        </w:rPr>
        <w:t>Iranian journal of public health</w:t>
      </w:r>
      <w:r w:rsidRPr="008E0A86">
        <w:t>. doi:</w:t>
      </w:r>
      <w:hyperlink r:id="rId25" w:history="1">
        <w:r w:rsidRPr="008E0A86">
          <w:rPr>
            <w:rStyle w:val="Hyperlink"/>
          </w:rPr>
          <w:t>https://doi.org/10.18502/ijph.v53i1.14681</w:t>
        </w:r>
      </w:hyperlink>
      <w:r w:rsidRPr="008E0A86">
        <w:t>.</w:t>
      </w:r>
    </w:p>
    <w:p w14:paraId="7AF0E7F6" w14:textId="0A3F1C42" w:rsidR="008E0A86" w:rsidRPr="008E0A86" w:rsidRDefault="008E0A86" w:rsidP="00D9623E">
      <w:pPr>
        <w:spacing w:after="0" w:line="240" w:lineRule="auto"/>
        <w:ind w:left="720" w:hanging="720"/>
      </w:pPr>
      <w:r w:rsidRPr="008E0A86">
        <w:t xml:space="preserve">NHS England (2016). </w:t>
      </w:r>
      <w:r w:rsidRPr="008E0A86">
        <w:rPr>
          <w:i/>
          <w:iCs/>
        </w:rPr>
        <w:t xml:space="preserve">The </w:t>
      </w:r>
      <w:r w:rsidR="00A05CBE">
        <w:rPr>
          <w:i/>
          <w:iCs/>
        </w:rPr>
        <w:t>Five-Year</w:t>
      </w:r>
      <w:r w:rsidRPr="008E0A86">
        <w:rPr>
          <w:i/>
          <w:iCs/>
        </w:rPr>
        <w:t xml:space="preserve"> Forward View for Mental Health</w:t>
      </w:r>
      <w:r w:rsidRPr="008E0A86">
        <w:t xml:space="preserve">. [online] Available at: </w:t>
      </w:r>
      <w:hyperlink r:id="rId26" w:history="1">
        <w:r w:rsidRPr="008E0A86">
          <w:rPr>
            <w:rStyle w:val="Hyperlink"/>
          </w:rPr>
          <w:t>https://www.england.nhs.uk/wp-content/uploads/2016/02/Mental-Health-Taskforce-FYFV-final.pdf</w:t>
        </w:r>
      </w:hyperlink>
      <w:r w:rsidRPr="008E0A86">
        <w:t>.</w:t>
      </w:r>
    </w:p>
    <w:p w14:paraId="06FFB850" w14:textId="77777777" w:rsidR="008E0A86" w:rsidRPr="008E0A86" w:rsidRDefault="008E0A86" w:rsidP="00D9623E">
      <w:pPr>
        <w:spacing w:after="0" w:line="240" w:lineRule="auto"/>
        <w:ind w:left="720" w:hanging="720"/>
      </w:pPr>
      <w:r w:rsidRPr="008E0A86">
        <w:t xml:space="preserve">NHS England (2019). </w:t>
      </w:r>
      <w:r w:rsidRPr="008E0A86">
        <w:rPr>
          <w:i/>
          <w:iCs/>
        </w:rPr>
        <w:t>NHS Long Term Plan</w:t>
      </w:r>
      <w:r w:rsidRPr="008E0A86">
        <w:t xml:space="preserve">. [online] NHS England. Available at: </w:t>
      </w:r>
      <w:hyperlink r:id="rId27" w:history="1">
        <w:r w:rsidRPr="008E0A86">
          <w:rPr>
            <w:rStyle w:val="Hyperlink"/>
          </w:rPr>
          <w:t>https://www.longtermplan.nhs.uk/</w:t>
        </w:r>
      </w:hyperlink>
      <w:r w:rsidRPr="008E0A86">
        <w:t>.</w:t>
      </w:r>
    </w:p>
    <w:p w14:paraId="1B4E96ED" w14:textId="77777777" w:rsidR="008E0A86" w:rsidRPr="008E0A86" w:rsidRDefault="008E0A86" w:rsidP="00D9623E">
      <w:pPr>
        <w:spacing w:after="0" w:line="240" w:lineRule="auto"/>
        <w:ind w:left="720" w:hanging="720"/>
      </w:pPr>
      <w:r w:rsidRPr="008E0A86">
        <w:t xml:space="preserve">OECD (2024). </w:t>
      </w:r>
      <w:r w:rsidRPr="008E0A86">
        <w:rPr>
          <w:i/>
          <w:iCs/>
        </w:rPr>
        <w:t>Measuring distance to SDGs</w:t>
      </w:r>
      <w:r w:rsidRPr="008E0A86">
        <w:t xml:space="preserve">. [online] OECD. Available at: </w:t>
      </w:r>
      <w:hyperlink r:id="rId28" w:history="1">
        <w:r w:rsidRPr="008E0A86">
          <w:rPr>
            <w:rStyle w:val="Hyperlink"/>
          </w:rPr>
          <w:t>https://www.oecd.org/en/topics/sub-issues/measuring-distance-to-sdgs.html</w:t>
        </w:r>
      </w:hyperlink>
      <w:r w:rsidRPr="008E0A86">
        <w:t>.</w:t>
      </w:r>
    </w:p>
    <w:p w14:paraId="3100CEFA" w14:textId="77777777" w:rsidR="008E0A86" w:rsidRPr="008E0A86" w:rsidRDefault="008E0A86" w:rsidP="00D9623E">
      <w:pPr>
        <w:spacing w:after="0" w:line="240" w:lineRule="auto"/>
        <w:ind w:left="720" w:hanging="720"/>
      </w:pPr>
      <w:r w:rsidRPr="008E0A86">
        <w:t xml:space="preserve">Oerther, S.E. and Rosa, W.E. (2022). Advocating for Equality: The Backbone of the Sustainable Development Goals. </w:t>
      </w:r>
      <w:r w:rsidRPr="008E0A86">
        <w:rPr>
          <w:i/>
          <w:iCs/>
        </w:rPr>
        <w:t>AJN, American Journal of Nursing</w:t>
      </w:r>
      <w:r w:rsidRPr="008E0A86">
        <w:t>, 120(12), pp.60–62. doi:</w:t>
      </w:r>
      <w:hyperlink r:id="rId29" w:history="1">
        <w:r w:rsidRPr="008E0A86">
          <w:rPr>
            <w:rStyle w:val="Hyperlink"/>
          </w:rPr>
          <w:t>https://doi.org/10.1097/01.naj.0000724256.31342.4b</w:t>
        </w:r>
      </w:hyperlink>
      <w:r w:rsidRPr="008E0A86">
        <w:t>.</w:t>
      </w:r>
    </w:p>
    <w:p w14:paraId="07110E3D" w14:textId="77777777" w:rsidR="008E0A86" w:rsidRPr="008E0A86" w:rsidRDefault="008E0A86" w:rsidP="00D9623E">
      <w:pPr>
        <w:spacing w:after="0" w:line="240" w:lineRule="auto"/>
        <w:ind w:left="720" w:hanging="720"/>
      </w:pPr>
      <w:r w:rsidRPr="008E0A86">
        <w:t xml:space="preserve">Office for Health Improvement and Disparities (2025). </w:t>
      </w:r>
      <w:r w:rsidRPr="008E0A86">
        <w:rPr>
          <w:i/>
          <w:iCs/>
        </w:rPr>
        <w:t>Segment tool: statistical commentary, November 2025</w:t>
      </w:r>
      <w:r w:rsidRPr="008E0A86">
        <w:t xml:space="preserve">. [online] GOV.UK. Available at: </w:t>
      </w:r>
      <w:hyperlink r:id="rId30" w:history="1">
        <w:r w:rsidRPr="008E0A86">
          <w:rPr>
            <w:rStyle w:val="Hyperlink"/>
          </w:rPr>
          <w:t>https://www.gov.uk/government/statistics/segment-tool-november-2025-update/segment-tool-statistical-commentary-november-2025</w:t>
        </w:r>
      </w:hyperlink>
      <w:r w:rsidRPr="008E0A86">
        <w:t>.</w:t>
      </w:r>
    </w:p>
    <w:p w14:paraId="345BDD3A" w14:textId="77777777" w:rsidR="008E0A86" w:rsidRPr="008E0A86" w:rsidRDefault="008E0A86" w:rsidP="00D9623E">
      <w:pPr>
        <w:spacing w:after="0" w:line="240" w:lineRule="auto"/>
        <w:ind w:left="720" w:hanging="720"/>
      </w:pPr>
      <w:r w:rsidRPr="008E0A86">
        <w:t xml:space="preserve">Office for Health Improvement and Disparities (2026). </w:t>
      </w:r>
      <w:r w:rsidRPr="008E0A86">
        <w:rPr>
          <w:i/>
          <w:iCs/>
        </w:rPr>
        <w:t>Public Health Outcomes Framework: May 2026 data update</w:t>
      </w:r>
      <w:r w:rsidRPr="008E0A86">
        <w:t xml:space="preserve">. [online] GOV.UK. Available at: </w:t>
      </w:r>
      <w:hyperlink r:id="rId31" w:history="1">
        <w:r w:rsidRPr="008E0A86">
          <w:rPr>
            <w:rStyle w:val="Hyperlink"/>
          </w:rPr>
          <w:t>https://www.gov.uk/government/statistics/public-health-outcomes-framework-may-2026-data-update</w:t>
        </w:r>
      </w:hyperlink>
      <w:r w:rsidRPr="008E0A86">
        <w:t>.</w:t>
      </w:r>
    </w:p>
    <w:p w14:paraId="4342D436" w14:textId="77777777" w:rsidR="008E0A86" w:rsidRPr="008E0A86" w:rsidRDefault="008E0A86" w:rsidP="00D9623E">
      <w:pPr>
        <w:spacing w:after="0" w:line="240" w:lineRule="auto"/>
        <w:ind w:left="720" w:hanging="720"/>
      </w:pPr>
      <w:r w:rsidRPr="008E0A86">
        <w:t xml:space="preserve">Public Health England (2019). </w:t>
      </w:r>
      <w:r w:rsidRPr="008E0A86">
        <w:rPr>
          <w:i/>
          <w:iCs/>
        </w:rPr>
        <w:t>Public Health Outcomes Framework</w:t>
      </w:r>
      <w:r w:rsidRPr="008E0A86">
        <w:t xml:space="preserve">. [online] Phe.org.uk. Available at: </w:t>
      </w:r>
      <w:hyperlink r:id="rId32" w:history="1">
        <w:r w:rsidRPr="008E0A86">
          <w:rPr>
            <w:rStyle w:val="Hyperlink"/>
          </w:rPr>
          <w:t>https://fingertips.phe.org.uk/profile/public-health-outcomes-framework</w:t>
        </w:r>
      </w:hyperlink>
      <w:r w:rsidRPr="008E0A86">
        <w:t>.</w:t>
      </w:r>
    </w:p>
    <w:p w14:paraId="75D3E2CC" w14:textId="77777777" w:rsidR="008E0A86" w:rsidRPr="008E0A86" w:rsidRDefault="008E0A86" w:rsidP="00D9623E">
      <w:pPr>
        <w:spacing w:after="0" w:line="240" w:lineRule="auto"/>
        <w:ind w:left="720" w:hanging="720"/>
      </w:pPr>
      <w:r w:rsidRPr="008E0A86">
        <w:t xml:space="preserve">Ramzani, S.R., Gharleghi, B., Horam, P. and Tarek, S. (2022). </w:t>
      </w:r>
      <w:r w:rsidRPr="008E0A86">
        <w:rPr>
          <w:i/>
          <w:iCs/>
        </w:rPr>
        <w:t>How the UK is performing on the Sustainable Development Goals</w:t>
      </w:r>
      <w:r w:rsidRPr="008E0A86">
        <w:t xml:space="preserve">. [online] ResearchGate. Available at: </w:t>
      </w:r>
      <w:hyperlink r:id="rId33" w:history="1">
        <w:r w:rsidRPr="008E0A86">
          <w:rPr>
            <w:rStyle w:val="Hyperlink"/>
          </w:rPr>
          <w:t>https://www.researchgate.net/publication/365776394_How_the_UK_is_performing_on_the_Sustainable_Development_Goals</w:t>
        </w:r>
      </w:hyperlink>
      <w:r w:rsidRPr="008E0A86">
        <w:t>.</w:t>
      </w:r>
    </w:p>
    <w:p w14:paraId="5CB09B60" w14:textId="77777777" w:rsidR="008E0A86" w:rsidRPr="008E0A86" w:rsidRDefault="008E0A86" w:rsidP="00D9623E">
      <w:pPr>
        <w:spacing w:after="0" w:line="240" w:lineRule="auto"/>
        <w:ind w:left="720" w:hanging="720"/>
      </w:pPr>
      <w:r w:rsidRPr="008E0A86">
        <w:t xml:space="preserve">Shepherd, G., Astbury, E., Cooper, A., Dobrzynska, W., Goddard, E., Murphy, H. and Whitley, A. (2023). The Challenges Preventing Men From Seeking Counselling or Psychotherapy. </w:t>
      </w:r>
      <w:r w:rsidRPr="008E0A86">
        <w:rPr>
          <w:i/>
          <w:iCs/>
        </w:rPr>
        <w:t>Mental Health &amp; Prevention</w:t>
      </w:r>
      <w:r w:rsidRPr="008E0A86">
        <w:t>, 31(31), pp.200287–200287. doi:</w:t>
      </w:r>
      <w:hyperlink r:id="rId34" w:history="1">
        <w:r w:rsidRPr="008E0A86">
          <w:rPr>
            <w:rStyle w:val="Hyperlink"/>
          </w:rPr>
          <w:t>https://doi.org/10.1016/j.mhp.2023.200287</w:t>
        </w:r>
      </w:hyperlink>
      <w:r w:rsidRPr="008E0A86">
        <w:t>.</w:t>
      </w:r>
    </w:p>
    <w:p w14:paraId="67868A69" w14:textId="77777777" w:rsidR="009858F8" w:rsidRPr="009858F8" w:rsidRDefault="009858F8" w:rsidP="009858F8">
      <w:pPr>
        <w:spacing w:after="0" w:line="240" w:lineRule="auto"/>
        <w:ind w:left="720" w:hanging="720"/>
      </w:pPr>
      <w:proofErr w:type="spellStart"/>
      <w:r w:rsidRPr="009858F8">
        <w:t>Shayan</w:t>
      </w:r>
      <w:proofErr w:type="spellEnd"/>
      <w:r w:rsidRPr="009858F8">
        <w:t xml:space="preserve">, N.F., </w:t>
      </w:r>
      <w:proofErr w:type="spellStart"/>
      <w:r w:rsidRPr="009858F8">
        <w:t>Kalejahi</w:t>
      </w:r>
      <w:proofErr w:type="spellEnd"/>
      <w:r w:rsidRPr="009858F8">
        <w:t xml:space="preserve">, N.M., Alavi, S. and Zahed, M.A. (2022). Sustainable Development Goals (SDGs) as a Framework for Corporate Social Responsibility (CSR). </w:t>
      </w:r>
      <w:r w:rsidRPr="009858F8">
        <w:rPr>
          <w:i/>
          <w:iCs/>
        </w:rPr>
        <w:t>Sustainability</w:t>
      </w:r>
      <w:r w:rsidRPr="009858F8">
        <w:t>, 14(3). doi:</w:t>
      </w:r>
      <w:hyperlink r:id="rId35" w:history="1">
        <w:r w:rsidRPr="009858F8">
          <w:rPr>
            <w:rStyle w:val="Hyperlink"/>
          </w:rPr>
          <w:t>https://doi.org/10.3390/su14031222</w:t>
        </w:r>
      </w:hyperlink>
      <w:r w:rsidRPr="009858F8">
        <w:t>.</w:t>
      </w:r>
    </w:p>
    <w:p w14:paraId="2F78C0FA" w14:textId="77777777" w:rsidR="009858F8" w:rsidRPr="009858F8" w:rsidRDefault="009858F8" w:rsidP="009858F8">
      <w:pPr>
        <w:spacing w:after="0" w:line="240" w:lineRule="auto"/>
        <w:ind w:left="720" w:hanging="720"/>
      </w:pPr>
      <w:r w:rsidRPr="009858F8">
        <w:t xml:space="preserve">Stover, J., </w:t>
      </w:r>
      <w:proofErr w:type="spellStart"/>
      <w:r w:rsidRPr="009858F8">
        <w:t>Avadhanula</w:t>
      </w:r>
      <w:proofErr w:type="spellEnd"/>
      <w:r w:rsidRPr="009858F8">
        <w:t xml:space="preserve">, L. and Sood, S. (2024). A review of strategies and levels of community engagement in strengths-based and needs-based health communication interventions. </w:t>
      </w:r>
      <w:r w:rsidRPr="009858F8">
        <w:rPr>
          <w:i/>
          <w:iCs/>
        </w:rPr>
        <w:t>Frontiers in public health</w:t>
      </w:r>
      <w:r w:rsidRPr="009858F8">
        <w:t>, [online] 12. doi:</w:t>
      </w:r>
      <w:hyperlink r:id="rId36" w:history="1">
        <w:r w:rsidRPr="009858F8">
          <w:rPr>
            <w:rStyle w:val="Hyperlink"/>
          </w:rPr>
          <w:t>https://doi.org/10.3389/fpubh.2024.1231827</w:t>
        </w:r>
      </w:hyperlink>
      <w:r w:rsidRPr="009858F8">
        <w:t>.</w:t>
      </w:r>
    </w:p>
    <w:p w14:paraId="1F0F6807" w14:textId="77777777" w:rsidR="009858F8" w:rsidRDefault="009858F8" w:rsidP="009858F8">
      <w:pPr>
        <w:spacing w:after="0" w:line="240" w:lineRule="auto"/>
        <w:ind w:left="720" w:hanging="720"/>
      </w:pPr>
      <w:proofErr w:type="spellStart"/>
      <w:r w:rsidRPr="009858F8">
        <w:t>Togioka</w:t>
      </w:r>
      <w:proofErr w:type="spellEnd"/>
      <w:r w:rsidRPr="009858F8">
        <w:t xml:space="preserve">, B.M. and Young, E. (2024). </w:t>
      </w:r>
      <w:r w:rsidRPr="009858F8">
        <w:rPr>
          <w:i/>
          <w:iCs/>
        </w:rPr>
        <w:t>Diversity and discrimination in healthcare</w:t>
      </w:r>
      <w:r w:rsidRPr="009858F8">
        <w:t xml:space="preserve">. [online] PubMed. Available at: </w:t>
      </w:r>
      <w:hyperlink r:id="rId37" w:history="1">
        <w:r w:rsidRPr="009858F8">
          <w:rPr>
            <w:rStyle w:val="Hyperlink"/>
          </w:rPr>
          <w:t>https://www.ncbi.nlm.nih.gov/books/NBK568721/</w:t>
        </w:r>
      </w:hyperlink>
    </w:p>
    <w:p w14:paraId="7E45A809" w14:textId="4772ED88" w:rsidR="008E0A86" w:rsidRPr="008E0A86" w:rsidRDefault="008E0A86" w:rsidP="009858F8">
      <w:pPr>
        <w:spacing w:after="0" w:line="240" w:lineRule="auto"/>
        <w:ind w:left="720" w:hanging="720"/>
      </w:pPr>
      <w:r w:rsidRPr="008E0A86">
        <w:t xml:space="preserve">Tom (2025). </w:t>
      </w:r>
      <w:r w:rsidRPr="008E0A86">
        <w:rPr>
          <w:i/>
          <w:iCs/>
        </w:rPr>
        <w:t>Listen to: The Significance of Local Politics in National Policy</w:t>
      </w:r>
      <w:r w:rsidRPr="008E0A86">
        <w:t xml:space="preserve">. [online] Political Awareness. Available at: </w:t>
      </w:r>
      <w:hyperlink r:id="rId38" w:history="1">
        <w:r w:rsidRPr="008E0A86">
          <w:rPr>
            <w:rStyle w:val="Hyperlink"/>
          </w:rPr>
          <w:t>https://politicalawareness.org/the-significance-of-local-politics-in-national-policy/</w:t>
        </w:r>
      </w:hyperlink>
      <w:r w:rsidRPr="008E0A86">
        <w:t>.</w:t>
      </w:r>
    </w:p>
    <w:p w14:paraId="514C4C44" w14:textId="341B25BD" w:rsidR="008E0A86" w:rsidRPr="008E0A86" w:rsidRDefault="008E0A86" w:rsidP="00D9623E">
      <w:pPr>
        <w:spacing w:after="0" w:line="240" w:lineRule="auto"/>
        <w:ind w:left="720" w:hanging="720"/>
      </w:pPr>
      <w:r w:rsidRPr="008E0A86">
        <w:t xml:space="preserve">UK Parliament (2025). </w:t>
      </w:r>
      <w:r w:rsidRPr="008E0A86">
        <w:rPr>
          <w:i/>
          <w:iCs/>
        </w:rPr>
        <w:t>Written questions, answers</w:t>
      </w:r>
      <w:r w:rsidR="00A05CBE">
        <w:rPr>
          <w:i/>
          <w:iCs/>
        </w:rPr>
        <w:t xml:space="preserve">, and </w:t>
      </w:r>
      <w:r w:rsidR="00EF567D">
        <w:rPr>
          <w:i/>
          <w:iCs/>
        </w:rPr>
        <w:t>statements on the Equality (Race and Disability) Bill</w:t>
      </w:r>
      <w:r w:rsidRPr="008E0A86">
        <w:rPr>
          <w:i/>
          <w:iCs/>
        </w:rPr>
        <w:t>, UK Parliament, 13 January</w:t>
      </w:r>
      <w:r w:rsidRPr="008E0A86">
        <w:t xml:space="preserve">. [online] Parliament.uk. Available at: </w:t>
      </w:r>
      <w:hyperlink r:id="rId39" w:history="1">
        <w:r w:rsidRPr="008E0A86">
          <w:rPr>
            <w:rStyle w:val="Hyperlink"/>
          </w:rPr>
          <w:t>https://questions-statements.parliament.uk</w:t>
        </w:r>
      </w:hyperlink>
      <w:r w:rsidRPr="008E0A86">
        <w:t>.</w:t>
      </w:r>
    </w:p>
    <w:p w14:paraId="27BC4ED1" w14:textId="02768B66" w:rsidR="00FA22BE" w:rsidRDefault="00FA22BE" w:rsidP="00D9623E">
      <w:pPr>
        <w:spacing w:after="0" w:line="240" w:lineRule="auto"/>
        <w:ind w:left="720" w:hanging="720"/>
      </w:pPr>
      <w:r w:rsidRPr="00FA22BE">
        <w:t>United Nations (2024). </w:t>
      </w:r>
      <w:r w:rsidRPr="00FA22BE">
        <w:rPr>
          <w:i/>
          <w:iCs/>
        </w:rPr>
        <w:t>Sustainable Development Goals (SDGs) and Disability | Division for Inclusive Social Development (DISD)</w:t>
      </w:r>
      <w:r w:rsidRPr="00FA22BE">
        <w:t xml:space="preserve">. [online] social.desa.un.org. Available at: </w:t>
      </w:r>
      <w:hyperlink r:id="rId40" w:history="1">
        <w:r w:rsidRPr="00B06C62">
          <w:rPr>
            <w:rStyle w:val="Hyperlink"/>
          </w:rPr>
          <w:t>https://social.desa.un.org/issues/disability/sustainable-development-goals-sdgs-and-disability</w:t>
        </w:r>
      </w:hyperlink>
      <w:r w:rsidRPr="00FA22BE">
        <w:t>.</w:t>
      </w:r>
    </w:p>
    <w:p w14:paraId="7716B53A" w14:textId="389EF775" w:rsidR="008E0A86" w:rsidRPr="008E0A86" w:rsidRDefault="008E0A86" w:rsidP="00D9623E">
      <w:pPr>
        <w:spacing w:after="0" w:line="240" w:lineRule="auto"/>
        <w:ind w:left="720" w:hanging="720"/>
      </w:pPr>
      <w:r w:rsidRPr="008E0A86">
        <w:t xml:space="preserve">UK </w:t>
      </w:r>
      <w:r w:rsidR="00A05CBE" w:rsidRPr="008E0A86">
        <w:t>Parliament (</w:t>
      </w:r>
      <w:r w:rsidRPr="008E0A86">
        <w:t xml:space="preserve">2026). </w:t>
      </w:r>
      <w:r w:rsidRPr="008E0A86">
        <w:rPr>
          <w:i/>
          <w:iCs/>
        </w:rPr>
        <w:t>Written questions, answers</w:t>
      </w:r>
      <w:r w:rsidR="00A05CBE">
        <w:rPr>
          <w:i/>
          <w:iCs/>
        </w:rPr>
        <w:t>,</w:t>
      </w:r>
      <w:r w:rsidRPr="008E0A86">
        <w:rPr>
          <w:i/>
          <w:iCs/>
        </w:rPr>
        <w:t xml:space="preserve"> and statements - UK Parliament</w:t>
      </w:r>
      <w:r w:rsidRPr="008E0A86">
        <w:t xml:space="preserve">. [online] Parliament.uk. Available at: </w:t>
      </w:r>
      <w:hyperlink r:id="rId41" w:history="1">
        <w:r w:rsidRPr="008E0A86">
          <w:rPr>
            <w:rStyle w:val="Hyperlink"/>
          </w:rPr>
          <w:t>https://questions-statements.parliament.uk/</w:t>
        </w:r>
      </w:hyperlink>
      <w:r w:rsidRPr="008E0A86">
        <w:t>.</w:t>
      </w:r>
    </w:p>
    <w:p w14:paraId="3D335AD2" w14:textId="79481A23" w:rsidR="008E0A86" w:rsidRPr="008E0A86" w:rsidRDefault="008E0A86" w:rsidP="00D9623E">
      <w:pPr>
        <w:spacing w:after="0" w:line="240" w:lineRule="auto"/>
        <w:ind w:left="720" w:hanging="720"/>
      </w:pPr>
      <w:r w:rsidRPr="008E0A86">
        <w:t xml:space="preserve">United Nations (2024). </w:t>
      </w:r>
      <w:r w:rsidRPr="008E0A86">
        <w:rPr>
          <w:i/>
          <w:iCs/>
        </w:rPr>
        <w:t xml:space="preserve">Goal 3: Ensure healthy lives and promote well-being </w:t>
      </w:r>
      <w:r w:rsidR="00A05CBE" w:rsidRPr="008E0A86">
        <w:rPr>
          <w:i/>
          <w:iCs/>
        </w:rPr>
        <w:t>for</w:t>
      </w:r>
      <w:r w:rsidRPr="008E0A86">
        <w:rPr>
          <w:i/>
          <w:iCs/>
        </w:rPr>
        <w:t xml:space="preserve"> all ages</w:t>
      </w:r>
      <w:r w:rsidRPr="008E0A86">
        <w:t xml:space="preserve">. [online] United Nations. Available at: </w:t>
      </w:r>
      <w:hyperlink r:id="rId42" w:history="1">
        <w:r w:rsidRPr="008E0A86">
          <w:rPr>
            <w:rStyle w:val="Hyperlink"/>
          </w:rPr>
          <w:t>https://sdgs.un.org/goals/goal3</w:t>
        </w:r>
      </w:hyperlink>
      <w:r w:rsidRPr="008E0A86">
        <w:t>.</w:t>
      </w:r>
    </w:p>
    <w:p w14:paraId="763001BA" w14:textId="77777777" w:rsidR="008E0A86" w:rsidRPr="008E0A86" w:rsidRDefault="008E0A86" w:rsidP="00D9623E">
      <w:pPr>
        <w:spacing w:after="0" w:line="240" w:lineRule="auto"/>
        <w:ind w:left="720" w:hanging="720"/>
      </w:pPr>
      <w:r w:rsidRPr="008E0A86">
        <w:t xml:space="preserve">United Nations Development Programme (2023). </w:t>
      </w:r>
      <w:r w:rsidRPr="008E0A86">
        <w:rPr>
          <w:i/>
          <w:iCs/>
        </w:rPr>
        <w:t>Sustainable Development Goals | United Nations Development Programme</w:t>
      </w:r>
      <w:r w:rsidRPr="008E0A86">
        <w:t xml:space="preserve">. [online] UNDP. Available at: </w:t>
      </w:r>
      <w:hyperlink r:id="rId43" w:history="1">
        <w:r w:rsidRPr="008E0A86">
          <w:rPr>
            <w:rStyle w:val="Hyperlink"/>
          </w:rPr>
          <w:t>https://www.undp.org/sustainable-development-goals/good-health</w:t>
        </w:r>
      </w:hyperlink>
      <w:r w:rsidRPr="008E0A86">
        <w:t>.</w:t>
      </w:r>
    </w:p>
    <w:p w14:paraId="43D777CB" w14:textId="77777777" w:rsidR="00401D00" w:rsidRPr="00401D00" w:rsidRDefault="00401D00" w:rsidP="00401D00">
      <w:pPr>
        <w:spacing w:after="0" w:line="240" w:lineRule="auto"/>
        <w:ind w:left="720" w:hanging="720"/>
      </w:pPr>
      <w:proofErr w:type="spellStart"/>
      <w:r w:rsidRPr="00401D00">
        <w:t>Vanderslott</w:t>
      </w:r>
      <w:proofErr w:type="spellEnd"/>
      <w:r w:rsidRPr="00401D00">
        <w:t xml:space="preserve">, S., Joynes-Burgess, K., </w:t>
      </w:r>
      <w:proofErr w:type="spellStart"/>
      <w:r w:rsidRPr="00401D00">
        <w:t>Seilesh</w:t>
      </w:r>
      <w:proofErr w:type="spellEnd"/>
      <w:r w:rsidRPr="00401D00">
        <w:t xml:space="preserve"> </w:t>
      </w:r>
      <w:proofErr w:type="spellStart"/>
      <w:r w:rsidRPr="00401D00">
        <w:t>Kadambari</w:t>
      </w:r>
      <w:proofErr w:type="spellEnd"/>
      <w:r w:rsidRPr="00401D00">
        <w:t xml:space="preserve">, O’Dwyer, E., </w:t>
      </w:r>
      <w:proofErr w:type="spellStart"/>
      <w:r w:rsidRPr="00401D00">
        <w:t>Lailah</w:t>
      </w:r>
      <w:proofErr w:type="spellEnd"/>
      <w:r w:rsidRPr="00401D00">
        <w:t xml:space="preserve"> </w:t>
      </w:r>
      <w:proofErr w:type="spellStart"/>
      <w:r w:rsidRPr="00401D00">
        <w:t>Alidu</w:t>
      </w:r>
      <w:proofErr w:type="spellEnd"/>
      <w:r w:rsidRPr="00401D00">
        <w:t xml:space="preserve"> and </w:t>
      </w:r>
      <w:proofErr w:type="spellStart"/>
      <w:r w:rsidRPr="00401D00">
        <w:t>Tushna</w:t>
      </w:r>
      <w:proofErr w:type="spellEnd"/>
      <w:r w:rsidRPr="00401D00">
        <w:t xml:space="preserve"> </w:t>
      </w:r>
      <w:proofErr w:type="spellStart"/>
      <w:r w:rsidRPr="00401D00">
        <w:t>Vandrevala</w:t>
      </w:r>
      <w:proofErr w:type="spellEnd"/>
      <w:r w:rsidRPr="00401D00">
        <w:t xml:space="preserve"> (2024). Examining the role of community champions to promote vaccine uptake in under-served communities in the United Kingdom: Lessons from the COVID-19 pandemic. </w:t>
      </w:r>
      <w:r w:rsidRPr="00401D00">
        <w:rPr>
          <w:i/>
          <w:iCs/>
        </w:rPr>
        <w:t>SSM. Qualitative research in health</w:t>
      </w:r>
      <w:r w:rsidRPr="00401D00">
        <w:t>, pp.100436–100436. doi:</w:t>
      </w:r>
      <w:hyperlink r:id="rId44" w:history="1">
        <w:r w:rsidRPr="00401D00">
          <w:rPr>
            <w:rStyle w:val="Hyperlink"/>
          </w:rPr>
          <w:t>https://doi.org/10.1016/j.ssmqr.2024.100436</w:t>
        </w:r>
      </w:hyperlink>
      <w:r w:rsidRPr="00401D00">
        <w:t>.</w:t>
      </w:r>
    </w:p>
    <w:p w14:paraId="2ABF3BCD" w14:textId="77777777" w:rsidR="008E0A86" w:rsidRPr="008E0A86" w:rsidRDefault="008E0A86" w:rsidP="00D9623E">
      <w:pPr>
        <w:spacing w:after="0" w:line="240" w:lineRule="auto"/>
        <w:ind w:left="720" w:hanging="720"/>
      </w:pPr>
      <w:r w:rsidRPr="008E0A86">
        <w:t xml:space="preserve">WHO (2025). </w:t>
      </w:r>
      <w:r w:rsidRPr="008E0A86">
        <w:rPr>
          <w:i/>
          <w:iCs/>
        </w:rPr>
        <w:t>Health inequities are shortening lives by decades</w:t>
      </w:r>
      <w:r w:rsidRPr="008E0A86">
        <w:t xml:space="preserve">. [online] Who.int. Available at: </w:t>
      </w:r>
      <w:hyperlink r:id="rId45" w:history="1">
        <w:r w:rsidRPr="008E0A86">
          <w:rPr>
            <w:rStyle w:val="Hyperlink"/>
          </w:rPr>
          <w:t>https://www.who.int/news/item/06-05-2025-health-inequities-are-shortening-lives-by-decades</w:t>
        </w:r>
      </w:hyperlink>
      <w:r w:rsidRPr="008E0A86">
        <w:t>.</w:t>
      </w:r>
    </w:p>
    <w:p w14:paraId="0565EB70" w14:textId="6DE3FF5B" w:rsidR="008E0A86" w:rsidRPr="008E0A86" w:rsidRDefault="008E0A86" w:rsidP="00D9623E">
      <w:pPr>
        <w:spacing w:after="0" w:line="240" w:lineRule="auto"/>
        <w:ind w:left="720" w:hanging="720"/>
      </w:pPr>
      <w:r w:rsidRPr="008E0A86">
        <w:t>World Health Organi</w:t>
      </w:r>
      <w:r w:rsidR="004A6DD1">
        <w:t>sation</w:t>
      </w:r>
      <w:r w:rsidRPr="008E0A86">
        <w:t xml:space="preserve"> (2024). </w:t>
      </w:r>
      <w:r w:rsidRPr="008E0A86">
        <w:rPr>
          <w:i/>
          <w:iCs/>
        </w:rPr>
        <w:t>Sustainable Development Goals 3 - The Global Action Plan for Healthy Lives and Well-being for All</w:t>
      </w:r>
      <w:r w:rsidRPr="008E0A86">
        <w:t xml:space="preserve">. [online] www.who.int. Available at: </w:t>
      </w:r>
      <w:hyperlink r:id="rId46" w:history="1">
        <w:r w:rsidRPr="008E0A86">
          <w:rPr>
            <w:rStyle w:val="Hyperlink"/>
          </w:rPr>
          <w:t>https://www.who.int/initiatives/sdg3-global-action-plan</w:t>
        </w:r>
      </w:hyperlink>
      <w:r w:rsidRPr="008E0A86">
        <w:t>.</w:t>
      </w:r>
    </w:p>
    <w:p w14:paraId="0C41B8DD" w14:textId="77777777" w:rsidR="008E0A86" w:rsidRDefault="008E0A86" w:rsidP="00D9623E">
      <w:pPr>
        <w:spacing w:after="0" w:line="240" w:lineRule="auto"/>
        <w:ind w:left="720" w:hanging="720"/>
      </w:pPr>
    </w:p>
    <w:p w14:paraId="325805C2" w14:textId="77777777" w:rsidR="008E0A86" w:rsidRDefault="008E0A86" w:rsidP="00810ED3">
      <w:pPr>
        <w:spacing w:after="0" w:line="360" w:lineRule="auto"/>
      </w:pPr>
    </w:p>
    <w:p w14:paraId="6D150188" w14:textId="77777777" w:rsidR="008E0A86" w:rsidRDefault="008E0A86" w:rsidP="00810ED3">
      <w:pPr>
        <w:spacing w:after="0" w:line="360" w:lineRule="auto"/>
      </w:pPr>
    </w:p>
    <w:sectPr w:rsidR="008E0A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E48"/>
    <w:rsid w:val="000206CA"/>
    <w:rsid w:val="00021485"/>
    <w:rsid w:val="00056B6F"/>
    <w:rsid w:val="000B038B"/>
    <w:rsid w:val="000B0A3A"/>
    <w:rsid w:val="000C5D01"/>
    <w:rsid w:val="001A3255"/>
    <w:rsid w:val="001C7833"/>
    <w:rsid w:val="001D6444"/>
    <w:rsid w:val="001E5B4C"/>
    <w:rsid w:val="00202246"/>
    <w:rsid w:val="00241FBD"/>
    <w:rsid w:val="00251F9D"/>
    <w:rsid w:val="0026325E"/>
    <w:rsid w:val="002704D2"/>
    <w:rsid w:val="002E1499"/>
    <w:rsid w:val="00336C6D"/>
    <w:rsid w:val="0034309A"/>
    <w:rsid w:val="003542E5"/>
    <w:rsid w:val="003607AA"/>
    <w:rsid w:val="003A4377"/>
    <w:rsid w:val="00400765"/>
    <w:rsid w:val="00401D00"/>
    <w:rsid w:val="00415D13"/>
    <w:rsid w:val="00461472"/>
    <w:rsid w:val="00472EBF"/>
    <w:rsid w:val="00477E77"/>
    <w:rsid w:val="004803EF"/>
    <w:rsid w:val="00483EA4"/>
    <w:rsid w:val="004A6DD1"/>
    <w:rsid w:val="004C3830"/>
    <w:rsid w:val="004F4542"/>
    <w:rsid w:val="00552855"/>
    <w:rsid w:val="005550C6"/>
    <w:rsid w:val="00595AA3"/>
    <w:rsid w:val="005F68CE"/>
    <w:rsid w:val="00627A3E"/>
    <w:rsid w:val="00647F2A"/>
    <w:rsid w:val="0069317E"/>
    <w:rsid w:val="006A1F50"/>
    <w:rsid w:val="007331E5"/>
    <w:rsid w:val="00742396"/>
    <w:rsid w:val="0075258E"/>
    <w:rsid w:val="00752F63"/>
    <w:rsid w:val="0076401D"/>
    <w:rsid w:val="007C10AD"/>
    <w:rsid w:val="007F7F0E"/>
    <w:rsid w:val="00800930"/>
    <w:rsid w:val="00810ED3"/>
    <w:rsid w:val="00823BD0"/>
    <w:rsid w:val="00831D00"/>
    <w:rsid w:val="008427A2"/>
    <w:rsid w:val="008607DA"/>
    <w:rsid w:val="008B7FB4"/>
    <w:rsid w:val="008D3C7A"/>
    <w:rsid w:val="008E0A86"/>
    <w:rsid w:val="008E2EFB"/>
    <w:rsid w:val="008F435E"/>
    <w:rsid w:val="00936D9B"/>
    <w:rsid w:val="00972C8A"/>
    <w:rsid w:val="009858F8"/>
    <w:rsid w:val="009B07C2"/>
    <w:rsid w:val="009D714F"/>
    <w:rsid w:val="00A02627"/>
    <w:rsid w:val="00A05CBE"/>
    <w:rsid w:val="00A84D3A"/>
    <w:rsid w:val="00A901F5"/>
    <w:rsid w:val="00AB4149"/>
    <w:rsid w:val="00B11DF4"/>
    <w:rsid w:val="00B17E48"/>
    <w:rsid w:val="00B75DF0"/>
    <w:rsid w:val="00B93BD4"/>
    <w:rsid w:val="00CA33C1"/>
    <w:rsid w:val="00CC159C"/>
    <w:rsid w:val="00D033E2"/>
    <w:rsid w:val="00D733AB"/>
    <w:rsid w:val="00D9623E"/>
    <w:rsid w:val="00DA53DD"/>
    <w:rsid w:val="00DE4D19"/>
    <w:rsid w:val="00E16B7B"/>
    <w:rsid w:val="00E73829"/>
    <w:rsid w:val="00E91462"/>
    <w:rsid w:val="00EC22CD"/>
    <w:rsid w:val="00EC29AC"/>
    <w:rsid w:val="00ED46EF"/>
    <w:rsid w:val="00EF567D"/>
    <w:rsid w:val="00EF6DC0"/>
    <w:rsid w:val="00F43ACF"/>
    <w:rsid w:val="00F85578"/>
    <w:rsid w:val="00F96B54"/>
    <w:rsid w:val="00FA22BE"/>
    <w:rsid w:val="00FE5F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9D243"/>
  <w15:chartTrackingRefBased/>
  <w15:docId w15:val="{716A1B97-77CB-4DD7-AADA-B16104792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E48"/>
    <w:pPr>
      <w:jc w:val="both"/>
    </w:pPr>
    <w:rPr>
      <w:rFonts w:ascii="Arial" w:hAnsi="Arial"/>
    </w:rPr>
  </w:style>
  <w:style w:type="paragraph" w:styleId="Heading1">
    <w:name w:val="heading 1"/>
    <w:basedOn w:val="Normal"/>
    <w:next w:val="Normal"/>
    <w:link w:val="Heading1Char"/>
    <w:uiPriority w:val="9"/>
    <w:qFormat/>
    <w:rsid w:val="00B17E48"/>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B17E48"/>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B17E4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17E4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17E4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17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E48"/>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B17E48"/>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B17E4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17E4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17E4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17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E48"/>
    <w:rPr>
      <w:rFonts w:eastAsiaTheme="majorEastAsia" w:cstheme="majorBidi"/>
      <w:color w:val="272727" w:themeColor="text1" w:themeTint="D8"/>
    </w:rPr>
  </w:style>
  <w:style w:type="paragraph" w:styleId="Title">
    <w:name w:val="Title"/>
    <w:basedOn w:val="Normal"/>
    <w:next w:val="Normal"/>
    <w:link w:val="TitleChar"/>
    <w:uiPriority w:val="10"/>
    <w:qFormat/>
    <w:rsid w:val="00B17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E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E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7E48"/>
    <w:rPr>
      <w:i/>
      <w:iCs/>
      <w:color w:val="404040" w:themeColor="text1" w:themeTint="BF"/>
    </w:rPr>
  </w:style>
  <w:style w:type="paragraph" w:styleId="ListParagraph">
    <w:name w:val="List Paragraph"/>
    <w:basedOn w:val="Normal"/>
    <w:uiPriority w:val="34"/>
    <w:qFormat/>
    <w:rsid w:val="00B17E48"/>
    <w:pPr>
      <w:ind w:left="720"/>
      <w:contextualSpacing/>
    </w:pPr>
  </w:style>
  <w:style w:type="character" w:styleId="IntenseEmphasis">
    <w:name w:val="Intense Emphasis"/>
    <w:basedOn w:val="DefaultParagraphFont"/>
    <w:uiPriority w:val="21"/>
    <w:qFormat/>
    <w:rsid w:val="00B17E48"/>
    <w:rPr>
      <w:i/>
      <w:iCs/>
      <w:color w:val="365F91" w:themeColor="accent1" w:themeShade="BF"/>
    </w:rPr>
  </w:style>
  <w:style w:type="paragraph" w:styleId="IntenseQuote">
    <w:name w:val="Intense Quote"/>
    <w:basedOn w:val="Normal"/>
    <w:next w:val="Normal"/>
    <w:link w:val="IntenseQuoteChar"/>
    <w:uiPriority w:val="30"/>
    <w:qFormat/>
    <w:rsid w:val="00B17E4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17E48"/>
    <w:rPr>
      <w:i/>
      <w:iCs/>
      <w:color w:val="365F91" w:themeColor="accent1" w:themeShade="BF"/>
    </w:rPr>
  </w:style>
  <w:style w:type="character" w:styleId="IntenseReference">
    <w:name w:val="Intense Reference"/>
    <w:basedOn w:val="DefaultParagraphFont"/>
    <w:uiPriority w:val="32"/>
    <w:qFormat/>
    <w:rsid w:val="00B17E48"/>
    <w:rPr>
      <w:b/>
      <w:bCs/>
      <w:smallCaps/>
      <w:color w:val="365F91" w:themeColor="accent1" w:themeShade="BF"/>
      <w:spacing w:val="5"/>
    </w:rPr>
  </w:style>
  <w:style w:type="paragraph" w:styleId="TOCHeading">
    <w:name w:val="TOC Heading"/>
    <w:basedOn w:val="Heading1"/>
    <w:next w:val="Normal"/>
    <w:uiPriority w:val="39"/>
    <w:unhideWhenUsed/>
    <w:qFormat/>
    <w:rsid w:val="008607DA"/>
    <w:pPr>
      <w:spacing w:before="240" w:after="0" w:line="259" w:lineRule="auto"/>
      <w:jc w:val="left"/>
      <w:outlineLvl w:val="9"/>
    </w:pPr>
    <w:rPr>
      <w:rFonts w:asciiTheme="majorHAnsi" w:hAnsiTheme="majorHAnsi"/>
      <w:b w:val="0"/>
      <w:color w:val="365F91" w:themeColor="accent1" w:themeShade="BF"/>
      <w:kern w:val="0"/>
      <w:sz w:val="32"/>
      <w:szCs w:val="32"/>
      <w14:ligatures w14:val="none"/>
    </w:rPr>
  </w:style>
  <w:style w:type="paragraph" w:styleId="TOC1">
    <w:name w:val="toc 1"/>
    <w:basedOn w:val="Normal"/>
    <w:next w:val="Normal"/>
    <w:autoRedefine/>
    <w:uiPriority w:val="39"/>
    <w:unhideWhenUsed/>
    <w:rsid w:val="008607DA"/>
    <w:pPr>
      <w:spacing w:after="100"/>
    </w:pPr>
  </w:style>
  <w:style w:type="paragraph" w:styleId="TOC2">
    <w:name w:val="toc 2"/>
    <w:basedOn w:val="Normal"/>
    <w:next w:val="Normal"/>
    <w:autoRedefine/>
    <w:uiPriority w:val="39"/>
    <w:unhideWhenUsed/>
    <w:rsid w:val="008607DA"/>
    <w:pPr>
      <w:spacing w:after="100"/>
      <w:ind w:left="220"/>
    </w:pPr>
  </w:style>
  <w:style w:type="character" w:styleId="Hyperlink">
    <w:name w:val="Hyperlink"/>
    <w:basedOn w:val="DefaultParagraphFont"/>
    <w:uiPriority w:val="99"/>
    <w:unhideWhenUsed/>
    <w:rsid w:val="008607DA"/>
    <w:rPr>
      <w:color w:val="0000FF" w:themeColor="hyperlink"/>
      <w:u w:val="single"/>
    </w:rPr>
  </w:style>
  <w:style w:type="character" w:styleId="UnresolvedMention">
    <w:name w:val="Unresolved Mention"/>
    <w:basedOn w:val="DefaultParagraphFont"/>
    <w:uiPriority w:val="99"/>
    <w:semiHidden/>
    <w:unhideWhenUsed/>
    <w:rsid w:val="008E0A86"/>
    <w:rPr>
      <w:color w:val="605E5C"/>
      <w:shd w:val="clear" w:color="auto" w:fill="E1DFDD"/>
    </w:rPr>
  </w:style>
  <w:style w:type="paragraph" w:styleId="Caption">
    <w:name w:val="caption"/>
    <w:basedOn w:val="Normal"/>
    <w:next w:val="Normal"/>
    <w:uiPriority w:val="35"/>
    <w:unhideWhenUsed/>
    <w:qFormat/>
    <w:rsid w:val="00DA53D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ph.org.uk/blog/a-public-health-assessment-of-the-nhs-long-term-plan-part-one/" TargetMode="External"/><Relationship Id="rId18" Type="http://schemas.openxmlformats.org/officeDocument/2006/relationships/hyperlink" Target="https://doi.org/10.1016/j.vaccine.2025.127629" TargetMode="External"/><Relationship Id="rId26" Type="http://schemas.openxmlformats.org/officeDocument/2006/relationships/hyperlink" Target="https://www.england.nhs.uk/wp-content/uploads/2016/02/Mental-Health-Taskforce-FYFV-final.pdf" TargetMode="External"/><Relationship Id="rId39" Type="http://schemas.openxmlformats.org/officeDocument/2006/relationships/hyperlink" Target="https://questions-statements.parliament.uk/" TargetMode="External"/><Relationship Id="rId21" Type="http://schemas.openxmlformats.org/officeDocument/2006/relationships/hyperlink" Target="https://www.researchgate.net/publication/330440892_Fair_Society_Healthy_Lives" TargetMode="External"/><Relationship Id="rId34" Type="http://schemas.openxmlformats.org/officeDocument/2006/relationships/hyperlink" Target="https://doi.org/10.1016/j.mhp.2023.200287" TargetMode="External"/><Relationship Id="rId42" Type="http://schemas.openxmlformats.org/officeDocument/2006/relationships/hyperlink" Target="https://sdgs.un.org/goals/goal3" TargetMode="External"/><Relationship Id="rId47" Type="http://schemas.openxmlformats.org/officeDocument/2006/relationships/fontTable" Target="fontTable.xml"/><Relationship Id="rId7" Type="http://schemas.openxmlformats.org/officeDocument/2006/relationships/hyperlink" Target="https://doi.org/10.1002/puh2.70156" TargetMode="External"/><Relationship Id="rId2" Type="http://schemas.openxmlformats.org/officeDocument/2006/relationships/styles" Target="styles.xml"/><Relationship Id="rId16" Type="http://schemas.openxmlformats.org/officeDocument/2006/relationships/hyperlink" Target="https://doi.org/10.1016/j.psychres.2024.115803" TargetMode="External"/><Relationship Id="rId29" Type="http://schemas.openxmlformats.org/officeDocument/2006/relationships/hyperlink" Target="https://doi.org/10.1097/01.naj.0000724256.31342.4b"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186/s12889-025-24553-8" TargetMode="External"/><Relationship Id="rId24" Type="http://schemas.openxmlformats.org/officeDocument/2006/relationships/hyperlink" Target="https://www.nccih.nih.gov/health/whole-person-health-what-it-is-and-why-its-important" TargetMode="External"/><Relationship Id="rId32" Type="http://schemas.openxmlformats.org/officeDocument/2006/relationships/hyperlink" Target="https://fingertips.phe.org.uk/profile/public-health-outcomes-framework" TargetMode="External"/><Relationship Id="rId37" Type="http://schemas.openxmlformats.org/officeDocument/2006/relationships/hyperlink" Target="https://www.ncbi.nlm.nih.gov/books/NBK568721/" TargetMode="External"/><Relationship Id="rId40" Type="http://schemas.openxmlformats.org/officeDocument/2006/relationships/hyperlink" Target="https://social.desa.un.org/issues/disability/sustainable-development-goals-sdgs-and-disability" TargetMode="External"/><Relationship Id="rId45" Type="http://schemas.openxmlformats.org/officeDocument/2006/relationships/hyperlink" Target="https://www.who.int/news/item/06-05-2025-health-inequities-are-shortening-lives-by-decades" TargetMode="External"/><Relationship Id="rId5" Type="http://schemas.openxmlformats.org/officeDocument/2006/relationships/image" Target="media/image1.png"/><Relationship Id="rId15" Type="http://schemas.openxmlformats.org/officeDocument/2006/relationships/hyperlink" Target="https://doi.org/10.3389/fpubh.2024.1355944" TargetMode="External"/><Relationship Id="rId23" Type="http://schemas.openxmlformats.org/officeDocument/2006/relationships/hyperlink" Target="https://doi.org/10.1146/annurev-publhealth-071723-120721" TargetMode="External"/><Relationship Id="rId28" Type="http://schemas.openxmlformats.org/officeDocument/2006/relationships/hyperlink" Target="https://www.oecd.org/en/topics/sub-issues/measuring-distance-to-sdgs.html" TargetMode="External"/><Relationship Id="rId36" Type="http://schemas.openxmlformats.org/officeDocument/2006/relationships/hyperlink" Target="https://doi.org/10.3389/fpubh.2024.1231827" TargetMode="External"/><Relationship Id="rId10" Type="http://schemas.openxmlformats.org/officeDocument/2006/relationships/hyperlink" Target="https://doi.org/10.1016/j.jvb.2019.103333" TargetMode="External"/><Relationship Id="rId19" Type="http://schemas.openxmlformats.org/officeDocument/2006/relationships/hyperlink" Target="https://doi.org/10.3390/su17115063" TargetMode="External"/><Relationship Id="rId31" Type="http://schemas.openxmlformats.org/officeDocument/2006/relationships/hyperlink" Target="https://www.gov.uk/government/statistics/public-health-outcomes-framework-may-2026-data-update" TargetMode="External"/><Relationship Id="rId44" Type="http://schemas.openxmlformats.org/officeDocument/2006/relationships/hyperlink" Target="https://doi.org/10.1016/j.ssmqr.2024.100436" TargetMode="External"/><Relationship Id="rId4" Type="http://schemas.openxmlformats.org/officeDocument/2006/relationships/webSettings" Target="webSettings.xml"/><Relationship Id="rId9" Type="http://schemas.openxmlformats.org/officeDocument/2006/relationships/hyperlink" Target="https://doi.org/10.3390/ijerph20021199" TargetMode="External"/><Relationship Id="rId14" Type="http://schemas.openxmlformats.org/officeDocument/2006/relationships/hyperlink" Target="https://www.researchgate.net/publication/359385319_Understanding_the_experiences_and_communication_needs_of_culturally_and_linguistically_diverse_communities_during_the_COVID-19_pandemic" TargetMode="External"/><Relationship Id="rId22" Type="http://schemas.openxmlformats.org/officeDocument/2006/relationships/hyperlink" Target="https://www.researchgate.net/publication/320685121_Sustainable_Development_Goals_SDGs_and_their_implementation_A_national_global_framework_for_health_development_and_equity_needs_a_systems_approach_at_every_level" TargetMode="External"/><Relationship Id="rId27" Type="http://schemas.openxmlformats.org/officeDocument/2006/relationships/hyperlink" Target="https://www.longtermplan.nhs.uk/" TargetMode="External"/><Relationship Id="rId30" Type="http://schemas.openxmlformats.org/officeDocument/2006/relationships/hyperlink" Target="https://www.gov.uk/government/statistics/segment-tool-november-2025-update/segment-tool-statistical-commentary-november-2025" TargetMode="External"/><Relationship Id="rId35" Type="http://schemas.openxmlformats.org/officeDocument/2006/relationships/hyperlink" Target="https://doi.org/10.3390/su14031222" TargetMode="External"/><Relationship Id="rId43" Type="http://schemas.openxmlformats.org/officeDocument/2006/relationships/hyperlink" Target="https://www.undp.org/sustainable-development-goals/good-health" TargetMode="External"/><Relationship Id="rId48" Type="http://schemas.openxmlformats.org/officeDocument/2006/relationships/theme" Target="theme/theme1.xml"/><Relationship Id="rId8" Type="http://schemas.openxmlformats.org/officeDocument/2006/relationships/hyperlink" Target="https://doi.org/10.3389/fpubh.2023.1213121" TargetMode="External"/><Relationship Id="rId3" Type="http://schemas.openxmlformats.org/officeDocument/2006/relationships/settings" Target="settings.xml"/><Relationship Id="rId12" Type="http://schemas.openxmlformats.org/officeDocument/2006/relationships/hyperlink" Target="https://www.researchgate.net/publication/5095964_Policies_and_strategies_to_promote_social_equity_in_health_Background_document_to_WHO_-_Strategy_paper_for_Europe" TargetMode="External"/><Relationship Id="rId17" Type="http://schemas.openxmlformats.org/officeDocument/2006/relationships/hyperlink" Target="https://www.local.gov.uk/case-studies/kirklees-council-community-champions-empowering-people-make-informed-health-choices" TargetMode="External"/><Relationship Id="rId25" Type="http://schemas.openxmlformats.org/officeDocument/2006/relationships/hyperlink" Target="https://doi.org/10.18502/ijph.v53i1.14681" TargetMode="External"/><Relationship Id="rId33" Type="http://schemas.openxmlformats.org/officeDocument/2006/relationships/hyperlink" Target="https://www.researchgate.net/publication/365776394_How_the_UK_is_performing_on_the_Sustainable_Development_Goals" TargetMode="External"/><Relationship Id="rId38" Type="http://schemas.openxmlformats.org/officeDocument/2006/relationships/hyperlink" Target="https://politicalawareness.org/the-significance-of-local-politics-in-national-policy/" TargetMode="External"/><Relationship Id="rId46" Type="http://schemas.openxmlformats.org/officeDocument/2006/relationships/hyperlink" Target="https://www.who.int/initiatives/sdg3-global-action-plan" TargetMode="External"/><Relationship Id="rId20" Type="http://schemas.openxmlformats.org/officeDocument/2006/relationships/hyperlink" Target="https://www.instituteofhealthequity.org/resources-reports/marmot-review-10-years-on/the-marmot-review-10-years-on-full-report.pdf" TargetMode="External"/><Relationship Id="rId41" Type="http://schemas.openxmlformats.org/officeDocument/2006/relationships/hyperlink" Target="https://questions-statements.parliamen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F63FA2-4CB0-4C1A-A5B1-5BFAF6654B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4542</Words>
  <Characters>25895</Characters>
  <Application>Microsoft Office Word</Application>
  <DocSecurity>0</DocSecurity>
  <Lines>215</Lines>
  <Paragraphs>60</Paragraphs>
  <ScaleCrop>false</ScaleCrop>
  <Company/>
  <LinksUpToDate>false</LinksUpToDate>
  <CharactersWithSpaces>30377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Sameena Iqbal (2315950)</cp:lastModifiedBy>
  <cp:revision>3</cp:revision>
  <dcterms:created xsi:type="dcterms:W3CDTF">2026-06-25T08:51:00Z</dcterms:created>
  <dcterms:modified xsi:type="dcterms:W3CDTF">2026-06-25T08:52:00Z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f42a9e35-71ac-4826-9b2c-b7d005f6d56e</vt:lpwstr>
  </property>
</Properties>
</file>