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166543" wp14:paraId="5B4D6C6D" wp14:textId="0C4265C1">
      <w:pPr>
        <w:spacing w:before="322" w:beforeAutospacing="off" w:after="322" w:afterAutospacing="off"/>
        <w:ind w:left="720" w:hanging="360"/>
        <w:rPr>
          <w:rFonts w:ascii="Aptos" w:hAnsi="Aptos" w:eastAsia="Aptos" w:cs="Aptos"/>
          <w:b w:val="0"/>
          <w:bCs w:val="0"/>
          <w:i w:val="0"/>
          <w:iCs w:val="0"/>
          <w:caps w:val="0"/>
          <w:smallCaps w:val="0"/>
          <w:noProof w:val="0"/>
          <w:color w:val="000000" w:themeColor="text1" w:themeTint="FF" w:themeShade="FF"/>
          <w:sz w:val="22"/>
          <w:szCs w:val="22"/>
          <w:lang w:val="en-GB"/>
        </w:rPr>
      </w:pPr>
      <w:r w:rsidR="22DA3953">
        <w:drawing>
          <wp:inline xmlns:wp14="http://schemas.microsoft.com/office/word/2010/wordprocessingDrawing" wp14:editId="2E9CB365" wp14:anchorId="00F49317">
            <wp:extent cx="5524500" cy="1333500"/>
            <wp:effectExtent l="0" t="0" r="0" b="0"/>
            <wp:docPr id="683074461" name="drawing" title="A close 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3074461" name="Picture 683074461"/>
                    <pic:cNvPicPr/>
                  </pic:nvPicPr>
                  <pic:blipFill>
                    <a:blip xmlns:r="http://schemas.openxmlformats.org/officeDocument/2006/relationships" r:embed="rId1285835205">
                      <a:extLst>
                        <a:ext uri="{28A0092B-C50C-407E-A947-70E740481C1C}">
                          <a14:useLocalDpi xmlns:a14="http://schemas.microsoft.com/office/drawing/2010/main"/>
                        </a:ext>
                      </a:extLst>
                    </a:blip>
                    <a:stretch>
                      <a:fillRect/>
                    </a:stretch>
                  </pic:blipFill>
                  <pic:spPr>
                    <a:xfrm>
                      <a:off x="0" y="0"/>
                      <a:ext cx="5524500" cy="1333500"/>
                    </a:xfrm>
                    <a:prstGeom prst="rect">
                      <a:avLst/>
                    </a:prstGeom>
                  </pic:spPr>
                </pic:pic>
              </a:graphicData>
            </a:graphic>
          </wp:inline>
        </w:drawing>
      </w:r>
    </w:p>
    <w:p xmlns:wp14="http://schemas.microsoft.com/office/word/2010/wordml" w:rsidP="64166543" wp14:paraId="5A88607B" wp14:textId="288D77EB">
      <w:pPr>
        <w:pStyle w:val="ListParagraph"/>
        <w:spacing w:before="322" w:beforeAutospacing="off" w:after="322" w:afterAutospacing="off" w:line="240" w:lineRule="auto"/>
        <w:ind w:left="720"/>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rsidP="64166543" wp14:paraId="5BDCD974" wp14:textId="76057FA2">
      <w:pPr>
        <w:pStyle w:val="ListParagraph"/>
        <w:spacing w:before="322" w:beforeAutospacing="off" w:after="322" w:afterAutospacing="off" w:line="240" w:lineRule="auto"/>
        <w:ind w:left="720"/>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rsidP="64166543" wp14:paraId="0EFB05C0" wp14:textId="0CADBAF9">
      <w:pPr>
        <w:pStyle w:val="ListParagraph"/>
        <w:numPr>
          <w:ilvl w:val="0"/>
          <w:numId w:val="8"/>
        </w:numPr>
        <w:spacing w:before="322" w:beforeAutospacing="off" w:after="322" w:afterAutospacing="off"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64166543" w:rsidR="4A28A79E">
        <w:rPr>
          <w:rFonts w:ascii="Aptos" w:hAnsi="Aptos" w:eastAsia="Aptos" w:cs="Aptos"/>
          <w:b w:val="1"/>
          <w:bCs w:val="1"/>
          <w:i w:val="0"/>
          <w:iCs w:val="0"/>
          <w:caps w:val="0"/>
          <w:smallCaps w:val="0"/>
          <w:noProof w:val="0"/>
          <w:color w:val="000000" w:themeColor="text1" w:themeTint="FF" w:themeShade="FF"/>
          <w:sz w:val="36"/>
          <w:szCs w:val="36"/>
          <w:lang w:val="en-GB"/>
        </w:rPr>
        <w:t>Assignment Title:</w:t>
      </w:r>
    </w:p>
    <w:p xmlns:wp14="http://schemas.microsoft.com/office/word/2010/wordml" w:rsidP="64166543" wp14:paraId="7569C30C" wp14:textId="62C8C6A7">
      <w:pPr>
        <w:pStyle w:val="ListParagraph"/>
        <w:spacing w:before="322" w:beforeAutospacing="off" w:after="322" w:afterAutospacing="off" w:line="240" w:lineRule="auto"/>
        <w:ind w:left="720"/>
        <w:rPr>
          <w:rFonts w:ascii="Arial" w:hAnsi="Arial" w:eastAsia="Arial" w:cs="Arial"/>
          <w:b w:val="1"/>
          <w:bCs w:val="1"/>
          <w:i w:val="0"/>
          <w:iCs w:val="0"/>
          <w:caps w:val="0"/>
          <w:smallCaps w:val="0"/>
          <w:noProof w:val="0"/>
          <w:color w:val="222222"/>
          <w:sz w:val="36"/>
          <w:szCs w:val="36"/>
          <w:lang w:val="en-GB"/>
        </w:rPr>
      </w:pPr>
      <w:r w:rsidRPr="64166543" w:rsidR="0BC89A48">
        <w:rPr>
          <w:rFonts w:ascii="Arial" w:hAnsi="Arial" w:eastAsia="Arial" w:cs="Arial"/>
          <w:b w:val="1"/>
          <w:bCs w:val="1"/>
          <w:i w:val="0"/>
          <w:iCs w:val="0"/>
          <w:caps w:val="0"/>
          <w:smallCaps w:val="0"/>
          <w:noProof w:val="0"/>
          <w:color w:val="222222"/>
          <w:sz w:val="36"/>
          <w:szCs w:val="36"/>
          <w:lang w:val="en-GB"/>
        </w:rPr>
        <w:t>The Influence of Global Forces on Tesco’s International Strategy and Operations (2024–20</w:t>
      </w:r>
      <w:r w:rsidRPr="64166543" w:rsidR="2A38F712">
        <w:rPr>
          <w:rFonts w:ascii="Arial" w:hAnsi="Arial" w:eastAsia="Arial" w:cs="Arial"/>
          <w:b w:val="1"/>
          <w:bCs w:val="1"/>
          <w:i w:val="0"/>
          <w:iCs w:val="0"/>
          <w:caps w:val="0"/>
          <w:smallCaps w:val="0"/>
          <w:noProof w:val="0"/>
          <w:color w:val="222222"/>
          <w:sz w:val="36"/>
          <w:szCs w:val="36"/>
          <w:lang w:val="en-GB"/>
        </w:rPr>
        <w:t>25)</w:t>
      </w:r>
    </w:p>
    <w:p xmlns:wp14="http://schemas.microsoft.com/office/word/2010/wordml" w:rsidP="64166543" wp14:paraId="76DE36F5" wp14:textId="40DD3168">
      <w:pPr>
        <w:pStyle w:val="ListParagraph"/>
        <w:numPr>
          <w:ilvl w:val="0"/>
          <w:numId w:val="8"/>
        </w:numPr>
        <w:spacing w:before="322" w:beforeAutospacing="off" w:after="322" w:afterAutospacing="off"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64166543" w:rsidR="4A28A79E">
        <w:rPr>
          <w:rFonts w:ascii="Aptos" w:hAnsi="Aptos" w:eastAsia="Aptos" w:cs="Aptos"/>
          <w:b w:val="1"/>
          <w:bCs w:val="1"/>
          <w:i w:val="0"/>
          <w:iCs w:val="0"/>
          <w:caps w:val="0"/>
          <w:smallCaps w:val="0"/>
          <w:noProof w:val="0"/>
          <w:color w:val="000000" w:themeColor="text1" w:themeTint="FF" w:themeShade="FF"/>
          <w:sz w:val="36"/>
          <w:szCs w:val="36"/>
          <w:lang w:val="en-GB"/>
        </w:rPr>
        <w:t>Module Code: LCBB4015</w:t>
      </w:r>
    </w:p>
    <w:p xmlns:wp14="http://schemas.microsoft.com/office/word/2010/wordml" w:rsidP="64166543" wp14:paraId="6A20FB26" wp14:textId="31F03118">
      <w:pPr>
        <w:pStyle w:val="ListParagraph"/>
        <w:numPr>
          <w:ilvl w:val="0"/>
          <w:numId w:val="8"/>
        </w:numPr>
        <w:spacing w:before="322" w:beforeAutospacing="off" w:after="322" w:afterAutospacing="off"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64166543" w:rsidR="4A28A79E">
        <w:rPr>
          <w:rFonts w:ascii="Aptos" w:hAnsi="Aptos" w:eastAsia="Aptos" w:cs="Aptos"/>
          <w:b w:val="1"/>
          <w:bCs w:val="1"/>
          <w:i w:val="0"/>
          <w:iCs w:val="0"/>
          <w:caps w:val="0"/>
          <w:smallCaps w:val="0"/>
          <w:noProof w:val="0"/>
          <w:color w:val="000000" w:themeColor="text1" w:themeTint="FF" w:themeShade="FF"/>
          <w:sz w:val="36"/>
          <w:szCs w:val="36"/>
          <w:lang w:val="en-GB"/>
        </w:rPr>
        <w:t>Name: SADAF SAFDAR</w:t>
      </w:r>
    </w:p>
    <w:p xmlns:wp14="http://schemas.microsoft.com/office/word/2010/wordml" w:rsidP="64166543" wp14:paraId="58BD3D82" wp14:textId="2356603D">
      <w:pPr>
        <w:pStyle w:val="ListParagraph"/>
        <w:numPr>
          <w:ilvl w:val="0"/>
          <w:numId w:val="8"/>
        </w:numPr>
        <w:spacing w:before="322" w:beforeAutospacing="off" w:after="322" w:afterAutospacing="off"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64166543" w:rsidR="4A28A79E">
        <w:rPr>
          <w:rFonts w:ascii="Aptos" w:hAnsi="Aptos" w:eastAsia="Aptos" w:cs="Aptos"/>
          <w:b w:val="1"/>
          <w:bCs w:val="1"/>
          <w:i w:val="0"/>
          <w:iCs w:val="0"/>
          <w:caps w:val="0"/>
          <w:smallCaps w:val="0"/>
          <w:noProof w:val="0"/>
          <w:color w:val="000000" w:themeColor="text1" w:themeTint="FF" w:themeShade="FF"/>
          <w:sz w:val="36"/>
          <w:szCs w:val="36"/>
          <w:lang w:val="en-GB"/>
        </w:rPr>
        <w:t>Student Number: 2313180</w:t>
      </w:r>
    </w:p>
    <w:p xmlns:wp14="http://schemas.microsoft.com/office/word/2010/wordml" w:rsidP="64166543" wp14:paraId="3BBF8AB6" wp14:textId="70E0BFEF">
      <w:pPr>
        <w:spacing w:before="322" w:beforeAutospacing="off" w:after="322" w:afterAutospacing="off"/>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64166543" wp14:paraId="01BC2CCA" wp14:textId="199A6FE6">
      <w:pPr>
        <w:spacing w:before="322" w:beforeAutospacing="off" w:after="322" w:afterAutospacing="off"/>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64166543" wp14:paraId="4E713E0F" wp14:textId="690D0FA4">
      <w:pPr>
        <w:pStyle w:val="Heading1"/>
        <w:rPr>
          <w:noProof w:val="0"/>
          <w:lang w:val="en-GB"/>
        </w:rPr>
      </w:pPr>
    </w:p>
    <w:p xmlns:wp14="http://schemas.microsoft.com/office/word/2010/wordml" w:rsidP="51760C5C" wp14:paraId="6B35FF6B" wp14:textId="39C8D3B0">
      <w:pPr>
        <w:shd w:val="clear" w:color="auto" w:fill="FFFFFF" w:themeFill="background1"/>
        <w:spacing w:before="195" w:beforeAutospacing="off" w:after="195" w:afterAutospacing="off"/>
      </w:pPr>
    </w:p>
    <w:p xmlns:wp14="http://schemas.microsoft.com/office/word/2010/wordml" wp14:paraId="5E4CDF51" wp14:textId="363D3AA5"/>
    <w:p xmlns:wp14="http://schemas.microsoft.com/office/word/2010/wordml" w:rsidP="51760C5C" wp14:paraId="1277A0C0" wp14:textId="6B40129E">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Introduction:</w:t>
      </w:r>
    </w:p>
    <w:p xmlns:wp14="http://schemas.microsoft.com/office/word/2010/wordml" w:rsidP="51760C5C" wp14:paraId="7466F76B" wp14:textId="6977C2F9">
      <w:pPr>
        <w:shd w:val="clear" w:color="auto" w:fill="FFFFFF" w:themeFill="background1"/>
        <w:spacing w:before="195" w:beforeAutospacing="off" w:after="195" w:afterAutospacing="off"/>
      </w:pPr>
    </w:p>
    <w:p xmlns:wp14="http://schemas.microsoft.com/office/word/2010/wordml" w:rsidP="51760C5C" wp14:paraId="5E0E1EC1" wp14:textId="1AF9C872">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The global business environment continues to evolve rapidly, driven by a combination of digital transformation, shifting geopolitical dynamics, rising sustainability regulations, and increasingly complex international supply networks. For multinational retailers such as Tesco—one of the world’s largest grocery and general merchandise companies—these forces shape not only strategic direction but also daily operational realities. In an era of heightened global interdependence, companies face both unprecedented opportunities for market expansion and significant exposure to volatility. Understanding these changing global forces is crucial for firms operating across borders, as their ability to adapt defines long-term competitiveness.</w:t>
      </w:r>
    </w:p>
    <w:p xmlns:wp14="http://schemas.microsoft.com/office/word/2010/wordml" w:rsidP="51760C5C" wp14:paraId="2889EBFE" wp14:textId="1A411851">
      <w:pPr>
        <w:shd w:val="clear" w:color="auto" w:fill="FFFFFF" w:themeFill="background1"/>
        <w:spacing w:before="195" w:beforeAutospacing="off" w:after="195" w:afterAutospacing="off"/>
      </w:pPr>
    </w:p>
    <w:p xmlns:wp14="http://schemas.microsoft.com/office/word/2010/wordml" w:rsidP="51760C5C" wp14:paraId="0C8E56F8" wp14:textId="0E14D4F9">
      <w:pPr>
        <w:shd w:val="clear" w:color="auto" w:fill="FFFFFF" w:themeFill="background1"/>
        <w:spacing w:before="195" w:beforeAutospacing="off" w:after="195" w:afterAutospacing="off"/>
      </w:pPr>
      <w:r w:rsidRPr="277D3C2E" w:rsidR="1BCB56D7">
        <w:rPr>
          <w:rFonts w:ascii="Arial" w:hAnsi="Arial" w:eastAsia="Arial" w:cs="Arial"/>
          <w:b w:val="0"/>
          <w:bCs w:val="0"/>
          <w:i w:val="0"/>
          <w:iCs w:val="0"/>
          <w:caps w:val="0"/>
          <w:smallCaps w:val="0"/>
          <w:noProof w:val="0"/>
          <w:color w:val="222222"/>
          <w:sz w:val="24"/>
          <w:szCs w:val="24"/>
          <w:lang w:val="en-GB"/>
        </w:rPr>
        <w:t xml:space="preserve">Tesco’s operations across Europe and Asia make the company </w:t>
      </w:r>
      <w:r w:rsidRPr="277D3C2E" w:rsidR="16F5CF26">
        <w:rPr>
          <w:rFonts w:ascii="Arial" w:hAnsi="Arial" w:eastAsia="Arial" w:cs="Arial"/>
          <w:b w:val="0"/>
          <w:bCs w:val="0"/>
          <w:i w:val="0"/>
          <w:iCs w:val="0"/>
          <w:caps w:val="0"/>
          <w:smallCaps w:val="0"/>
          <w:noProof w:val="0"/>
          <w:color w:val="222222"/>
          <w:sz w:val="24"/>
          <w:szCs w:val="24"/>
          <w:lang w:val="en-GB"/>
        </w:rPr>
        <w:t>extremely sensitive</w:t>
      </w:r>
      <w:r w:rsidRPr="277D3C2E" w:rsidR="1BCB56D7">
        <w:rPr>
          <w:rFonts w:ascii="Arial" w:hAnsi="Arial" w:eastAsia="Arial" w:cs="Arial"/>
          <w:b w:val="0"/>
          <w:bCs w:val="0"/>
          <w:i w:val="0"/>
          <w:iCs w:val="0"/>
          <w:caps w:val="0"/>
          <w:smallCaps w:val="0"/>
          <w:noProof w:val="0"/>
          <w:color w:val="222222"/>
          <w:sz w:val="24"/>
          <w:szCs w:val="24"/>
          <w:lang w:val="en-GB"/>
        </w:rPr>
        <w:t xml:space="preserve"> to global economic conditions, regulatory shifts, technology adoption, and cross-border supply chain risks. The retailer sources products from over 70 countries and serves millions of customers globally, making the organisation deeply embedded in the international marketplace. This essay evaluates how major global forces—globalisation, artificial intelligence (AI), geopolitical disruption, and sustainability regulation—shape Tesco’s international strategy and operations. It also provides strategic recommendations to help Tesco </w:t>
      </w:r>
      <w:r w:rsidRPr="277D3C2E" w:rsidR="1BCB56D7">
        <w:rPr>
          <w:rFonts w:ascii="Arial" w:hAnsi="Arial" w:eastAsia="Arial" w:cs="Arial"/>
          <w:b w:val="0"/>
          <w:bCs w:val="0"/>
          <w:i w:val="0"/>
          <w:iCs w:val="0"/>
          <w:caps w:val="0"/>
          <w:smallCaps w:val="0"/>
          <w:noProof w:val="0"/>
          <w:color w:val="222222"/>
          <w:sz w:val="24"/>
          <w:szCs w:val="24"/>
          <w:lang w:val="en-GB"/>
        </w:rPr>
        <w:t>maintain</w:t>
      </w:r>
      <w:r w:rsidRPr="277D3C2E" w:rsidR="1BCB56D7">
        <w:rPr>
          <w:rFonts w:ascii="Arial" w:hAnsi="Arial" w:eastAsia="Arial" w:cs="Arial"/>
          <w:b w:val="0"/>
          <w:bCs w:val="0"/>
          <w:i w:val="0"/>
          <w:iCs w:val="0"/>
          <w:caps w:val="0"/>
          <w:smallCaps w:val="0"/>
          <w:noProof w:val="0"/>
          <w:color w:val="222222"/>
          <w:sz w:val="24"/>
          <w:szCs w:val="24"/>
          <w:lang w:val="en-GB"/>
        </w:rPr>
        <w:t xml:space="preserve"> resilience and competitiveness in a complex and unpredictable global environment.</w:t>
      </w:r>
    </w:p>
    <w:p xmlns:wp14="http://schemas.microsoft.com/office/word/2010/wordml" wp14:paraId="1F17221B" wp14:textId="0C44BDF2"/>
    <w:p xmlns:wp14="http://schemas.microsoft.com/office/word/2010/wordml" w:rsidP="51760C5C" wp14:paraId="09E5B3C8" wp14:textId="186683FD">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Opportunities and Challenges Presented by Globalisation</w:t>
      </w:r>
    </w:p>
    <w:p xmlns:wp14="http://schemas.microsoft.com/office/word/2010/wordml" w:rsidP="51760C5C" wp14:paraId="75C2B322" wp14:textId="3F3494A5">
      <w:pPr>
        <w:shd w:val="clear" w:color="auto" w:fill="FFFFFF" w:themeFill="background1"/>
        <w:spacing w:before="195" w:beforeAutospacing="off" w:after="195" w:afterAutospacing="off"/>
      </w:pPr>
    </w:p>
    <w:p xmlns:wp14="http://schemas.microsoft.com/office/word/2010/wordml" w:rsidP="51760C5C" wp14:paraId="52AC2B01" wp14:textId="4F1213A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Globalisation continues to provide multinational firms with access to vast supplier networks, new markets, and diverse talent. For Tesco, globalisation offers several strategic advantages. One significant opportunity is global sourcing, which allows Tesco to procure fresh produce, clothing, and manufactured goods at competitive prices from suppliers across Europe, South Asia, and East Asia. According to Wild et al. (2020), global supply chains give retailers the ability to access high-quality products at reduced costs, enhancing their ability to offer value to price-sensitive consumers.</w:t>
      </w:r>
    </w:p>
    <w:p xmlns:wp14="http://schemas.microsoft.com/office/word/2010/wordml" w:rsidP="51760C5C" wp14:paraId="7FC1ED47" wp14:textId="427D111A">
      <w:pPr>
        <w:shd w:val="clear" w:color="auto" w:fill="FFFFFF" w:themeFill="background1"/>
        <w:spacing w:before="195" w:beforeAutospacing="off" w:after="195" w:afterAutospacing="off"/>
      </w:pPr>
    </w:p>
    <w:p xmlns:wp14="http://schemas.microsoft.com/office/word/2010/wordml" w:rsidP="51760C5C" wp14:paraId="7F1F7299" wp14:textId="145640D3">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Another benefit of globalisation is knowledge-sharing across international markets. Rugman and Verbeke (2017) emphasise that multinational firms can leverage organisational learning to improve performance across multiple regions. For Tesco, innovations introduced in the UK—such as predictive analytics, digital inventory systems, and online retailing—have been transferred to its Central European stores, resulting in lower waste, better stock accuracy, and more efficient distribution.</w:t>
      </w:r>
    </w:p>
    <w:p xmlns:wp14="http://schemas.microsoft.com/office/word/2010/wordml" w:rsidP="51760C5C" wp14:paraId="13D75FFC" wp14:textId="18673940">
      <w:pPr>
        <w:shd w:val="clear" w:color="auto" w:fill="FFFFFF" w:themeFill="background1"/>
        <w:spacing w:before="195" w:beforeAutospacing="off" w:after="195" w:afterAutospacing="off"/>
      </w:pPr>
    </w:p>
    <w:p xmlns:wp14="http://schemas.microsoft.com/office/word/2010/wordml" w:rsidP="51760C5C" wp14:paraId="3BE4B104" wp14:textId="69DEB15E">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However, globalisation also presents challenges. Christopher (2022) notes that global supply chains are increasingly exposed to external shocks due to geopolitical tensions, natural disasters, and international transport constraints. Recent disruptions such as the Red Sea shipping crisis in early 2024 and the ongoing Russia–Ukraine conflict have affected imports of wheat, sunflower oil, and packaged goods. These disruptions have raised costs and reduced product availability in Tesco’s European stores. Furthermore, differing regulatory requirements across countries—relating to food standards, labour laws, and environmental compliance—make it more difficult for Tesco to standardise operations globally (Hill &amp; Hult, 2021). Rising competition from local retailers with stronger cultural knowledge also poses a challenge, especially in emerging markets where consumer preferences differ significantly from the UK market.</w:t>
      </w:r>
    </w:p>
    <w:p xmlns:wp14="http://schemas.microsoft.com/office/word/2010/wordml" wp14:paraId="5792D2F7" wp14:textId="53A10EDC"/>
    <w:p xmlns:wp14="http://schemas.microsoft.com/office/word/2010/wordml" w:rsidP="51760C5C" wp14:paraId="4D60C1B8" wp14:textId="78EC5CCB">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Analysis of Major Global Forces (2024–2025)</w:t>
      </w:r>
    </w:p>
    <w:p xmlns:wp14="http://schemas.microsoft.com/office/word/2010/wordml" w:rsidP="51760C5C" wp14:paraId="518E8892" wp14:textId="1FFB216D">
      <w:pPr>
        <w:shd w:val="clear" w:color="auto" w:fill="FFFFFF" w:themeFill="background1"/>
        <w:spacing w:before="195" w:beforeAutospacing="off" w:after="195" w:afterAutospacing="off"/>
      </w:pPr>
    </w:p>
    <w:p xmlns:wp14="http://schemas.microsoft.com/office/word/2010/wordml" w:rsidP="51760C5C" wp14:paraId="4E6C0860" wp14:textId="10B04453">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Artificial Intelligence and Technological Transformation</w:t>
      </w:r>
    </w:p>
    <w:p xmlns:wp14="http://schemas.microsoft.com/office/word/2010/wordml" w:rsidP="51760C5C" wp14:paraId="1977884A" wp14:textId="2CFDD64B">
      <w:pPr>
        <w:shd w:val="clear" w:color="auto" w:fill="FFFFFF" w:themeFill="background1"/>
        <w:spacing w:before="195" w:beforeAutospacing="off" w:after="195" w:afterAutospacing="off"/>
      </w:pPr>
    </w:p>
    <w:p xmlns:wp14="http://schemas.microsoft.com/office/word/2010/wordml" w:rsidP="51760C5C" wp14:paraId="22628598" wp14:textId="314CE87F">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Artificial intelligence is increasingly reshaping retail through improved demand forecasting, near-perfect inventory accuracy, personalised promotions, and automation of in-store operations. Davenport et al. (2020) argue that AI enhances decision-making by improving predictive accuracy and reducing reliance on manual tasks. Tesco uses AI to optimise stock levels, predict sales demand, prevent waste, and personalise loyalty-card recommendations through its high-performing Clubcard database.</w:t>
      </w:r>
    </w:p>
    <w:p xmlns:wp14="http://schemas.microsoft.com/office/word/2010/wordml" w:rsidP="51760C5C" wp14:paraId="4E19BC92" wp14:textId="7914F80C">
      <w:pPr>
        <w:shd w:val="clear" w:color="auto" w:fill="FFFFFF" w:themeFill="background1"/>
        <w:spacing w:before="195" w:beforeAutospacing="off" w:after="195" w:afterAutospacing="off"/>
      </w:pPr>
    </w:p>
    <w:p xmlns:wp14="http://schemas.microsoft.com/office/word/2010/wordml" w:rsidP="51760C5C" wp14:paraId="1CE7B956" wp14:textId="36CBE55A">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Beyond customer engagement, automation in warehouses and the introduction of AI-powered self-checkout systems increase Tesco’s overall operational efficiency. However, these systems require substantial financial investment and a workforce equipped with digital and technical skills. According to the ILO (2023), global shortages in digital competencies make it difficult for firms to recruit data specialists, AI engineers, and cybersecurity analysts. McKinsey (2023) further warns that growing digital dependence increases cybersecurity vulnerabilities, making it essential for multinational retailers to strengthen cyber-protection frameworks.</w:t>
      </w:r>
    </w:p>
    <w:p xmlns:wp14="http://schemas.microsoft.com/office/word/2010/wordml" w:rsidP="51760C5C" wp14:paraId="3CF5E0F1" wp14:textId="1A1F0E21">
      <w:pPr>
        <w:shd w:val="clear" w:color="auto" w:fill="FFFFFF" w:themeFill="background1"/>
        <w:spacing w:before="195" w:beforeAutospacing="off" w:after="195" w:afterAutospacing="off"/>
      </w:pPr>
    </w:p>
    <w:p xmlns:wp14="http://schemas.microsoft.com/office/word/2010/wordml" w:rsidP="51760C5C" wp14:paraId="55C7A010" wp14:textId="16100DE3">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Geopolitical Instability and Supply Chain Disruption</w:t>
      </w:r>
    </w:p>
    <w:p xmlns:wp14="http://schemas.microsoft.com/office/word/2010/wordml" w:rsidP="51760C5C" wp14:paraId="7273964A" wp14:textId="684C1318">
      <w:pPr>
        <w:shd w:val="clear" w:color="auto" w:fill="FFFFFF" w:themeFill="background1"/>
        <w:spacing w:before="195" w:beforeAutospacing="off" w:after="195" w:afterAutospacing="off"/>
      </w:pPr>
    </w:p>
    <w:p xmlns:wp14="http://schemas.microsoft.com/office/word/2010/wordml" w:rsidP="51760C5C" wp14:paraId="38BF38AF" wp14:textId="0BEF1B7D">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Geopolitical tension is one of the most significant threats to Tesco’s international operations. Baldwin (2022) argues that global value chains are increasingly shaped—and disrupted—by political and economic conflict. For Tesco, disruptions have emerged in several areas:</w:t>
      </w:r>
    </w:p>
    <w:p xmlns:wp14="http://schemas.microsoft.com/office/word/2010/wordml" w:rsidP="51760C5C" wp14:paraId="4DF74A03" wp14:textId="10246728">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Red Sea attacks (2024): Increased shipping delays from Asia have extended lead times for clothing, electronics, and packaged goods.</w:t>
      </w:r>
    </w:p>
    <w:p xmlns:wp14="http://schemas.microsoft.com/office/word/2010/wordml" w:rsidP="51760C5C" wp14:paraId="5C03070E" wp14:textId="283BD17E">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Russia–Ukraine conflict: Sanctions and restricted access to agricultural commodities have raised input prices.</w:t>
      </w:r>
    </w:p>
    <w:p xmlns:wp14="http://schemas.microsoft.com/office/word/2010/wordml" w:rsidP="51760C5C" wp14:paraId="66FCE5C9" wp14:textId="063B9164">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Brexit: Additional customs checks and regulatory divergence have complicated UK–EU food trade, raising administrative and transportation costs (Allen &amp; McLaren, 2021).</w:t>
      </w:r>
    </w:p>
    <w:p xmlns:wp14="http://schemas.microsoft.com/office/word/2010/wordml" w:rsidP="51760C5C" wp14:paraId="73F68A52" wp14:textId="0C6789F4">
      <w:pPr>
        <w:shd w:val="clear" w:color="auto" w:fill="FFFFFF" w:themeFill="background1"/>
        <w:spacing w:before="195" w:beforeAutospacing="off" w:after="195" w:afterAutospacing="off"/>
      </w:pPr>
    </w:p>
    <w:p xmlns:wp14="http://schemas.microsoft.com/office/word/2010/wordml" w:rsidP="51760C5C" wp14:paraId="66E0311B" wp14:textId="5AD9D3D3">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In response, many global firms—including Tesco—are adopting “friend-shoring” strategies, sourcing from politically stable countries. Antràs (2023) notes that while this approach improves supply chain resilience, it may increase procurement costs and reduce efficiency.</w:t>
      </w:r>
    </w:p>
    <w:p xmlns:wp14="http://schemas.microsoft.com/office/word/2010/wordml" w:rsidP="51760C5C" wp14:paraId="743A2CBB" wp14:textId="59E45CEE">
      <w:pPr>
        <w:shd w:val="clear" w:color="auto" w:fill="FFFFFF" w:themeFill="background1"/>
        <w:spacing w:before="195" w:beforeAutospacing="off" w:after="195" w:afterAutospacing="off"/>
      </w:pPr>
    </w:p>
    <w:p xmlns:wp14="http://schemas.microsoft.com/office/word/2010/wordml" w:rsidP="51760C5C" wp14:paraId="6A113DFF" wp14:textId="1B7557D1">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Sustainability Regulation: The EU CSRD</w:t>
      </w:r>
    </w:p>
    <w:p xmlns:wp14="http://schemas.microsoft.com/office/word/2010/wordml" w:rsidP="51760C5C" wp14:paraId="64F15361" wp14:textId="599A414C">
      <w:pPr>
        <w:shd w:val="clear" w:color="auto" w:fill="FFFFFF" w:themeFill="background1"/>
        <w:spacing w:before="195" w:beforeAutospacing="off" w:after="195" w:afterAutospacing="off"/>
      </w:pPr>
    </w:p>
    <w:p xmlns:wp14="http://schemas.microsoft.com/office/word/2010/wordml" w:rsidP="51760C5C" wp14:paraId="4A1111D7" wp14:textId="150F6E0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Sustainability regulation is another important global force affecting Tesco’s operations, particularly the EU’s Corporate Sustainability Reporting Directive (CSRD). This regulation requires large firms to report detailed sustainability performance data across areas such as carbon emissions, working conditions, and human-rights risks. Eccles and Klimenko (2019) argue that high-quality sustainability reporting improves investor trust while lowering long-term financial risk.</w:t>
      </w:r>
    </w:p>
    <w:p xmlns:wp14="http://schemas.microsoft.com/office/word/2010/wordml" w:rsidP="51760C5C" wp14:paraId="1FA08DF9" wp14:textId="08DE5205">
      <w:pPr>
        <w:shd w:val="clear" w:color="auto" w:fill="FFFFFF" w:themeFill="background1"/>
        <w:spacing w:before="195" w:beforeAutospacing="off" w:after="195" w:afterAutospacing="off"/>
      </w:pPr>
    </w:p>
    <w:p xmlns:wp14="http://schemas.microsoft.com/office/word/2010/wordml" w:rsidP="51760C5C" wp14:paraId="24907D21" wp14:textId="61353828">
      <w:pPr>
        <w:shd w:val="clear" w:color="auto" w:fill="FFFFFF" w:themeFill="background1"/>
        <w:spacing w:before="195" w:beforeAutospacing="off" w:after="195" w:afterAutospacing="off"/>
      </w:pPr>
      <w:r w:rsidRPr="277D3C2E" w:rsidR="1BCB56D7">
        <w:rPr>
          <w:rFonts w:ascii="Arial" w:hAnsi="Arial" w:eastAsia="Arial" w:cs="Arial"/>
          <w:b w:val="0"/>
          <w:bCs w:val="0"/>
          <w:i w:val="0"/>
          <w:iCs w:val="0"/>
          <w:caps w:val="0"/>
          <w:smallCaps w:val="0"/>
          <w:noProof w:val="0"/>
          <w:color w:val="222222"/>
          <w:sz w:val="24"/>
          <w:szCs w:val="24"/>
          <w:lang w:val="en-GB"/>
        </w:rPr>
        <w:t xml:space="preserve">Tesco has already made </w:t>
      </w:r>
      <w:r w:rsidRPr="277D3C2E" w:rsidR="1980B794">
        <w:rPr>
          <w:rFonts w:ascii="Arial" w:hAnsi="Arial" w:eastAsia="Arial" w:cs="Arial"/>
          <w:b w:val="0"/>
          <w:bCs w:val="0"/>
          <w:i w:val="0"/>
          <w:iCs w:val="0"/>
          <w:caps w:val="0"/>
          <w:smallCaps w:val="0"/>
          <w:noProof w:val="0"/>
          <w:color w:val="222222"/>
          <w:sz w:val="24"/>
          <w:szCs w:val="24"/>
          <w:lang w:val="en-GB"/>
        </w:rPr>
        <w:t>considerable progress</w:t>
      </w:r>
      <w:r w:rsidRPr="277D3C2E" w:rsidR="1BCB56D7">
        <w:rPr>
          <w:rFonts w:ascii="Arial" w:hAnsi="Arial" w:eastAsia="Arial" w:cs="Arial"/>
          <w:b w:val="0"/>
          <w:bCs w:val="0"/>
          <w:i w:val="0"/>
          <w:iCs w:val="0"/>
          <w:caps w:val="0"/>
          <w:smallCaps w:val="0"/>
          <w:noProof w:val="0"/>
          <w:color w:val="222222"/>
          <w:sz w:val="24"/>
          <w:szCs w:val="24"/>
          <w:lang w:val="en-GB"/>
        </w:rPr>
        <w:t xml:space="preserve"> in sustainability through energy-efficient stores, renewable energy use, and waste-reduction initiatives. CSRD compliance strengthens Tesco’s reputation, particularly among environmentally conscious European consumers. However, the requirements present operational challenges. The OECD (2021) stresses that collecting </w:t>
      </w:r>
      <w:r w:rsidRPr="277D3C2E" w:rsidR="1BCB56D7">
        <w:rPr>
          <w:rFonts w:ascii="Arial" w:hAnsi="Arial" w:eastAsia="Arial" w:cs="Arial"/>
          <w:b w:val="0"/>
          <w:bCs w:val="0"/>
          <w:i w:val="0"/>
          <w:iCs w:val="0"/>
          <w:caps w:val="0"/>
          <w:smallCaps w:val="0"/>
          <w:noProof w:val="0"/>
          <w:color w:val="222222"/>
          <w:sz w:val="24"/>
          <w:szCs w:val="24"/>
          <w:lang w:val="en-GB"/>
        </w:rPr>
        <w:t>accurate</w:t>
      </w:r>
      <w:r w:rsidRPr="277D3C2E" w:rsidR="1BCB56D7">
        <w:rPr>
          <w:rFonts w:ascii="Arial" w:hAnsi="Arial" w:eastAsia="Arial" w:cs="Arial"/>
          <w:b w:val="0"/>
          <w:bCs w:val="0"/>
          <w:i w:val="0"/>
          <w:iCs w:val="0"/>
          <w:caps w:val="0"/>
          <w:smallCaps w:val="0"/>
          <w:noProof w:val="0"/>
          <w:color w:val="222222"/>
          <w:sz w:val="24"/>
          <w:szCs w:val="24"/>
          <w:lang w:val="en-GB"/>
        </w:rPr>
        <w:t xml:space="preserve"> ESG data from complex supply chains—especially when suppliers are small businesses lacking digital tools—is difficult and resource-intensive. Tesco must therefore invest in training, digital reporting tools, and more robust data verification systems.</w:t>
      </w:r>
    </w:p>
    <w:p xmlns:wp14="http://schemas.microsoft.com/office/word/2010/wordml" wp14:paraId="2C3AC2D0" wp14:textId="2E060AF3"/>
    <w:p xmlns:wp14="http://schemas.microsoft.com/office/word/2010/wordml" w:rsidP="51760C5C" wp14:paraId="5EFCB6E7" wp14:textId="7886C234">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Impact on Tesco’s International Strategy and Operations</w:t>
      </w:r>
    </w:p>
    <w:p xmlns:wp14="http://schemas.microsoft.com/office/word/2010/wordml" w:rsidP="51760C5C" wp14:paraId="61B36774" wp14:textId="387E4743">
      <w:pPr>
        <w:shd w:val="clear" w:color="auto" w:fill="FFFFFF" w:themeFill="background1"/>
        <w:spacing w:before="195" w:beforeAutospacing="off" w:after="195" w:afterAutospacing="off"/>
      </w:pPr>
    </w:p>
    <w:p xmlns:wp14="http://schemas.microsoft.com/office/word/2010/wordml" w:rsidP="51760C5C" wp14:paraId="03CD610F" wp14:textId="43C933C1">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The global forces discussed have a profound impact on Tesco’s international strategy:</w:t>
      </w:r>
    </w:p>
    <w:p xmlns:wp14="http://schemas.microsoft.com/office/word/2010/wordml" w:rsidP="51760C5C" wp14:paraId="2F20C836" wp14:textId="3E2491AE">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Technology: AI enhances customer insights, operational accuracy, and efficiency, pushing Tesco toward more automation and data-driven decision-making.</w:t>
      </w:r>
    </w:p>
    <w:p xmlns:wp14="http://schemas.microsoft.com/office/word/2010/wordml" w:rsidP="277D3C2E" wp14:paraId="4B338A72" wp14:textId="7BE40F9A">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77D3C2E" w:rsidR="1BCB56D7">
        <w:rPr>
          <w:rFonts w:ascii="Arial" w:hAnsi="Arial" w:eastAsia="Arial" w:cs="Arial"/>
          <w:b w:val="0"/>
          <w:bCs w:val="0"/>
          <w:i w:val="0"/>
          <w:iCs w:val="0"/>
          <w:caps w:val="0"/>
          <w:smallCaps w:val="0"/>
          <w:noProof w:val="0"/>
          <w:color w:val="222222"/>
          <w:sz w:val="24"/>
          <w:szCs w:val="24"/>
          <w:lang w:val="en-GB"/>
        </w:rPr>
        <w:t xml:space="preserve">Geopolitics: Heightened global uncertainty pushes Tesco to diversify suppliers, increase stock buffers, and invest in resilient </w:t>
      </w:r>
      <w:r w:rsidRPr="277D3C2E" w:rsidR="38384950">
        <w:rPr>
          <w:rFonts w:ascii="Arial" w:hAnsi="Arial" w:eastAsia="Arial" w:cs="Arial"/>
          <w:b w:val="0"/>
          <w:bCs w:val="0"/>
          <w:i w:val="0"/>
          <w:iCs w:val="0"/>
          <w:caps w:val="0"/>
          <w:smallCaps w:val="0"/>
          <w:noProof w:val="0"/>
          <w:color w:val="222222"/>
          <w:sz w:val="24"/>
          <w:szCs w:val="24"/>
          <w:lang w:val="en-GB"/>
        </w:rPr>
        <w:t>planning</w:t>
      </w:r>
      <w:r w:rsidRPr="277D3C2E" w:rsidR="1BCB56D7">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51760C5C" wp14:paraId="2A44E5D8" wp14:textId="6624C859">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Sustainability: CSRD and stakeholder expectations encourage Tesco to innovate eco-friendly packaging, reduce emissions, and improve supply chain transparency.</w:t>
      </w:r>
    </w:p>
    <w:p xmlns:wp14="http://schemas.microsoft.com/office/word/2010/wordml" w:rsidP="51760C5C" wp14:paraId="6737CF0C" wp14:textId="29966951">
      <w:pPr>
        <w:shd w:val="clear" w:color="auto" w:fill="FFFFFF" w:themeFill="background1"/>
        <w:spacing w:before="195" w:beforeAutospacing="off" w:after="195" w:afterAutospacing="off"/>
      </w:pPr>
    </w:p>
    <w:p xmlns:wp14="http://schemas.microsoft.com/office/word/2010/wordml" w:rsidP="51760C5C" wp14:paraId="30AE2FEC" wp14:textId="123632B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These forces require Tesco to continuously adapt its strategy, invest in technology, and strengthen both operational and supply chain resilience.</w:t>
      </w:r>
    </w:p>
    <w:p xmlns:wp14="http://schemas.microsoft.com/office/word/2010/wordml" w:rsidP="51760C5C" wp14:paraId="70436232" wp14:textId="16617BF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51760C5C" wp14:paraId="1CB2CB5E" wp14:textId="162EA55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p14:paraId="0B00A52F" wp14:textId="3257A657"/>
    <w:p xmlns:wp14="http://schemas.microsoft.com/office/word/2010/wordml" w:rsidP="51760C5C" wp14:paraId="6AA8F579" wp14:textId="3D32890B">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Strategic Recommendations</w:t>
      </w:r>
    </w:p>
    <w:p xmlns:wp14="http://schemas.microsoft.com/office/word/2010/wordml" w:rsidP="51760C5C" wp14:paraId="76880D91" wp14:textId="352448FD">
      <w:pPr>
        <w:shd w:val="clear" w:color="auto" w:fill="FFFFFF" w:themeFill="background1"/>
        <w:spacing w:before="195" w:beforeAutospacing="off" w:after="195" w:afterAutospacing="off"/>
      </w:pPr>
    </w:p>
    <w:p xmlns:wp14="http://schemas.microsoft.com/office/word/2010/wordml" w:rsidP="51760C5C" wp14:paraId="5CE435BE" wp14:textId="3E306F5A">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1. Strengthen AI and Digital Infrastructure</w:t>
      </w:r>
    </w:p>
    <w:p xmlns:wp14="http://schemas.microsoft.com/office/word/2010/wordml" w:rsidP="277D3C2E" wp14:paraId="1F399CEC" wp14:textId="28C3BBD8">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77D3C2E" w:rsidR="1BCB56D7">
        <w:rPr>
          <w:rFonts w:ascii="Arial" w:hAnsi="Arial" w:eastAsia="Arial" w:cs="Arial"/>
          <w:b w:val="0"/>
          <w:bCs w:val="0"/>
          <w:i w:val="0"/>
          <w:iCs w:val="0"/>
          <w:caps w:val="0"/>
          <w:smallCaps w:val="0"/>
          <w:noProof w:val="0"/>
          <w:color w:val="222222"/>
          <w:sz w:val="24"/>
          <w:szCs w:val="24"/>
          <w:lang w:val="en-GB"/>
        </w:rPr>
        <w:t xml:space="preserve">Expand AI capabilities across international forecasting and </w:t>
      </w:r>
      <w:r w:rsidRPr="277D3C2E" w:rsidR="51F0901B">
        <w:rPr>
          <w:rFonts w:ascii="Arial" w:hAnsi="Arial" w:eastAsia="Arial" w:cs="Arial"/>
          <w:b w:val="0"/>
          <w:bCs w:val="0"/>
          <w:i w:val="0"/>
          <w:iCs w:val="0"/>
          <w:caps w:val="0"/>
          <w:smallCaps w:val="0"/>
          <w:noProof w:val="0"/>
          <w:color w:val="222222"/>
          <w:sz w:val="24"/>
          <w:szCs w:val="24"/>
          <w:lang w:val="en-GB"/>
        </w:rPr>
        <w:t>organization</w:t>
      </w:r>
      <w:r w:rsidRPr="277D3C2E" w:rsidR="1BCB56D7">
        <w:rPr>
          <w:rFonts w:ascii="Arial" w:hAnsi="Arial" w:eastAsia="Arial" w:cs="Arial"/>
          <w:b w:val="0"/>
          <w:bCs w:val="0"/>
          <w:i w:val="0"/>
          <w:iCs w:val="0"/>
          <w:caps w:val="0"/>
          <w:smallCaps w:val="0"/>
          <w:noProof w:val="0"/>
          <w:color w:val="222222"/>
          <w:sz w:val="24"/>
          <w:szCs w:val="24"/>
          <w:lang w:val="en-GB"/>
        </w:rPr>
        <w:t xml:space="preserve"> systems.</w:t>
      </w:r>
    </w:p>
    <w:p xmlns:wp14="http://schemas.microsoft.com/office/word/2010/wordml" w:rsidP="51760C5C" wp14:paraId="26596D75" wp14:textId="6669C038">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Increase investment in cybersecurity and real-time threat monitoring.</w:t>
      </w:r>
    </w:p>
    <w:p xmlns:wp14="http://schemas.microsoft.com/office/word/2010/wordml" w:rsidP="51760C5C" wp14:paraId="171F6223" wp14:textId="359A36A2">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Introduce internal digital academies to train employees in data analytics.</w:t>
      </w:r>
    </w:p>
    <w:p xmlns:wp14="http://schemas.microsoft.com/office/word/2010/wordml" w:rsidP="51760C5C" wp14:paraId="4216D925" wp14:textId="1BA49ED9">
      <w:pPr>
        <w:shd w:val="clear" w:color="auto" w:fill="FFFFFF" w:themeFill="background1"/>
        <w:spacing w:before="195" w:beforeAutospacing="off" w:after="195" w:afterAutospacing="off"/>
      </w:pPr>
    </w:p>
    <w:p xmlns:wp14="http://schemas.microsoft.com/office/word/2010/wordml" w:rsidP="51760C5C" wp14:paraId="453B1FF9" wp14:textId="71D2BB59">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2. Build Supply Chain Resilience</w:t>
      </w:r>
    </w:p>
    <w:p xmlns:wp14="http://schemas.microsoft.com/office/word/2010/wordml" w:rsidP="51760C5C" wp14:paraId="4F2FEAD4" wp14:textId="71A02EA2">
      <w:pPr>
        <w:pStyle w:val="ListParagraph"/>
        <w:numPr>
          <w:ilvl w:val="0"/>
          <w:numId w:val="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Diversify sourcing toward politically stable and geographically closer suppliers.</w:t>
      </w:r>
    </w:p>
    <w:p xmlns:wp14="http://schemas.microsoft.com/office/word/2010/wordml" w:rsidP="51760C5C" wp14:paraId="45373246" wp14:textId="64665AD2">
      <w:pPr>
        <w:pStyle w:val="ListParagraph"/>
        <w:numPr>
          <w:ilvl w:val="0"/>
          <w:numId w:val="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Increase nearshoring and regionalisation for high-risk product categories.</w:t>
      </w:r>
    </w:p>
    <w:p xmlns:wp14="http://schemas.microsoft.com/office/word/2010/wordml" w:rsidP="51760C5C" wp14:paraId="076EBCF1" wp14:textId="6E0C52CC">
      <w:pPr>
        <w:pStyle w:val="ListParagraph"/>
        <w:numPr>
          <w:ilvl w:val="0"/>
          <w:numId w:val="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Implement AI-enabled risk-monitoring tools to anticipate disruptions.</w:t>
      </w:r>
    </w:p>
    <w:p xmlns:wp14="http://schemas.microsoft.com/office/word/2010/wordml" w:rsidP="51760C5C" wp14:paraId="0F1C4470" wp14:textId="00357FC3">
      <w:pPr>
        <w:shd w:val="clear" w:color="auto" w:fill="FFFFFF" w:themeFill="background1"/>
        <w:spacing w:before="195" w:beforeAutospacing="off" w:after="195" w:afterAutospacing="off"/>
      </w:pPr>
    </w:p>
    <w:p xmlns:wp14="http://schemas.microsoft.com/office/word/2010/wordml" w:rsidP="51760C5C" wp14:paraId="7B267F5D" wp14:textId="417ED6E0">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3. Enhance Sustainability and CSRD Compliance</w:t>
      </w:r>
    </w:p>
    <w:p xmlns:wp14="http://schemas.microsoft.com/office/word/2010/wordml" w:rsidP="51760C5C" wp14:paraId="5F990F26" wp14:textId="4F1001D9">
      <w:pPr>
        <w:pStyle w:val="ListParagraph"/>
        <w:numPr>
          <w:ilvl w:val="0"/>
          <w:numId w:val="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Adopt unified ESG reporting platforms for all suppliers.</w:t>
      </w:r>
    </w:p>
    <w:p xmlns:wp14="http://schemas.microsoft.com/office/word/2010/wordml" w:rsidP="51760C5C" wp14:paraId="3D994418" wp14:textId="3150F63D">
      <w:pPr>
        <w:pStyle w:val="ListParagraph"/>
        <w:numPr>
          <w:ilvl w:val="0"/>
          <w:numId w:val="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Provide training and digital reporting tools to small suppliers.</w:t>
      </w:r>
    </w:p>
    <w:p xmlns:wp14="http://schemas.microsoft.com/office/word/2010/wordml" w:rsidP="51760C5C" wp14:paraId="2B11EF50" wp14:textId="222F82FB">
      <w:pPr>
        <w:pStyle w:val="ListParagraph"/>
        <w:numPr>
          <w:ilvl w:val="0"/>
          <w:numId w:val="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Increase investment in recyclable materials and long-term waste-reduction systems.</w:t>
      </w:r>
    </w:p>
    <w:p xmlns:wp14="http://schemas.microsoft.com/office/word/2010/wordml" w:rsidP="51760C5C" wp14:paraId="4202C2E4" wp14:textId="2D56C99B">
      <w:pPr>
        <w:shd w:val="clear" w:color="auto" w:fill="FFFFFF" w:themeFill="background1"/>
        <w:spacing w:before="195" w:beforeAutospacing="off" w:after="195" w:afterAutospacing="off"/>
      </w:pPr>
    </w:p>
    <w:p xmlns:wp14="http://schemas.microsoft.com/office/word/2010/wordml" w:rsidP="51760C5C" wp14:paraId="37655395" wp14:textId="4C3D0C8A">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4. Improve International Market Agility</w:t>
      </w:r>
    </w:p>
    <w:p xmlns:wp14="http://schemas.microsoft.com/office/word/2010/wordml" w:rsidP="51760C5C" wp14:paraId="7A4805B1" wp14:textId="27834BF4">
      <w:pPr>
        <w:pStyle w:val="ListParagraph"/>
        <w:numPr>
          <w:ilvl w:val="0"/>
          <w:numId w:val="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Expand e-commerce platforms across Europe and Asia.</w:t>
      </w:r>
    </w:p>
    <w:p xmlns:wp14="http://schemas.microsoft.com/office/word/2010/wordml" w:rsidP="51760C5C" wp14:paraId="47E96B53" wp14:textId="7238CF09">
      <w:pPr>
        <w:pStyle w:val="ListParagraph"/>
        <w:numPr>
          <w:ilvl w:val="0"/>
          <w:numId w:val="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Tailor product offerings based on local cultural preferences.</w:t>
      </w:r>
    </w:p>
    <w:p xmlns:wp14="http://schemas.microsoft.com/office/word/2010/wordml" w:rsidP="51760C5C" wp14:paraId="6ADFDD29" wp14:textId="4F3875D1">
      <w:pPr>
        <w:pStyle w:val="ListParagraph"/>
        <w:numPr>
          <w:ilvl w:val="0"/>
          <w:numId w:val="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Build flexible sourcing and production systems capable of rapid reconfiguration.</w:t>
      </w:r>
    </w:p>
    <w:p xmlns:wp14="http://schemas.microsoft.com/office/word/2010/wordml" wp14:paraId="22237377" wp14:textId="7EA48927"/>
    <w:p xmlns:wp14="http://schemas.microsoft.com/office/word/2010/wordml" w:rsidP="51760C5C" wp14:paraId="01BA029C" wp14:textId="12606838">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Conclusion:</w:t>
      </w:r>
    </w:p>
    <w:p xmlns:wp14="http://schemas.microsoft.com/office/word/2010/wordml" w:rsidP="51760C5C" wp14:paraId="6904CAFF" wp14:textId="16E8213A">
      <w:pPr>
        <w:shd w:val="clear" w:color="auto" w:fill="FFFFFF" w:themeFill="background1"/>
        <w:spacing w:before="195" w:beforeAutospacing="off" w:after="195" w:afterAutospacing="off"/>
      </w:pPr>
    </w:p>
    <w:p xmlns:wp14="http://schemas.microsoft.com/office/word/2010/wordml" w:rsidP="51760C5C" wp14:paraId="6E2F7FCE" wp14:textId="4A8B898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Tesco faces a rapidly evolving global environment shaped by technological innovation, geopolitical instability, and rising sustainability expectations. While these global forces create opportunities for efficiency, innovation, and market expansion, they also increase the complexity and vulnerability of international operations. By strengthening digital infrastructure, enhancing supply chain resilience, and maintaining leadership in sustainability, Tesco can continue to thrive in a challenging and uncertain global landscape. Adaptability, transparency, and strategic investment will be essential for maintaining competitiveness in 2024–2025 and beyond.</w:t>
      </w:r>
    </w:p>
    <w:p xmlns:wp14="http://schemas.microsoft.com/office/word/2010/wordml" w:rsidP="51760C5C" wp14:paraId="68418BA4" wp14:textId="25AB82C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51760C5C" wp14:paraId="5E04E30D" wp14:textId="14DA694D">
      <w:pPr>
        <w:shd w:val="clear" w:color="auto" w:fill="FFFFFF" w:themeFill="background1"/>
        <w:spacing w:before="195" w:beforeAutospacing="off" w:after="195" w:afterAutospacing="off"/>
      </w:pPr>
      <w:r w:rsidRPr="51760C5C" w:rsidR="58B74822">
        <w:rPr>
          <w:rFonts w:ascii="Arial" w:hAnsi="Arial" w:eastAsia="Arial" w:cs="Arial"/>
          <w:b w:val="0"/>
          <w:bCs w:val="0"/>
          <w:i w:val="0"/>
          <w:iCs w:val="0"/>
          <w:caps w:val="0"/>
          <w:smallCaps w:val="0"/>
          <w:noProof w:val="0"/>
          <w:color w:val="222222"/>
          <w:sz w:val="24"/>
          <w:szCs w:val="24"/>
          <w:lang w:val="en-GB"/>
        </w:rPr>
        <w:t>Another important global force influencing Tesco is the changing behaviour of international consumers, who now place greater emphasis on ethical sourcing, health, safety, and value for money. As markets become more globally connected, customer expectations rise, and retailers must adapt to increasingly diverse cultural needs. Tesco’s presence across Europe and Asia means it must continuously adjust its product range, pricing strategies, and marketing communications to reflect local preferences while maintaining a consistent global identity. For example, demand for plant-based foods, healthier ready meals, and sustainably sourced seafood has increased across multiple countries, pushing Tesco to innovate rapidly. In addition, global inflationary pressures have led consumers to seek affordable private-label alternatives, prompting Tesco to expand its value ranges. The company must therefore strike a balance between cost efficiency, cultural relevance, and brand consistency. Proactively responding to these shifts will strengthen customer loyalty and support Tesco’s long-term competitiveness across international markets.</w:t>
      </w:r>
    </w:p>
    <w:p xmlns:wp14="http://schemas.microsoft.com/office/word/2010/wordml" wp14:paraId="03CD2B0D" wp14:textId="403B4FAE"/>
    <w:p xmlns:wp14="http://schemas.microsoft.com/office/word/2010/wordml" w:rsidP="51760C5C" wp14:paraId="1299B4A2" wp14:textId="325AB0D5">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p14:paraId="2F36F06E" wp14:textId="20E1EE8B"/>
    <w:p xmlns:wp14="http://schemas.microsoft.com/office/word/2010/wordml" w:rsidP="51760C5C" wp14:paraId="021FAAD5" wp14:textId="0E8EB4B9">
      <w:pPr>
        <w:pStyle w:val="Heading1"/>
        <w:shd w:val="clear" w:color="auto" w:fill="FFFFFF" w:themeFill="background1"/>
        <w:spacing w:before="322" w:beforeAutospacing="off" w:after="322" w:afterAutospacing="off"/>
      </w:pPr>
      <w:r w:rsidRPr="51760C5C" w:rsidR="1BCB56D7">
        <w:rPr>
          <w:rFonts w:ascii="Arial" w:hAnsi="Arial" w:eastAsia="Arial" w:cs="Arial"/>
          <w:b w:val="1"/>
          <w:bCs w:val="1"/>
          <w:i w:val="0"/>
          <w:iCs w:val="0"/>
          <w:caps w:val="0"/>
          <w:smallCaps w:val="0"/>
          <w:noProof w:val="0"/>
          <w:color w:val="222222"/>
          <w:sz w:val="48"/>
          <w:szCs w:val="48"/>
          <w:lang w:val="en-GB"/>
        </w:rPr>
        <w:t>References</w:t>
      </w:r>
      <w:r w:rsidRPr="51760C5C" w:rsidR="2E4FA48F">
        <w:rPr>
          <w:rFonts w:ascii="Arial" w:hAnsi="Arial" w:eastAsia="Arial" w:cs="Arial"/>
          <w:b w:val="1"/>
          <w:bCs w:val="1"/>
          <w:i w:val="0"/>
          <w:iCs w:val="0"/>
          <w:caps w:val="0"/>
          <w:smallCaps w:val="0"/>
          <w:noProof w:val="0"/>
          <w:color w:val="222222"/>
          <w:sz w:val="48"/>
          <w:szCs w:val="48"/>
          <w:lang w:val="en-GB"/>
        </w:rPr>
        <w:t>:</w:t>
      </w:r>
    </w:p>
    <w:p xmlns:wp14="http://schemas.microsoft.com/office/word/2010/wordml" w:rsidP="51760C5C" wp14:paraId="0C098A6B" wp14:textId="1132CD72">
      <w:pPr>
        <w:shd w:val="clear" w:color="auto" w:fill="FFFFFF" w:themeFill="background1"/>
        <w:spacing w:before="195" w:beforeAutospacing="off" w:after="195" w:afterAutospacing="off"/>
      </w:pPr>
    </w:p>
    <w:p xmlns:wp14="http://schemas.microsoft.com/office/word/2010/wordml" w:rsidP="277D3C2E" wp14:paraId="2C05C4A4" wp14:textId="2DABA81F">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77D3C2E" w:rsidR="1BCB56D7">
        <w:rPr>
          <w:rFonts w:ascii="Arial" w:hAnsi="Arial" w:eastAsia="Arial" w:cs="Arial"/>
          <w:b w:val="0"/>
          <w:bCs w:val="0"/>
          <w:i w:val="0"/>
          <w:iCs w:val="0"/>
          <w:caps w:val="0"/>
          <w:smallCaps w:val="0"/>
          <w:noProof w:val="0"/>
          <w:color w:val="222222"/>
          <w:sz w:val="24"/>
          <w:szCs w:val="24"/>
          <w:lang w:val="en-GB"/>
        </w:rPr>
        <w:t xml:space="preserve">Allen, W. &amp; McLaren, J. (2021) </w:t>
      </w:r>
      <w:r w:rsidRPr="277D3C2E" w:rsidR="1BCB56D7">
        <w:rPr>
          <w:rFonts w:ascii="Arial" w:hAnsi="Arial" w:eastAsia="Arial" w:cs="Arial"/>
          <w:b w:val="0"/>
          <w:bCs w:val="0"/>
          <w:i w:val="0"/>
          <w:iCs w:val="0"/>
          <w:caps w:val="0"/>
          <w:smallCaps w:val="0"/>
          <w:noProof w:val="0"/>
          <w:color w:val="222222"/>
          <w:sz w:val="24"/>
          <w:szCs w:val="24"/>
          <w:lang w:val="en-GB"/>
        </w:rPr>
        <w:t>Brexit</w:t>
      </w:r>
      <w:r w:rsidRPr="277D3C2E" w:rsidR="1BCB56D7">
        <w:rPr>
          <w:rFonts w:ascii="Arial" w:hAnsi="Arial" w:eastAsia="Arial" w:cs="Arial"/>
          <w:b w:val="0"/>
          <w:bCs w:val="0"/>
          <w:i w:val="0"/>
          <w:iCs w:val="0"/>
          <w:caps w:val="0"/>
          <w:smallCaps w:val="0"/>
          <w:noProof w:val="0"/>
          <w:color w:val="222222"/>
          <w:sz w:val="24"/>
          <w:szCs w:val="24"/>
          <w:lang w:val="en-GB"/>
        </w:rPr>
        <w:t xml:space="preserve"> and Trade: Economic Implications. Cambridge University Press.</w:t>
      </w:r>
    </w:p>
    <w:p xmlns:wp14="http://schemas.microsoft.com/office/word/2010/wordml" w:rsidP="51760C5C" wp14:paraId="639129CE" wp14:textId="6F71E792">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08669265c5354133">
        <w:r w:rsidRPr="51760C5C" w:rsidR="1BCB56D7">
          <w:rPr>
            <w:rStyle w:val="Hyperlink"/>
            <w:rFonts w:ascii="Arial" w:hAnsi="Arial" w:eastAsia="Arial" w:cs="Arial"/>
            <w:b w:val="0"/>
            <w:bCs w:val="0"/>
            <w:i w:val="0"/>
            <w:iCs w:val="0"/>
            <w:caps w:val="0"/>
            <w:smallCaps w:val="0"/>
            <w:noProof w:val="0"/>
            <w:color w:val="1155CC"/>
            <w:sz w:val="24"/>
            <w:szCs w:val="24"/>
            <w:lang w:val="en-GB"/>
          </w:rPr>
          <w:t>https://www.cambridge.org/core/books/brexit-and-trade/3CFE2C91C5E9F2F4D403BBB6D57FA1C8</w:t>
        </w:r>
      </w:hyperlink>
    </w:p>
    <w:p xmlns:wp14="http://schemas.microsoft.com/office/word/2010/wordml" w:rsidP="51760C5C" wp14:paraId="00750CF5" wp14:textId="4091D0A2">
      <w:pPr>
        <w:shd w:val="clear" w:color="auto" w:fill="FFFFFF" w:themeFill="background1"/>
        <w:spacing w:before="195" w:beforeAutospacing="off" w:after="195" w:afterAutospacing="off"/>
      </w:pPr>
    </w:p>
    <w:p xmlns:wp14="http://schemas.microsoft.com/office/word/2010/wordml" w:rsidP="51760C5C" wp14:paraId="1AF586D4" wp14:textId="5E4EBDE2">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Antràs, P. (2023) ‘Reconfiguring Supply Chains in a Fragmented World’, Journal of International Economics.</w:t>
      </w:r>
    </w:p>
    <w:p xmlns:wp14="http://schemas.microsoft.com/office/word/2010/wordml" w:rsidP="51760C5C" wp14:paraId="581D45A9" wp14:textId="790DCDE2">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c39407ea71e84833">
        <w:r w:rsidRPr="51760C5C" w:rsidR="1BCB56D7">
          <w:rPr>
            <w:rStyle w:val="Hyperlink"/>
            <w:rFonts w:ascii="Arial" w:hAnsi="Arial" w:eastAsia="Arial" w:cs="Arial"/>
            <w:b w:val="0"/>
            <w:bCs w:val="0"/>
            <w:i w:val="0"/>
            <w:iCs w:val="0"/>
            <w:caps w:val="0"/>
            <w:smallCaps w:val="0"/>
            <w:noProof w:val="0"/>
            <w:color w:val="1155CC"/>
            <w:sz w:val="24"/>
            <w:szCs w:val="24"/>
            <w:lang w:val="en-GB"/>
          </w:rPr>
          <w:t>https://www.sciencedirect.com/science/article/abs/pii/S0022199623000907</w:t>
        </w:r>
      </w:hyperlink>
    </w:p>
    <w:p xmlns:wp14="http://schemas.microsoft.com/office/word/2010/wordml" w:rsidP="51760C5C" wp14:paraId="00E9BD24" wp14:textId="308B6095">
      <w:pPr>
        <w:shd w:val="clear" w:color="auto" w:fill="FFFFFF" w:themeFill="background1"/>
        <w:spacing w:before="195" w:beforeAutospacing="off" w:after="195" w:afterAutospacing="off"/>
      </w:pPr>
    </w:p>
    <w:p xmlns:wp14="http://schemas.microsoft.com/office/word/2010/wordml" w:rsidP="51760C5C" wp14:paraId="5132C7F7" wp14:textId="5DE6BD0E">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Baldwin, R. (2022) The Great Convergence Revisited: Geopolitics and Global Trade. Oxford University Press.</w:t>
      </w:r>
    </w:p>
    <w:p xmlns:wp14="http://schemas.microsoft.com/office/word/2010/wordml" w:rsidP="51760C5C" wp14:paraId="26945CDB" wp14:textId="786F8D6E">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83ced580ecd8465a">
        <w:r w:rsidRPr="51760C5C" w:rsidR="1BCB56D7">
          <w:rPr>
            <w:rStyle w:val="Hyperlink"/>
            <w:rFonts w:ascii="Arial" w:hAnsi="Arial" w:eastAsia="Arial" w:cs="Arial"/>
            <w:b w:val="0"/>
            <w:bCs w:val="0"/>
            <w:i w:val="0"/>
            <w:iCs w:val="0"/>
            <w:caps w:val="0"/>
            <w:smallCaps w:val="0"/>
            <w:noProof w:val="0"/>
            <w:color w:val="1155CC"/>
            <w:sz w:val="24"/>
            <w:szCs w:val="24"/>
            <w:lang w:val="en-GB"/>
          </w:rPr>
          <w:t>https://global.oup.com/academic/product/the-great-convergence-revisited-9780198852422</w:t>
        </w:r>
      </w:hyperlink>
    </w:p>
    <w:p xmlns:wp14="http://schemas.microsoft.com/office/word/2010/wordml" w:rsidP="51760C5C" wp14:paraId="3AF6810B" wp14:textId="57AF120E">
      <w:pPr>
        <w:shd w:val="clear" w:color="auto" w:fill="FFFFFF" w:themeFill="background1"/>
        <w:spacing w:before="195" w:beforeAutospacing="off" w:after="195" w:afterAutospacing="off"/>
      </w:pPr>
    </w:p>
    <w:p xmlns:wp14="http://schemas.microsoft.com/office/word/2010/wordml" w:rsidP="51760C5C" wp14:paraId="30A36957" wp14:textId="48C9989B">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Christopher, M. (2022) Logistics and Supply Chain Management. Pearson.</w:t>
      </w:r>
    </w:p>
    <w:p xmlns:wp14="http://schemas.microsoft.com/office/word/2010/wordml" w:rsidP="51760C5C" wp14:paraId="7BE7E9C6" wp14:textId="1E46002C">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a53501f64a0b498b">
        <w:r w:rsidRPr="51760C5C" w:rsidR="1BCB56D7">
          <w:rPr>
            <w:rStyle w:val="Hyperlink"/>
            <w:rFonts w:ascii="Arial" w:hAnsi="Arial" w:eastAsia="Arial" w:cs="Arial"/>
            <w:b w:val="0"/>
            <w:bCs w:val="0"/>
            <w:i w:val="0"/>
            <w:iCs w:val="0"/>
            <w:caps w:val="0"/>
            <w:smallCaps w:val="0"/>
            <w:noProof w:val="0"/>
            <w:color w:val="1155CC"/>
            <w:sz w:val="24"/>
            <w:szCs w:val="24"/>
            <w:lang w:val="en-GB"/>
          </w:rPr>
          <w:t>https://www.pearson.com/en-gb/subject-catalog/p/logistics-and-supply-chain-management/P200000003853/9781292349440</w:t>
        </w:r>
      </w:hyperlink>
    </w:p>
    <w:p xmlns:wp14="http://schemas.microsoft.com/office/word/2010/wordml" w:rsidP="51760C5C" wp14:paraId="021B8794" wp14:textId="49477953">
      <w:pPr>
        <w:shd w:val="clear" w:color="auto" w:fill="FFFFFF" w:themeFill="background1"/>
        <w:spacing w:before="195" w:beforeAutospacing="off" w:after="195" w:afterAutospacing="off"/>
      </w:pPr>
    </w:p>
    <w:p xmlns:wp14="http://schemas.microsoft.com/office/word/2010/wordml" w:rsidP="51760C5C" wp14:paraId="5973FC17" wp14:textId="0901B64A">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Davenport, T., Guha, A. &amp; Grewal, D. (2020) ‘How AI Will Change Retail’, MIT Sloan Management Review.</w:t>
      </w:r>
    </w:p>
    <w:p xmlns:wp14="http://schemas.microsoft.com/office/word/2010/wordml" w:rsidP="51760C5C" wp14:paraId="6B61572C" wp14:textId="411C4150">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e84cddb370be4223">
        <w:r w:rsidRPr="51760C5C" w:rsidR="1BCB56D7">
          <w:rPr>
            <w:rStyle w:val="Hyperlink"/>
            <w:rFonts w:ascii="Arial" w:hAnsi="Arial" w:eastAsia="Arial" w:cs="Arial"/>
            <w:b w:val="0"/>
            <w:bCs w:val="0"/>
            <w:i w:val="0"/>
            <w:iCs w:val="0"/>
            <w:caps w:val="0"/>
            <w:smallCaps w:val="0"/>
            <w:noProof w:val="0"/>
            <w:color w:val="1155CC"/>
            <w:sz w:val="24"/>
            <w:szCs w:val="24"/>
            <w:lang w:val="en-GB"/>
          </w:rPr>
          <w:t>https://sloanreview.mit.edu/article/how-ai-will-change-retail/</w:t>
        </w:r>
      </w:hyperlink>
    </w:p>
    <w:p xmlns:wp14="http://schemas.microsoft.com/office/word/2010/wordml" w:rsidP="51760C5C" wp14:paraId="313959FD" wp14:textId="53F61666">
      <w:pPr>
        <w:shd w:val="clear" w:color="auto" w:fill="FFFFFF" w:themeFill="background1"/>
        <w:spacing w:before="195" w:beforeAutospacing="off" w:after="195" w:afterAutospacing="off"/>
      </w:pPr>
    </w:p>
    <w:p xmlns:wp14="http://schemas.microsoft.com/office/word/2010/wordml" w:rsidP="51760C5C" wp14:paraId="20936B62" wp14:textId="5EEEBAD5">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Eccles, R. &amp; Klimenko, S. (2019) ‘The Investor Revolution’, Harvard Business Review.</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5b05c41ad73048b6">
        <w:r w:rsidRPr="51760C5C" w:rsidR="1BCB56D7">
          <w:rPr>
            <w:rStyle w:val="Hyperlink"/>
            <w:rFonts w:ascii="Arial" w:hAnsi="Arial" w:eastAsia="Arial" w:cs="Arial"/>
            <w:b w:val="0"/>
            <w:bCs w:val="0"/>
            <w:i w:val="0"/>
            <w:iCs w:val="0"/>
            <w:caps w:val="0"/>
            <w:smallCaps w:val="0"/>
            <w:noProof w:val="0"/>
            <w:color w:val="1155CC"/>
            <w:sz w:val="24"/>
            <w:szCs w:val="24"/>
            <w:lang w:val="en-GB"/>
          </w:rPr>
          <w:t>https://hbr.org/2019/05/the-investor-revolution</w:t>
        </w:r>
      </w:hyperlink>
    </w:p>
    <w:p xmlns:wp14="http://schemas.microsoft.com/office/word/2010/wordml" w:rsidP="51760C5C" wp14:paraId="3268137F" wp14:textId="3B6B6B83">
      <w:pPr>
        <w:shd w:val="clear" w:color="auto" w:fill="FFFFFF" w:themeFill="background1"/>
        <w:spacing w:before="195" w:beforeAutospacing="off" w:after="195" w:afterAutospacing="off"/>
      </w:pPr>
    </w:p>
    <w:p xmlns:wp14="http://schemas.microsoft.com/office/word/2010/wordml" w:rsidP="51760C5C" wp14:paraId="12C3FB4A" wp14:textId="0F6F2D2B">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Hill, C. &amp; Hult, T. (2021) Global Business Today. McGraw-Hill.</w:t>
      </w:r>
    </w:p>
    <w:p xmlns:wp14="http://schemas.microsoft.com/office/word/2010/wordml" w:rsidP="51760C5C" wp14:paraId="3DC2FB19" wp14:textId="47190474">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d3c72fa7a1f7469d">
        <w:r w:rsidRPr="51760C5C" w:rsidR="1BCB56D7">
          <w:rPr>
            <w:rStyle w:val="Hyperlink"/>
            <w:rFonts w:ascii="Arial" w:hAnsi="Arial" w:eastAsia="Arial" w:cs="Arial"/>
            <w:b w:val="0"/>
            <w:bCs w:val="0"/>
            <w:i w:val="0"/>
            <w:iCs w:val="0"/>
            <w:caps w:val="0"/>
            <w:smallCaps w:val="0"/>
            <w:noProof w:val="0"/>
            <w:color w:val="1155CC"/>
            <w:sz w:val="24"/>
            <w:szCs w:val="24"/>
            <w:lang w:val="en-GB"/>
          </w:rPr>
          <w:t>https://www.mheducation.com/highered/product/global-business-today-hill-hult/M9781264061537.html</w:t>
        </w:r>
      </w:hyperlink>
    </w:p>
    <w:p xmlns:wp14="http://schemas.microsoft.com/office/word/2010/wordml" w:rsidP="51760C5C" wp14:paraId="26C80E99" wp14:textId="7BCE37EF">
      <w:pPr>
        <w:shd w:val="clear" w:color="auto" w:fill="FFFFFF" w:themeFill="background1"/>
        <w:spacing w:before="195" w:beforeAutospacing="off" w:after="195" w:afterAutospacing="off"/>
      </w:pPr>
    </w:p>
    <w:p xmlns:wp14="http://schemas.microsoft.com/office/word/2010/wordml" w:rsidP="51760C5C" wp14:paraId="379C244B" wp14:textId="38911238">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ILO (2023) Digital Skills for a Changing Workforce.</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a267771ca0034ee2">
        <w:r w:rsidRPr="51760C5C" w:rsidR="1BCB56D7">
          <w:rPr>
            <w:rStyle w:val="Hyperlink"/>
            <w:rFonts w:ascii="Arial" w:hAnsi="Arial" w:eastAsia="Arial" w:cs="Arial"/>
            <w:b w:val="0"/>
            <w:bCs w:val="0"/>
            <w:i w:val="0"/>
            <w:iCs w:val="0"/>
            <w:caps w:val="0"/>
            <w:smallCaps w:val="0"/>
            <w:noProof w:val="0"/>
            <w:color w:val="1155CC"/>
            <w:sz w:val="24"/>
            <w:szCs w:val="24"/>
            <w:lang w:val="en-GB"/>
          </w:rPr>
          <w:t>https://www.ilo.org/global/publications/research-papers/WCMS_864672/lang–en/index.htm</w:t>
        </w:r>
      </w:hyperlink>
    </w:p>
    <w:p xmlns:wp14="http://schemas.microsoft.com/office/word/2010/wordml" w:rsidP="51760C5C" wp14:paraId="2BE012EC" wp14:textId="1159478A">
      <w:pPr>
        <w:shd w:val="clear" w:color="auto" w:fill="FFFFFF" w:themeFill="background1"/>
        <w:spacing w:before="195" w:beforeAutospacing="off" w:after="195" w:afterAutospacing="off"/>
      </w:pPr>
    </w:p>
    <w:p xmlns:wp14="http://schemas.microsoft.com/office/word/2010/wordml" w:rsidP="51760C5C" wp14:paraId="7F1EB279" wp14:textId="11E7C682">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McKinsey Global Institute (2023) Global AI Adoption Report.</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1e412aca8dd2400c">
        <w:r w:rsidRPr="51760C5C" w:rsidR="1BCB56D7">
          <w:rPr>
            <w:rStyle w:val="Hyperlink"/>
            <w:rFonts w:ascii="Arial" w:hAnsi="Arial" w:eastAsia="Arial" w:cs="Arial"/>
            <w:b w:val="0"/>
            <w:bCs w:val="0"/>
            <w:i w:val="0"/>
            <w:iCs w:val="0"/>
            <w:caps w:val="0"/>
            <w:smallCaps w:val="0"/>
            <w:noProof w:val="0"/>
            <w:color w:val="1155CC"/>
            <w:sz w:val="24"/>
            <w:szCs w:val="24"/>
            <w:lang w:val="en-GB"/>
          </w:rPr>
          <w:t>https://www.mckinsey.com/capabilities/quantumblack/our-insights/global-survey-the-state-of-ai-in-2023</w:t>
        </w:r>
      </w:hyperlink>
    </w:p>
    <w:p xmlns:wp14="http://schemas.microsoft.com/office/word/2010/wordml" w:rsidP="51760C5C" wp14:paraId="06A5843C" wp14:textId="631B30E3">
      <w:pPr>
        <w:shd w:val="clear" w:color="auto" w:fill="FFFFFF" w:themeFill="background1"/>
        <w:spacing w:before="195" w:beforeAutospacing="off" w:after="195" w:afterAutospacing="off"/>
      </w:pPr>
    </w:p>
    <w:p xmlns:wp14="http://schemas.microsoft.com/office/word/2010/wordml" w:rsidP="51760C5C" wp14:paraId="040B9D4F" wp14:textId="0AEF23FD">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OECD (2021) Responsible Supply Chains and ESG Transparency</w:t>
      </w:r>
      <w:r w:rsidRPr="51760C5C" w:rsidR="47FC2AF4">
        <w:rPr>
          <w:rFonts w:ascii="Arial" w:hAnsi="Arial" w:eastAsia="Arial" w:cs="Arial"/>
          <w:b w:val="0"/>
          <w:bCs w:val="0"/>
          <w:i w:val="0"/>
          <w:iCs w:val="0"/>
          <w:caps w:val="0"/>
          <w:smallCaps w:val="0"/>
          <w:noProof w:val="0"/>
          <w:color w:val="222222"/>
          <w:sz w:val="24"/>
          <w:szCs w:val="24"/>
          <w:lang w:val="en-GB"/>
        </w:rPr>
        <w:t>.</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5a25e14506904118">
        <w:r w:rsidRPr="51760C5C" w:rsidR="1BCB56D7">
          <w:rPr>
            <w:rStyle w:val="Hyperlink"/>
            <w:rFonts w:ascii="Arial" w:hAnsi="Arial" w:eastAsia="Arial" w:cs="Arial"/>
            <w:b w:val="0"/>
            <w:bCs w:val="0"/>
            <w:i w:val="0"/>
            <w:iCs w:val="0"/>
            <w:caps w:val="0"/>
            <w:smallCaps w:val="0"/>
            <w:noProof w:val="0"/>
            <w:color w:val="1155CC"/>
            <w:sz w:val="24"/>
            <w:szCs w:val="24"/>
            <w:lang w:val="en-GB"/>
          </w:rPr>
          <w:t>https://www.oecd.org/corporate/responsible-business-conduct-and-due-diligence/</w:t>
        </w:r>
      </w:hyperlink>
    </w:p>
    <w:p xmlns:wp14="http://schemas.microsoft.com/office/word/2010/wordml" w:rsidP="51760C5C" wp14:paraId="0BD00686" wp14:textId="632C6CBC">
      <w:pPr>
        <w:shd w:val="clear" w:color="auto" w:fill="FFFFFF" w:themeFill="background1"/>
        <w:spacing w:before="195" w:beforeAutospacing="off" w:after="195" w:afterAutospacing="off"/>
      </w:pPr>
    </w:p>
    <w:p xmlns:wp14="http://schemas.microsoft.com/office/word/2010/wordml" w:rsidP="51760C5C" wp14:paraId="5A6CAB95" wp14:textId="15BDE989">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Rugman, A. &amp; Verbeke, A. (2017) International Business. Routledge.</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edce7099106d4c58">
        <w:r w:rsidRPr="51760C5C" w:rsidR="1BCB56D7">
          <w:rPr>
            <w:rStyle w:val="Hyperlink"/>
            <w:rFonts w:ascii="Arial" w:hAnsi="Arial" w:eastAsia="Arial" w:cs="Arial"/>
            <w:b w:val="0"/>
            <w:bCs w:val="0"/>
            <w:i w:val="0"/>
            <w:iCs w:val="0"/>
            <w:caps w:val="0"/>
            <w:smallCaps w:val="0"/>
            <w:noProof w:val="0"/>
            <w:color w:val="1155CC"/>
            <w:sz w:val="24"/>
            <w:szCs w:val="24"/>
            <w:lang w:val="en-GB"/>
          </w:rPr>
          <w:t>https://www.routledge.com/International-Business/Rugman-Verbeke/p/book/9781138650256</w:t>
        </w:r>
      </w:hyperlink>
    </w:p>
    <w:p xmlns:wp14="http://schemas.microsoft.com/office/word/2010/wordml" w:rsidP="51760C5C" wp14:paraId="5469BBE9" wp14:textId="4B7B71A0">
      <w:pPr>
        <w:shd w:val="clear" w:color="auto" w:fill="FFFFFF" w:themeFill="background1"/>
        <w:spacing w:before="195" w:beforeAutospacing="off" w:after="195" w:afterAutospacing="off"/>
      </w:pPr>
    </w:p>
    <w:p xmlns:wp14="http://schemas.microsoft.com/office/word/2010/wordml" w:rsidP="51760C5C" wp14:paraId="785B66D4" wp14:textId="605008BA">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Wild, J., Wild, K. &amp; Han, J. (2020) International Business: The Challenges of Globalization. Pearson.</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d1e554f729bd4cc6">
        <w:r w:rsidRPr="51760C5C" w:rsidR="1BCB56D7">
          <w:rPr>
            <w:rStyle w:val="Hyperlink"/>
            <w:rFonts w:ascii="Arial" w:hAnsi="Arial" w:eastAsia="Arial" w:cs="Arial"/>
            <w:b w:val="0"/>
            <w:bCs w:val="0"/>
            <w:i w:val="0"/>
            <w:iCs w:val="0"/>
            <w:caps w:val="0"/>
            <w:smallCaps w:val="0"/>
            <w:noProof w:val="0"/>
            <w:color w:val="1155CC"/>
            <w:sz w:val="24"/>
            <w:szCs w:val="24"/>
            <w:lang w:val="en-GB"/>
          </w:rPr>
          <w:t>https://www.pearson.com/en-us/subject-catalog/p/international-business-the-challenges-of-globalization/P200000004363</w:t>
        </w:r>
      </w:hyperlink>
    </w:p>
    <w:p xmlns:wp14="http://schemas.microsoft.com/office/word/2010/wordml" wp14:paraId="5E5787A5" wp14:textId="5C0B9B8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X9HlHiZ0FygwRu" int2:id="RyEaDpTj">
      <int2:state int2:type="spell" int2:value="Rejected"/>
    </int2:textHash>
    <int2:entireDocument int2:id="aAxvxdi2">
      <int2:extLst>
        <oel:ext uri="E302BA01-7950-474C-9AD3-286E660C40A8">
          <int2:similaritySummary int2:version="1" int2:runId="1763642637553" int2:tilesCheckedInThisRun="66" int2:totalNumOfTiles="66" int2:similarityAnnotationCount="0" int2:numWords="1486" int2:numFlaggedWords="0"/>
        </oel:ext>
      </int2:extLst>
    </int2:entireDocument>
  </int2:observations>
  <int2:intelligenceSettings/>
  <int2:onDemandWorkflows>
    <int2:onDemandWorkflow int2:type="SimilarityCheck" int2:paragraphVersions="4E713E0F-0AFF28B7 6B35FF6B-39C8D3B0 5E4CDF51-363D3AA5 1277A0C0-6B40129E 7466F76B-6977C2F9 5E0E1EC1-1AF9C872 2889EBFE-1A411851 0C8E56F8-0E14D4F9 1F17221B-0C44BDF2 09E5B3C8-186683FD 75C2B322-3F3494A5 52AC2B01-4F1213A7 7FC1ED47-427D111A 7F1F7299-145640D3 13D75FFC-18673940 3BE4B104-69DEB15E 5792D2F7-53A10EDC 4D60C1B8-78EC5CCB 518E8892-1FFB216D 4E6C0860-10B04453 1977884A-2CFDD64B 22628598-314CE87F 4E19BC92-7914F80C 1CE7B956-36CBE55A 3CF5E0F1-1A1F0E21 55C7A010-16100DE3 7273964A-684C1318 38BF38AF-0BEF1B7D 4DF74A03-10246728 5C03070E-283BD17E 66FCE5C9-063B9164 73F68A52-0C6789F4 66E0311B-5AD9D3D3 743A2CBB-59E45CEE 6A113DFF-1B7557D1 64F15361-599A414C 4A1111D7-150F6E07 1FA08DF9-08DE5205 24907D21-61353828 2C3AC2D0-2E060AF3 5EFCB6E7-7886C234 61B36774-387E4743 03CD610F-43C933C1 2F20C836-3E2491AE 4B338A72-7BE40F9A 2A44E5D8-6624C859 6737CF0C-29966951 30AE2FEC-123632B7 70436232-16617BFB 1CB2CB5E-162EA553 0B00A52F-3257A657 6AA8F579-3D32890B 76880D91-352448FD 5CE435BE-3E306F5A 1F399CEC-28C3BBD8 26596D75-6669C038 171F6223-359A36A2 4216D925-1BA49ED9 453B1FF9-71D2BB59 4F2FEAD4-71A02EA2 45373246-64665AD2 076EBCF1-6E0C52CC 0F1C4470-00357FC3 7B267F5D-417ED6E0 5F990F26-4F1001D9 3D994418-3150F63D 2B11EF50-222F82FB 4202C2E4-2D56C99B 37655395-4C3D0C8A 7A4805B1-27834BF4 47E96B53-7238CF09 6ADFDD29-4F3875D1 22237377-7EA48927 01BA029C-12606838 6904CAFF-16E8213A 6E2F7FCE-4A8B8987 68418BA4-25AB82C4 5E04E30D-14DA694D 03CD2B0D-403B4FAE 1299B4A2-325AB0D5 2F36F06E-20E1EE8B 021FAAD5-0E8EB4B9 0C098A6B-1132CD72 2C05C4A4-2DABA81F 639129CE-6F71E792 00750CF5-4091D0A2 1AF586D4-5E4EBDE2 581D45A9-790DCDE2 00E9BD24-308B6095 5132C7F7-5DE6BD0E 26945CDB-786F8D6E 3AF6810B-57AF120E 30A36957-48C9989B 7BE7E9C6-1E46002C 021B8794-49477953 5973FC17-0901B64A 6B61572C-411C4150 313959FD-53F61666 20936B62-5EEEBAD5 3268137F-3B6B6B83 12C3FB4A-0F6F2D2B 3DC2FB19-47190474 26C80E99-7BCE37EF 379C244B-38911238 2BE012EC-1159478A 7F1EB279-11E7C682 06A5843C-631B30E3 040B9D4F-0AEF23FD 0BD00686-632C6CBC 5A6CAB95-15BDE989 5469BBE9-4B7B71A0 785B66D4-605008BA 5E5787A5-5C0B9B89"/>
  </int2:onDemandWorkflows>
</int2:intelligence>
</file>

<file path=word/numbering.xml><?xml version="1.0" encoding="utf-8"?>
<w:numbering xmlns:w="http://schemas.openxmlformats.org/wordprocessingml/2006/main">
  <w:abstractNum xmlns:w="http://schemas.openxmlformats.org/wordprocessingml/2006/main" w:abstractNumId="8">
    <w:nsid w:val="d18f516"/>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274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275f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950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6cef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7c3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291c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1f2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09E1F3"/>
    <w:rsid w:val="0447D1B4"/>
    <w:rsid w:val="081FD836"/>
    <w:rsid w:val="08A816BA"/>
    <w:rsid w:val="0BB23C1B"/>
    <w:rsid w:val="0BC89A48"/>
    <w:rsid w:val="12F57CC2"/>
    <w:rsid w:val="14B299E8"/>
    <w:rsid w:val="16F5CF26"/>
    <w:rsid w:val="17DC7EC9"/>
    <w:rsid w:val="1980B794"/>
    <w:rsid w:val="1AF5031F"/>
    <w:rsid w:val="1BCB56D7"/>
    <w:rsid w:val="1F4ED5A8"/>
    <w:rsid w:val="22DA3953"/>
    <w:rsid w:val="277D3C2E"/>
    <w:rsid w:val="2A38F712"/>
    <w:rsid w:val="2E4FA48F"/>
    <w:rsid w:val="376E2FFE"/>
    <w:rsid w:val="38384950"/>
    <w:rsid w:val="3BD85B08"/>
    <w:rsid w:val="3DA85102"/>
    <w:rsid w:val="3DCBDBFB"/>
    <w:rsid w:val="47FC2AF4"/>
    <w:rsid w:val="4A28A79E"/>
    <w:rsid w:val="51760C5C"/>
    <w:rsid w:val="51F0901B"/>
    <w:rsid w:val="5609E1F3"/>
    <w:rsid w:val="58B74822"/>
    <w:rsid w:val="62D59F0A"/>
    <w:rsid w:val="64166543"/>
    <w:rsid w:val="6A7F416E"/>
    <w:rsid w:val="6EB74294"/>
    <w:rsid w:val="76691C9C"/>
    <w:rsid w:val="7E5DD5AC"/>
    <w:rsid w:val="7FF4E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9E1F3"/>
  <w15:chartTrackingRefBased/>
  <w15:docId w15:val="{F977E324-CD8B-4FFD-A8D4-1421166121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1760C5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1760C5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1760C5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1760C5C"/>
    <w:pPr>
      <w:spacing/>
      <w:ind w:left="720"/>
      <w:contextualSpacing/>
    </w:pPr>
  </w:style>
  <w:style w:type="character" w:styleId="Hyperlink">
    <w:uiPriority w:val="99"/>
    <w:name w:val="Hyperlink"/>
    <w:basedOn w:val="DefaultParagraphFont"/>
    <w:unhideWhenUsed/>
    <w:rsid w:val="51760C5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mbridge.org/core/books/brexit-and-trade/3CFE2C91C5E9F2F4D403BBB6D57FA1C8" TargetMode="External" Id="R08669265c5354133" /><Relationship Type="http://schemas.openxmlformats.org/officeDocument/2006/relationships/hyperlink" Target="https://www.sciencedirect.com/science/article/abs/pii/S0022199623000907" TargetMode="External" Id="Rc39407ea71e84833" /><Relationship Type="http://schemas.openxmlformats.org/officeDocument/2006/relationships/hyperlink" Target="https://global.oup.com/academic/product/the-great-convergence-revisited-9780198852422" TargetMode="External" Id="R83ced580ecd8465a" /><Relationship Type="http://schemas.openxmlformats.org/officeDocument/2006/relationships/hyperlink" Target="https://www.pearson.com/en-gb/subject-catalog/p/logistics-and-supply-chain-management/P200000003853/9781292349440" TargetMode="External" Id="Ra53501f64a0b498b" /><Relationship Type="http://schemas.openxmlformats.org/officeDocument/2006/relationships/hyperlink" Target="https://sloanreview.mit.edu/article/how-ai-will-change-retail/" TargetMode="External" Id="Re84cddb370be4223" /><Relationship Type="http://schemas.openxmlformats.org/officeDocument/2006/relationships/hyperlink" Target="https://hbr.org/2019/05/the-investor-revolution" TargetMode="External" Id="R5b05c41ad73048b6" /><Relationship Type="http://schemas.openxmlformats.org/officeDocument/2006/relationships/hyperlink" Target="https://www.mheducation.com/highered/product/global-business-today-hill-hult/M9781264061537.html" TargetMode="External" Id="Rd3c72fa7a1f7469d" /><Relationship Type="http://schemas.openxmlformats.org/officeDocument/2006/relationships/hyperlink" Target="https://www.ilo.org/global/publications/research-papers/WCMS_864672/lang%E2%80%93en/index.htm" TargetMode="External" Id="Ra267771ca0034ee2" /><Relationship Type="http://schemas.openxmlformats.org/officeDocument/2006/relationships/hyperlink" Target="https://www.mckinsey.com/capabilities/quantumblack/our-insights/global-survey-the-state-of-ai-in-2023" TargetMode="External" Id="R1e412aca8dd2400c" /><Relationship Type="http://schemas.openxmlformats.org/officeDocument/2006/relationships/hyperlink" Target="https://www.oecd.org/corporate/responsible-business-conduct-and-due-diligence/" TargetMode="External" Id="R5a25e14506904118" /><Relationship Type="http://schemas.openxmlformats.org/officeDocument/2006/relationships/hyperlink" Target="https://www.routledge.com/International-Business/Rugman-Verbeke/p/book/9781138650256" TargetMode="External" Id="Redce7099106d4c58" /><Relationship Type="http://schemas.openxmlformats.org/officeDocument/2006/relationships/hyperlink" Target="https://www.pearson.com/en-us/subject-catalog/p/international-business-the-challenges-of-globalization/P200000004363" TargetMode="External" Id="Rd1e554f729bd4cc6" /><Relationship Type="http://schemas.microsoft.com/office/2020/10/relationships/intelligence" Target="/word/intelligence2.xml" Id="R580e641be40042e7" /><Relationship Type="http://schemas.openxmlformats.org/officeDocument/2006/relationships/numbering" Target="/word/numbering.xml" Id="R4648fed7d6ac432e" /><Relationship Type="http://schemas.openxmlformats.org/officeDocument/2006/relationships/image" Target="/media/image.png" Id="rId12858352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Safdar (2313180)</dc:creator>
  <keywords/>
  <dc:description/>
  <lastModifiedBy>Sadaf Safdar (2313180)</lastModifiedBy>
  <revision>4</revision>
  <dcterms:created xsi:type="dcterms:W3CDTF">2025-11-20T12:30:50.1981256Z</dcterms:created>
  <dcterms:modified xsi:type="dcterms:W3CDTF">2025-11-20T22:45:33.8331526Z</dcterms:modified>
</coreProperties>
</file>