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FDEB8" w14:textId="77777777" w:rsidR="00B1557A" w:rsidRPr="003A306B" w:rsidRDefault="00B1557A" w:rsidP="00B1557A">
      <w:pPr>
        <w:spacing w:after="240" w:line="360" w:lineRule="auto"/>
        <w:jc w:val="center"/>
        <w:rPr>
          <w:b/>
          <w:spacing w:val="-2"/>
          <w:sz w:val="32"/>
          <w:szCs w:val="32"/>
        </w:rPr>
      </w:pPr>
    </w:p>
    <w:p w14:paraId="0AFFEE6C" w14:textId="77777777" w:rsidR="00B1557A" w:rsidRPr="003A306B" w:rsidRDefault="00B1557A" w:rsidP="00B1557A">
      <w:pPr>
        <w:spacing w:after="240" w:line="360" w:lineRule="auto"/>
        <w:jc w:val="center"/>
        <w:rPr>
          <w:b/>
          <w:spacing w:val="-2"/>
          <w:sz w:val="32"/>
          <w:szCs w:val="32"/>
        </w:rPr>
      </w:pPr>
    </w:p>
    <w:p w14:paraId="176A53D8" w14:textId="77777777" w:rsidR="00B1557A" w:rsidRPr="003A306B" w:rsidRDefault="00B1557A" w:rsidP="00B1557A">
      <w:pPr>
        <w:spacing w:after="240" w:line="360" w:lineRule="auto"/>
        <w:jc w:val="center"/>
        <w:rPr>
          <w:b/>
          <w:spacing w:val="-2"/>
          <w:sz w:val="32"/>
          <w:szCs w:val="32"/>
        </w:rPr>
      </w:pPr>
    </w:p>
    <w:p w14:paraId="651F3831" w14:textId="77777777" w:rsidR="00B1557A" w:rsidRPr="003A306B" w:rsidRDefault="00B1557A" w:rsidP="00B1557A">
      <w:pPr>
        <w:spacing w:after="240" w:line="360" w:lineRule="auto"/>
        <w:jc w:val="center"/>
        <w:rPr>
          <w:b/>
          <w:spacing w:val="-2"/>
          <w:sz w:val="32"/>
          <w:szCs w:val="32"/>
        </w:rPr>
      </w:pPr>
    </w:p>
    <w:p w14:paraId="79BBAEE0" w14:textId="77777777" w:rsidR="00B1557A" w:rsidRPr="003A306B" w:rsidRDefault="00B1557A" w:rsidP="00B1557A">
      <w:pPr>
        <w:spacing w:after="240" w:line="360" w:lineRule="auto"/>
        <w:jc w:val="center"/>
        <w:rPr>
          <w:b/>
          <w:spacing w:val="-2"/>
          <w:sz w:val="32"/>
          <w:szCs w:val="32"/>
        </w:rPr>
      </w:pPr>
    </w:p>
    <w:p w14:paraId="3030C9FA" w14:textId="71E3C449" w:rsidR="00B1557A" w:rsidRPr="003B7953" w:rsidRDefault="00C61A6E" w:rsidP="00B1557A">
      <w:pPr>
        <w:spacing w:after="240" w:line="360" w:lineRule="auto"/>
        <w:jc w:val="center"/>
        <w:rPr>
          <w:rFonts w:eastAsia="Times New Roman"/>
          <w:b/>
          <w:bCs/>
          <w:sz w:val="32"/>
          <w:szCs w:val="32"/>
          <w:lang w:val="en-GB"/>
        </w:rPr>
      </w:pPr>
      <w:proofErr w:type="spellStart"/>
      <w:r w:rsidRPr="003B7953">
        <w:rPr>
          <w:b/>
          <w:spacing w:val="-2"/>
          <w:sz w:val="32"/>
          <w:szCs w:val="32"/>
        </w:rPr>
        <w:t>Programme</w:t>
      </w:r>
      <w:proofErr w:type="spellEnd"/>
      <w:r w:rsidRPr="003B7953">
        <w:rPr>
          <w:rFonts w:eastAsia="Times New Roman"/>
          <w:b/>
          <w:bCs/>
          <w:sz w:val="32"/>
          <w:szCs w:val="32"/>
          <w:lang w:val="en-GB"/>
        </w:rPr>
        <w:t>:</w:t>
      </w:r>
      <w:r w:rsidRPr="003B7953">
        <w:rPr>
          <w:b/>
          <w:sz w:val="32"/>
          <w:szCs w:val="32"/>
        </w:rPr>
        <w:t xml:space="preserve"> Master</w:t>
      </w:r>
      <w:r w:rsidRPr="003B7953">
        <w:rPr>
          <w:b/>
          <w:spacing w:val="-6"/>
          <w:sz w:val="32"/>
          <w:szCs w:val="32"/>
        </w:rPr>
        <w:t xml:space="preserve"> </w:t>
      </w:r>
      <w:r w:rsidRPr="003B7953">
        <w:rPr>
          <w:b/>
          <w:sz w:val="32"/>
          <w:szCs w:val="32"/>
        </w:rPr>
        <w:t>of</w:t>
      </w:r>
      <w:r w:rsidRPr="003B7953">
        <w:rPr>
          <w:b/>
          <w:spacing w:val="-4"/>
          <w:sz w:val="32"/>
          <w:szCs w:val="32"/>
        </w:rPr>
        <w:t xml:space="preserve"> </w:t>
      </w:r>
      <w:r w:rsidRPr="003B7953">
        <w:rPr>
          <w:b/>
          <w:sz w:val="32"/>
          <w:szCs w:val="32"/>
        </w:rPr>
        <w:t>Business</w:t>
      </w:r>
      <w:r w:rsidRPr="003B7953">
        <w:rPr>
          <w:b/>
          <w:spacing w:val="-8"/>
          <w:sz w:val="32"/>
          <w:szCs w:val="32"/>
        </w:rPr>
        <w:t xml:space="preserve"> </w:t>
      </w:r>
      <w:r w:rsidRPr="003B7953">
        <w:rPr>
          <w:b/>
          <w:spacing w:val="-2"/>
          <w:sz w:val="32"/>
          <w:szCs w:val="32"/>
        </w:rPr>
        <w:t>Administration</w:t>
      </w:r>
    </w:p>
    <w:p w14:paraId="5AC1465F" w14:textId="77777777" w:rsidR="00B1557A" w:rsidRPr="003B7953" w:rsidRDefault="00C61A6E" w:rsidP="00B1557A">
      <w:pPr>
        <w:spacing w:after="240" w:line="360" w:lineRule="auto"/>
        <w:jc w:val="center"/>
        <w:rPr>
          <w:rFonts w:eastAsia="Times New Roman"/>
          <w:b/>
          <w:bCs/>
          <w:sz w:val="32"/>
          <w:szCs w:val="32"/>
          <w:lang w:val="en-GB"/>
        </w:rPr>
      </w:pPr>
      <w:r w:rsidRPr="003B7953">
        <w:rPr>
          <w:b/>
          <w:spacing w:val="-2"/>
          <w:sz w:val="32"/>
          <w:szCs w:val="32"/>
        </w:rPr>
        <w:t xml:space="preserve">Module: </w:t>
      </w:r>
      <w:r w:rsidRPr="003B7953">
        <w:rPr>
          <w:b/>
          <w:sz w:val="32"/>
          <w:szCs w:val="32"/>
        </w:rPr>
        <w:t>Marketing</w:t>
      </w:r>
      <w:r w:rsidRPr="003B7953">
        <w:rPr>
          <w:b/>
          <w:spacing w:val="-6"/>
          <w:sz w:val="32"/>
          <w:szCs w:val="32"/>
        </w:rPr>
        <w:t xml:space="preserve"> </w:t>
      </w:r>
      <w:r w:rsidRPr="003B7953">
        <w:rPr>
          <w:b/>
          <w:spacing w:val="-2"/>
          <w:sz w:val="32"/>
          <w:szCs w:val="32"/>
        </w:rPr>
        <w:t>Management</w:t>
      </w:r>
    </w:p>
    <w:p w14:paraId="43B5A073" w14:textId="77777777" w:rsidR="003B7953" w:rsidRPr="003B7953" w:rsidRDefault="00C61A6E" w:rsidP="00B1557A">
      <w:pPr>
        <w:spacing w:after="240" w:line="360" w:lineRule="auto"/>
        <w:jc w:val="center"/>
        <w:rPr>
          <w:b/>
          <w:spacing w:val="-2"/>
          <w:sz w:val="32"/>
          <w:szCs w:val="32"/>
        </w:rPr>
      </w:pPr>
      <w:r w:rsidRPr="003B7953">
        <w:rPr>
          <w:b/>
          <w:sz w:val="32"/>
          <w:szCs w:val="32"/>
        </w:rPr>
        <w:t>Module</w:t>
      </w:r>
      <w:r w:rsidRPr="003B7953">
        <w:rPr>
          <w:b/>
          <w:spacing w:val="-8"/>
          <w:sz w:val="32"/>
          <w:szCs w:val="32"/>
        </w:rPr>
        <w:t xml:space="preserve"> </w:t>
      </w:r>
      <w:r w:rsidRPr="003B7953">
        <w:rPr>
          <w:b/>
          <w:spacing w:val="-2"/>
          <w:sz w:val="32"/>
          <w:szCs w:val="32"/>
        </w:rPr>
        <w:t xml:space="preserve">Code: </w:t>
      </w:r>
      <w:r w:rsidR="003B7953" w:rsidRPr="003B7953">
        <w:rPr>
          <w:b/>
          <w:spacing w:val="-2"/>
          <w:sz w:val="32"/>
          <w:szCs w:val="32"/>
        </w:rPr>
        <w:t>LCMB7024</w:t>
      </w:r>
    </w:p>
    <w:p w14:paraId="29D931DF" w14:textId="77777777" w:rsidR="003B7953" w:rsidRDefault="00C61A6E" w:rsidP="00B1557A">
      <w:pPr>
        <w:spacing w:after="240" w:line="360" w:lineRule="auto"/>
        <w:jc w:val="center"/>
        <w:rPr>
          <w:b/>
          <w:sz w:val="32"/>
          <w:szCs w:val="32"/>
        </w:rPr>
      </w:pPr>
      <w:r w:rsidRPr="003B7953">
        <w:rPr>
          <w:b/>
          <w:spacing w:val="-2"/>
          <w:sz w:val="32"/>
          <w:szCs w:val="32"/>
        </w:rPr>
        <w:t xml:space="preserve">Topic: </w:t>
      </w:r>
      <w:r w:rsidRPr="003B7953">
        <w:rPr>
          <w:b/>
          <w:sz w:val="32"/>
          <w:szCs w:val="32"/>
        </w:rPr>
        <w:t>Marketing Environment Analysis and Strategic Growth for Codelco's Lower-Carbon Transition</w:t>
      </w:r>
    </w:p>
    <w:p w14:paraId="0C5B068A" w14:textId="788FC30E" w:rsidR="003B7953" w:rsidRDefault="003B7953" w:rsidP="00B1557A">
      <w:pPr>
        <w:spacing w:after="240" w:line="360" w:lineRule="auto"/>
        <w:jc w:val="center"/>
        <w:rPr>
          <w:b/>
          <w:sz w:val="32"/>
          <w:szCs w:val="32"/>
        </w:rPr>
      </w:pPr>
      <w:r>
        <w:rPr>
          <w:b/>
          <w:sz w:val="32"/>
          <w:szCs w:val="32"/>
        </w:rPr>
        <w:t>Student name:</w:t>
      </w:r>
      <w:r w:rsidR="00B85F3E">
        <w:rPr>
          <w:b/>
          <w:sz w:val="32"/>
          <w:szCs w:val="32"/>
        </w:rPr>
        <w:t xml:space="preserve"> </w:t>
      </w:r>
      <w:proofErr w:type="spellStart"/>
      <w:r w:rsidR="00C741D7">
        <w:rPr>
          <w:b/>
          <w:sz w:val="32"/>
          <w:szCs w:val="32"/>
        </w:rPr>
        <w:t>Chocha</w:t>
      </w:r>
      <w:proofErr w:type="spellEnd"/>
      <w:r w:rsidR="00C741D7">
        <w:rPr>
          <w:b/>
          <w:sz w:val="32"/>
          <w:szCs w:val="32"/>
        </w:rPr>
        <w:t xml:space="preserve"> </w:t>
      </w:r>
      <w:r w:rsidR="00B04263">
        <w:rPr>
          <w:b/>
          <w:sz w:val="32"/>
          <w:szCs w:val="32"/>
        </w:rPr>
        <w:t xml:space="preserve">Neha </w:t>
      </w:r>
      <w:proofErr w:type="spellStart"/>
      <w:r w:rsidR="003B5205">
        <w:rPr>
          <w:b/>
          <w:sz w:val="32"/>
          <w:szCs w:val="32"/>
        </w:rPr>
        <w:t>Ramshibhai</w:t>
      </w:r>
      <w:proofErr w:type="spellEnd"/>
    </w:p>
    <w:p w14:paraId="1B169D66" w14:textId="449557FF" w:rsidR="00D9633D" w:rsidRDefault="003B7953" w:rsidP="00B1557A">
      <w:pPr>
        <w:spacing w:after="240" w:line="360" w:lineRule="auto"/>
        <w:jc w:val="center"/>
        <w:rPr>
          <w:b/>
          <w:sz w:val="32"/>
          <w:szCs w:val="32"/>
        </w:rPr>
      </w:pPr>
      <w:r>
        <w:rPr>
          <w:b/>
          <w:sz w:val="32"/>
          <w:szCs w:val="32"/>
        </w:rPr>
        <w:t xml:space="preserve">Student id: </w:t>
      </w:r>
      <w:r w:rsidR="003B5205">
        <w:rPr>
          <w:b/>
          <w:sz w:val="32"/>
          <w:szCs w:val="32"/>
        </w:rPr>
        <w:t>2542712</w:t>
      </w:r>
    </w:p>
    <w:p w14:paraId="124952DC" w14:textId="11E52CF0" w:rsidR="003B5205" w:rsidRDefault="003B2F4E" w:rsidP="00B1557A">
      <w:pPr>
        <w:spacing w:after="240" w:line="360" w:lineRule="auto"/>
        <w:jc w:val="center"/>
        <w:rPr>
          <w:b/>
          <w:sz w:val="32"/>
          <w:szCs w:val="32"/>
        </w:rPr>
      </w:pPr>
      <w:r>
        <w:rPr>
          <w:b/>
          <w:sz w:val="32"/>
          <w:szCs w:val="32"/>
        </w:rPr>
        <w:t>Lectu</w:t>
      </w:r>
      <w:r w:rsidR="00BC28DA">
        <w:rPr>
          <w:b/>
          <w:sz w:val="32"/>
          <w:szCs w:val="32"/>
        </w:rPr>
        <w:t>rer</w:t>
      </w:r>
      <w:r w:rsidR="001649DD">
        <w:rPr>
          <w:b/>
          <w:sz w:val="32"/>
          <w:szCs w:val="32"/>
        </w:rPr>
        <w:t xml:space="preserve">: </w:t>
      </w:r>
      <w:r w:rsidR="00704302">
        <w:rPr>
          <w:b/>
          <w:sz w:val="32"/>
          <w:szCs w:val="32"/>
        </w:rPr>
        <w:t>Lai</w:t>
      </w:r>
      <w:r w:rsidR="009A3AF0">
        <w:rPr>
          <w:b/>
          <w:sz w:val="32"/>
          <w:szCs w:val="32"/>
        </w:rPr>
        <w:t xml:space="preserve">la </w:t>
      </w:r>
      <w:proofErr w:type="spellStart"/>
      <w:r w:rsidR="009A3AF0">
        <w:rPr>
          <w:b/>
          <w:sz w:val="32"/>
          <w:szCs w:val="32"/>
        </w:rPr>
        <w:t>Maa</w:t>
      </w:r>
      <w:r w:rsidR="0049200D">
        <w:rPr>
          <w:b/>
          <w:sz w:val="32"/>
          <w:szCs w:val="32"/>
        </w:rPr>
        <w:t>zo</w:t>
      </w:r>
      <w:r w:rsidR="004D2E56">
        <w:rPr>
          <w:b/>
          <w:sz w:val="32"/>
          <w:szCs w:val="32"/>
        </w:rPr>
        <w:t>uz</w:t>
      </w:r>
      <w:proofErr w:type="spellEnd"/>
    </w:p>
    <w:p w14:paraId="4DA10D8C" w14:textId="77777777" w:rsidR="00D9633D" w:rsidRDefault="00D9633D">
      <w:pPr>
        <w:rPr>
          <w:b/>
          <w:sz w:val="32"/>
          <w:szCs w:val="32"/>
        </w:rPr>
      </w:pPr>
      <w:r>
        <w:rPr>
          <w:b/>
          <w:sz w:val="32"/>
          <w:szCs w:val="32"/>
        </w:rPr>
        <w:br w:type="page"/>
      </w:r>
    </w:p>
    <w:sdt>
      <w:sdtPr>
        <w:rPr>
          <w:rFonts w:ascii="Arial" w:eastAsia="Arial" w:hAnsi="Arial" w:cs="Arial"/>
          <w:color w:val="auto"/>
          <w:sz w:val="22"/>
          <w:szCs w:val="22"/>
        </w:rPr>
        <w:id w:val="1193502246"/>
        <w:docPartObj>
          <w:docPartGallery w:val="Table of Contents"/>
          <w:docPartUnique/>
        </w:docPartObj>
      </w:sdtPr>
      <w:sdtEndPr>
        <w:rPr>
          <w:b/>
          <w:bCs/>
          <w:noProof/>
        </w:rPr>
      </w:sdtEndPr>
      <w:sdtContent>
        <w:p w14:paraId="3691963E" w14:textId="77777777" w:rsidR="00D9633D" w:rsidRPr="00C61A6E" w:rsidRDefault="00D9633D" w:rsidP="00C61A6E">
          <w:pPr>
            <w:pStyle w:val="TOCHeading"/>
            <w:spacing w:before="0" w:after="240" w:line="360" w:lineRule="auto"/>
            <w:jc w:val="center"/>
            <w:rPr>
              <w:rFonts w:ascii="Arial" w:hAnsi="Arial" w:cs="Arial"/>
              <w:b/>
              <w:color w:val="000000" w:themeColor="text1"/>
              <w:sz w:val="28"/>
              <w:szCs w:val="24"/>
            </w:rPr>
          </w:pPr>
          <w:r w:rsidRPr="00C61A6E">
            <w:rPr>
              <w:rFonts w:ascii="Arial" w:hAnsi="Arial" w:cs="Arial"/>
              <w:b/>
              <w:color w:val="000000" w:themeColor="text1"/>
              <w:sz w:val="28"/>
              <w:szCs w:val="24"/>
            </w:rPr>
            <w:t>Table of Contents</w:t>
          </w:r>
        </w:p>
        <w:p w14:paraId="0A3D8EF6" w14:textId="77777777" w:rsidR="00775841" w:rsidRPr="00775841" w:rsidRDefault="00D9633D" w:rsidP="00775841">
          <w:pPr>
            <w:pStyle w:val="TOC1"/>
            <w:tabs>
              <w:tab w:val="right" w:leader="dot" w:pos="9019"/>
            </w:tabs>
            <w:spacing w:line="240" w:lineRule="auto"/>
            <w:jc w:val="both"/>
            <w:rPr>
              <w:rFonts w:eastAsiaTheme="minorEastAsia"/>
              <w:noProof/>
              <w:sz w:val="24"/>
              <w:szCs w:val="24"/>
            </w:rPr>
          </w:pPr>
          <w:r w:rsidRPr="00775841">
            <w:rPr>
              <w:sz w:val="24"/>
              <w:szCs w:val="24"/>
            </w:rPr>
            <w:fldChar w:fldCharType="begin"/>
          </w:r>
          <w:r w:rsidRPr="00775841">
            <w:rPr>
              <w:sz w:val="24"/>
              <w:szCs w:val="24"/>
            </w:rPr>
            <w:instrText xml:space="preserve"> TOC \o "1-3" \h \z \u </w:instrText>
          </w:r>
          <w:r w:rsidRPr="00775841">
            <w:rPr>
              <w:sz w:val="24"/>
              <w:szCs w:val="24"/>
            </w:rPr>
            <w:fldChar w:fldCharType="separate"/>
          </w:r>
          <w:hyperlink w:anchor="_Toc234681924" w:history="1">
            <w:r w:rsidR="00775841" w:rsidRPr="00775841">
              <w:rPr>
                <w:rStyle w:val="Hyperlink"/>
                <w:noProof/>
                <w:sz w:val="24"/>
                <w:szCs w:val="24"/>
              </w:rPr>
              <w:t>Task 1: Marketing Environment Analysis</w:t>
            </w:r>
            <w:r w:rsidR="00775841" w:rsidRPr="00775841">
              <w:rPr>
                <w:noProof/>
                <w:webHidden/>
                <w:sz w:val="24"/>
                <w:szCs w:val="24"/>
              </w:rPr>
              <w:tab/>
            </w:r>
            <w:r w:rsidR="00775841" w:rsidRPr="00775841">
              <w:rPr>
                <w:noProof/>
                <w:webHidden/>
                <w:sz w:val="24"/>
                <w:szCs w:val="24"/>
              </w:rPr>
              <w:fldChar w:fldCharType="begin"/>
            </w:r>
            <w:r w:rsidR="00775841" w:rsidRPr="00775841">
              <w:rPr>
                <w:noProof/>
                <w:webHidden/>
                <w:sz w:val="24"/>
                <w:szCs w:val="24"/>
              </w:rPr>
              <w:instrText xml:space="preserve"> PAGEREF _Toc234681924 \h </w:instrText>
            </w:r>
            <w:r w:rsidR="00775841" w:rsidRPr="00775841">
              <w:rPr>
                <w:noProof/>
                <w:webHidden/>
                <w:sz w:val="24"/>
                <w:szCs w:val="24"/>
              </w:rPr>
            </w:r>
            <w:r w:rsidR="00775841" w:rsidRPr="00775841">
              <w:rPr>
                <w:noProof/>
                <w:webHidden/>
                <w:sz w:val="24"/>
                <w:szCs w:val="24"/>
              </w:rPr>
              <w:fldChar w:fldCharType="separate"/>
            </w:r>
            <w:r w:rsidR="00C61A6E">
              <w:rPr>
                <w:noProof/>
                <w:webHidden/>
                <w:sz w:val="24"/>
                <w:szCs w:val="24"/>
              </w:rPr>
              <w:t>3</w:t>
            </w:r>
            <w:r w:rsidR="00775841" w:rsidRPr="00775841">
              <w:rPr>
                <w:noProof/>
                <w:webHidden/>
                <w:sz w:val="24"/>
                <w:szCs w:val="24"/>
              </w:rPr>
              <w:fldChar w:fldCharType="end"/>
            </w:r>
          </w:hyperlink>
        </w:p>
        <w:p w14:paraId="76A21CF3" w14:textId="77777777" w:rsidR="00775841" w:rsidRPr="00775841" w:rsidRDefault="00775841" w:rsidP="00775841">
          <w:pPr>
            <w:pStyle w:val="TOC2"/>
            <w:tabs>
              <w:tab w:val="right" w:leader="dot" w:pos="9019"/>
            </w:tabs>
            <w:spacing w:line="240" w:lineRule="auto"/>
            <w:jc w:val="both"/>
            <w:rPr>
              <w:rFonts w:eastAsiaTheme="minorEastAsia"/>
              <w:noProof/>
              <w:sz w:val="24"/>
              <w:szCs w:val="24"/>
            </w:rPr>
          </w:pPr>
          <w:hyperlink w:anchor="_Toc234681925" w:history="1">
            <w:r w:rsidRPr="00775841">
              <w:rPr>
                <w:rStyle w:val="Hyperlink"/>
                <w:noProof/>
                <w:sz w:val="24"/>
                <w:szCs w:val="24"/>
                <w:lang w:val="en-GB"/>
              </w:rPr>
              <w:t>1.1 Company Selection and Context</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_Toc234681925 \h </w:instrText>
            </w:r>
            <w:r w:rsidRPr="00775841">
              <w:rPr>
                <w:noProof/>
                <w:webHidden/>
                <w:sz w:val="24"/>
                <w:szCs w:val="24"/>
              </w:rPr>
            </w:r>
            <w:r w:rsidRPr="00775841">
              <w:rPr>
                <w:noProof/>
                <w:webHidden/>
                <w:sz w:val="24"/>
                <w:szCs w:val="24"/>
              </w:rPr>
              <w:fldChar w:fldCharType="separate"/>
            </w:r>
            <w:r w:rsidR="00C61A6E">
              <w:rPr>
                <w:noProof/>
                <w:webHidden/>
                <w:sz w:val="24"/>
                <w:szCs w:val="24"/>
              </w:rPr>
              <w:t>3</w:t>
            </w:r>
            <w:r w:rsidRPr="00775841">
              <w:rPr>
                <w:noProof/>
                <w:webHidden/>
                <w:sz w:val="24"/>
                <w:szCs w:val="24"/>
              </w:rPr>
              <w:fldChar w:fldCharType="end"/>
            </w:r>
          </w:hyperlink>
        </w:p>
        <w:p w14:paraId="443D8F36" w14:textId="77777777" w:rsidR="00775841" w:rsidRPr="00775841" w:rsidRDefault="00775841" w:rsidP="00775841">
          <w:pPr>
            <w:pStyle w:val="TOC2"/>
            <w:tabs>
              <w:tab w:val="right" w:leader="dot" w:pos="9019"/>
            </w:tabs>
            <w:spacing w:line="240" w:lineRule="auto"/>
            <w:jc w:val="both"/>
            <w:rPr>
              <w:rFonts w:eastAsiaTheme="minorEastAsia"/>
              <w:noProof/>
              <w:sz w:val="24"/>
              <w:szCs w:val="24"/>
            </w:rPr>
          </w:pPr>
          <w:hyperlink w:anchor="_Toc234681926" w:history="1">
            <w:r w:rsidRPr="00775841">
              <w:rPr>
                <w:rStyle w:val="Hyperlink"/>
                <w:noProof/>
                <w:sz w:val="24"/>
                <w:szCs w:val="24"/>
                <w:lang w:val="en-GB"/>
              </w:rPr>
              <w:t>1.2 External Marketing Environment Actor 1: Natural Environment</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_Toc234681926 \h </w:instrText>
            </w:r>
            <w:r w:rsidRPr="00775841">
              <w:rPr>
                <w:noProof/>
                <w:webHidden/>
                <w:sz w:val="24"/>
                <w:szCs w:val="24"/>
              </w:rPr>
            </w:r>
            <w:r w:rsidRPr="00775841">
              <w:rPr>
                <w:noProof/>
                <w:webHidden/>
                <w:sz w:val="24"/>
                <w:szCs w:val="24"/>
              </w:rPr>
              <w:fldChar w:fldCharType="separate"/>
            </w:r>
            <w:r w:rsidR="00C61A6E">
              <w:rPr>
                <w:noProof/>
                <w:webHidden/>
                <w:sz w:val="24"/>
                <w:szCs w:val="24"/>
              </w:rPr>
              <w:t>4</w:t>
            </w:r>
            <w:r w:rsidRPr="00775841">
              <w:rPr>
                <w:noProof/>
                <w:webHidden/>
                <w:sz w:val="24"/>
                <w:szCs w:val="24"/>
              </w:rPr>
              <w:fldChar w:fldCharType="end"/>
            </w:r>
          </w:hyperlink>
        </w:p>
        <w:p w14:paraId="08ABEAE7" w14:textId="77777777" w:rsidR="00775841" w:rsidRPr="00775841" w:rsidRDefault="00775841" w:rsidP="00775841">
          <w:pPr>
            <w:pStyle w:val="TOC2"/>
            <w:tabs>
              <w:tab w:val="right" w:leader="dot" w:pos="9019"/>
            </w:tabs>
            <w:spacing w:line="240" w:lineRule="auto"/>
            <w:jc w:val="both"/>
            <w:rPr>
              <w:rFonts w:eastAsiaTheme="minorEastAsia"/>
              <w:noProof/>
              <w:sz w:val="24"/>
              <w:szCs w:val="24"/>
            </w:rPr>
          </w:pPr>
          <w:hyperlink w:anchor="_Toc234681927" w:history="1">
            <w:r w:rsidRPr="00775841">
              <w:rPr>
                <w:rStyle w:val="Hyperlink"/>
                <w:noProof/>
                <w:sz w:val="24"/>
                <w:szCs w:val="24"/>
                <w:lang w:val="en-GB"/>
              </w:rPr>
              <w:t>1.3 External Marketing Environment Actor 2: Technological Environment</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_Toc234681927 \h </w:instrText>
            </w:r>
            <w:r w:rsidRPr="00775841">
              <w:rPr>
                <w:noProof/>
                <w:webHidden/>
                <w:sz w:val="24"/>
                <w:szCs w:val="24"/>
              </w:rPr>
            </w:r>
            <w:r w:rsidRPr="00775841">
              <w:rPr>
                <w:noProof/>
                <w:webHidden/>
                <w:sz w:val="24"/>
                <w:szCs w:val="24"/>
              </w:rPr>
              <w:fldChar w:fldCharType="separate"/>
            </w:r>
            <w:r w:rsidR="00C61A6E">
              <w:rPr>
                <w:noProof/>
                <w:webHidden/>
                <w:sz w:val="24"/>
                <w:szCs w:val="24"/>
              </w:rPr>
              <w:t>6</w:t>
            </w:r>
            <w:r w:rsidRPr="00775841">
              <w:rPr>
                <w:noProof/>
                <w:webHidden/>
                <w:sz w:val="24"/>
                <w:szCs w:val="24"/>
              </w:rPr>
              <w:fldChar w:fldCharType="end"/>
            </w:r>
          </w:hyperlink>
        </w:p>
        <w:p w14:paraId="465F630E" w14:textId="77777777" w:rsidR="00775841" w:rsidRPr="00775841" w:rsidRDefault="00775841" w:rsidP="00775841">
          <w:pPr>
            <w:pStyle w:val="TOC1"/>
            <w:tabs>
              <w:tab w:val="right" w:leader="dot" w:pos="9019"/>
            </w:tabs>
            <w:spacing w:line="240" w:lineRule="auto"/>
            <w:jc w:val="both"/>
            <w:rPr>
              <w:rFonts w:eastAsiaTheme="minorEastAsia"/>
              <w:noProof/>
              <w:sz w:val="24"/>
              <w:szCs w:val="24"/>
            </w:rPr>
          </w:pPr>
          <w:hyperlink w:anchor="_Toc234681928" w:history="1">
            <w:r w:rsidRPr="00775841">
              <w:rPr>
                <w:rStyle w:val="Hyperlink"/>
                <w:noProof/>
                <w:sz w:val="24"/>
                <w:szCs w:val="24"/>
              </w:rPr>
              <w:t>Task 2: Strategic Growth and Competitive Positioning</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_Toc234681928 \h </w:instrText>
            </w:r>
            <w:r w:rsidRPr="00775841">
              <w:rPr>
                <w:noProof/>
                <w:webHidden/>
                <w:sz w:val="24"/>
                <w:szCs w:val="24"/>
              </w:rPr>
            </w:r>
            <w:r w:rsidRPr="00775841">
              <w:rPr>
                <w:noProof/>
                <w:webHidden/>
                <w:sz w:val="24"/>
                <w:szCs w:val="24"/>
              </w:rPr>
              <w:fldChar w:fldCharType="separate"/>
            </w:r>
            <w:r w:rsidR="00C61A6E">
              <w:rPr>
                <w:noProof/>
                <w:webHidden/>
                <w:sz w:val="24"/>
                <w:szCs w:val="24"/>
              </w:rPr>
              <w:t>8</w:t>
            </w:r>
            <w:r w:rsidRPr="00775841">
              <w:rPr>
                <w:noProof/>
                <w:webHidden/>
                <w:sz w:val="24"/>
                <w:szCs w:val="24"/>
              </w:rPr>
              <w:fldChar w:fldCharType="end"/>
            </w:r>
          </w:hyperlink>
        </w:p>
        <w:p w14:paraId="5467E055" w14:textId="77777777" w:rsidR="00775841" w:rsidRPr="00775841" w:rsidRDefault="00775841" w:rsidP="00775841">
          <w:pPr>
            <w:pStyle w:val="TOC2"/>
            <w:tabs>
              <w:tab w:val="right" w:leader="dot" w:pos="9019"/>
            </w:tabs>
            <w:spacing w:line="240" w:lineRule="auto"/>
            <w:jc w:val="both"/>
            <w:rPr>
              <w:rFonts w:eastAsiaTheme="minorEastAsia"/>
              <w:noProof/>
              <w:sz w:val="24"/>
              <w:szCs w:val="24"/>
            </w:rPr>
          </w:pPr>
          <w:hyperlink w:anchor="_Toc234681929" w:history="1">
            <w:r w:rsidRPr="00775841">
              <w:rPr>
                <w:rStyle w:val="Hyperlink"/>
                <w:noProof/>
                <w:sz w:val="24"/>
                <w:szCs w:val="24"/>
                <w:lang w:val="en-GB"/>
              </w:rPr>
              <w:t>2.1 Strategic Growth Recommendation Using the Ansoff Matrix</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_Toc234681929 \h </w:instrText>
            </w:r>
            <w:r w:rsidRPr="00775841">
              <w:rPr>
                <w:noProof/>
                <w:webHidden/>
                <w:sz w:val="24"/>
                <w:szCs w:val="24"/>
              </w:rPr>
            </w:r>
            <w:r w:rsidRPr="00775841">
              <w:rPr>
                <w:noProof/>
                <w:webHidden/>
                <w:sz w:val="24"/>
                <w:szCs w:val="24"/>
              </w:rPr>
              <w:fldChar w:fldCharType="separate"/>
            </w:r>
            <w:r w:rsidR="00C61A6E">
              <w:rPr>
                <w:noProof/>
                <w:webHidden/>
                <w:sz w:val="24"/>
                <w:szCs w:val="24"/>
              </w:rPr>
              <w:t>8</w:t>
            </w:r>
            <w:r w:rsidRPr="00775841">
              <w:rPr>
                <w:noProof/>
                <w:webHidden/>
                <w:sz w:val="24"/>
                <w:szCs w:val="24"/>
              </w:rPr>
              <w:fldChar w:fldCharType="end"/>
            </w:r>
          </w:hyperlink>
        </w:p>
        <w:p w14:paraId="30160B53" w14:textId="77777777" w:rsidR="00775841" w:rsidRPr="00775841" w:rsidRDefault="00775841" w:rsidP="00775841">
          <w:pPr>
            <w:pStyle w:val="TOC2"/>
            <w:tabs>
              <w:tab w:val="right" w:leader="dot" w:pos="9019"/>
            </w:tabs>
            <w:spacing w:line="240" w:lineRule="auto"/>
            <w:jc w:val="both"/>
            <w:rPr>
              <w:rFonts w:eastAsiaTheme="minorEastAsia"/>
              <w:noProof/>
              <w:sz w:val="24"/>
              <w:szCs w:val="24"/>
            </w:rPr>
          </w:pPr>
          <w:hyperlink w:anchor="_Toc234681930" w:history="1">
            <w:r w:rsidRPr="00775841">
              <w:rPr>
                <w:rStyle w:val="Hyperlink"/>
                <w:noProof/>
                <w:sz w:val="24"/>
                <w:szCs w:val="24"/>
                <w:lang w:val="en-GB"/>
              </w:rPr>
              <w:t>2.2 Competitive Advantage Through a Lower-Carbon Business Model</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_Toc234681930 \h </w:instrText>
            </w:r>
            <w:r w:rsidRPr="00775841">
              <w:rPr>
                <w:noProof/>
                <w:webHidden/>
                <w:sz w:val="24"/>
                <w:szCs w:val="24"/>
              </w:rPr>
            </w:r>
            <w:r w:rsidRPr="00775841">
              <w:rPr>
                <w:noProof/>
                <w:webHidden/>
                <w:sz w:val="24"/>
                <w:szCs w:val="24"/>
              </w:rPr>
              <w:fldChar w:fldCharType="separate"/>
            </w:r>
            <w:r w:rsidR="00C61A6E">
              <w:rPr>
                <w:noProof/>
                <w:webHidden/>
                <w:sz w:val="24"/>
                <w:szCs w:val="24"/>
              </w:rPr>
              <w:t>10</w:t>
            </w:r>
            <w:r w:rsidRPr="00775841">
              <w:rPr>
                <w:noProof/>
                <w:webHidden/>
                <w:sz w:val="24"/>
                <w:szCs w:val="24"/>
              </w:rPr>
              <w:fldChar w:fldCharType="end"/>
            </w:r>
          </w:hyperlink>
        </w:p>
        <w:p w14:paraId="58BD3EF3" w14:textId="77777777" w:rsidR="00775841" w:rsidRPr="00775841" w:rsidRDefault="00775841" w:rsidP="00775841">
          <w:pPr>
            <w:pStyle w:val="TOC1"/>
            <w:tabs>
              <w:tab w:val="right" w:leader="dot" w:pos="9019"/>
            </w:tabs>
            <w:spacing w:line="240" w:lineRule="auto"/>
            <w:jc w:val="both"/>
            <w:rPr>
              <w:rFonts w:eastAsiaTheme="minorEastAsia"/>
              <w:noProof/>
              <w:sz w:val="24"/>
              <w:szCs w:val="24"/>
            </w:rPr>
          </w:pPr>
          <w:hyperlink w:anchor="_Toc234681931" w:history="1">
            <w:r w:rsidRPr="00775841">
              <w:rPr>
                <w:rStyle w:val="Hyperlink"/>
                <w:noProof/>
                <w:sz w:val="24"/>
                <w:szCs w:val="24"/>
              </w:rPr>
              <w:t>Task 3: Critical Reflection on AI Usage</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_Toc234681931 \h </w:instrText>
            </w:r>
            <w:r w:rsidRPr="00775841">
              <w:rPr>
                <w:noProof/>
                <w:webHidden/>
                <w:sz w:val="24"/>
                <w:szCs w:val="24"/>
              </w:rPr>
            </w:r>
            <w:r w:rsidRPr="00775841">
              <w:rPr>
                <w:noProof/>
                <w:webHidden/>
                <w:sz w:val="24"/>
                <w:szCs w:val="24"/>
              </w:rPr>
              <w:fldChar w:fldCharType="separate"/>
            </w:r>
            <w:r w:rsidR="00C61A6E">
              <w:rPr>
                <w:noProof/>
                <w:webHidden/>
                <w:sz w:val="24"/>
                <w:szCs w:val="24"/>
              </w:rPr>
              <w:t>12</w:t>
            </w:r>
            <w:r w:rsidRPr="00775841">
              <w:rPr>
                <w:noProof/>
                <w:webHidden/>
                <w:sz w:val="24"/>
                <w:szCs w:val="24"/>
              </w:rPr>
              <w:fldChar w:fldCharType="end"/>
            </w:r>
          </w:hyperlink>
        </w:p>
        <w:p w14:paraId="6F24DB46" w14:textId="77777777" w:rsidR="00775841" w:rsidRPr="00775841" w:rsidRDefault="00775841" w:rsidP="00775841">
          <w:pPr>
            <w:pStyle w:val="TOC2"/>
            <w:tabs>
              <w:tab w:val="right" w:leader="dot" w:pos="9019"/>
            </w:tabs>
            <w:spacing w:line="240" w:lineRule="auto"/>
            <w:jc w:val="both"/>
            <w:rPr>
              <w:rFonts w:eastAsiaTheme="minorEastAsia"/>
              <w:noProof/>
              <w:sz w:val="24"/>
              <w:szCs w:val="24"/>
            </w:rPr>
          </w:pPr>
          <w:hyperlink w:anchor="_Toc234681932" w:history="1">
            <w:r w:rsidRPr="00775841">
              <w:rPr>
                <w:rStyle w:val="Hyperlink"/>
                <w:noProof/>
                <w:sz w:val="24"/>
                <w:szCs w:val="24"/>
                <w:lang w:val="en-GB"/>
              </w:rPr>
              <w:t>3.1 Tool Disclosure</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_Toc234681932 \h </w:instrText>
            </w:r>
            <w:r w:rsidRPr="00775841">
              <w:rPr>
                <w:noProof/>
                <w:webHidden/>
                <w:sz w:val="24"/>
                <w:szCs w:val="24"/>
              </w:rPr>
            </w:r>
            <w:r w:rsidRPr="00775841">
              <w:rPr>
                <w:noProof/>
                <w:webHidden/>
                <w:sz w:val="24"/>
                <w:szCs w:val="24"/>
              </w:rPr>
              <w:fldChar w:fldCharType="separate"/>
            </w:r>
            <w:r w:rsidR="00C61A6E">
              <w:rPr>
                <w:noProof/>
                <w:webHidden/>
                <w:sz w:val="24"/>
                <w:szCs w:val="24"/>
              </w:rPr>
              <w:t>12</w:t>
            </w:r>
            <w:r w:rsidRPr="00775841">
              <w:rPr>
                <w:noProof/>
                <w:webHidden/>
                <w:sz w:val="24"/>
                <w:szCs w:val="24"/>
              </w:rPr>
              <w:fldChar w:fldCharType="end"/>
            </w:r>
          </w:hyperlink>
        </w:p>
        <w:p w14:paraId="73FCF4F4" w14:textId="77777777" w:rsidR="00775841" w:rsidRPr="00775841" w:rsidRDefault="00775841" w:rsidP="00775841">
          <w:pPr>
            <w:pStyle w:val="TOC2"/>
            <w:tabs>
              <w:tab w:val="right" w:leader="dot" w:pos="9019"/>
            </w:tabs>
            <w:spacing w:line="240" w:lineRule="auto"/>
            <w:jc w:val="both"/>
            <w:rPr>
              <w:rFonts w:eastAsiaTheme="minorEastAsia"/>
              <w:noProof/>
              <w:sz w:val="24"/>
              <w:szCs w:val="24"/>
            </w:rPr>
          </w:pPr>
          <w:hyperlink w:anchor="_Toc234681933" w:history="1">
            <w:r w:rsidRPr="00775841">
              <w:rPr>
                <w:rStyle w:val="Hyperlink"/>
                <w:noProof/>
                <w:sz w:val="24"/>
                <w:szCs w:val="24"/>
                <w:lang w:val="en-GB"/>
              </w:rPr>
              <w:t>3.2 Critical Evaluation of AI Output</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_Toc234681933 \h </w:instrText>
            </w:r>
            <w:r w:rsidRPr="00775841">
              <w:rPr>
                <w:noProof/>
                <w:webHidden/>
                <w:sz w:val="24"/>
                <w:szCs w:val="24"/>
              </w:rPr>
            </w:r>
            <w:r w:rsidRPr="00775841">
              <w:rPr>
                <w:noProof/>
                <w:webHidden/>
                <w:sz w:val="24"/>
                <w:szCs w:val="24"/>
              </w:rPr>
              <w:fldChar w:fldCharType="separate"/>
            </w:r>
            <w:r w:rsidR="00C61A6E">
              <w:rPr>
                <w:noProof/>
                <w:webHidden/>
                <w:sz w:val="24"/>
                <w:szCs w:val="24"/>
              </w:rPr>
              <w:t>13</w:t>
            </w:r>
            <w:r w:rsidRPr="00775841">
              <w:rPr>
                <w:noProof/>
                <w:webHidden/>
                <w:sz w:val="24"/>
                <w:szCs w:val="24"/>
              </w:rPr>
              <w:fldChar w:fldCharType="end"/>
            </w:r>
          </w:hyperlink>
        </w:p>
        <w:p w14:paraId="4A4E1D77" w14:textId="77777777" w:rsidR="00775841" w:rsidRPr="00775841" w:rsidRDefault="00775841" w:rsidP="00775841">
          <w:pPr>
            <w:pStyle w:val="TOC2"/>
            <w:tabs>
              <w:tab w:val="right" w:leader="dot" w:pos="9019"/>
            </w:tabs>
            <w:spacing w:line="240" w:lineRule="auto"/>
            <w:jc w:val="both"/>
            <w:rPr>
              <w:rFonts w:eastAsiaTheme="minorEastAsia"/>
              <w:noProof/>
              <w:sz w:val="24"/>
              <w:szCs w:val="24"/>
            </w:rPr>
          </w:pPr>
          <w:hyperlink w:anchor="_Toc234681934" w:history="1">
            <w:r w:rsidRPr="00775841">
              <w:rPr>
                <w:rStyle w:val="Hyperlink"/>
                <w:noProof/>
                <w:sz w:val="24"/>
                <w:szCs w:val="24"/>
                <w:lang w:val="en-GB"/>
              </w:rPr>
              <w:t>3.3 Contribution Analysis</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_Toc234681934 \h </w:instrText>
            </w:r>
            <w:r w:rsidRPr="00775841">
              <w:rPr>
                <w:noProof/>
                <w:webHidden/>
                <w:sz w:val="24"/>
                <w:szCs w:val="24"/>
              </w:rPr>
            </w:r>
            <w:r w:rsidRPr="00775841">
              <w:rPr>
                <w:noProof/>
                <w:webHidden/>
                <w:sz w:val="24"/>
                <w:szCs w:val="24"/>
              </w:rPr>
              <w:fldChar w:fldCharType="separate"/>
            </w:r>
            <w:r w:rsidR="00C61A6E">
              <w:rPr>
                <w:noProof/>
                <w:webHidden/>
                <w:sz w:val="24"/>
                <w:szCs w:val="24"/>
              </w:rPr>
              <w:t>13</w:t>
            </w:r>
            <w:r w:rsidRPr="00775841">
              <w:rPr>
                <w:noProof/>
                <w:webHidden/>
                <w:sz w:val="24"/>
                <w:szCs w:val="24"/>
              </w:rPr>
              <w:fldChar w:fldCharType="end"/>
            </w:r>
          </w:hyperlink>
        </w:p>
        <w:p w14:paraId="31CD3C91" w14:textId="77777777" w:rsidR="00775841" w:rsidRPr="00775841" w:rsidRDefault="00775841" w:rsidP="00775841">
          <w:pPr>
            <w:pStyle w:val="TOC2"/>
            <w:tabs>
              <w:tab w:val="right" w:leader="dot" w:pos="9019"/>
            </w:tabs>
            <w:spacing w:line="240" w:lineRule="auto"/>
            <w:jc w:val="both"/>
            <w:rPr>
              <w:rFonts w:eastAsiaTheme="minorEastAsia"/>
              <w:noProof/>
              <w:sz w:val="24"/>
              <w:szCs w:val="24"/>
            </w:rPr>
          </w:pPr>
          <w:hyperlink w:anchor="_Toc234681935" w:history="1">
            <w:r w:rsidRPr="00775841">
              <w:rPr>
                <w:rStyle w:val="Hyperlink"/>
                <w:noProof/>
                <w:sz w:val="24"/>
                <w:szCs w:val="24"/>
                <w:lang w:val="en-GB"/>
              </w:rPr>
              <w:t>3.4 Ethical and Professional Reflection</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_Toc234681935 \h </w:instrText>
            </w:r>
            <w:r w:rsidRPr="00775841">
              <w:rPr>
                <w:noProof/>
                <w:webHidden/>
                <w:sz w:val="24"/>
                <w:szCs w:val="24"/>
              </w:rPr>
            </w:r>
            <w:r w:rsidRPr="00775841">
              <w:rPr>
                <w:noProof/>
                <w:webHidden/>
                <w:sz w:val="24"/>
                <w:szCs w:val="24"/>
              </w:rPr>
              <w:fldChar w:fldCharType="separate"/>
            </w:r>
            <w:r w:rsidR="00C61A6E">
              <w:rPr>
                <w:noProof/>
                <w:webHidden/>
                <w:sz w:val="24"/>
                <w:szCs w:val="24"/>
              </w:rPr>
              <w:t>13</w:t>
            </w:r>
            <w:r w:rsidRPr="00775841">
              <w:rPr>
                <w:noProof/>
                <w:webHidden/>
                <w:sz w:val="24"/>
                <w:szCs w:val="24"/>
              </w:rPr>
              <w:fldChar w:fldCharType="end"/>
            </w:r>
          </w:hyperlink>
        </w:p>
        <w:p w14:paraId="29995474" w14:textId="77777777" w:rsidR="00775841" w:rsidRPr="00775841" w:rsidRDefault="00775841" w:rsidP="00775841">
          <w:pPr>
            <w:pStyle w:val="TOC1"/>
            <w:tabs>
              <w:tab w:val="right" w:leader="dot" w:pos="9019"/>
            </w:tabs>
            <w:spacing w:line="240" w:lineRule="auto"/>
            <w:jc w:val="both"/>
            <w:rPr>
              <w:rFonts w:eastAsiaTheme="minorEastAsia"/>
              <w:noProof/>
              <w:sz w:val="24"/>
              <w:szCs w:val="24"/>
            </w:rPr>
          </w:pPr>
          <w:hyperlink w:anchor="_Toc234681936" w:history="1">
            <w:r w:rsidRPr="00775841">
              <w:rPr>
                <w:rStyle w:val="Hyperlink"/>
                <w:noProof/>
                <w:sz w:val="24"/>
                <w:szCs w:val="24"/>
              </w:rPr>
              <w:t>References</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_Toc234681936 \h </w:instrText>
            </w:r>
            <w:r w:rsidRPr="00775841">
              <w:rPr>
                <w:noProof/>
                <w:webHidden/>
                <w:sz w:val="24"/>
                <w:szCs w:val="24"/>
              </w:rPr>
            </w:r>
            <w:r w:rsidRPr="00775841">
              <w:rPr>
                <w:noProof/>
                <w:webHidden/>
                <w:sz w:val="24"/>
                <w:szCs w:val="24"/>
              </w:rPr>
              <w:fldChar w:fldCharType="separate"/>
            </w:r>
            <w:r w:rsidR="00C61A6E">
              <w:rPr>
                <w:noProof/>
                <w:webHidden/>
                <w:sz w:val="24"/>
                <w:szCs w:val="24"/>
              </w:rPr>
              <w:t>14</w:t>
            </w:r>
            <w:r w:rsidRPr="00775841">
              <w:rPr>
                <w:noProof/>
                <w:webHidden/>
                <w:sz w:val="24"/>
                <w:szCs w:val="24"/>
              </w:rPr>
              <w:fldChar w:fldCharType="end"/>
            </w:r>
          </w:hyperlink>
        </w:p>
        <w:p w14:paraId="7A49AE71" w14:textId="77777777" w:rsidR="00775841" w:rsidRPr="00775841" w:rsidRDefault="00775841" w:rsidP="00775841">
          <w:pPr>
            <w:pStyle w:val="TOC1"/>
            <w:tabs>
              <w:tab w:val="right" w:leader="dot" w:pos="9019"/>
            </w:tabs>
            <w:spacing w:line="240" w:lineRule="auto"/>
            <w:jc w:val="both"/>
            <w:rPr>
              <w:rFonts w:eastAsiaTheme="minorEastAsia"/>
              <w:noProof/>
              <w:sz w:val="24"/>
              <w:szCs w:val="24"/>
            </w:rPr>
          </w:pPr>
          <w:hyperlink w:anchor="_Toc234681937" w:history="1">
            <w:r w:rsidRPr="00775841">
              <w:rPr>
                <w:rStyle w:val="Hyperlink"/>
                <w:noProof/>
                <w:sz w:val="24"/>
                <w:szCs w:val="24"/>
              </w:rPr>
              <w:t>Appendix 1: Drought and energy transforming production cost</w:t>
            </w:r>
            <w:r w:rsidRPr="00775841">
              <w:rPr>
                <w:noProof/>
                <w:webHidden/>
                <w:sz w:val="24"/>
                <w:szCs w:val="24"/>
              </w:rPr>
              <w:tab/>
            </w:r>
            <w:r w:rsidRPr="00775841">
              <w:rPr>
                <w:noProof/>
                <w:webHidden/>
                <w:sz w:val="24"/>
                <w:szCs w:val="24"/>
              </w:rPr>
              <w:fldChar w:fldCharType="begin"/>
            </w:r>
            <w:r w:rsidRPr="00775841">
              <w:rPr>
                <w:noProof/>
                <w:webHidden/>
                <w:sz w:val="24"/>
                <w:szCs w:val="24"/>
              </w:rPr>
              <w:instrText xml:space="preserve"> PAGEREF _Toc234681937 \h </w:instrText>
            </w:r>
            <w:r w:rsidRPr="00775841">
              <w:rPr>
                <w:noProof/>
                <w:webHidden/>
                <w:sz w:val="24"/>
                <w:szCs w:val="24"/>
              </w:rPr>
            </w:r>
            <w:r w:rsidRPr="00775841">
              <w:rPr>
                <w:noProof/>
                <w:webHidden/>
                <w:sz w:val="24"/>
                <w:szCs w:val="24"/>
              </w:rPr>
              <w:fldChar w:fldCharType="separate"/>
            </w:r>
            <w:r w:rsidR="00C61A6E">
              <w:rPr>
                <w:noProof/>
                <w:webHidden/>
                <w:sz w:val="24"/>
                <w:szCs w:val="24"/>
              </w:rPr>
              <w:t>19</w:t>
            </w:r>
            <w:r w:rsidRPr="00775841">
              <w:rPr>
                <w:noProof/>
                <w:webHidden/>
                <w:sz w:val="24"/>
                <w:szCs w:val="24"/>
              </w:rPr>
              <w:fldChar w:fldCharType="end"/>
            </w:r>
          </w:hyperlink>
        </w:p>
        <w:p w14:paraId="77B6301D" w14:textId="77777777" w:rsidR="00D9633D" w:rsidRDefault="00D9633D" w:rsidP="00775841">
          <w:pPr>
            <w:spacing w:line="240" w:lineRule="auto"/>
            <w:jc w:val="both"/>
          </w:pPr>
          <w:r w:rsidRPr="00775841">
            <w:rPr>
              <w:b/>
              <w:bCs/>
              <w:noProof/>
              <w:sz w:val="24"/>
              <w:szCs w:val="24"/>
            </w:rPr>
            <w:fldChar w:fldCharType="end"/>
          </w:r>
        </w:p>
      </w:sdtContent>
    </w:sdt>
    <w:p w14:paraId="2360CD89" w14:textId="77777777" w:rsidR="003B7953" w:rsidRPr="003B7953" w:rsidRDefault="003B7953" w:rsidP="00B1557A">
      <w:pPr>
        <w:spacing w:after="240" w:line="360" w:lineRule="auto"/>
        <w:jc w:val="center"/>
        <w:rPr>
          <w:b/>
          <w:sz w:val="32"/>
          <w:szCs w:val="32"/>
        </w:rPr>
      </w:pPr>
    </w:p>
    <w:p w14:paraId="53B9C421" w14:textId="77777777" w:rsidR="000C7DBC" w:rsidRPr="003A306B" w:rsidRDefault="000C7DBC" w:rsidP="00B1557A">
      <w:pPr>
        <w:spacing w:after="240" w:line="360" w:lineRule="auto"/>
        <w:jc w:val="center"/>
        <w:rPr>
          <w:rFonts w:eastAsia="Times New Roman"/>
          <w:b/>
          <w:bCs/>
          <w:sz w:val="24"/>
          <w:szCs w:val="24"/>
          <w:lang w:val="en-GB"/>
        </w:rPr>
      </w:pPr>
      <w:r w:rsidRPr="003A306B">
        <w:rPr>
          <w:rFonts w:eastAsia="Times New Roman"/>
          <w:b/>
          <w:bCs/>
          <w:sz w:val="24"/>
          <w:szCs w:val="24"/>
          <w:lang w:val="en-GB"/>
        </w:rPr>
        <w:br w:type="page"/>
      </w:r>
    </w:p>
    <w:p w14:paraId="18A60B25" w14:textId="77777777" w:rsidR="00F93CF2" w:rsidRPr="003A306B" w:rsidRDefault="00F94710" w:rsidP="000C7DBC">
      <w:pPr>
        <w:pStyle w:val="Heading1"/>
        <w:rPr>
          <w:rFonts w:cs="Arial"/>
        </w:rPr>
      </w:pPr>
      <w:bookmarkStart w:id="0" w:name="_Toc234681924"/>
      <w:r w:rsidRPr="003A306B">
        <w:rPr>
          <w:rFonts w:cs="Arial"/>
        </w:rPr>
        <w:lastRenderedPageBreak/>
        <w:t>Task 1: Marketing Environment Analysis</w:t>
      </w:r>
      <w:bookmarkEnd w:id="0"/>
      <w:r w:rsidRPr="003A306B">
        <w:rPr>
          <w:rFonts w:cs="Arial"/>
        </w:rPr>
        <w:t xml:space="preserve"> </w:t>
      </w:r>
    </w:p>
    <w:p w14:paraId="35064629" w14:textId="77777777" w:rsidR="00F93CF2" w:rsidRPr="003A306B" w:rsidRDefault="00F94710" w:rsidP="000C7DBC">
      <w:pPr>
        <w:pStyle w:val="Heading2"/>
        <w:rPr>
          <w:lang w:val="en-GB"/>
        </w:rPr>
      </w:pPr>
      <w:bookmarkStart w:id="1" w:name="_Toc234681925"/>
      <w:r w:rsidRPr="003A306B">
        <w:rPr>
          <w:lang w:val="en-GB"/>
        </w:rPr>
        <w:t>1.1 Company Selection and Context</w:t>
      </w:r>
      <w:bookmarkEnd w:id="1"/>
    </w:p>
    <w:p w14:paraId="4CBE63D1" w14:textId="77777777" w:rsidR="00F93CF2" w:rsidRPr="003A306B" w:rsidRDefault="00F94710">
      <w:pPr>
        <w:spacing w:after="200" w:line="360" w:lineRule="auto"/>
        <w:jc w:val="both"/>
        <w:rPr>
          <w:rFonts w:eastAsia="Times New Roman"/>
          <w:b/>
          <w:bCs/>
          <w:i/>
          <w:iCs/>
          <w:sz w:val="24"/>
          <w:szCs w:val="24"/>
          <w:lang w:val="en-GB"/>
        </w:rPr>
      </w:pPr>
      <w:r w:rsidRPr="003A306B">
        <w:rPr>
          <w:rFonts w:eastAsia="Times New Roman"/>
          <w:b/>
          <w:bCs/>
          <w:i/>
          <w:iCs/>
          <w:sz w:val="24"/>
          <w:szCs w:val="24"/>
          <w:lang w:val="en-GB"/>
        </w:rPr>
        <w:t>1.1.1 Company Overview</w:t>
      </w:r>
    </w:p>
    <w:p w14:paraId="3F08295C"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Codelco is Chile’s state-owned copper producer and the largest copper mining company in the world, which supplies around one quarter of the country’s export revenues through its operations incorporating Chuquicamata, El Teniente and Andina. As global demand for copper accelerated because of renewable energy systems, electric vehicles and power infrastructures, Codelco occupies a strategically important position in the energy transition. As a result, the company is increasingly aligning its mining operations as well as product portfolio with lower carbon production, responsible resource management and ultimately sustainability-driven market expectations.</w:t>
      </w:r>
    </w:p>
    <w:p w14:paraId="37277F7F" w14:textId="77777777" w:rsidR="00F93CF2" w:rsidRPr="003A306B" w:rsidRDefault="00F94710" w:rsidP="000C7DBC">
      <w:pPr>
        <w:spacing w:after="200" w:line="360" w:lineRule="auto"/>
        <w:jc w:val="center"/>
        <w:rPr>
          <w:rFonts w:eastAsia="Times New Roman"/>
          <w:sz w:val="24"/>
          <w:szCs w:val="24"/>
          <w:lang w:val="en-GB"/>
        </w:rPr>
      </w:pPr>
      <w:r w:rsidRPr="003A306B">
        <w:rPr>
          <w:rFonts w:eastAsia="Times New Roman"/>
          <w:noProof/>
          <w:sz w:val="24"/>
          <w:szCs w:val="24"/>
        </w:rPr>
        <w:drawing>
          <wp:inline distT="114300" distB="114300" distL="114300" distR="114300" wp14:anchorId="7577EA6C" wp14:editId="14692108">
            <wp:extent cx="3948113" cy="2629889"/>
            <wp:effectExtent l="76200" t="76200" r="128905" b="132715"/>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3948113" cy="26298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52F326" w14:textId="77777777" w:rsidR="00F93CF2" w:rsidRPr="003A306B" w:rsidRDefault="00F94710" w:rsidP="000C7DBC">
      <w:pPr>
        <w:pStyle w:val="Heading4"/>
        <w:rPr>
          <w:lang w:val="en-GB"/>
        </w:rPr>
      </w:pPr>
      <w:r w:rsidRPr="003A306B">
        <w:rPr>
          <w:lang w:val="en-GB"/>
        </w:rPr>
        <w:t>Figure 1: Codelco</w:t>
      </w:r>
    </w:p>
    <w:p w14:paraId="66469B45" w14:textId="77777777" w:rsidR="00F93CF2" w:rsidRPr="003A306B" w:rsidRDefault="00F94710" w:rsidP="000C7DBC">
      <w:pPr>
        <w:spacing w:after="200" w:line="360" w:lineRule="auto"/>
        <w:jc w:val="center"/>
        <w:rPr>
          <w:rFonts w:eastAsia="Times New Roman"/>
          <w:sz w:val="24"/>
          <w:szCs w:val="24"/>
          <w:lang w:val="en-GB"/>
        </w:rPr>
      </w:pPr>
      <w:r w:rsidRPr="003A306B">
        <w:rPr>
          <w:rFonts w:eastAsia="Times New Roman"/>
          <w:sz w:val="24"/>
          <w:szCs w:val="24"/>
          <w:lang w:val="en-GB"/>
        </w:rPr>
        <w:t>(Source: Rivera, 2026)</w:t>
      </w:r>
    </w:p>
    <w:p w14:paraId="3DBF9530" w14:textId="77777777" w:rsidR="00F93CF2" w:rsidRPr="003A306B" w:rsidRDefault="00F94710">
      <w:pPr>
        <w:spacing w:after="200" w:line="360" w:lineRule="auto"/>
        <w:jc w:val="both"/>
        <w:rPr>
          <w:rFonts w:eastAsia="Times New Roman"/>
          <w:b/>
          <w:bCs/>
          <w:i/>
          <w:iCs/>
          <w:sz w:val="24"/>
          <w:szCs w:val="24"/>
          <w:lang w:val="en-GB"/>
        </w:rPr>
      </w:pPr>
      <w:r w:rsidRPr="003A306B">
        <w:rPr>
          <w:rFonts w:eastAsia="Times New Roman"/>
          <w:b/>
          <w:bCs/>
          <w:i/>
          <w:iCs/>
          <w:sz w:val="24"/>
          <w:szCs w:val="24"/>
          <w:lang w:val="en-GB"/>
        </w:rPr>
        <w:t>1.1.2 Sustainability Context</w:t>
      </w:r>
    </w:p>
    <w:p w14:paraId="79CB1FAF" w14:textId="2531550C"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Codelco has successfully embedded sustainability into its long-term strategy through its Sustainable Development Commitments 2030, targeting a 70% </w:t>
      </w:r>
      <w:r w:rsidR="000C7DBC" w:rsidRPr="003A306B">
        <w:rPr>
          <w:rFonts w:eastAsia="Times New Roman"/>
          <w:sz w:val="24"/>
          <w:szCs w:val="24"/>
          <w:lang w:val="en-GB"/>
        </w:rPr>
        <w:t>reduction across</w:t>
      </w:r>
      <w:r w:rsidRPr="003A306B">
        <w:rPr>
          <w:rFonts w:eastAsia="Times New Roman"/>
          <w:sz w:val="24"/>
          <w:szCs w:val="24"/>
          <w:lang w:val="en-GB"/>
        </w:rPr>
        <w:t xml:space="preserve"> greenhouse gas emissions by 2030 (from a 2019 baseline) and finally attaining 100% </w:t>
      </w:r>
      <w:r w:rsidRPr="003A306B">
        <w:rPr>
          <w:rFonts w:eastAsia="Times New Roman"/>
          <w:sz w:val="24"/>
          <w:szCs w:val="24"/>
          <w:lang w:val="en-GB"/>
        </w:rPr>
        <w:lastRenderedPageBreak/>
        <w:t xml:space="preserve">renewable electricity within its Chilean operations, a milestone reached in the year 2023 (Codelco, 2026). The company is also investing in desalinated water infrastructure as well as advanced tailings management to address the water scarcity and environmental risks in Chile. These initiatives not only strengthen the business positioning of Codelco as a supplier of lower-carbon copper but also assist in meeting the growing sustainability expectations of electric vehicles, renewable energy and industrial customers. </w:t>
      </w:r>
    </w:p>
    <w:p w14:paraId="008B8732" w14:textId="77777777" w:rsidR="00F93CF2" w:rsidRPr="003A306B" w:rsidRDefault="00F94710" w:rsidP="000C7DBC">
      <w:pPr>
        <w:pStyle w:val="Heading2"/>
        <w:rPr>
          <w:lang w:val="en-GB"/>
        </w:rPr>
      </w:pPr>
      <w:bookmarkStart w:id="2" w:name="_Toc234681926"/>
      <w:r w:rsidRPr="003A306B">
        <w:rPr>
          <w:lang w:val="en-GB"/>
        </w:rPr>
        <w:t>1.2 External Marketing Environment Actor 1: Natural Environment</w:t>
      </w:r>
      <w:bookmarkEnd w:id="2"/>
      <w:r w:rsidRPr="003A306B">
        <w:rPr>
          <w:lang w:val="en-GB"/>
        </w:rPr>
        <w:t xml:space="preserve"> </w:t>
      </w:r>
    </w:p>
    <w:p w14:paraId="03CE3DFE" w14:textId="77777777" w:rsidR="00F93CF2" w:rsidRPr="003A306B" w:rsidRDefault="00F94710">
      <w:pPr>
        <w:spacing w:after="200" w:line="360" w:lineRule="auto"/>
        <w:jc w:val="both"/>
        <w:rPr>
          <w:rFonts w:eastAsia="Times New Roman"/>
          <w:b/>
          <w:bCs/>
          <w:i/>
          <w:iCs/>
          <w:sz w:val="24"/>
          <w:szCs w:val="24"/>
          <w:lang w:val="en-GB"/>
        </w:rPr>
      </w:pPr>
      <w:r w:rsidRPr="003A306B">
        <w:rPr>
          <w:rFonts w:eastAsia="Times New Roman"/>
          <w:b/>
          <w:bCs/>
          <w:i/>
          <w:iCs/>
          <w:sz w:val="24"/>
          <w:szCs w:val="24"/>
          <w:lang w:val="en-GB"/>
        </w:rPr>
        <w:t>1.2.1 Natural Environment as a Key Marketing Environment Actor</w:t>
      </w:r>
    </w:p>
    <w:p w14:paraId="1A2CEEED"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Natural environment pressures are intensifying the transition of Codelco towards lower-carbon copper production through transforming the operational priorities as well as customer expectations. Resource scarcity is a crucial challenge because the average copper ore grades in Chile have steadily declined while the mining operations within the Atacama Desert are exposed to severe water stress (Ramirez and Holden, 2026). </w:t>
      </w:r>
    </w:p>
    <w:p w14:paraId="48D6BB2C" w14:textId="77777777" w:rsidR="00F93CF2" w:rsidRPr="003A306B" w:rsidRDefault="00F94710">
      <w:pPr>
        <w:spacing w:after="200" w:line="360" w:lineRule="auto"/>
        <w:jc w:val="both"/>
        <w:rPr>
          <w:rFonts w:eastAsia="Times New Roman"/>
          <w:sz w:val="24"/>
          <w:szCs w:val="24"/>
          <w:lang w:val="en-GB"/>
        </w:rPr>
      </w:pPr>
      <w:r w:rsidRPr="003A306B">
        <w:rPr>
          <w:rFonts w:eastAsia="Times New Roman"/>
          <w:noProof/>
          <w:sz w:val="24"/>
          <w:szCs w:val="24"/>
        </w:rPr>
        <w:drawing>
          <wp:inline distT="114300" distB="114300" distL="114300" distR="114300" wp14:anchorId="2024E3AF" wp14:editId="423F77C2">
            <wp:extent cx="5731200" cy="3632200"/>
            <wp:effectExtent l="76200" t="76200" r="136525" b="139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3632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D76A99" w14:textId="77777777" w:rsidR="00F93CF2" w:rsidRPr="003A306B" w:rsidRDefault="00F94710" w:rsidP="000C7DBC">
      <w:pPr>
        <w:pStyle w:val="Heading4"/>
        <w:rPr>
          <w:lang w:val="en-GB"/>
        </w:rPr>
      </w:pPr>
      <w:r w:rsidRPr="003A306B">
        <w:rPr>
          <w:lang w:val="en-GB"/>
        </w:rPr>
        <w:lastRenderedPageBreak/>
        <w:t>Figure 2: Declining grades of ore are driving higher water and energy requirements</w:t>
      </w:r>
    </w:p>
    <w:p w14:paraId="13216F7D" w14:textId="77777777" w:rsidR="00F93CF2" w:rsidRPr="003A306B" w:rsidRDefault="00F94710" w:rsidP="000C7DBC">
      <w:pPr>
        <w:spacing w:after="200" w:line="360" w:lineRule="auto"/>
        <w:jc w:val="center"/>
        <w:rPr>
          <w:rFonts w:eastAsia="Times New Roman"/>
          <w:sz w:val="24"/>
          <w:szCs w:val="24"/>
          <w:lang w:val="en-GB"/>
        </w:rPr>
      </w:pPr>
      <w:r w:rsidRPr="003A306B">
        <w:rPr>
          <w:rFonts w:eastAsia="Times New Roman"/>
          <w:sz w:val="24"/>
          <w:szCs w:val="24"/>
          <w:lang w:val="en-GB"/>
        </w:rPr>
        <w:t>(Source: Ramirez and Holden, 2026)</w:t>
      </w:r>
    </w:p>
    <w:p w14:paraId="04BEC44A"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Besides that, to lower the reliance on freshwater, Codelco is heavily investing in the Northern District Desalination Plant, expected to supply desalinated water to copper mining operations across Chuquicamata, </w:t>
      </w:r>
      <w:proofErr w:type="spellStart"/>
      <w:r w:rsidRPr="003A306B">
        <w:rPr>
          <w:rFonts w:eastAsia="Times New Roman"/>
          <w:sz w:val="24"/>
          <w:szCs w:val="24"/>
          <w:lang w:val="en-GB"/>
        </w:rPr>
        <w:t>Radomiro</w:t>
      </w:r>
      <w:proofErr w:type="spellEnd"/>
      <w:r w:rsidRPr="003A306B">
        <w:rPr>
          <w:rFonts w:eastAsia="Times New Roman"/>
          <w:sz w:val="24"/>
          <w:szCs w:val="24"/>
          <w:lang w:val="en-GB"/>
        </w:rPr>
        <w:t xml:space="preserve"> Tomic and Ministro Hales and thus enhance the resource resilience while supporting the sustainable production (Codelco, 2025)</w:t>
      </w:r>
    </w:p>
    <w:p w14:paraId="257CEF00"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Simultaneously, climate change has intensified the prolonged droughts and extreme weather, which are increasing the operational risks while motivating greater dependence on renewable energy. In response, Codelco aims to attained 85% renewable electricity within its Chilean business operations in the financial year 2026, while diminishing approximately 2,780,000 tons of CO2 emissions per annum compared with the traditional electricity sources. Environmental regulations further reinforce this transition (Codelco, 2025). </w:t>
      </w:r>
    </w:p>
    <w:p w14:paraId="44E99B9B" w14:textId="77777777" w:rsidR="00F93CF2" w:rsidRPr="003A306B" w:rsidRDefault="00F94710">
      <w:pPr>
        <w:spacing w:after="200" w:line="360" w:lineRule="auto"/>
        <w:jc w:val="both"/>
        <w:rPr>
          <w:rFonts w:eastAsia="Times New Roman"/>
          <w:sz w:val="24"/>
          <w:szCs w:val="24"/>
          <w:lang w:val="en-GB"/>
        </w:rPr>
      </w:pPr>
      <w:r w:rsidRPr="003A306B">
        <w:rPr>
          <w:rFonts w:eastAsia="Times New Roman"/>
          <w:noProof/>
          <w:sz w:val="24"/>
          <w:szCs w:val="24"/>
        </w:rPr>
        <w:drawing>
          <wp:inline distT="114300" distB="114300" distL="114300" distR="114300" wp14:anchorId="17E21662" wp14:editId="57817D53">
            <wp:extent cx="5731200" cy="2603500"/>
            <wp:effectExtent l="76200" t="76200" r="136525" b="139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2603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036386" w14:textId="77777777" w:rsidR="00F93CF2" w:rsidRPr="003A306B" w:rsidRDefault="00F94710" w:rsidP="000C7DBC">
      <w:pPr>
        <w:pStyle w:val="Heading4"/>
        <w:rPr>
          <w:lang w:val="en-GB"/>
        </w:rPr>
      </w:pPr>
      <w:r w:rsidRPr="003A306B">
        <w:rPr>
          <w:lang w:val="en-GB"/>
        </w:rPr>
        <w:t xml:space="preserve">Figure 3: Strategic </w:t>
      </w:r>
      <w:r w:rsidR="000C7DBC" w:rsidRPr="003A306B">
        <w:rPr>
          <w:lang w:val="en-GB"/>
        </w:rPr>
        <w:t>initiatives</w:t>
      </w:r>
      <w:r w:rsidRPr="003A306B">
        <w:rPr>
          <w:lang w:val="en-GB"/>
        </w:rPr>
        <w:t xml:space="preserve"> of Codelco</w:t>
      </w:r>
    </w:p>
    <w:p w14:paraId="0A0DD9D5" w14:textId="77777777" w:rsidR="00F93CF2" w:rsidRPr="003A306B" w:rsidRDefault="00F94710" w:rsidP="000C7DBC">
      <w:pPr>
        <w:spacing w:after="200" w:line="360" w:lineRule="auto"/>
        <w:jc w:val="center"/>
        <w:rPr>
          <w:rFonts w:eastAsia="Times New Roman"/>
          <w:sz w:val="24"/>
          <w:szCs w:val="24"/>
          <w:lang w:val="en-GB"/>
        </w:rPr>
      </w:pPr>
      <w:r w:rsidRPr="003A306B">
        <w:rPr>
          <w:rFonts w:eastAsia="Times New Roman"/>
          <w:sz w:val="24"/>
          <w:szCs w:val="24"/>
          <w:lang w:val="en-GB"/>
        </w:rPr>
        <w:t>(Source: Codelco, 2025)</w:t>
      </w:r>
    </w:p>
    <w:p w14:paraId="506A852A"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Chile’s Framework Law on Climate Change (Law 21.455</w:t>
      </w:r>
      <w:r w:rsidR="000C7DBC" w:rsidRPr="003A306B">
        <w:rPr>
          <w:rFonts w:eastAsia="Times New Roman"/>
          <w:sz w:val="24"/>
          <w:szCs w:val="24"/>
          <w:lang w:val="en-GB"/>
        </w:rPr>
        <w:t>) commits</w:t>
      </w:r>
      <w:r w:rsidRPr="003A306B">
        <w:rPr>
          <w:rFonts w:eastAsia="Times New Roman"/>
          <w:sz w:val="24"/>
          <w:szCs w:val="24"/>
          <w:lang w:val="en-GB"/>
        </w:rPr>
        <w:t xml:space="preserve"> to country to carbon neutrality by the end of 2050, while global customers are </w:t>
      </w:r>
      <w:r w:rsidR="000C7DBC" w:rsidRPr="003A306B">
        <w:rPr>
          <w:rFonts w:eastAsia="Times New Roman"/>
          <w:sz w:val="24"/>
          <w:szCs w:val="24"/>
          <w:lang w:val="en-GB"/>
        </w:rPr>
        <w:t>increasingly</w:t>
      </w:r>
      <w:r w:rsidRPr="003A306B">
        <w:rPr>
          <w:rFonts w:eastAsia="Times New Roman"/>
          <w:sz w:val="24"/>
          <w:szCs w:val="24"/>
          <w:lang w:val="en-GB"/>
        </w:rPr>
        <w:t xml:space="preserve"> </w:t>
      </w:r>
      <w:r w:rsidRPr="003A306B">
        <w:rPr>
          <w:rFonts w:eastAsia="Times New Roman"/>
          <w:sz w:val="24"/>
          <w:szCs w:val="24"/>
          <w:lang w:val="en-GB"/>
        </w:rPr>
        <w:lastRenderedPageBreak/>
        <w:t>demanded low-</w:t>
      </w:r>
      <w:r w:rsidR="000C7DBC" w:rsidRPr="003A306B">
        <w:rPr>
          <w:rFonts w:eastAsia="Times New Roman"/>
          <w:sz w:val="24"/>
          <w:szCs w:val="24"/>
          <w:lang w:val="en-GB"/>
        </w:rPr>
        <w:t>carbon</w:t>
      </w:r>
      <w:r w:rsidRPr="003A306B">
        <w:rPr>
          <w:rFonts w:eastAsia="Times New Roman"/>
          <w:sz w:val="24"/>
          <w:szCs w:val="24"/>
          <w:lang w:val="en-GB"/>
        </w:rPr>
        <w:t xml:space="preserve"> raw materials to comply with policies such as the Carbon Border Adjustment Mechanism of the European Union (IKI, 2026). In addition, biodiversity concerns, along with stricter environmental permitting, require responsible tailings management in combination with ecosystem protection to manage the social licence of Codelco to operate. In essence, it can be asserted that concurrently, all of these natural environmental pressures compel Codelco to closely integrate renewable energy, water efficiency, and environmentally responsible mining into its lower-carbon business model, which fortifies its long-term market competitiveness. </w:t>
      </w:r>
    </w:p>
    <w:p w14:paraId="21836C5C" w14:textId="77777777" w:rsidR="00F93CF2" w:rsidRPr="003A306B" w:rsidRDefault="00F94710">
      <w:pPr>
        <w:spacing w:after="200" w:line="360" w:lineRule="auto"/>
        <w:jc w:val="both"/>
        <w:rPr>
          <w:rFonts w:eastAsia="Times New Roman"/>
          <w:b/>
          <w:bCs/>
          <w:i/>
          <w:iCs/>
          <w:sz w:val="24"/>
          <w:szCs w:val="24"/>
          <w:lang w:val="en-GB"/>
        </w:rPr>
      </w:pPr>
      <w:r w:rsidRPr="003A306B">
        <w:rPr>
          <w:rFonts w:eastAsia="Times New Roman"/>
          <w:b/>
          <w:bCs/>
          <w:i/>
          <w:iCs/>
          <w:sz w:val="24"/>
          <w:szCs w:val="24"/>
          <w:lang w:val="en-GB"/>
        </w:rPr>
        <w:t>1.2.2 Opportunities and Threats</w:t>
      </w:r>
    </w:p>
    <w:p w14:paraId="49E0BF91" w14:textId="77777777" w:rsidR="00F93CF2" w:rsidRPr="003A306B" w:rsidRDefault="00F94710">
      <w:pPr>
        <w:spacing w:after="200" w:line="360" w:lineRule="auto"/>
        <w:jc w:val="both"/>
        <w:rPr>
          <w:rFonts w:eastAsia="Times New Roman"/>
          <w:b/>
          <w:bCs/>
          <w:i/>
          <w:iCs/>
          <w:sz w:val="24"/>
          <w:szCs w:val="24"/>
          <w:lang w:val="en-GB"/>
        </w:rPr>
      </w:pPr>
      <w:r w:rsidRPr="003A306B">
        <w:rPr>
          <w:rFonts w:eastAsia="Times New Roman"/>
          <w:b/>
          <w:bCs/>
          <w:i/>
          <w:iCs/>
          <w:sz w:val="24"/>
          <w:szCs w:val="24"/>
          <w:lang w:val="en-GB"/>
        </w:rPr>
        <w:t xml:space="preserve">Opportunities </w:t>
      </w:r>
    </w:p>
    <w:p w14:paraId="4E21F5B7"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The ongoing demand for low-carbon copper offers significant market opportunities, with the International Energy Agency through projecting that clean energy technologies could double the global copper demand by 2040 under net-zero scenarios (Mani et al., 2024). </w:t>
      </w:r>
    </w:p>
    <w:p w14:paraId="07DC57BC"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The achievement of 100% renewable electricity of Codelco across its Chilean operations improves its competitiveness among customers who seek sustainably sourced copper. </w:t>
      </w:r>
    </w:p>
    <w:p w14:paraId="2B1E6A24" w14:textId="77777777" w:rsidR="00F93CF2" w:rsidRPr="003A306B" w:rsidRDefault="000C7DBC">
      <w:pPr>
        <w:spacing w:after="200" w:line="360" w:lineRule="auto"/>
        <w:jc w:val="both"/>
        <w:rPr>
          <w:rFonts w:eastAsia="Times New Roman"/>
          <w:b/>
          <w:bCs/>
          <w:i/>
          <w:iCs/>
          <w:sz w:val="24"/>
          <w:szCs w:val="24"/>
          <w:lang w:val="en-GB"/>
        </w:rPr>
      </w:pPr>
      <w:r w:rsidRPr="003A306B">
        <w:rPr>
          <w:rFonts w:eastAsia="Times New Roman"/>
          <w:b/>
          <w:bCs/>
          <w:i/>
          <w:iCs/>
          <w:sz w:val="24"/>
          <w:szCs w:val="24"/>
          <w:lang w:val="en-GB"/>
        </w:rPr>
        <w:t>Threats</w:t>
      </w:r>
      <w:r w:rsidR="00F94710" w:rsidRPr="003A306B">
        <w:rPr>
          <w:rFonts w:eastAsia="Times New Roman"/>
          <w:b/>
          <w:bCs/>
          <w:i/>
          <w:iCs/>
          <w:sz w:val="24"/>
          <w:szCs w:val="24"/>
          <w:lang w:val="en-GB"/>
        </w:rPr>
        <w:t xml:space="preserve"> </w:t>
      </w:r>
    </w:p>
    <w:p w14:paraId="48DAAC50" w14:textId="77777777" w:rsidR="00F93CF2" w:rsidRPr="003A306B" w:rsidRDefault="00F94710">
      <w:pPr>
        <w:spacing w:after="200" w:line="360" w:lineRule="auto"/>
        <w:jc w:val="both"/>
        <w:rPr>
          <w:rFonts w:eastAsia="Times New Roman"/>
          <w:b/>
          <w:bCs/>
          <w:i/>
          <w:iCs/>
          <w:sz w:val="24"/>
          <w:szCs w:val="24"/>
          <w:lang w:val="en-GB"/>
        </w:rPr>
      </w:pPr>
      <w:r w:rsidRPr="003A306B">
        <w:rPr>
          <w:rFonts w:eastAsia="Times New Roman"/>
          <w:sz w:val="24"/>
          <w:szCs w:val="24"/>
          <w:lang w:val="en-GB"/>
        </w:rPr>
        <w:t xml:space="preserve">Prolonged droughts across northern Chile alongside declining grades of ore maximise the costs of production, which require substantial investment in desalination and resource efficiency </w:t>
      </w:r>
      <w:r w:rsidRPr="003A306B">
        <w:rPr>
          <w:rFonts w:eastAsia="Times New Roman"/>
          <w:b/>
          <w:bCs/>
          <w:i/>
          <w:iCs/>
          <w:sz w:val="24"/>
          <w:szCs w:val="24"/>
          <w:lang w:val="en-GB"/>
        </w:rPr>
        <w:t xml:space="preserve">[Refer to Appendix 1]. </w:t>
      </w:r>
    </w:p>
    <w:p w14:paraId="08114C9C"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Stricter environmental regulations as well as biodiversity protection measures can delay the mining approvals, increase adherence costs and ultimately constrain the future production expansion. </w:t>
      </w:r>
    </w:p>
    <w:p w14:paraId="1AB4C475" w14:textId="77777777" w:rsidR="00F93CF2" w:rsidRPr="003A306B" w:rsidRDefault="00F94710" w:rsidP="000C7DBC">
      <w:pPr>
        <w:pStyle w:val="Heading2"/>
        <w:rPr>
          <w:lang w:val="en-GB"/>
        </w:rPr>
      </w:pPr>
      <w:bookmarkStart w:id="3" w:name="_Toc234681927"/>
      <w:r w:rsidRPr="003A306B">
        <w:rPr>
          <w:lang w:val="en-GB"/>
        </w:rPr>
        <w:t>1.3 External Marketing Environment Actor 2: Technological Environment</w:t>
      </w:r>
      <w:bookmarkEnd w:id="3"/>
      <w:r w:rsidRPr="003A306B">
        <w:rPr>
          <w:lang w:val="en-GB"/>
        </w:rPr>
        <w:t xml:space="preserve"> </w:t>
      </w:r>
    </w:p>
    <w:p w14:paraId="23E1706E" w14:textId="77777777" w:rsidR="00F93CF2" w:rsidRPr="003A306B" w:rsidRDefault="00F94710">
      <w:pPr>
        <w:spacing w:after="200" w:line="360" w:lineRule="auto"/>
        <w:jc w:val="both"/>
        <w:rPr>
          <w:rFonts w:eastAsia="Times New Roman"/>
          <w:b/>
          <w:bCs/>
          <w:i/>
          <w:color w:val="000000"/>
          <w:sz w:val="24"/>
          <w:szCs w:val="24"/>
          <w:lang w:val="en-GB"/>
        </w:rPr>
      </w:pPr>
      <w:r w:rsidRPr="003A306B">
        <w:rPr>
          <w:rFonts w:eastAsia="Times New Roman"/>
          <w:b/>
          <w:bCs/>
          <w:i/>
          <w:color w:val="000000"/>
          <w:sz w:val="24"/>
          <w:szCs w:val="24"/>
          <w:lang w:val="en-GB"/>
        </w:rPr>
        <w:t>1.3.1 Influence of the Technological Environment</w:t>
      </w:r>
    </w:p>
    <w:p w14:paraId="1AA30115"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The technological environment is a critical external actor because the production of low-carbon copper increasingly relies on a sense of innovation instead of resource availability alone.  As per the International Energy Agency, digital technologies, </w:t>
      </w:r>
      <w:r w:rsidRPr="003A306B">
        <w:rPr>
          <w:rFonts w:eastAsia="Times New Roman"/>
          <w:sz w:val="24"/>
          <w:szCs w:val="24"/>
          <w:lang w:val="en-GB"/>
        </w:rPr>
        <w:lastRenderedPageBreak/>
        <w:t xml:space="preserve">electrification, and finally automation can notably enhance the effectiveness of energy while lowering emissions across mining operations and thus making technology central to the decarbonisation strategy of the sector (IEA, 2026).  In contrast, research work by </w:t>
      </w:r>
      <w:proofErr w:type="spellStart"/>
      <w:r w:rsidRPr="003A306B">
        <w:rPr>
          <w:rFonts w:eastAsia="Times New Roman"/>
          <w:sz w:val="24"/>
          <w:szCs w:val="24"/>
          <w:lang w:val="en-GB"/>
        </w:rPr>
        <w:t>Chipangamate</w:t>
      </w:r>
      <w:proofErr w:type="spellEnd"/>
      <w:r w:rsidRPr="003A306B">
        <w:rPr>
          <w:rFonts w:eastAsia="Times New Roman"/>
          <w:sz w:val="24"/>
          <w:szCs w:val="24"/>
          <w:lang w:val="en-GB"/>
        </w:rPr>
        <w:t xml:space="preserve"> et al., (2023) showed that technological adoption alone cannot ensure sustainable mining unless it is accompanied by both effective environmental governance and stakeholder engagement as well. </w:t>
      </w:r>
    </w:p>
    <w:p w14:paraId="7A6D434A"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This perspective is clearly evident in Codelco’s business strategy. Beyond attaining the 85% renewable electricity within its Chilean business operations in the finance year 2026, the company is also investing over US$1.3 billion within the Northern District Desalination Project along</w:t>
      </w:r>
      <w:r w:rsidR="000C7DBC" w:rsidRPr="003A306B">
        <w:rPr>
          <w:rFonts w:eastAsia="Times New Roman"/>
          <w:sz w:val="24"/>
          <w:szCs w:val="24"/>
          <w:lang w:val="en-GB"/>
        </w:rPr>
        <w:t xml:space="preserve"> </w:t>
      </w:r>
      <w:r w:rsidRPr="003A306B">
        <w:rPr>
          <w:rFonts w:eastAsia="Times New Roman"/>
          <w:sz w:val="24"/>
          <w:szCs w:val="24"/>
          <w:lang w:val="en-GB"/>
        </w:rPr>
        <w:t xml:space="preserve">with autonomous haulage, digital mine management as well as predictive maintenance systems to enhance the operational </w:t>
      </w:r>
      <w:r w:rsidR="000C7DBC" w:rsidRPr="003A306B">
        <w:rPr>
          <w:rFonts w:eastAsia="Times New Roman"/>
          <w:sz w:val="24"/>
          <w:szCs w:val="24"/>
          <w:lang w:val="en-GB"/>
        </w:rPr>
        <w:t>effectiveness</w:t>
      </w:r>
      <w:r w:rsidRPr="003A306B">
        <w:rPr>
          <w:rFonts w:eastAsia="Times New Roman"/>
          <w:sz w:val="24"/>
          <w:szCs w:val="24"/>
          <w:lang w:val="en-GB"/>
        </w:rPr>
        <w:t xml:space="preserve"> while lowering the freshwater reliance (Codelco, 2025). In comparison to the dominant players like BHP, which has prioritised autonomous mining initially to boost the level of productivity, Codelco closely aligns technological innovation with resource effectiveness and emission reductions, thus fortifying its sustainability transitions and strengthening its sustainability transitions while reinforcing its competitive positioning within the global low-carbon copper markets (</w:t>
      </w:r>
      <w:proofErr w:type="spellStart"/>
      <w:r w:rsidRPr="003A306B">
        <w:rPr>
          <w:rFonts w:eastAsia="Times New Roman"/>
          <w:sz w:val="24"/>
          <w:szCs w:val="24"/>
          <w:lang w:val="en-GB"/>
        </w:rPr>
        <w:t>Llancan</w:t>
      </w:r>
      <w:proofErr w:type="spellEnd"/>
      <w:r w:rsidRPr="003A306B">
        <w:rPr>
          <w:rFonts w:eastAsia="Times New Roman"/>
          <w:sz w:val="24"/>
          <w:szCs w:val="24"/>
          <w:lang w:val="en-GB"/>
        </w:rPr>
        <w:t xml:space="preserve">, 2019). </w:t>
      </w:r>
    </w:p>
    <w:p w14:paraId="4CBB64B8" w14:textId="77777777" w:rsidR="00F93CF2" w:rsidRPr="003A306B" w:rsidRDefault="00F94710">
      <w:pPr>
        <w:spacing w:after="200" w:line="360" w:lineRule="auto"/>
        <w:jc w:val="both"/>
        <w:rPr>
          <w:rFonts w:eastAsia="Times New Roman"/>
          <w:b/>
          <w:bCs/>
          <w:i/>
          <w:iCs/>
          <w:sz w:val="24"/>
          <w:szCs w:val="24"/>
          <w:lang w:val="en-GB"/>
        </w:rPr>
      </w:pPr>
      <w:r w:rsidRPr="003A306B">
        <w:rPr>
          <w:rFonts w:eastAsia="Times New Roman"/>
          <w:b/>
          <w:bCs/>
          <w:i/>
          <w:iCs/>
          <w:sz w:val="24"/>
          <w:szCs w:val="24"/>
          <w:lang w:val="en-GB"/>
        </w:rPr>
        <w:t>1.3.3 Opportunities and Threats</w:t>
      </w:r>
    </w:p>
    <w:p w14:paraId="4C13C3D4" w14:textId="77777777" w:rsidR="00F93CF2" w:rsidRPr="003A306B" w:rsidRDefault="00F94710">
      <w:pPr>
        <w:spacing w:after="200" w:line="360" w:lineRule="auto"/>
        <w:jc w:val="both"/>
        <w:rPr>
          <w:rFonts w:eastAsia="Times New Roman"/>
          <w:b/>
          <w:bCs/>
          <w:i/>
          <w:iCs/>
          <w:sz w:val="24"/>
          <w:szCs w:val="24"/>
          <w:lang w:val="en-GB"/>
        </w:rPr>
      </w:pPr>
      <w:r w:rsidRPr="003A306B">
        <w:rPr>
          <w:rFonts w:eastAsia="Times New Roman"/>
          <w:b/>
          <w:bCs/>
          <w:i/>
          <w:iCs/>
          <w:sz w:val="24"/>
          <w:szCs w:val="24"/>
          <w:lang w:val="en-GB"/>
        </w:rPr>
        <w:t xml:space="preserve">Opportunities </w:t>
      </w:r>
    </w:p>
    <w:p w14:paraId="2D4C85D1" w14:textId="4C2D3B7E"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Codelco’s strong investment </w:t>
      </w:r>
      <w:r w:rsidR="000C7DBC" w:rsidRPr="003A306B">
        <w:rPr>
          <w:rFonts w:eastAsia="Times New Roman"/>
          <w:sz w:val="24"/>
          <w:szCs w:val="24"/>
          <w:lang w:val="en-GB"/>
        </w:rPr>
        <w:t>approximately</w:t>
      </w:r>
      <w:r w:rsidRPr="003A306B">
        <w:rPr>
          <w:rFonts w:eastAsia="Times New Roman"/>
          <w:sz w:val="24"/>
          <w:szCs w:val="24"/>
          <w:lang w:val="en-GB"/>
        </w:rPr>
        <w:t xml:space="preserve"> US$ 102 million in areas like automation, renewable energy as well as digital mining technologies strengthens its unique capabilities to supply lower-carbon copper (Codelco, 2025)</w:t>
      </w:r>
      <w:r w:rsidR="00AC7427">
        <w:rPr>
          <w:rFonts w:eastAsia="Times New Roman"/>
          <w:sz w:val="24"/>
          <w:szCs w:val="24"/>
          <w:lang w:val="en-GB"/>
        </w:rPr>
        <w:t xml:space="preserve">. </w:t>
      </w:r>
      <w:r w:rsidR="00E51B3D">
        <w:rPr>
          <w:rFonts w:eastAsia="Times New Roman"/>
          <w:sz w:val="24"/>
          <w:szCs w:val="24"/>
          <w:lang w:val="en-GB"/>
        </w:rPr>
        <w:t>Th</w:t>
      </w:r>
      <w:r w:rsidR="00460697">
        <w:rPr>
          <w:rFonts w:eastAsia="Times New Roman"/>
          <w:sz w:val="24"/>
          <w:szCs w:val="24"/>
          <w:lang w:val="en-GB"/>
        </w:rPr>
        <w:t>ese</w:t>
      </w:r>
      <w:r w:rsidRPr="003A306B">
        <w:rPr>
          <w:rFonts w:eastAsia="Times New Roman"/>
          <w:sz w:val="24"/>
          <w:szCs w:val="24"/>
          <w:lang w:val="en-GB"/>
        </w:rPr>
        <w:t xml:space="preserve"> the company has created a sense of differentiation in response to growing demand from both the electric vehicles and renewable energy manufacturers as well. </w:t>
      </w:r>
    </w:p>
    <w:p w14:paraId="6BB668AF" w14:textId="77777777" w:rsidR="00F93CF2" w:rsidRPr="003A306B" w:rsidRDefault="00F94710">
      <w:pPr>
        <w:spacing w:after="200" w:line="360" w:lineRule="auto"/>
        <w:jc w:val="both"/>
        <w:rPr>
          <w:rFonts w:eastAsia="Times New Roman"/>
          <w:b/>
          <w:bCs/>
          <w:i/>
          <w:iCs/>
          <w:sz w:val="24"/>
          <w:szCs w:val="24"/>
          <w:lang w:val="en-GB"/>
        </w:rPr>
      </w:pPr>
      <w:r w:rsidRPr="003A306B">
        <w:rPr>
          <w:rFonts w:eastAsia="Times New Roman"/>
          <w:b/>
          <w:bCs/>
          <w:i/>
          <w:iCs/>
          <w:sz w:val="24"/>
          <w:szCs w:val="24"/>
          <w:lang w:val="en-GB"/>
        </w:rPr>
        <w:t>Threats</w:t>
      </w:r>
    </w:p>
    <w:p w14:paraId="4FDADF89"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High capital investment requirements, technology implementation risks and ultimately the growing cybersecurity threats might lower the short-term profitability. If technological adoption lags behind the key rivals like BHP and Rio Tinto, Codelco could weaken its competitive positioning and also lose market share across the rapidly expanding low-carbon copper market. </w:t>
      </w:r>
    </w:p>
    <w:p w14:paraId="1ABE5C12" w14:textId="77777777" w:rsidR="00F93CF2" w:rsidRPr="003A306B" w:rsidRDefault="00F94710" w:rsidP="000C7DBC">
      <w:pPr>
        <w:pStyle w:val="Heading1"/>
        <w:rPr>
          <w:rFonts w:cs="Arial"/>
        </w:rPr>
      </w:pPr>
      <w:bookmarkStart w:id="4" w:name="_Toc234681928"/>
      <w:r w:rsidRPr="003A306B">
        <w:rPr>
          <w:rFonts w:cs="Arial"/>
        </w:rPr>
        <w:lastRenderedPageBreak/>
        <w:t>Task 2: Strategic Growth and Competitive Positioning</w:t>
      </w:r>
      <w:bookmarkEnd w:id="4"/>
      <w:r w:rsidRPr="003A306B">
        <w:rPr>
          <w:rFonts w:cs="Arial"/>
        </w:rPr>
        <w:t xml:space="preserve"> </w:t>
      </w:r>
    </w:p>
    <w:p w14:paraId="13DED517" w14:textId="77777777" w:rsidR="00F93CF2" w:rsidRPr="003A306B" w:rsidRDefault="00F94710" w:rsidP="000C7DBC">
      <w:pPr>
        <w:pStyle w:val="Heading2"/>
        <w:rPr>
          <w:lang w:val="en-GB"/>
        </w:rPr>
      </w:pPr>
      <w:bookmarkStart w:id="5" w:name="_Toc234681929"/>
      <w:r w:rsidRPr="003A306B">
        <w:rPr>
          <w:lang w:val="en-GB"/>
        </w:rPr>
        <w:t>2.1 Strategic Growth Recommendation Using the Ansoff Matrix</w:t>
      </w:r>
      <w:bookmarkEnd w:id="5"/>
      <w:r w:rsidRPr="003A306B">
        <w:rPr>
          <w:lang w:val="en-GB"/>
        </w:rPr>
        <w:t xml:space="preserve"> </w:t>
      </w:r>
    </w:p>
    <w:p w14:paraId="66A18FD2" w14:textId="77777777" w:rsidR="00F93CF2" w:rsidRPr="003A306B" w:rsidRDefault="00F94710">
      <w:pPr>
        <w:spacing w:after="200" w:line="360" w:lineRule="auto"/>
        <w:jc w:val="both"/>
        <w:rPr>
          <w:rFonts w:eastAsia="Times New Roman"/>
          <w:b/>
          <w:bCs/>
          <w:i/>
          <w:color w:val="000000"/>
          <w:sz w:val="24"/>
          <w:szCs w:val="24"/>
          <w:lang w:val="en-GB"/>
        </w:rPr>
      </w:pPr>
      <w:r w:rsidRPr="003A306B">
        <w:rPr>
          <w:rFonts w:eastAsia="Times New Roman"/>
          <w:b/>
          <w:bCs/>
          <w:i/>
          <w:color w:val="000000"/>
          <w:sz w:val="24"/>
          <w:szCs w:val="24"/>
          <w:lang w:val="en-GB"/>
        </w:rPr>
        <w:t>2.1.1 Ansoff Matrix Analysis</w:t>
      </w:r>
    </w:p>
    <w:p w14:paraId="5F175B88"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The Ansoff Matrix reveals four strategic growth options; however, their suitability varies significantly for the low-carbon transition of Codelco. As per this framework, </w:t>
      </w:r>
      <w:r w:rsidRPr="003A306B">
        <w:rPr>
          <w:rFonts w:eastAsia="Times New Roman"/>
          <w:b/>
          <w:bCs/>
          <w:i/>
          <w:iCs/>
          <w:sz w:val="24"/>
          <w:szCs w:val="24"/>
          <w:lang w:val="en-GB"/>
        </w:rPr>
        <w:t>market penetration</w:t>
      </w:r>
      <w:r w:rsidRPr="003A306B">
        <w:rPr>
          <w:rFonts w:eastAsia="Times New Roman"/>
          <w:sz w:val="24"/>
          <w:szCs w:val="24"/>
          <w:lang w:val="en-GB"/>
        </w:rPr>
        <w:t xml:space="preserve"> presents the lowest-risk growth through maximising the sales of the existing products within the existing markets (Zugay and Zakaria, 2023). However, this option is constrained for Codelco because copper is a globally traded commodity whose demand is largely driven by both electrification as well as industrial consumption rather than any promotional activities.  </w:t>
      </w:r>
    </w:p>
    <w:p w14:paraId="1E1F4DFE"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In a similar way, </w:t>
      </w:r>
      <w:r w:rsidRPr="003A306B">
        <w:rPr>
          <w:rFonts w:eastAsia="Times New Roman"/>
          <w:b/>
          <w:bCs/>
          <w:i/>
          <w:iCs/>
          <w:sz w:val="24"/>
          <w:szCs w:val="24"/>
          <w:lang w:val="en-GB"/>
        </w:rPr>
        <w:t xml:space="preserve">market development </w:t>
      </w:r>
      <w:r w:rsidRPr="003A306B">
        <w:rPr>
          <w:rFonts w:eastAsia="Times New Roman"/>
          <w:sz w:val="24"/>
          <w:szCs w:val="24"/>
          <w:lang w:val="en-GB"/>
        </w:rPr>
        <w:t xml:space="preserve">offers limited strategic value as Codelco already exports extensively to countries like Asia, Europe, and North America (Kruschel and Lafranchise, 2023). Though </w:t>
      </w:r>
      <w:r w:rsidRPr="003A306B">
        <w:rPr>
          <w:rFonts w:eastAsia="Times New Roman"/>
          <w:b/>
          <w:bCs/>
          <w:i/>
          <w:iCs/>
          <w:sz w:val="24"/>
          <w:szCs w:val="24"/>
          <w:lang w:val="en-GB"/>
        </w:rPr>
        <w:t xml:space="preserve">diversification </w:t>
      </w:r>
      <w:r w:rsidR="000C7DBC" w:rsidRPr="003A306B">
        <w:rPr>
          <w:rFonts w:eastAsia="Times New Roman"/>
          <w:sz w:val="24"/>
          <w:szCs w:val="24"/>
          <w:lang w:val="en-GB"/>
        </w:rPr>
        <w:t>could diminish</w:t>
      </w:r>
      <w:r w:rsidRPr="003A306B">
        <w:rPr>
          <w:rFonts w:eastAsia="Times New Roman"/>
          <w:sz w:val="24"/>
          <w:szCs w:val="24"/>
          <w:lang w:val="en-GB"/>
        </w:rPr>
        <w:t xml:space="preserve"> the high reliance on copper, it will require a significant amount of investment beyond the firm’s core mining capabilities and thus it will maximise both the strategic and operational risks. </w:t>
      </w:r>
    </w:p>
    <w:p w14:paraId="31FFDE18"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On the contrary, </w:t>
      </w:r>
      <w:r w:rsidRPr="003A306B">
        <w:rPr>
          <w:rFonts w:eastAsia="Times New Roman"/>
          <w:b/>
          <w:bCs/>
          <w:i/>
          <w:iCs/>
          <w:sz w:val="24"/>
          <w:szCs w:val="24"/>
          <w:lang w:val="en-GB"/>
        </w:rPr>
        <w:t xml:space="preserve">product development </w:t>
      </w:r>
      <w:r w:rsidRPr="003A306B">
        <w:rPr>
          <w:rFonts w:eastAsia="Times New Roman"/>
          <w:sz w:val="24"/>
          <w:szCs w:val="24"/>
          <w:lang w:val="en-GB"/>
        </w:rPr>
        <w:t xml:space="preserve">represents the most suitable strategy for Codelco as it allows the form </w:t>
      </w:r>
      <w:r w:rsidR="000C7DBC" w:rsidRPr="003A306B">
        <w:rPr>
          <w:rFonts w:eastAsia="Times New Roman"/>
          <w:sz w:val="24"/>
          <w:szCs w:val="24"/>
          <w:lang w:val="en-GB"/>
        </w:rPr>
        <w:t>to develop</w:t>
      </w:r>
      <w:r w:rsidRPr="003A306B">
        <w:rPr>
          <w:rFonts w:eastAsia="Times New Roman"/>
          <w:sz w:val="24"/>
          <w:szCs w:val="24"/>
          <w:lang w:val="en-GB"/>
        </w:rPr>
        <w:t xml:space="preserve"> lower-carbon, responsibly produced copper for its existing industrial customers. </w:t>
      </w:r>
    </w:p>
    <w:p w14:paraId="3FF809DF" w14:textId="77777777" w:rsidR="000C7DBC" w:rsidRPr="003A306B" w:rsidRDefault="000C7DBC">
      <w:pPr>
        <w:spacing w:after="200" w:line="360" w:lineRule="auto"/>
        <w:jc w:val="both"/>
        <w:rPr>
          <w:rFonts w:eastAsia="Times New Roman"/>
          <w:sz w:val="24"/>
          <w:szCs w:val="24"/>
          <w:lang w:val="en-GB"/>
        </w:rPr>
      </w:pPr>
      <w:r w:rsidRPr="003A306B">
        <w:rPr>
          <w:noProof/>
        </w:rPr>
        <w:lastRenderedPageBreak/>
        <w:drawing>
          <wp:inline distT="0" distB="0" distL="0" distR="0" wp14:anchorId="1DB1BD2F" wp14:editId="46B37A5B">
            <wp:extent cx="5351228" cy="2918129"/>
            <wp:effectExtent l="0" t="57150" r="0" b="1873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99F90F8" w14:textId="77777777" w:rsidR="00F93CF2" w:rsidRPr="003A306B" w:rsidRDefault="00F94710" w:rsidP="000C7DBC">
      <w:pPr>
        <w:pStyle w:val="Heading4"/>
        <w:rPr>
          <w:lang w:val="en-GB"/>
        </w:rPr>
      </w:pPr>
      <w:r w:rsidRPr="003A306B">
        <w:rPr>
          <w:lang w:val="en-GB"/>
        </w:rPr>
        <w:t>Figure 4: Ansoff Matrix</w:t>
      </w:r>
    </w:p>
    <w:p w14:paraId="69895594" w14:textId="77777777" w:rsidR="00F93CF2" w:rsidRPr="003A306B" w:rsidRDefault="00F94710" w:rsidP="000C7DBC">
      <w:pPr>
        <w:spacing w:after="200" w:line="360" w:lineRule="auto"/>
        <w:jc w:val="center"/>
        <w:rPr>
          <w:rFonts w:eastAsia="Times New Roman"/>
          <w:sz w:val="24"/>
          <w:szCs w:val="24"/>
          <w:lang w:val="en-GB"/>
        </w:rPr>
      </w:pPr>
      <w:r w:rsidRPr="003A306B">
        <w:rPr>
          <w:rFonts w:eastAsia="Times New Roman"/>
          <w:sz w:val="24"/>
          <w:szCs w:val="24"/>
          <w:lang w:val="en-GB"/>
        </w:rPr>
        <w:t>(Source: Self-developed)</w:t>
      </w:r>
    </w:p>
    <w:p w14:paraId="54A506A6"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This closely aligns with the 2030 sustainability commitments of the </w:t>
      </w:r>
      <w:r w:rsidR="000C7DBC" w:rsidRPr="003A306B">
        <w:rPr>
          <w:rFonts w:eastAsia="Times New Roman"/>
          <w:sz w:val="24"/>
          <w:szCs w:val="24"/>
          <w:lang w:val="en-GB"/>
        </w:rPr>
        <w:t>company incorporating</w:t>
      </w:r>
      <w:r w:rsidRPr="003A306B">
        <w:rPr>
          <w:rFonts w:eastAsia="Times New Roman"/>
          <w:sz w:val="24"/>
          <w:szCs w:val="24"/>
          <w:lang w:val="en-GB"/>
        </w:rPr>
        <w:t xml:space="preserve"> a 70% reduction across its greenhouse gas emissions and 60% reduction across </w:t>
      </w:r>
      <w:r w:rsidR="000C7DBC" w:rsidRPr="003A306B">
        <w:rPr>
          <w:rFonts w:eastAsia="Times New Roman"/>
          <w:sz w:val="24"/>
          <w:szCs w:val="24"/>
          <w:lang w:val="en-GB"/>
        </w:rPr>
        <w:t>its</w:t>
      </w:r>
      <w:r w:rsidRPr="003A306B">
        <w:rPr>
          <w:rFonts w:eastAsia="Times New Roman"/>
          <w:sz w:val="24"/>
          <w:szCs w:val="24"/>
          <w:lang w:val="en-GB"/>
        </w:rPr>
        <w:t xml:space="preserve"> continental water use and finally the investment within the electrification, green hydrogen and desalination technologies in order to boost the sustainability of its copper products (International Copper, 2026). In comparison with the alternative Ansoff strategies, product development most profoundly aligns Codelco’s sustainability objectives with the changing expectations of both customers and the regulatory body, thus supporting long-term competitive growth. </w:t>
      </w:r>
    </w:p>
    <w:p w14:paraId="59FD001F" w14:textId="77777777" w:rsidR="00F93CF2" w:rsidRPr="003A306B" w:rsidRDefault="00F94710">
      <w:pPr>
        <w:spacing w:after="200" w:line="360" w:lineRule="auto"/>
        <w:jc w:val="both"/>
        <w:rPr>
          <w:rFonts w:eastAsia="Times New Roman"/>
          <w:b/>
          <w:bCs/>
          <w:i/>
          <w:sz w:val="24"/>
          <w:szCs w:val="24"/>
          <w:lang w:val="en-GB"/>
        </w:rPr>
      </w:pPr>
      <w:r w:rsidRPr="003A306B">
        <w:rPr>
          <w:rFonts w:eastAsia="Times New Roman"/>
          <w:b/>
          <w:bCs/>
          <w:i/>
          <w:sz w:val="24"/>
          <w:szCs w:val="24"/>
          <w:lang w:val="en-GB"/>
        </w:rPr>
        <w:t>2.1.2 Recommended Strategy: Product Development</w:t>
      </w:r>
    </w:p>
    <w:p w14:paraId="59FA7BBA"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Research work by</w:t>
      </w:r>
      <w:r w:rsidR="000C7DBC" w:rsidRPr="003A306B">
        <w:rPr>
          <w:rFonts w:eastAsia="Times New Roman"/>
          <w:sz w:val="24"/>
          <w:szCs w:val="24"/>
          <w:lang w:val="en-GB"/>
        </w:rPr>
        <w:t xml:space="preserve"> </w:t>
      </w:r>
      <w:r w:rsidRPr="003A306B">
        <w:rPr>
          <w:rFonts w:eastAsia="Times New Roman"/>
          <w:sz w:val="24"/>
          <w:szCs w:val="24"/>
          <w:lang w:val="en-GB"/>
        </w:rPr>
        <w:t xml:space="preserve">Ahmed (2025) shows that product development is an effective growth strategy when organisations innovate for the existing markets to respond to the changing needs of the potential customers. However, research work by </w:t>
      </w:r>
      <w:proofErr w:type="spellStart"/>
      <w:r w:rsidRPr="003A306B">
        <w:rPr>
          <w:rFonts w:eastAsia="Times New Roman"/>
          <w:sz w:val="24"/>
          <w:szCs w:val="24"/>
          <w:lang w:val="en-GB"/>
        </w:rPr>
        <w:t>Tojiri</w:t>
      </w:r>
      <w:proofErr w:type="spellEnd"/>
      <w:r w:rsidRPr="003A306B">
        <w:rPr>
          <w:rFonts w:eastAsia="Times New Roman"/>
          <w:sz w:val="24"/>
          <w:szCs w:val="24"/>
          <w:lang w:val="en-GB"/>
        </w:rPr>
        <w:t xml:space="preserve"> (2023) argues that product innovation only develops innovation only when it delivers meaningful differentiation from the key rivals.  Through applying these perspectives, Codelco needs to </w:t>
      </w:r>
      <w:r w:rsidR="000C7DBC" w:rsidRPr="003A306B">
        <w:rPr>
          <w:rFonts w:eastAsia="Times New Roman"/>
          <w:sz w:val="24"/>
          <w:szCs w:val="24"/>
          <w:lang w:val="en-GB"/>
        </w:rPr>
        <w:t>prioritise</w:t>
      </w:r>
      <w:r w:rsidRPr="003A306B">
        <w:rPr>
          <w:rFonts w:eastAsia="Times New Roman"/>
          <w:sz w:val="24"/>
          <w:szCs w:val="24"/>
          <w:lang w:val="en-GB"/>
        </w:rPr>
        <w:t xml:space="preserve"> developing the certified lower-carbon as well as traceable copper products instead of expanding into the new markets or unrelated business. </w:t>
      </w:r>
      <w:r w:rsidRPr="003A306B">
        <w:rPr>
          <w:rFonts w:eastAsia="Times New Roman"/>
          <w:sz w:val="24"/>
          <w:szCs w:val="24"/>
          <w:lang w:val="en-GB"/>
        </w:rPr>
        <w:lastRenderedPageBreak/>
        <w:t xml:space="preserve">This strategy develops greater value for existing industrial customers who seek sustainable raw materials while fortifying the long-term supply relationships. Compared with market penetration, which provides limited growth within the commodity markets, and diversification, which carries higher strategic risk, product development offers Codelco with a more competitive yet commercially viable pathway to capture the growing demand for responsibly sourced copper (Razak, 2022). </w:t>
      </w:r>
    </w:p>
    <w:p w14:paraId="79697FEF" w14:textId="77777777" w:rsidR="00F93CF2" w:rsidRPr="003A306B" w:rsidRDefault="00F94710">
      <w:pPr>
        <w:spacing w:after="200" w:line="360" w:lineRule="auto"/>
        <w:jc w:val="both"/>
        <w:rPr>
          <w:rFonts w:eastAsia="Times New Roman"/>
          <w:b/>
          <w:bCs/>
          <w:i/>
          <w:sz w:val="24"/>
          <w:szCs w:val="24"/>
          <w:lang w:val="en-GB"/>
        </w:rPr>
      </w:pPr>
      <w:r w:rsidRPr="003A306B">
        <w:rPr>
          <w:rFonts w:eastAsia="Times New Roman"/>
          <w:b/>
          <w:bCs/>
          <w:i/>
          <w:sz w:val="24"/>
          <w:szCs w:val="24"/>
          <w:lang w:val="en-GB"/>
        </w:rPr>
        <w:t xml:space="preserve">2.1.3 Response to Environmental Pressures </w:t>
      </w:r>
    </w:p>
    <w:p w14:paraId="5F5DED35"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The product development strategy allows Codelco to respond proactively to the environmental pressures identified in Task 1 through producing the lower-carbon, responsibly sourced copper which caters the increasingly stringent sustainability requirements (</w:t>
      </w:r>
      <w:proofErr w:type="spellStart"/>
      <w:r w:rsidRPr="003A306B">
        <w:rPr>
          <w:rFonts w:eastAsia="Times New Roman"/>
          <w:sz w:val="24"/>
          <w:szCs w:val="24"/>
          <w:lang w:val="en-GB"/>
        </w:rPr>
        <w:t>Ushie</w:t>
      </w:r>
      <w:proofErr w:type="spellEnd"/>
      <w:r w:rsidRPr="003A306B">
        <w:rPr>
          <w:rFonts w:eastAsia="Times New Roman"/>
          <w:sz w:val="24"/>
          <w:szCs w:val="24"/>
          <w:lang w:val="en-GB"/>
        </w:rPr>
        <w:t xml:space="preserve"> et al., 2025). Compared with market development, this strategy directly addresses the rising customer </w:t>
      </w:r>
      <w:r w:rsidR="000C7DBC" w:rsidRPr="003A306B">
        <w:rPr>
          <w:rFonts w:eastAsia="Times New Roman"/>
          <w:sz w:val="24"/>
          <w:szCs w:val="24"/>
          <w:lang w:val="en-GB"/>
        </w:rPr>
        <w:t>demand for the</w:t>
      </w:r>
      <w:r w:rsidRPr="003A306B">
        <w:rPr>
          <w:rFonts w:eastAsia="Times New Roman"/>
          <w:sz w:val="24"/>
          <w:szCs w:val="24"/>
          <w:lang w:val="en-GB"/>
        </w:rPr>
        <w:t xml:space="preserve"> low-emission materials instead of simply expanding the geographical reach. However, Mesut (2026) attaining this transition requires </w:t>
      </w:r>
      <w:r w:rsidR="000C7DBC" w:rsidRPr="003A306B">
        <w:rPr>
          <w:rFonts w:eastAsia="Times New Roman"/>
          <w:sz w:val="24"/>
          <w:szCs w:val="24"/>
          <w:lang w:val="en-GB"/>
        </w:rPr>
        <w:t>substantial</w:t>
      </w:r>
      <w:r w:rsidRPr="003A306B">
        <w:rPr>
          <w:rFonts w:eastAsia="Times New Roman"/>
          <w:sz w:val="24"/>
          <w:szCs w:val="24"/>
          <w:lang w:val="en-GB"/>
        </w:rPr>
        <w:t xml:space="preserve"> investment </w:t>
      </w:r>
      <w:r w:rsidR="000C7DBC" w:rsidRPr="003A306B">
        <w:rPr>
          <w:rFonts w:eastAsia="Times New Roman"/>
          <w:sz w:val="24"/>
          <w:szCs w:val="24"/>
          <w:lang w:val="en-GB"/>
        </w:rPr>
        <w:t>across</w:t>
      </w:r>
      <w:r w:rsidRPr="003A306B">
        <w:rPr>
          <w:rFonts w:eastAsia="Times New Roman"/>
          <w:sz w:val="24"/>
          <w:szCs w:val="24"/>
          <w:lang w:val="en-GB"/>
        </w:rPr>
        <w:t xml:space="preserve"> </w:t>
      </w:r>
      <w:r w:rsidR="000C7DBC" w:rsidRPr="003A306B">
        <w:rPr>
          <w:rFonts w:eastAsia="Times New Roman"/>
          <w:sz w:val="24"/>
          <w:szCs w:val="24"/>
          <w:lang w:val="en-GB"/>
        </w:rPr>
        <w:t>renewable</w:t>
      </w:r>
      <w:r w:rsidRPr="003A306B">
        <w:rPr>
          <w:rFonts w:eastAsia="Times New Roman"/>
          <w:sz w:val="24"/>
          <w:szCs w:val="24"/>
          <w:lang w:val="en-GB"/>
        </w:rPr>
        <w:t xml:space="preserve"> energy, electrification and finally water </w:t>
      </w:r>
      <w:r w:rsidR="000C7DBC" w:rsidRPr="003A306B">
        <w:rPr>
          <w:rFonts w:eastAsia="Times New Roman"/>
          <w:sz w:val="24"/>
          <w:szCs w:val="24"/>
          <w:lang w:val="en-GB"/>
        </w:rPr>
        <w:t>efficient</w:t>
      </w:r>
      <w:r w:rsidRPr="003A306B">
        <w:rPr>
          <w:rFonts w:eastAsia="Times New Roman"/>
          <w:sz w:val="24"/>
          <w:szCs w:val="24"/>
          <w:lang w:val="en-GB"/>
        </w:rPr>
        <w:t xml:space="preserve"> technologies and thus maximise the short-term cost. Nevertheless, through aligning the product innovation with both natural and technological pressures, Codelco needs to </w:t>
      </w:r>
      <w:r w:rsidR="000C7DBC" w:rsidRPr="003A306B">
        <w:rPr>
          <w:rFonts w:eastAsia="Times New Roman"/>
          <w:sz w:val="24"/>
          <w:szCs w:val="24"/>
          <w:lang w:val="en-GB"/>
        </w:rPr>
        <w:t>strengthen its</w:t>
      </w:r>
      <w:r w:rsidRPr="003A306B">
        <w:rPr>
          <w:rFonts w:eastAsia="Times New Roman"/>
          <w:sz w:val="24"/>
          <w:szCs w:val="24"/>
          <w:lang w:val="en-GB"/>
        </w:rPr>
        <w:t xml:space="preserve"> long-term competitive edge in combination with a sense of resilience within the global copper market. </w:t>
      </w:r>
    </w:p>
    <w:p w14:paraId="3161EDFC" w14:textId="77777777" w:rsidR="00F93CF2" w:rsidRPr="003A306B" w:rsidRDefault="00F94710" w:rsidP="000C7DBC">
      <w:pPr>
        <w:pStyle w:val="Heading2"/>
        <w:rPr>
          <w:lang w:val="en-GB"/>
        </w:rPr>
      </w:pPr>
      <w:bookmarkStart w:id="6" w:name="_Toc234681930"/>
      <w:r w:rsidRPr="003A306B">
        <w:rPr>
          <w:lang w:val="en-GB"/>
        </w:rPr>
        <w:t>2.2 Competitive Advantage Through a Lower-Carbon Business Model</w:t>
      </w:r>
      <w:bookmarkEnd w:id="6"/>
      <w:r w:rsidRPr="003A306B">
        <w:rPr>
          <w:lang w:val="en-GB"/>
        </w:rPr>
        <w:t xml:space="preserve"> </w:t>
      </w:r>
    </w:p>
    <w:p w14:paraId="14F3AD53" w14:textId="77777777" w:rsidR="00F93CF2" w:rsidRPr="00D9633D" w:rsidRDefault="00F94710" w:rsidP="00D9633D">
      <w:pPr>
        <w:spacing w:after="240" w:line="360" w:lineRule="auto"/>
        <w:jc w:val="both"/>
        <w:rPr>
          <w:b/>
          <w:i/>
          <w:sz w:val="24"/>
          <w:szCs w:val="24"/>
        </w:rPr>
      </w:pPr>
      <w:bookmarkStart w:id="7" w:name="_4dv6i4clcfej" w:colFirst="0" w:colLast="0"/>
      <w:bookmarkEnd w:id="7"/>
      <w:r w:rsidRPr="00D9633D">
        <w:rPr>
          <w:b/>
          <w:i/>
          <w:sz w:val="24"/>
          <w:szCs w:val="24"/>
        </w:rPr>
        <w:t>2.2.1 Lower-Carbon Business Model</w:t>
      </w:r>
    </w:p>
    <w:p w14:paraId="634CF549"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A lower-carbon business model has become a strategic necessity instead of a voluntary sustainable initiative for Codelco, as the global buyers increasingly </w:t>
      </w:r>
      <w:r w:rsidR="000C7DBC" w:rsidRPr="003A306B">
        <w:rPr>
          <w:rFonts w:eastAsia="Times New Roman"/>
          <w:sz w:val="24"/>
          <w:szCs w:val="24"/>
          <w:lang w:val="en-GB"/>
        </w:rPr>
        <w:t>prioritise</w:t>
      </w:r>
      <w:r w:rsidRPr="003A306B">
        <w:rPr>
          <w:rFonts w:eastAsia="Times New Roman"/>
          <w:sz w:val="24"/>
          <w:szCs w:val="24"/>
          <w:lang w:val="en-GB"/>
        </w:rPr>
        <w:t xml:space="preserve"> responsibly sourced copper. Research work by Bari et al., (2022) argues that environmental capabilities can become a key source of sustained competitive advantages. On the flip side Posen et al., (2023) argues that competitive advantages of firms heavily rely on the creation of a superior value which the competitors cannot easily replicate. Codelco effectively discloses this through aligning the decarbonisations with its core business operations rather than treating it as an adherence exercise.  Besides that, the company also aims to attain 100% renewable electricity within Chilean operations in the year 2030, whereas its US$1.3 billion Northern District Desalination Project assisted in diminishing the high reliance on </w:t>
      </w:r>
      <w:r w:rsidRPr="003A306B">
        <w:rPr>
          <w:rFonts w:eastAsia="Times New Roman"/>
          <w:sz w:val="24"/>
          <w:szCs w:val="24"/>
          <w:lang w:val="en-GB"/>
        </w:rPr>
        <w:lastRenderedPageBreak/>
        <w:t xml:space="preserve">scarce freshwater resources. However, these investments remarkably maximise the capital expenditure, and it might also weaken short-term financial performance. Compared with the dominant players concentrating initially on the effectiveness of production, the lower-carbon business model of Codelco to improve its adaptability against the tightening environmental regulations while fortifying its appeal to global manufacturers seeking low-carbon copper and thus build a more sustainable basis for the long-term competitive advantages. </w:t>
      </w:r>
    </w:p>
    <w:p w14:paraId="1A6ACAD6" w14:textId="77777777" w:rsidR="00F93CF2" w:rsidRPr="003A306B" w:rsidRDefault="00F94710">
      <w:pPr>
        <w:spacing w:after="200" w:line="360" w:lineRule="auto"/>
        <w:jc w:val="both"/>
        <w:rPr>
          <w:rFonts w:eastAsia="Times New Roman"/>
          <w:b/>
          <w:bCs/>
          <w:i/>
          <w:sz w:val="24"/>
          <w:szCs w:val="24"/>
          <w:lang w:val="en-GB"/>
        </w:rPr>
      </w:pPr>
      <w:r w:rsidRPr="003A306B">
        <w:rPr>
          <w:rFonts w:eastAsia="Times New Roman"/>
          <w:b/>
          <w:bCs/>
          <w:i/>
          <w:sz w:val="24"/>
          <w:szCs w:val="24"/>
          <w:lang w:val="en-GB"/>
        </w:rPr>
        <w:t>2.2.2 Competitive Positioning Using Porter’s Generic Strategies</w:t>
      </w:r>
    </w:p>
    <w:p w14:paraId="0DF43B01" w14:textId="77777777" w:rsidR="000C7DBC" w:rsidRPr="003A306B" w:rsidRDefault="000C7DBC">
      <w:pPr>
        <w:spacing w:after="200" w:line="360" w:lineRule="auto"/>
        <w:jc w:val="both"/>
        <w:rPr>
          <w:rFonts w:eastAsia="Times New Roman"/>
          <w:b/>
          <w:bCs/>
          <w:i/>
          <w:sz w:val="24"/>
          <w:szCs w:val="24"/>
          <w:lang w:val="en-GB"/>
        </w:rPr>
      </w:pPr>
      <w:r w:rsidRPr="003A306B">
        <w:rPr>
          <w:noProof/>
        </w:rPr>
        <w:drawing>
          <wp:inline distT="0" distB="0" distL="0" distR="0" wp14:anchorId="6E69DD6E" wp14:editId="6E60C623">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D883EDF" w14:textId="77777777" w:rsidR="00F93CF2" w:rsidRPr="003A306B" w:rsidRDefault="00F94710" w:rsidP="000C7DBC">
      <w:pPr>
        <w:pStyle w:val="Heading4"/>
        <w:rPr>
          <w:lang w:val="en-GB"/>
        </w:rPr>
      </w:pPr>
      <w:r w:rsidRPr="003A306B">
        <w:rPr>
          <w:lang w:val="en-GB"/>
        </w:rPr>
        <w:t>Figure</w:t>
      </w:r>
      <w:r w:rsidR="000C7DBC" w:rsidRPr="003A306B">
        <w:rPr>
          <w:lang w:val="en-GB"/>
        </w:rPr>
        <w:t xml:space="preserve"> </w:t>
      </w:r>
      <w:r w:rsidR="00C61A6E" w:rsidRPr="003A306B">
        <w:rPr>
          <w:lang w:val="en-GB"/>
        </w:rPr>
        <w:t>5:</w:t>
      </w:r>
      <w:r w:rsidRPr="003A306B">
        <w:rPr>
          <w:lang w:val="en-GB"/>
        </w:rPr>
        <w:t xml:space="preserve"> Porter's Generic Strategies</w:t>
      </w:r>
    </w:p>
    <w:p w14:paraId="1EE0E2FB" w14:textId="77777777" w:rsidR="00F93CF2" w:rsidRPr="003A306B" w:rsidRDefault="00F94710" w:rsidP="000C7DBC">
      <w:pPr>
        <w:spacing w:after="200" w:line="360" w:lineRule="auto"/>
        <w:jc w:val="center"/>
        <w:rPr>
          <w:rFonts w:eastAsia="Times New Roman"/>
          <w:sz w:val="24"/>
          <w:szCs w:val="24"/>
          <w:lang w:val="en-GB"/>
        </w:rPr>
      </w:pPr>
      <w:r w:rsidRPr="003A306B">
        <w:rPr>
          <w:rFonts w:eastAsia="Times New Roman"/>
          <w:sz w:val="24"/>
          <w:szCs w:val="24"/>
          <w:lang w:val="en-GB"/>
        </w:rPr>
        <w:t>(Source: Self-developed)</w:t>
      </w:r>
    </w:p>
    <w:p w14:paraId="3470754D"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With respect to Codelco, differentiation is the more appropriate strategy because sustainability has become a prior criterion for purchasing for the potential manufacturers of electric vehicles, renewable energy equipment and finally the low-carbon infrastructures. Compared with cost leadership, which is very complicated across a capital-intensive mining industry currently experiencing environmental compliance costs, differentiation allows this mining company to compete through responsibly sourced, lower-carbon copper. However, Juneja (2025) argues that differentiation is only considered as a sustainable approach when supported through </w:t>
      </w:r>
      <w:r w:rsidRPr="003A306B">
        <w:rPr>
          <w:rFonts w:eastAsia="Times New Roman"/>
          <w:sz w:val="24"/>
          <w:szCs w:val="24"/>
          <w:lang w:val="en-GB"/>
        </w:rPr>
        <w:lastRenderedPageBreak/>
        <w:t>both valuable as well as difficult-to-</w:t>
      </w:r>
      <w:r w:rsidR="000C7DBC" w:rsidRPr="003A306B">
        <w:rPr>
          <w:rFonts w:eastAsia="Times New Roman"/>
          <w:sz w:val="24"/>
          <w:szCs w:val="24"/>
          <w:lang w:val="en-GB"/>
        </w:rPr>
        <w:t>imitate</w:t>
      </w:r>
      <w:r w:rsidRPr="003A306B">
        <w:rPr>
          <w:rFonts w:eastAsia="Times New Roman"/>
          <w:sz w:val="24"/>
          <w:szCs w:val="24"/>
          <w:lang w:val="en-GB"/>
        </w:rPr>
        <w:t xml:space="preserve"> resources. Codelco’s investments across renewable-driven mining, water-efficient business operations and ultimately the certified sustainable productions fortify this exclusiveness and thus allow the firm to develop long-term trust of the customers while profoundly managing the competitive edge despite the increasing competition from the global producers of copper. </w:t>
      </w:r>
    </w:p>
    <w:p w14:paraId="5950D4B3" w14:textId="77777777" w:rsidR="00F93CF2" w:rsidRPr="009F7804" w:rsidRDefault="00F94710" w:rsidP="009F7804">
      <w:pPr>
        <w:spacing w:line="360" w:lineRule="auto"/>
        <w:jc w:val="both"/>
        <w:rPr>
          <w:b/>
          <w:i/>
          <w:sz w:val="24"/>
          <w:szCs w:val="24"/>
        </w:rPr>
      </w:pPr>
      <w:bookmarkStart w:id="8" w:name="_6jca7zji8b01" w:colFirst="0" w:colLast="0"/>
      <w:bookmarkEnd w:id="8"/>
      <w:r w:rsidRPr="009F7804">
        <w:rPr>
          <w:b/>
          <w:i/>
          <w:sz w:val="24"/>
          <w:szCs w:val="24"/>
        </w:rPr>
        <w:t>2.2.3 Sustaining Competitive Advantage</w:t>
      </w:r>
    </w:p>
    <w:p w14:paraId="0CFCCD0B"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For attaining sustainable competitive advantages, Codelco needs to consistently fortify its lower-carbon capabilities instead of relying on the existing sustainability achievements.  Sustainability will boost customer </w:t>
      </w:r>
      <w:r w:rsidR="000C7DBC" w:rsidRPr="003A306B">
        <w:rPr>
          <w:rFonts w:eastAsia="Times New Roman"/>
          <w:sz w:val="24"/>
          <w:szCs w:val="24"/>
          <w:lang w:val="en-GB"/>
        </w:rPr>
        <w:t>value through</w:t>
      </w:r>
      <w:r w:rsidRPr="003A306B">
        <w:rPr>
          <w:rFonts w:eastAsia="Times New Roman"/>
          <w:sz w:val="24"/>
          <w:szCs w:val="24"/>
          <w:lang w:val="en-GB"/>
        </w:rPr>
        <w:t xml:space="preserve"> allowing Codelco to supply lower-carbon, responsibly sourced copper, which closely aligns with the procurement requirements of electric vehicle, renewable energy and infrastructure manufacturers. This will also strengthen the corporate reputation through showcasing measurable commitments, incorporating 100% renewable electricity within its business operations by 2030, along with the ambitious emission reduction targets.  As a consequence, strong ESG performances maximise the confidence levels of the </w:t>
      </w:r>
      <w:r w:rsidR="000C7DBC" w:rsidRPr="003A306B">
        <w:rPr>
          <w:rFonts w:eastAsia="Times New Roman"/>
          <w:sz w:val="24"/>
          <w:szCs w:val="24"/>
          <w:lang w:val="en-GB"/>
        </w:rPr>
        <w:t>investors, because</w:t>
      </w:r>
      <w:r w:rsidRPr="003A306B">
        <w:rPr>
          <w:rFonts w:eastAsia="Times New Roman"/>
          <w:sz w:val="24"/>
          <w:szCs w:val="24"/>
          <w:lang w:val="en-GB"/>
        </w:rPr>
        <w:t xml:space="preserve"> the sustainable mining organisations are better positioned in order to attract long-term capital while managing the regulatory threats.  However, compared with organisations which completely depend on the effectiveness of production, Codelco's sustainability investment of Codelco creates a sense of stronger differentiation and thus supports the long-term competitiveness despite requiring no substantial capital expenditure. </w:t>
      </w:r>
    </w:p>
    <w:p w14:paraId="5952D5B1" w14:textId="77777777" w:rsidR="00F93CF2" w:rsidRPr="003A306B" w:rsidRDefault="00F94710" w:rsidP="000C7DBC">
      <w:pPr>
        <w:pStyle w:val="Heading1"/>
        <w:rPr>
          <w:rFonts w:cs="Arial"/>
        </w:rPr>
      </w:pPr>
      <w:bookmarkStart w:id="9" w:name="_Toc234681931"/>
      <w:r w:rsidRPr="003A306B">
        <w:rPr>
          <w:rFonts w:cs="Arial"/>
        </w:rPr>
        <w:t>Task 3: Critical Reflection on AI Usage</w:t>
      </w:r>
      <w:bookmarkEnd w:id="9"/>
      <w:r w:rsidRPr="003A306B">
        <w:rPr>
          <w:rFonts w:cs="Arial"/>
        </w:rPr>
        <w:t xml:space="preserve"> </w:t>
      </w:r>
    </w:p>
    <w:p w14:paraId="59DCD811" w14:textId="77777777" w:rsidR="00F93CF2" w:rsidRPr="003A306B" w:rsidRDefault="00F94710" w:rsidP="000C7DBC">
      <w:pPr>
        <w:pStyle w:val="Heading2"/>
        <w:rPr>
          <w:lang w:val="en-GB"/>
        </w:rPr>
      </w:pPr>
      <w:bookmarkStart w:id="10" w:name="_Toc234681932"/>
      <w:r w:rsidRPr="003A306B">
        <w:rPr>
          <w:lang w:val="en-GB"/>
        </w:rPr>
        <w:t>3.1 Tool Disclosure</w:t>
      </w:r>
      <w:bookmarkEnd w:id="10"/>
      <w:r w:rsidRPr="003A306B">
        <w:rPr>
          <w:lang w:val="en-GB"/>
        </w:rPr>
        <w:t xml:space="preserve"> </w:t>
      </w:r>
    </w:p>
    <w:p w14:paraId="0859EC2E" w14:textId="54FC5C07" w:rsidR="00F93CF2" w:rsidRPr="003A306B" w:rsidRDefault="000C7DBC">
      <w:pPr>
        <w:spacing w:after="200" w:line="360" w:lineRule="auto"/>
        <w:jc w:val="both"/>
        <w:rPr>
          <w:rFonts w:eastAsia="Times New Roman"/>
          <w:sz w:val="24"/>
          <w:szCs w:val="24"/>
          <w:lang w:val="en-GB"/>
        </w:rPr>
      </w:pPr>
      <w:r w:rsidRPr="003A306B">
        <w:rPr>
          <w:rFonts w:eastAsia="Times New Roman"/>
          <w:sz w:val="24"/>
          <w:szCs w:val="24"/>
          <w:lang w:val="en-GB"/>
        </w:rPr>
        <w:t>AI tools specifically Chat</w:t>
      </w:r>
      <w:r w:rsidR="00F94710" w:rsidRPr="003A306B">
        <w:rPr>
          <w:rFonts w:eastAsia="Times New Roman"/>
          <w:sz w:val="24"/>
          <w:szCs w:val="24"/>
          <w:lang w:val="en-GB"/>
        </w:rPr>
        <w:t xml:space="preserve">GPT has been utilised </w:t>
      </w:r>
      <w:r w:rsidRPr="003A306B">
        <w:rPr>
          <w:rFonts w:eastAsia="Times New Roman"/>
          <w:sz w:val="24"/>
          <w:szCs w:val="24"/>
          <w:lang w:val="en-GB"/>
        </w:rPr>
        <w:t>to guide</w:t>
      </w:r>
      <w:r w:rsidR="00F94710" w:rsidRPr="003A306B">
        <w:rPr>
          <w:rFonts w:eastAsia="Times New Roman"/>
          <w:sz w:val="24"/>
          <w:szCs w:val="24"/>
          <w:lang w:val="en-GB"/>
        </w:rPr>
        <w:t xml:space="preserve"> the development of this report through developing </w:t>
      </w:r>
      <w:r w:rsidR="00C61A6E" w:rsidRPr="003A306B">
        <w:rPr>
          <w:rFonts w:eastAsia="Times New Roman"/>
          <w:sz w:val="24"/>
          <w:szCs w:val="24"/>
          <w:lang w:val="en-GB"/>
        </w:rPr>
        <w:t>a</w:t>
      </w:r>
      <w:r w:rsidR="00F94710" w:rsidRPr="003A306B">
        <w:rPr>
          <w:rFonts w:eastAsia="Times New Roman"/>
          <w:sz w:val="24"/>
          <w:szCs w:val="24"/>
          <w:lang w:val="en-GB"/>
        </w:rPr>
        <w:t xml:space="preserve"> primary report structu</w:t>
      </w:r>
      <w:r w:rsidRPr="003A306B">
        <w:rPr>
          <w:rFonts w:eastAsia="Times New Roman"/>
          <w:sz w:val="24"/>
          <w:szCs w:val="24"/>
          <w:lang w:val="en-GB"/>
        </w:rPr>
        <w:t>re, refining the academic languag</w:t>
      </w:r>
      <w:r w:rsidR="00F94710" w:rsidRPr="003A306B">
        <w:rPr>
          <w:rFonts w:eastAsia="Times New Roman"/>
          <w:sz w:val="24"/>
          <w:szCs w:val="24"/>
          <w:lang w:val="en-GB"/>
        </w:rPr>
        <w:t xml:space="preserve">es and suggesting relevant theoretical frameworks, incorporating the Ansoff Matrix and Porter’s Generic strategies. The tool also assisted me across finding the potential discussion </w:t>
      </w:r>
      <w:r w:rsidRPr="003A306B">
        <w:rPr>
          <w:rFonts w:eastAsia="Times New Roman"/>
          <w:sz w:val="24"/>
          <w:szCs w:val="24"/>
          <w:lang w:val="en-GB"/>
        </w:rPr>
        <w:t>points while</w:t>
      </w:r>
      <w:r w:rsidR="00F94710" w:rsidRPr="003A306B">
        <w:rPr>
          <w:rFonts w:eastAsia="Times New Roman"/>
          <w:sz w:val="24"/>
          <w:szCs w:val="24"/>
          <w:lang w:val="en-GB"/>
        </w:rPr>
        <w:t xml:space="preserve"> enhancing the logical flow between each section</w:t>
      </w:r>
      <w:r w:rsidR="00AE0087">
        <w:rPr>
          <w:rFonts w:eastAsia="Times New Roman"/>
          <w:sz w:val="24"/>
          <w:szCs w:val="24"/>
          <w:lang w:val="en-GB"/>
        </w:rPr>
        <w:t xml:space="preserve"> </w:t>
      </w:r>
      <w:r w:rsidR="00F94710" w:rsidRPr="003A306B">
        <w:rPr>
          <w:rFonts w:eastAsia="Times New Roman"/>
          <w:sz w:val="24"/>
          <w:szCs w:val="24"/>
          <w:lang w:val="en-GB"/>
        </w:rPr>
        <w:t xml:space="preserve">(Khalifa and </w:t>
      </w:r>
      <w:proofErr w:type="spellStart"/>
      <w:r w:rsidR="00F94710" w:rsidRPr="003A306B">
        <w:rPr>
          <w:rFonts w:eastAsia="Times New Roman"/>
          <w:sz w:val="24"/>
          <w:szCs w:val="24"/>
          <w:lang w:val="en-GB"/>
        </w:rPr>
        <w:t>Albadawy</w:t>
      </w:r>
      <w:proofErr w:type="spellEnd"/>
      <w:r w:rsidR="00F94710" w:rsidRPr="003A306B">
        <w:rPr>
          <w:rFonts w:eastAsia="Times New Roman"/>
          <w:sz w:val="24"/>
          <w:szCs w:val="24"/>
          <w:lang w:val="en-GB"/>
        </w:rPr>
        <w:t xml:space="preserve">, 2024).  However, AI is </w:t>
      </w:r>
      <w:r w:rsidRPr="003A306B">
        <w:rPr>
          <w:rFonts w:eastAsia="Times New Roman"/>
          <w:sz w:val="24"/>
          <w:szCs w:val="24"/>
          <w:lang w:val="en-GB"/>
        </w:rPr>
        <w:t>not relied</w:t>
      </w:r>
      <w:r w:rsidR="00F94710" w:rsidRPr="003A306B">
        <w:rPr>
          <w:rFonts w:eastAsia="Times New Roman"/>
          <w:sz w:val="24"/>
          <w:szCs w:val="24"/>
          <w:lang w:val="en-GB"/>
        </w:rPr>
        <w:t xml:space="preserve"> </w:t>
      </w:r>
      <w:r w:rsidRPr="003A306B">
        <w:rPr>
          <w:rFonts w:eastAsia="Times New Roman"/>
          <w:sz w:val="24"/>
          <w:szCs w:val="24"/>
          <w:lang w:val="en-GB"/>
        </w:rPr>
        <w:t>upon the</w:t>
      </w:r>
      <w:r w:rsidR="00F94710" w:rsidRPr="003A306B">
        <w:rPr>
          <w:rFonts w:eastAsia="Times New Roman"/>
          <w:sz w:val="24"/>
          <w:szCs w:val="24"/>
          <w:lang w:val="en-GB"/>
        </w:rPr>
        <w:t xml:space="preserve"> factual evidence or any kind of final arguments. Company-</w:t>
      </w:r>
      <w:r w:rsidRPr="003A306B">
        <w:rPr>
          <w:rFonts w:eastAsia="Times New Roman"/>
          <w:sz w:val="24"/>
          <w:szCs w:val="24"/>
          <w:lang w:val="en-GB"/>
        </w:rPr>
        <w:t>specific</w:t>
      </w:r>
      <w:r w:rsidR="00F94710" w:rsidRPr="003A306B">
        <w:rPr>
          <w:rFonts w:eastAsia="Times New Roman"/>
          <w:sz w:val="24"/>
          <w:szCs w:val="24"/>
          <w:lang w:val="en-GB"/>
        </w:rPr>
        <w:t xml:space="preserve"> information, sustainability data and ultimately the industry evidence closely </w:t>
      </w:r>
      <w:r w:rsidRPr="003A306B">
        <w:rPr>
          <w:rFonts w:eastAsia="Times New Roman"/>
          <w:sz w:val="24"/>
          <w:szCs w:val="24"/>
          <w:lang w:val="en-GB"/>
        </w:rPr>
        <w:t>associating</w:t>
      </w:r>
      <w:r w:rsidR="00F94710" w:rsidRPr="003A306B">
        <w:rPr>
          <w:rFonts w:eastAsia="Times New Roman"/>
          <w:sz w:val="24"/>
          <w:szCs w:val="24"/>
          <w:lang w:val="en-GB"/>
        </w:rPr>
        <w:t xml:space="preserve"> to Codelco</w:t>
      </w:r>
      <w:r w:rsidRPr="003A306B">
        <w:rPr>
          <w:rFonts w:eastAsia="Times New Roman"/>
          <w:sz w:val="24"/>
          <w:szCs w:val="24"/>
          <w:lang w:val="en-GB"/>
        </w:rPr>
        <w:t xml:space="preserve"> </w:t>
      </w:r>
      <w:r w:rsidR="00F94710" w:rsidRPr="003A306B">
        <w:rPr>
          <w:rFonts w:eastAsia="Times New Roman"/>
          <w:sz w:val="24"/>
          <w:szCs w:val="24"/>
          <w:lang w:val="en-GB"/>
        </w:rPr>
        <w:t xml:space="preserve">has been </w:t>
      </w:r>
      <w:r w:rsidRPr="003A306B">
        <w:rPr>
          <w:rFonts w:eastAsia="Times New Roman"/>
          <w:sz w:val="24"/>
          <w:szCs w:val="24"/>
          <w:lang w:val="en-GB"/>
        </w:rPr>
        <w:t>independently obtained</w:t>
      </w:r>
      <w:r w:rsidR="00F94710" w:rsidRPr="003A306B">
        <w:rPr>
          <w:rFonts w:eastAsia="Times New Roman"/>
          <w:sz w:val="24"/>
          <w:szCs w:val="24"/>
          <w:lang w:val="en-GB"/>
        </w:rPr>
        <w:t xml:space="preserve"> from official company sustainability reports along with academic journal articles and </w:t>
      </w:r>
      <w:r w:rsidR="00F94710" w:rsidRPr="003A306B">
        <w:rPr>
          <w:rFonts w:eastAsia="Times New Roman"/>
          <w:sz w:val="24"/>
          <w:szCs w:val="24"/>
          <w:lang w:val="en-GB"/>
        </w:rPr>
        <w:lastRenderedPageBreak/>
        <w:t xml:space="preserve">finally the reputable industry </w:t>
      </w:r>
      <w:r w:rsidRPr="003A306B">
        <w:rPr>
          <w:rFonts w:eastAsia="Times New Roman"/>
          <w:sz w:val="24"/>
          <w:szCs w:val="24"/>
          <w:lang w:val="en-GB"/>
        </w:rPr>
        <w:t>publications</w:t>
      </w:r>
      <w:r w:rsidR="00F94710" w:rsidRPr="003A306B">
        <w:rPr>
          <w:rFonts w:eastAsia="Times New Roman"/>
          <w:sz w:val="24"/>
          <w:szCs w:val="24"/>
          <w:lang w:val="en-GB"/>
        </w:rPr>
        <w:t xml:space="preserve"> to ensure that the report reflected accurate, relevant as well as up-to date information. </w:t>
      </w:r>
    </w:p>
    <w:p w14:paraId="7CC658AE" w14:textId="77777777" w:rsidR="00F93CF2" w:rsidRPr="003A306B" w:rsidRDefault="00F94710" w:rsidP="000C7DBC">
      <w:pPr>
        <w:pStyle w:val="Heading2"/>
        <w:rPr>
          <w:lang w:val="en-GB"/>
        </w:rPr>
      </w:pPr>
      <w:bookmarkStart w:id="11" w:name="_Toc234681933"/>
      <w:r w:rsidRPr="003A306B">
        <w:rPr>
          <w:lang w:val="en-GB"/>
        </w:rPr>
        <w:t>3.2 Critical Evaluation of AI Output</w:t>
      </w:r>
      <w:bookmarkEnd w:id="11"/>
      <w:r w:rsidRPr="003A306B">
        <w:rPr>
          <w:lang w:val="en-GB"/>
        </w:rPr>
        <w:t xml:space="preserve"> </w:t>
      </w:r>
    </w:p>
    <w:p w14:paraId="6044FF59" w14:textId="3FCA3222"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AI-developed content has been profoundly examined before being included into the research work.  Information which is relevant to Codelco’s sustainability </w:t>
      </w:r>
      <w:r w:rsidR="000C7DBC" w:rsidRPr="003A306B">
        <w:rPr>
          <w:rFonts w:eastAsia="Times New Roman"/>
          <w:sz w:val="24"/>
          <w:szCs w:val="24"/>
          <w:lang w:val="en-GB"/>
        </w:rPr>
        <w:t>initiates</w:t>
      </w:r>
      <w:r w:rsidRPr="003A306B">
        <w:rPr>
          <w:rFonts w:eastAsia="Times New Roman"/>
          <w:sz w:val="24"/>
          <w:szCs w:val="24"/>
          <w:lang w:val="en-GB"/>
        </w:rPr>
        <w:t>, emission targets as well as operational developments has been cross-</w:t>
      </w:r>
      <w:r w:rsidR="000C7DBC" w:rsidRPr="003A306B">
        <w:rPr>
          <w:rFonts w:eastAsia="Times New Roman"/>
          <w:sz w:val="24"/>
          <w:szCs w:val="24"/>
          <w:lang w:val="en-GB"/>
        </w:rPr>
        <w:t>verified through</w:t>
      </w:r>
      <w:r w:rsidRPr="003A306B">
        <w:rPr>
          <w:rFonts w:eastAsia="Times New Roman"/>
          <w:sz w:val="24"/>
          <w:szCs w:val="24"/>
          <w:lang w:val="en-GB"/>
        </w:rPr>
        <w:t xml:space="preserve"> leveraging the official sustainability reports and recognised industry sources while the theoretical concepts has been confirmed through academic literature.  Besides that, statistics and factual claims </w:t>
      </w:r>
      <w:r w:rsidR="005A3504">
        <w:rPr>
          <w:rFonts w:eastAsia="Times New Roman"/>
          <w:sz w:val="24"/>
          <w:szCs w:val="24"/>
          <w:lang w:val="en-GB"/>
        </w:rPr>
        <w:t xml:space="preserve">were </w:t>
      </w:r>
      <w:r w:rsidRPr="003A306B">
        <w:rPr>
          <w:rFonts w:eastAsia="Times New Roman"/>
          <w:sz w:val="24"/>
          <w:szCs w:val="24"/>
          <w:lang w:val="en-GB"/>
        </w:rPr>
        <w:t>checked pr</w:t>
      </w:r>
      <w:r w:rsidR="000C7DBC" w:rsidRPr="003A306B">
        <w:rPr>
          <w:rFonts w:eastAsia="Times New Roman"/>
          <w:sz w:val="24"/>
          <w:szCs w:val="24"/>
          <w:lang w:val="en-GB"/>
        </w:rPr>
        <w:t>operly against several sources t</w:t>
      </w:r>
      <w:r w:rsidRPr="003A306B">
        <w:rPr>
          <w:rFonts w:eastAsia="Times New Roman"/>
          <w:sz w:val="24"/>
          <w:szCs w:val="24"/>
          <w:lang w:val="en-GB"/>
        </w:rPr>
        <w:t xml:space="preserve">o minimise both the inaccuracies and outdated information. AI-powered arguments </w:t>
      </w:r>
      <w:r w:rsidR="00C61A6E" w:rsidRPr="003A306B">
        <w:rPr>
          <w:rFonts w:eastAsia="Times New Roman"/>
          <w:sz w:val="24"/>
          <w:szCs w:val="24"/>
          <w:lang w:val="en-GB"/>
        </w:rPr>
        <w:t>have</w:t>
      </w:r>
      <w:r w:rsidRPr="003A306B">
        <w:rPr>
          <w:rFonts w:eastAsia="Times New Roman"/>
          <w:sz w:val="24"/>
          <w:szCs w:val="24"/>
          <w:lang w:val="en-GB"/>
        </w:rPr>
        <w:t xml:space="preserve"> been also refined where they lack any company-</w:t>
      </w:r>
      <w:r w:rsidR="000C7DBC" w:rsidRPr="003A306B">
        <w:rPr>
          <w:rFonts w:eastAsia="Times New Roman"/>
          <w:sz w:val="24"/>
          <w:szCs w:val="24"/>
          <w:lang w:val="en-GB"/>
        </w:rPr>
        <w:t>specific evidence</w:t>
      </w:r>
      <w:r w:rsidRPr="003A306B">
        <w:rPr>
          <w:rFonts w:eastAsia="Times New Roman"/>
          <w:sz w:val="24"/>
          <w:szCs w:val="24"/>
          <w:lang w:val="en-GB"/>
        </w:rPr>
        <w:t xml:space="preserve"> or any kind of critical </w:t>
      </w:r>
      <w:r w:rsidR="000C7DBC" w:rsidRPr="003A306B">
        <w:rPr>
          <w:rFonts w:eastAsia="Times New Roman"/>
          <w:sz w:val="24"/>
          <w:szCs w:val="24"/>
          <w:lang w:val="en-GB"/>
        </w:rPr>
        <w:t>evaluation</w:t>
      </w:r>
      <w:r w:rsidRPr="003A306B">
        <w:rPr>
          <w:rFonts w:eastAsia="Times New Roman"/>
          <w:sz w:val="24"/>
          <w:szCs w:val="24"/>
          <w:lang w:val="en-GB"/>
        </w:rPr>
        <w:t xml:space="preserve">.  </w:t>
      </w:r>
      <w:r w:rsidR="000C7DBC" w:rsidRPr="003A306B">
        <w:rPr>
          <w:rFonts w:eastAsia="Times New Roman"/>
          <w:sz w:val="24"/>
          <w:szCs w:val="24"/>
          <w:lang w:val="en-GB"/>
        </w:rPr>
        <w:t>This verification procedure</w:t>
      </w:r>
      <w:r w:rsidRPr="003A306B">
        <w:rPr>
          <w:rFonts w:eastAsia="Times New Roman"/>
          <w:sz w:val="24"/>
          <w:szCs w:val="24"/>
          <w:lang w:val="en-GB"/>
        </w:rPr>
        <w:t xml:space="preserve"> helped to assured </w:t>
      </w:r>
      <w:r w:rsidR="000C7DBC" w:rsidRPr="003A306B">
        <w:rPr>
          <w:rFonts w:eastAsia="Times New Roman"/>
          <w:sz w:val="24"/>
          <w:szCs w:val="24"/>
          <w:lang w:val="en-GB"/>
        </w:rPr>
        <w:t>that</w:t>
      </w:r>
      <w:r w:rsidRPr="003A306B">
        <w:rPr>
          <w:rFonts w:eastAsia="Times New Roman"/>
          <w:sz w:val="24"/>
          <w:szCs w:val="24"/>
          <w:lang w:val="en-GB"/>
        </w:rPr>
        <w:t xml:space="preserve"> the final report has highlighted the reliable information, managed </w:t>
      </w:r>
      <w:r w:rsidR="000C7DBC" w:rsidRPr="003A306B">
        <w:rPr>
          <w:rFonts w:eastAsia="Times New Roman"/>
          <w:sz w:val="24"/>
          <w:szCs w:val="24"/>
          <w:lang w:val="en-GB"/>
        </w:rPr>
        <w:t>an</w:t>
      </w:r>
      <w:r w:rsidRPr="003A306B">
        <w:rPr>
          <w:rFonts w:eastAsia="Times New Roman"/>
          <w:sz w:val="24"/>
          <w:szCs w:val="24"/>
          <w:lang w:val="en-GB"/>
        </w:rPr>
        <w:t xml:space="preserve"> academic credibility. </w:t>
      </w:r>
    </w:p>
    <w:p w14:paraId="5204E800" w14:textId="77777777" w:rsidR="00F93CF2" w:rsidRPr="003A306B" w:rsidRDefault="00F94710" w:rsidP="00775841">
      <w:pPr>
        <w:pStyle w:val="Heading2"/>
        <w:rPr>
          <w:lang w:val="en-GB"/>
        </w:rPr>
      </w:pPr>
      <w:bookmarkStart w:id="12" w:name="_Toc234681934"/>
      <w:r w:rsidRPr="003A306B">
        <w:rPr>
          <w:lang w:val="en-GB"/>
        </w:rPr>
        <w:t>3.3 Contribution Analysis</w:t>
      </w:r>
      <w:bookmarkEnd w:id="12"/>
      <w:r w:rsidRPr="003A306B">
        <w:rPr>
          <w:lang w:val="en-GB"/>
        </w:rPr>
        <w:t xml:space="preserve"> </w:t>
      </w:r>
    </w:p>
    <w:p w14:paraId="21452CB5" w14:textId="77777777" w:rsidR="00F93CF2" w:rsidRPr="003A306B" w:rsidRDefault="00F94710">
      <w:pPr>
        <w:spacing w:after="200" w:line="360" w:lineRule="auto"/>
        <w:jc w:val="both"/>
        <w:rPr>
          <w:rFonts w:eastAsia="Times New Roman"/>
          <w:sz w:val="24"/>
          <w:szCs w:val="24"/>
          <w:lang w:val="en-GB"/>
        </w:rPr>
      </w:pPr>
      <w:r w:rsidRPr="003A306B">
        <w:rPr>
          <w:rFonts w:eastAsia="Times New Roman"/>
          <w:sz w:val="24"/>
          <w:szCs w:val="24"/>
          <w:lang w:val="en-GB"/>
        </w:rPr>
        <w:t xml:space="preserve">AI supported the primary structure of this report, language refinement and ultimately organise the raw </w:t>
      </w:r>
      <w:r w:rsidR="000C7DBC" w:rsidRPr="003A306B">
        <w:rPr>
          <w:rFonts w:eastAsia="Times New Roman"/>
          <w:sz w:val="24"/>
          <w:szCs w:val="24"/>
          <w:lang w:val="en-GB"/>
        </w:rPr>
        <w:t>ideas while</w:t>
      </w:r>
      <w:r w:rsidRPr="003A306B">
        <w:rPr>
          <w:rFonts w:eastAsia="Times New Roman"/>
          <w:sz w:val="24"/>
          <w:szCs w:val="24"/>
          <w:lang w:val="en-GB"/>
        </w:rPr>
        <w:t xml:space="preserve"> also suggesting different relevant strategic frameworks.  However, the selection of Codelco, interpretation of its sustainability </w:t>
      </w:r>
      <w:r w:rsidR="000C7DBC" w:rsidRPr="003A306B">
        <w:rPr>
          <w:rFonts w:eastAsia="Times New Roman"/>
          <w:sz w:val="24"/>
          <w:szCs w:val="24"/>
          <w:lang w:val="en-GB"/>
        </w:rPr>
        <w:t>initiatives and</w:t>
      </w:r>
      <w:r w:rsidRPr="003A306B">
        <w:rPr>
          <w:rFonts w:eastAsia="Times New Roman"/>
          <w:sz w:val="24"/>
          <w:szCs w:val="24"/>
          <w:lang w:val="en-GB"/>
        </w:rPr>
        <w:t xml:space="preserve"> finally the application of the both Ansoff Matrix and Porter's Generic Strategies has been completed independently. Moreover, the critical comparison of the academic perspectives, analysis of the </w:t>
      </w:r>
      <w:r w:rsidR="000C7DBC" w:rsidRPr="003A306B">
        <w:rPr>
          <w:rFonts w:eastAsia="Times New Roman"/>
          <w:sz w:val="24"/>
          <w:szCs w:val="24"/>
          <w:lang w:val="en-GB"/>
        </w:rPr>
        <w:t>environmental</w:t>
      </w:r>
      <w:r w:rsidRPr="003A306B">
        <w:rPr>
          <w:rFonts w:eastAsia="Times New Roman"/>
          <w:sz w:val="24"/>
          <w:szCs w:val="24"/>
          <w:lang w:val="en-GB"/>
        </w:rPr>
        <w:t xml:space="preserve"> pressures or </w:t>
      </w:r>
      <w:r w:rsidR="000C7DBC" w:rsidRPr="003A306B">
        <w:rPr>
          <w:rFonts w:eastAsia="Times New Roman"/>
          <w:sz w:val="24"/>
          <w:szCs w:val="24"/>
          <w:lang w:val="en-GB"/>
        </w:rPr>
        <w:t>competitive</w:t>
      </w:r>
      <w:r w:rsidRPr="003A306B">
        <w:rPr>
          <w:rFonts w:eastAsia="Times New Roman"/>
          <w:sz w:val="24"/>
          <w:szCs w:val="24"/>
          <w:lang w:val="en-GB"/>
        </w:rPr>
        <w:t xml:space="preserve"> positioning in amalgamation with the close </w:t>
      </w:r>
      <w:r w:rsidR="000C7DBC" w:rsidRPr="003A306B">
        <w:rPr>
          <w:rFonts w:eastAsia="Times New Roman"/>
          <w:sz w:val="24"/>
          <w:szCs w:val="24"/>
          <w:lang w:val="en-GB"/>
        </w:rPr>
        <w:t>alignment</w:t>
      </w:r>
      <w:r w:rsidRPr="003A306B">
        <w:rPr>
          <w:rFonts w:eastAsia="Times New Roman"/>
          <w:sz w:val="24"/>
          <w:szCs w:val="24"/>
          <w:lang w:val="en-GB"/>
        </w:rPr>
        <w:t xml:space="preserve"> of the company specific evidence </w:t>
      </w:r>
      <w:r w:rsidR="000C7DBC" w:rsidRPr="003A306B">
        <w:rPr>
          <w:rFonts w:eastAsia="Times New Roman"/>
          <w:sz w:val="24"/>
          <w:szCs w:val="24"/>
          <w:lang w:val="en-GB"/>
        </w:rPr>
        <w:t>represented</w:t>
      </w:r>
      <w:r w:rsidRPr="003A306B">
        <w:rPr>
          <w:rFonts w:eastAsia="Times New Roman"/>
          <w:sz w:val="24"/>
          <w:szCs w:val="24"/>
          <w:lang w:val="en-GB"/>
        </w:rPr>
        <w:t xml:space="preserve"> my original contribution. </w:t>
      </w:r>
    </w:p>
    <w:p w14:paraId="75D0D406" w14:textId="77777777" w:rsidR="00F93CF2" w:rsidRPr="003A306B" w:rsidRDefault="00F94710" w:rsidP="000C7DBC">
      <w:pPr>
        <w:pStyle w:val="Heading2"/>
        <w:rPr>
          <w:lang w:val="en-GB"/>
        </w:rPr>
      </w:pPr>
      <w:bookmarkStart w:id="13" w:name="_Toc234681935"/>
      <w:r w:rsidRPr="003A306B">
        <w:rPr>
          <w:lang w:val="en-GB"/>
        </w:rPr>
        <w:t>3.4 Ethical and Professional Reflection</w:t>
      </w:r>
      <w:bookmarkEnd w:id="13"/>
      <w:r w:rsidRPr="003A306B">
        <w:rPr>
          <w:lang w:val="en-GB"/>
        </w:rPr>
        <w:t xml:space="preserve"> </w:t>
      </w:r>
    </w:p>
    <w:p w14:paraId="6762D3D4" w14:textId="77777777" w:rsidR="00F93CF2" w:rsidRPr="003A306B" w:rsidRDefault="00F94710">
      <w:pPr>
        <w:spacing w:after="200" w:line="360" w:lineRule="auto"/>
        <w:jc w:val="both"/>
        <w:rPr>
          <w:rFonts w:eastAsia="Times New Roman"/>
          <w:b/>
          <w:bCs/>
          <w:sz w:val="24"/>
          <w:szCs w:val="24"/>
          <w:lang w:val="en-GB"/>
        </w:rPr>
      </w:pPr>
      <w:r w:rsidRPr="003A306B">
        <w:rPr>
          <w:rFonts w:eastAsia="Times New Roman"/>
          <w:sz w:val="24"/>
          <w:szCs w:val="24"/>
          <w:lang w:val="en-GB"/>
        </w:rPr>
        <w:t>The ethical utilisation of the AI requires a sense of transparency, academic integrity and ultimately professional judgement (</w:t>
      </w:r>
      <w:proofErr w:type="spellStart"/>
      <w:r w:rsidRPr="003A306B">
        <w:rPr>
          <w:rFonts w:eastAsia="Times New Roman"/>
          <w:sz w:val="24"/>
          <w:szCs w:val="24"/>
          <w:lang w:val="en-GB"/>
        </w:rPr>
        <w:t>Nnorom</w:t>
      </w:r>
      <w:proofErr w:type="spellEnd"/>
      <w:r w:rsidRPr="003A306B">
        <w:rPr>
          <w:rFonts w:eastAsia="Times New Roman"/>
          <w:sz w:val="24"/>
          <w:szCs w:val="24"/>
          <w:lang w:val="en-GB"/>
        </w:rPr>
        <w:t xml:space="preserve">, 2025). Though AI enhances effectiveness within the research and writing, high dependence might lower critical thinking while introducing any kind of inaccurate or biased information.  Therefore, all AI-driven content has been verified through leveraging credible academic as well as industry sources. From a marketing standpoint, it can be asserted that AI needs to support the evidence-based analysis instead of replacing the human judgement and thus ensure strategic decisions remain accurate as well as ethical. </w:t>
      </w:r>
      <w:r w:rsidRPr="003A306B">
        <w:rPr>
          <w:lang w:val="en-GB"/>
        </w:rPr>
        <w:br w:type="page"/>
      </w:r>
    </w:p>
    <w:p w14:paraId="55654A33" w14:textId="77777777" w:rsidR="0037100D" w:rsidRDefault="0037100D" w:rsidP="0037100D">
      <w:pPr>
        <w:pStyle w:val="Heading1"/>
      </w:pPr>
      <w:bookmarkStart w:id="14" w:name="_Toc234681936"/>
      <w:r>
        <w:lastRenderedPageBreak/>
        <w:t>References</w:t>
      </w:r>
      <w:bookmarkEnd w:id="14"/>
      <w:r>
        <w:t xml:space="preserve"> </w:t>
      </w:r>
    </w:p>
    <w:p w14:paraId="0844127C" w14:textId="77777777" w:rsidR="00C61A6E" w:rsidRPr="00A90AF3" w:rsidRDefault="00C61A6E" w:rsidP="000836C0">
      <w:pPr>
        <w:rPr>
          <w:rFonts w:eastAsia="Times New Roman"/>
          <w:b/>
          <w:bCs/>
          <w:sz w:val="24"/>
          <w:szCs w:val="24"/>
          <w:lang w:val="en-GB"/>
        </w:rPr>
      </w:pPr>
      <w:r w:rsidRPr="00A90AF3">
        <w:rPr>
          <w:rFonts w:eastAsia="Times New Roman"/>
          <w:sz w:val="24"/>
          <w:szCs w:val="24"/>
        </w:rPr>
        <w:t xml:space="preserve">Ahmed, A. (2025) ‘Product development and innovation’. </w:t>
      </w:r>
      <w:r w:rsidRPr="0037100D">
        <w:rPr>
          <w:rFonts w:eastAsia="Times New Roman"/>
          <w:i/>
          <w:iCs/>
          <w:sz w:val="24"/>
          <w:szCs w:val="24"/>
        </w:rPr>
        <w:t>Copyright© 2025 Eurasian Research Institute</w:t>
      </w:r>
      <w:r w:rsidRPr="00A90AF3">
        <w:rPr>
          <w:rFonts w:eastAsia="Times New Roman"/>
          <w:sz w:val="24"/>
          <w:szCs w:val="24"/>
        </w:rPr>
        <w:t xml:space="preserve">, p. 104. Available at: </w:t>
      </w:r>
      <w:hyperlink r:id="rId20" w:anchor="page=117" w:history="1">
        <w:r w:rsidRPr="0037100D">
          <w:rPr>
            <w:rFonts w:eastAsia="Times New Roman"/>
            <w:color w:val="0000FF"/>
            <w:sz w:val="24"/>
            <w:szCs w:val="24"/>
            <w:u w:val="single"/>
          </w:rPr>
          <w:t>https://www.gbppublications.com/_files/ugd/5e526c_d512b35bd3f04b9eac3a95ed47ef78ea.pdf#page=117</w:t>
        </w:r>
      </w:hyperlink>
    </w:p>
    <w:p w14:paraId="3685DCA4"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Bari, N., </w:t>
      </w:r>
      <w:proofErr w:type="spellStart"/>
      <w:r w:rsidRPr="00A90AF3">
        <w:rPr>
          <w:rFonts w:eastAsia="Times New Roman"/>
          <w:sz w:val="24"/>
          <w:szCs w:val="24"/>
        </w:rPr>
        <w:t>Chimhundu</w:t>
      </w:r>
      <w:proofErr w:type="spellEnd"/>
      <w:r w:rsidRPr="00A90AF3">
        <w:rPr>
          <w:rFonts w:eastAsia="Times New Roman"/>
          <w:sz w:val="24"/>
          <w:szCs w:val="24"/>
        </w:rPr>
        <w:t xml:space="preserve">, R. and Chan, K.C. (2022) ‘Dynamic capabilities to achieve corporate sustainability: A roadmap to sustained competitive advantage’, </w:t>
      </w:r>
      <w:r w:rsidRPr="0037100D">
        <w:rPr>
          <w:rFonts w:eastAsia="Times New Roman"/>
          <w:i/>
          <w:iCs/>
          <w:sz w:val="24"/>
          <w:szCs w:val="24"/>
        </w:rPr>
        <w:t>Sustainability</w:t>
      </w:r>
      <w:r w:rsidRPr="00A90AF3">
        <w:rPr>
          <w:rFonts w:eastAsia="Times New Roman"/>
          <w:sz w:val="24"/>
          <w:szCs w:val="24"/>
        </w:rPr>
        <w:t xml:space="preserve">, 14(3), p. 1531. Available at: </w:t>
      </w:r>
      <w:hyperlink r:id="rId21" w:history="1">
        <w:r w:rsidRPr="0037100D">
          <w:rPr>
            <w:rFonts w:eastAsia="Times New Roman"/>
            <w:color w:val="0000FF"/>
            <w:sz w:val="24"/>
            <w:szCs w:val="24"/>
            <w:u w:val="single"/>
          </w:rPr>
          <w:t>https://www.mdpi.com/2071-1050/14/3/1531</w:t>
        </w:r>
      </w:hyperlink>
    </w:p>
    <w:p w14:paraId="486E3EE4" w14:textId="77777777" w:rsidR="00C61A6E" w:rsidRPr="00A90AF3" w:rsidRDefault="00C61A6E" w:rsidP="0037100D">
      <w:pPr>
        <w:spacing w:before="100" w:beforeAutospacing="1" w:line="360" w:lineRule="auto"/>
        <w:jc w:val="both"/>
        <w:rPr>
          <w:rFonts w:eastAsia="Times New Roman"/>
          <w:sz w:val="24"/>
          <w:szCs w:val="24"/>
        </w:rPr>
      </w:pPr>
      <w:proofErr w:type="spellStart"/>
      <w:r w:rsidRPr="00A90AF3">
        <w:rPr>
          <w:rFonts w:eastAsia="Times New Roman"/>
          <w:sz w:val="24"/>
          <w:szCs w:val="24"/>
        </w:rPr>
        <w:t>Chipangamate</w:t>
      </w:r>
      <w:proofErr w:type="spellEnd"/>
      <w:r w:rsidRPr="00A90AF3">
        <w:rPr>
          <w:rFonts w:eastAsia="Times New Roman"/>
          <w:sz w:val="24"/>
          <w:szCs w:val="24"/>
        </w:rPr>
        <w:t xml:space="preserve">, N.S., </w:t>
      </w:r>
      <w:proofErr w:type="spellStart"/>
      <w:r w:rsidRPr="00A90AF3">
        <w:rPr>
          <w:rFonts w:eastAsia="Times New Roman"/>
          <w:sz w:val="24"/>
          <w:szCs w:val="24"/>
        </w:rPr>
        <w:t>Nwaila</w:t>
      </w:r>
      <w:proofErr w:type="spellEnd"/>
      <w:r w:rsidRPr="00A90AF3">
        <w:rPr>
          <w:rFonts w:eastAsia="Times New Roman"/>
          <w:sz w:val="24"/>
          <w:szCs w:val="24"/>
        </w:rPr>
        <w:t xml:space="preserve">, G.T., Bourdeau, J.E. and Zhang, S.E. (2023) ‘Integration of stakeholder engagement practices in pursuit of social </w:t>
      </w:r>
      <w:proofErr w:type="spellStart"/>
      <w:r w:rsidRPr="00A90AF3">
        <w:rPr>
          <w:rFonts w:eastAsia="Times New Roman"/>
          <w:sz w:val="24"/>
          <w:szCs w:val="24"/>
        </w:rPr>
        <w:t>licence</w:t>
      </w:r>
      <w:proofErr w:type="spellEnd"/>
      <w:r w:rsidRPr="00A90AF3">
        <w:rPr>
          <w:rFonts w:eastAsia="Times New Roman"/>
          <w:sz w:val="24"/>
          <w:szCs w:val="24"/>
        </w:rPr>
        <w:t xml:space="preserve"> to operate in a </w:t>
      </w:r>
      <w:proofErr w:type="spellStart"/>
      <w:r w:rsidRPr="00A90AF3">
        <w:rPr>
          <w:rFonts w:eastAsia="Times New Roman"/>
          <w:sz w:val="24"/>
          <w:szCs w:val="24"/>
        </w:rPr>
        <w:t>modernising</w:t>
      </w:r>
      <w:proofErr w:type="spellEnd"/>
      <w:r w:rsidRPr="00A90AF3">
        <w:rPr>
          <w:rFonts w:eastAsia="Times New Roman"/>
          <w:sz w:val="24"/>
          <w:szCs w:val="24"/>
        </w:rPr>
        <w:t xml:space="preserve"> mining industry’, </w:t>
      </w:r>
      <w:r w:rsidRPr="0037100D">
        <w:rPr>
          <w:rFonts w:eastAsia="Times New Roman"/>
          <w:i/>
          <w:iCs/>
          <w:sz w:val="24"/>
          <w:szCs w:val="24"/>
        </w:rPr>
        <w:t>Resources Policy</w:t>
      </w:r>
      <w:r w:rsidRPr="00A90AF3">
        <w:rPr>
          <w:rFonts w:eastAsia="Times New Roman"/>
          <w:sz w:val="24"/>
          <w:szCs w:val="24"/>
        </w:rPr>
        <w:t xml:space="preserve">, 85, p. 103851. Available at: </w:t>
      </w:r>
      <w:hyperlink r:id="rId22" w:history="1">
        <w:r w:rsidRPr="0037100D">
          <w:rPr>
            <w:rFonts w:eastAsia="Times New Roman"/>
            <w:color w:val="0000FF"/>
            <w:sz w:val="24"/>
            <w:szCs w:val="24"/>
            <w:u w:val="single"/>
          </w:rPr>
          <w:t>https://www.sciencedirect.com/science/article/pii/S0301420723005627</w:t>
        </w:r>
      </w:hyperlink>
    </w:p>
    <w:p w14:paraId="486F9D53"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Codelco (2025) </w:t>
      </w:r>
      <w:r w:rsidRPr="0037100D">
        <w:rPr>
          <w:rFonts w:eastAsia="Times New Roman"/>
          <w:i/>
          <w:iCs/>
          <w:sz w:val="24"/>
          <w:szCs w:val="24"/>
        </w:rPr>
        <w:t>Climate Change Report 2025</w:t>
      </w:r>
      <w:r w:rsidRPr="00A90AF3">
        <w:rPr>
          <w:rFonts w:eastAsia="Times New Roman"/>
          <w:sz w:val="24"/>
          <w:szCs w:val="24"/>
        </w:rPr>
        <w:t xml:space="preserve">. Available at: </w:t>
      </w:r>
      <w:hyperlink r:id="rId23" w:history="1">
        <w:r w:rsidRPr="0037100D">
          <w:rPr>
            <w:rFonts w:eastAsia="Times New Roman"/>
            <w:color w:val="0000FF"/>
            <w:sz w:val="24"/>
            <w:szCs w:val="24"/>
            <w:u w:val="single"/>
          </w:rPr>
          <w:t>https://www.codelco.com/prontus_codelco/site/docs/20251002/20251002120038/climate_change_report.pdf</w:t>
        </w:r>
      </w:hyperlink>
      <w:r w:rsidRPr="00A90AF3">
        <w:rPr>
          <w:rFonts w:eastAsia="Times New Roman"/>
          <w:sz w:val="24"/>
          <w:szCs w:val="24"/>
        </w:rPr>
        <w:t xml:space="preserve"> (Accessed: 11 July 2026).</w:t>
      </w:r>
    </w:p>
    <w:p w14:paraId="7CF35396"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Codelco (2025) </w:t>
      </w:r>
      <w:r w:rsidRPr="0037100D">
        <w:rPr>
          <w:rFonts w:eastAsia="Times New Roman"/>
          <w:i/>
          <w:iCs/>
          <w:sz w:val="24"/>
          <w:szCs w:val="24"/>
        </w:rPr>
        <w:t>First Quarter 2025 Results</w:t>
      </w:r>
      <w:r w:rsidRPr="00A90AF3">
        <w:rPr>
          <w:rFonts w:eastAsia="Times New Roman"/>
          <w:sz w:val="24"/>
          <w:szCs w:val="24"/>
        </w:rPr>
        <w:t xml:space="preserve">. Available at: </w:t>
      </w:r>
      <w:hyperlink r:id="rId24" w:history="1">
        <w:r w:rsidRPr="0037100D">
          <w:rPr>
            <w:rFonts w:eastAsia="Times New Roman"/>
            <w:color w:val="0000FF"/>
            <w:sz w:val="24"/>
            <w:szCs w:val="24"/>
            <w:u w:val="single"/>
          </w:rPr>
          <w:t>https://www.codelco.com/sites/site/docs/20250428/20250428185356/operational_and_financial_report_march_31__2025.pdf</w:t>
        </w:r>
      </w:hyperlink>
      <w:r w:rsidRPr="00A90AF3">
        <w:rPr>
          <w:rFonts w:eastAsia="Times New Roman"/>
          <w:sz w:val="24"/>
          <w:szCs w:val="24"/>
        </w:rPr>
        <w:t xml:space="preserve"> (Accessed: 11 July 2026).</w:t>
      </w:r>
    </w:p>
    <w:p w14:paraId="1DDAAAEA"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Codelco (2025) </w:t>
      </w:r>
      <w:r w:rsidRPr="0037100D">
        <w:rPr>
          <w:rFonts w:eastAsia="Times New Roman"/>
          <w:i/>
          <w:iCs/>
          <w:sz w:val="24"/>
          <w:szCs w:val="24"/>
        </w:rPr>
        <w:t>Innovation and Technology</w:t>
      </w:r>
      <w:r w:rsidRPr="00A90AF3">
        <w:rPr>
          <w:rFonts w:eastAsia="Times New Roman"/>
          <w:sz w:val="24"/>
          <w:szCs w:val="24"/>
        </w:rPr>
        <w:t xml:space="preserve">. Available at: </w:t>
      </w:r>
      <w:hyperlink r:id="rId25" w:history="1">
        <w:r w:rsidRPr="0037100D">
          <w:rPr>
            <w:rFonts w:eastAsia="Times New Roman"/>
            <w:color w:val="0000FF"/>
            <w:sz w:val="24"/>
            <w:szCs w:val="24"/>
            <w:u w:val="single"/>
          </w:rPr>
          <w:t>https://www.codelco.com/memoria2014/site/artic/20150406/asocfile/20150406151445/innovation_and_technology.pdf</w:t>
        </w:r>
      </w:hyperlink>
      <w:r w:rsidRPr="00A90AF3">
        <w:rPr>
          <w:rFonts w:eastAsia="Times New Roman"/>
          <w:sz w:val="24"/>
          <w:szCs w:val="24"/>
        </w:rPr>
        <w:t xml:space="preserve"> (Accessed: 11 July 2026).</w:t>
      </w:r>
    </w:p>
    <w:p w14:paraId="68DB8B6D"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Codelco (2026) </w:t>
      </w:r>
      <w:r w:rsidRPr="0037100D">
        <w:rPr>
          <w:rFonts w:eastAsia="Times New Roman"/>
          <w:i/>
          <w:iCs/>
          <w:sz w:val="24"/>
          <w:szCs w:val="24"/>
        </w:rPr>
        <w:t>Sustainability Commitments by 2030</w:t>
      </w:r>
      <w:r w:rsidRPr="00A90AF3">
        <w:rPr>
          <w:rFonts w:eastAsia="Times New Roman"/>
          <w:sz w:val="24"/>
          <w:szCs w:val="24"/>
        </w:rPr>
        <w:t xml:space="preserve">. Available at: </w:t>
      </w:r>
      <w:hyperlink r:id="rId26" w:history="1">
        <w:r w:rsidRPr="0037100D">
          <w:rPr>
            <w:rFonts w:eastAsia="Times New Roman"/>
            <w:color w:val="0000FF"/>
            <w:sz w:val="24"/>
            <w:szCs w:val="24"/>
            <w:u w:val="single"/>
          </w:rPr>
          <w:t>https://www.codelco.com/sustainability-commitments-by-2030</w:t>
        </w:r>
      </w:hyperlink>
      <w:r w:rsidRPr="00A90AF3">
        <w:rPr>
          <w:rFonts w:eastAsia="Times New Roman"/>
          <w:sz w:val="24"/>
          <w:szCs w:val="24"/>
        </w:rPr>
        <w:t xml:space="preserve"> (Accessed: 11 July 2026).</w:t>
      </w:r>
    </w:p>
    <w:p w14:paraId="4980CC2F"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IEA (2026) </w:t>
      </w:r>
      <w:proofErr w:type="spellStart"/>
      <w:r w:rsidRPr="0037100D">
        <w:rPr>
          <w:rFonts w:eastAsia="Times New Roman"/>
          <w:i/>
          <w:iCs/>
          <w:sz w:val="24"/>
          <w:szCs w:val="24"/>
        </w:rPr>
        <w:t>Digitalisation</w:t>
      </w:r>
      <w:proofErr w:type="spellEnd"/>
      <w:r w:rsidRPr="0037100D">
        <w:rPr>
          <w:rFonts w:eastAsia="Times New Roman"/>
          <w:i/>
          <w:iCs/>
          <w:sz w:val="24"/>
          <w:szCs w:val="24"/>
        </w:rPr>
        <w:t xml:space="preserve"> and Energy</w:t>
      </w:r>
      <w:r w:rsidRPr="00A90AF3">
        <w:rPr>
          <w:rFonts w:eastAsia="Times New Roman"/>
          <w:sz w:val="24"/>
          <w:szCs w:val="24"/>
        </w:rPr>
        <w:t xml:space="preserve">. Available at: </w:t>
      </w:r>
      <w:hyperlink r:id="rId27" w:history="1">
        <w:r w:rsidRPr="0037100D">
          <w:rPr>
            <w:rFonts w:eastAsia="Times New Roman"/>
            <w:color w:val="0000FF"/>
            <w:sz w:val="24"/>
            <w:szCs w:val="24"/>
            <w:u w:val="single"/>
          </w:rPr>
          <w:t>https://www.iea.org/reports/digitalisation-and-energy</w:t>
        </w:r>
      </w:hyperlink>
      <w:r w:rsidRPr="00A90AF3">
        <w:rPr>
          <w:rFonts w:eastAsia="Times New Roman"/>
          <w:sz w:val="24"/>
          <w:szCs w:val="24"/>
        </w:rPr>
        <w:t xml:space="preserve"> (Accessed: 11 July 2026).</w:t>
      </w:r>
    </w:p>
    <w:p w14:paraId="6D25FD04"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IKI (2026) </w:t>
      </w:r>
      <w:r w:rsidRPr="0037100D">
        <w:rPr>
          <w:rFonts w:eastAsia="Times New Roman"/>
          <w:i/>
          <w:iCs/>
          <w:sz w:val="24"/>
          <w:szCs w:val="24"/>
        </w:rPr>
        <w:t>Chile Energy Transition</w:t>
      </w:r>
      <w:r w:rsidRPr="00A90AF3">
        <w:rPr>
          <w:rFonts w:eastAsia="Times New Roman"/>
          <w:sz w:val="24"/>
          <w:szCs w:val="24"/>
        </w:rPr>
        <w:t xml:space="preserve">. Available at: </w:t>
      </w:r>
      <w:hyperlink r:id="rId28" w:history="1">
        <w:r w:rsidRPr="0037100D">
          <w:rPr>
            <w:rFonts w:eastAsia="Times New Roman"/>
            <w:color w:val="0000FF"/>
            <w:sz w:val="24"/>
            <w:szCs w:val="24"/>
            <w:u w:val="single"/>
          </w:rPr>
          <w:t>https://www.international-climate-initiative.com/en/iki-media/video/chile_energy_transition/</w:t>
        </w:r>
      </w:hyperlink>
      <w:r w:rsidRPr="00A90AF3">
        <w:rPr>
          <w:rFonts w:eastAsia="Times New Roman"/>
          <w:sz w:val="24"/>
          <w:szCs w:val="24"/>
        </w:rPr>
        <w:t xml:space="preserve"> (Accessed: 11 July 2026).</w:t>
      </w:r>
    </w:p>
    <w:p w14:paraId="65686967"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lastRenderedPageBreak/>
        <w:t xml:space="preserve">International Copper (2026) </w:t>
      </w:r>
      <w:r w:rsidRPr="0037100D">
        <w:rPr>
          <w:rFonts w:eastAsia="Times New Roman"/>
          <w:i/>
          <w:iCs/>
          <w:sz w:val="24"/>
          <w:szCs w:val="24"/>
        </w:rPr>
        <w:t>Codelco Commits to Reaching Net-Zero Emissions by 2050 with its “100 Percent Clean Energy Matrix”</w:t>
      </w:r>
      <w:r w:rsidRPr="00A90AF3">
        <w:rPr>
          <w:rFonts w:eastAsia="Times New Roman"/>
          <w:sz w:val="24"/>
          <w:szCs w:val="24"/>
        </w:rPr>
        <w:t xml:space="preserve">. Available at: </w:t>
      </w:r>
      <w:hyperlink r:id="rId29" w:history="1">
        <w:r w:rsidRPr="0037100D">
          <w:rPr>
            <w:rFonts w:eastAsia="Times New Roman"/>
            <w:color w:val="0000FF"/>
            <w:sz w:val="24"/>
            <w:szCs w:val="24"/>
            <w:u w:val="single"/>
          </w:rPr>
          <w:t>https://internationalcopper.org/resource/codelco-commits-to-reaching-net-zero-emissions-by-2050-with-its-100-percent-clean-energy-matrix/</w:t>
        </w:r>
      </w:hyperlink>
      <w:r w:rsidRPr="00A90AF3">
        <w:rPr>
          <w:rFonts w:eastAsia="Times New Roman"/>
          <w:sz w:val="24"/>
          <w:szCs w:val="24"/>
        </w:rPr>
        <w:t xml:space="preserve"> (Accessed: 11 July 2026).</w:t>
      </w:r>
    </w:p>
    <w:p w14:paraId="71A08448" w14:textId="77777777" w:rsidR="00C61A6E" w:rsidRPr="00A90AF3" w:rsidRDefault="00C61A6E" w:rsidP="0037100D">
      <w:pPr>
        <w:spacing w:before="100" w:beforeAutospacing="1" w:line="360" w:lineRule="auto"/>
        <w:jc w:val="both"/>
        <w:rPr>
          <w:rFonts w:eastAsia="Times New Roman"/>
          <w:sz w:val="24"/>
          <w:szCs w:val="24"/>
        </w:rPr>
      </w:pPr>
      <w:r w:rsidRPr="0037100D">
        <w:rPr>
          <w:rFonts w:eastAsia="Times New Roman"/>
          <w:sz w:val="24"/>
          <w:szCs w:val="24"/>
        </w:rPr>
        <w:t>Juneja, A. (2025</w:t>
      </w:r>
      <w:r w:rsidRPr="00A90AF3">
        <w:rPr>
          <w:rFonts w:eastAsia="Times New Roman"/>
          <w:sz w:val="24"/>
          <w:szCs w:val="24"/>
        </w:rPr>
        <w:t xml:space="preserve">) ‘A comprehensive study of the generic competitive strategies’, </w:t>
      </w:r>
      <w:r w:rsidRPr="0037100D">
        <w:rPr>
          <w:rFonts w:eastAsia="Times New Roman"/>
          <w:i/>
          <w:iCs/>
          <w:sz w:val="24"/>
          <w:szCs w:val="24"/>
        </w:rPr>
        <w:t>Organizational Development</w:t>
      </w:r>
      <w:r w:rsidRPr="00A90AF3">
        <w:rPr>
          <w:rFonts w:eastAsia="Times New Roman"/>
          <w:sz w:val="24"/>
          <w:szCs w:val="24"/>
        </w:rPr>
        <w:t xml:space="preserve">, p. 138. Available at: </w:t>
      </w:r>
      <w:hyperlink r:id="rId30" w:anchor="page=145" w:history="1">
        <w:r w:rsidRPr="0037100D">
          <w:rPr>
            <w:rFonts w:eastAsia="Times New Roman"/>
            <w:color w:val="0000FF"/>
            <w:sz w:val="24"/>
            <w:szCs w:val="24"/>
            <w:u w:val="single"/>
          </w:rPr>
          <w:t>https://alexispress.us/wp-content/uploads/2022/07/Organizational-Development.pdf#page=145</w:t>
        </w:r>
      </w:hyperlink>
    </w:p>
    <w:p w14:paraId="35FFC5A1"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Khalifa, M. and </w:t>
      </w:r>
      <w:proofErr w:type="spellStart"/>
      <w:r w:rsidRPr="00A90AF3">
        <w:rPr>
          <w:rFonts w:eastAsia="Times New Roman"/>
          <w:sz w:val="24"/>
          <w:szCs w:val="24"/>
        </w:rPr>
        <w:t>Albadawy</w:t>
      </w:r>
      <w:proofErr w:type="spellEnd"/>
      <w:r w:rsidRPr="00A90AF3">
        <w:rPr>
          <w:rFonts w:eastAsia="Times New Roman"/>
          <w:sz w:val="24"/>
          <w:szCs w:val="24"/>
        </w:rPr>
        <w:t xml:space="preserve">, M. (2024) ‘Using artificial intelligence in academic writing and research: An essential productivity tool’, </w:t>
      </w:r>
      <w:r w:rsidRPr="0037100D">
        <w:rPr>
          <w:rFonts w:eastAsia="Times New Roman"/>
          <w:i/>
          <w:iCs/>
          <w:sz w:val="24"/>
          <w:szCs w:val="24"/>
        </w:rPr>
        <w:t>Computer Methods and Programs in Biomedicine Update</w:t>
      </w:r>
      <w:r w:rsidRPr="00A90AF3">
        <w:rPr>
          <w:rFonts w:eastAsia="Times New Roman"/>
          <w:sz w:val="24"/>
          <w:szCs w:val="24"/>
        </w:rPr>
        <w:t xml:space="preserve">, 5, p. 100145. Available at: </w:t>
      </w:r>
      <w:hyperlink r:id="rId31" w:history="1">
        <w:r w:rsidRPr="0037100D">
          <w:rPr>
            <w:rFonts w:eastAsia="Times New Roman"/>
            <w:color w:val="0000FF"/>
            <w:sz w:val="24"/>
            <w:szCs w:val="24"/>
            <w:u w:val="single"/>
          </w:rPr>
          <w:t>https://www.sciencedirect.com/science/article/pii/S2666990024000120</w:t>
        </w:r>
      </w:hyperlink>
    </w:p>
    <w:p w14:paraId="304D748D"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Kruschel, L.B. and Lafranchise, J.F. (n.d.) </w:t>
      </w:r>
      <w:r w:rsidRPr="0037100D">
        <w:rPr>
          <w:rFonts w:eastAsia="Times New Roman"/>
          <w:i/>
          <w:iCs/>
          <w:sz w:val="24"/>
          <w:szCs w:val="24"/>
        </w:rPr>
        <w:t>White Gold Rush–Codelco’s Lithium Ambitions in Chile</w:t>
      </w:r>
      <w:r w:rsidRPr="00A90AF3">
        <w:rPr>
          <w:rFonts w:eastAsia="Times New Roman"/>
          <w:sz w:val="24"/>
          <w:szCs w:val="24"/>
        </w:rPr>
        <w:t xml:space="preserve">. Available at: </w:t>
      </w:r>
      <w:hyperlink r:id="rId32" w:history="1">
        <w:r w:rsidRPr="0037100D">
          <w:rPr>
            <w:rFonts w:eastAsia="Times New Roman"/>
            <w:color w:val="0000FF"/>
            <w:sz w:val="24"/>
            <w:szCs w:val="24"/>
            <w:u w:val="single"/>
          </w:rPr>
          <w:t>https://research.cbs.dk/files/98727500/1567855_29068_Master_Thesis.pdf</w:t>
        </w:r>
      </w:hyperlink>
    </w:p>
    <w:p w14:paraId="267D0E81" w14:textId="77777777" w:rsidR="00C61A6E" w:rsidRPr="00A90AF3" w:rsidRDefault="00C61A6E" w:rsidP="0037100D">
      <w:pPr>
        <w:spacing w:before="100" w:beforeAutospacing="1" w:line="360" w:lineRule="auto"/>
        <w:jc w:val="both"/>
        <w:rPr>
          <w:rFonts w:eastAsia="Times New Roman"/>
          <w:sz w:val="24"/>
          <w:szCs w:val="24"/>
        </w:rPr>
      </w:pPr>
      <w:proofErr w:type="spellStart"/>
      <w:r w:rsidRPr="00A90AF3">
        <w:rPr>
          <w:rFonts w:eastAsia="Times New Roman"/>
          <w:sz w:val="24"/>
          <w:szCs w:val="24"/>
        </w:rPr>
        <w:t>Llancan</w:t>
      </w:r>
      <w:proofErr w:type="spellEnd"/>
      <w:r w:rsidRPr="00A90AF3">
        <w:rPr>
          <w:rFonts w:eastAsia="Times New Roman"/>
          <w:sz w:val="24"/>
          <w:szCs w:val="24"/>
        </w:rPr>
        <w:t xml:space="preserve">, F.H.S. (2019) ‘Innovation in the mining industry: a review of recent technological developments and current </w:t>
      </w:r>
      <w:proofErr w:type="gramStart"/>
      <w:r w:rsidRPr="00A90AF3">
        <w:rPr>
          <w:rFonts w:eastAsia="Times New Roman"/>
          <w:sz w:val="24"/>
          <w:szCs w:val="24"/>
        </w:rPr>
        <w:t>trends’</w:t>
      </w:r>
      <w:proofErr w:type="gramEnd"/>
      <w:r w:rsidRPr="00A90AF3">
        <w:rPr>
          <w:rFonts w:eastAsia="Times New Roman"/>
          <w:sz w:val="24"/>
          <w:szCs w:val="24"/>
        </w:rPr>
        <w:t xml:space="preserve">. Available at: </w:t>
      </w:r>
      <w:hyperlink r:id="rId33" w:history="1">
        <w:r w:rsidRPr="0037100D">
          <w:rPr>
            <w:rFonts w:eastAsia="Times New Roman"/>
            <w:color w:val="0000FF"/>
            <w:sz w:val="24"/>
            <w:szCs w:val="24"/>
            <w:u w:val="single"/>
          </w:rPr>
          <w:t>https://www.academia.edu/download/82004772/AC15412450n01.pdf</w:t>
        </w:r>
      </w:hyperlink>
    </w:p>
    <w:p w14:paraId="26A23711"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Mani, A., Budd, T. and Maine, E. (2024) ‘Emissions-intensive and trade-exposed industries: Technological innovation and climate policy solutions to achieve net-zero emissions by 2050’, </w:t>
      </w:r>
      <w:r w:rsidRPr="0037100D">
        <w:rPr>
          <w:rFonts w:eastAsia="Times New Roman"/>
          <w:i/>
          <w:iCs/>
          <w:sz w:val="24"/>
          <w:szCs w:val="24"/>
        </w:rPr>
        <w:t>RSC Sustainability</w:t>
      </w:r>
      <w:r w:rsidRPr="00A90AF3">
        <w:rPr>
          <w:rFonts w:eastAsia="Times New Roman"/>
          <w:sz w:val="24"/>
          <w:szCs w:val="24"/>
        </w:rPr>
        <w:t xml:space="preserve">, 2(4), pp. 903–927. Available at: </w:t>
      </w:r>
      <w:hyperlink r:id="rId34" w:history="1">
        <w:r w:rsidRPr="0037100D">
          <w:rPr>
            <w:rFonts w:eastAsia="Times New Roman"/>
            <w:color w:val="0000FF"/>
            <w:sz w:val="24"/>
            <w:szCs w:val="24"/>
            <w:u w:val="single"/>
          </w:rPr>
          <w:t>https://pubs.rsc.org/zh-hans/content/articlepdf/2024/su/d3su00335c</w:t>
        </w:r>
      </w:hyperlink>
    </w:p>
    <w:p w14:paraId="3827569A"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Mesut, C. (2026) </w:t>
      </w:r>
      <w:r w:rsidRPr="0037100D">
        <w:rPr>
          <w:rFonts w:eastAsia="Times New Roman"/>
          <w:i/>
          <w:iCs/>
          <w:sz w:val="24"/>
          <w:szCs w:val="24"/>
        </w:rPr>
        <w:t>Competitive Advantage Through Strategic: Bridging Traditional Theory and Emerging Corporate Strategies</w:t>
      </w:r>
      <w:r w:rsidRPr="00A90AF3">
        <w:rPr>
          <w:rFonts w:eastAsia="Times New Roman"/>
          <w:sz w:val="24"/>
          <w:szCs w:val="24"/>
        </w:rPr>
        <w:t xml:space="preserve">. p. 111. Available at: </w:t>
      </w:r>
      <w:hyperlink r:id="rId35" w:history="1">
        <w:r w:rsidRPr="0037100D">
          <w:rPr>
            <w:rFonts w:eastAsia="Times New Roman"/>
            <w:color w:val="0000FF"/>
            <w:sz w:val="24"/>
            <w:szCs w:val="24"/>
            <w:u w:val="single"/>
          </w:rPr>
          <w:t>https://books.google.com/books?hl=en&amp;lr=&amp;id=X1PBEQAAQBAJ&amp;oi=fnd&amp;pg=PA111&amp;dq=market+penetration,+which+provides+limited+growth+within+the+commodity+markets,+and+diversification,+which+carries+higher+strategic+risk,+product+development+offers++capture+the+growing+demand&amp;ots=HBMRsuiuCa&amp;sig=gjUiyBop_bxzgUwHKTkPqA24fBM</w:t>
        </w:r>
      </w:hyperlink>
    </w:p>
    <w:p w14:paraId="58321A1A" w14:textId="77777777" w:rsidR="00C61A6E" w:rsidRPr="00A90AF3" w:rsidRDefault="00C61A6E" w:rsidP="0037100D">
      <w:pPr>
        <w:spacing w:before="100" w:beforeAutospacing="1" w:line="360" w:lineRule="auto"/>
        <w:jc w:val="both"/>
        <w:rPr>
          <w:rFonts w:eastAsia="Times New Roman"/>
          <w:sz w:val="24"/>
          <w:szCs w:val="24"/>
        </w:rPr>
      </w:pPr>
      <w:proofErr w:type="spellStart"/>
      <w:r w:rsidRPr="00A90AF3">
        <w:rPr>
          <w:rFonts w:eastAsia="Times New Roman"/>
          <w:sz w:val="24"/>
          <w:szCs w:val="24"/>
        </w:rPr>
        <w:lastRenderedPageBreak/>
        <w:t>Nnorom</w:t>
      </w:r>
      <w:proofErr w:type="spellEnd"/>
      <w:r w:rsidRPr="00A90AF3">
        <w:rPr>
          <w:rFonts w:eastAsia="Times New Roman"/>
          <w:sz w:val="24"/>
          <w:szCs w:val="24"/>
        </w:rPr>
        <w:t xml:space="preserve">, I.C. (2025) ‘Ethical considerations in artificial intelligence and academic integrity: Balancing technology and human values’, </w:t>
      </w:r>
      <w:r w:rsidRPr="0037100D">
        <w:rPr>
          <w:rFonts w:eastAsia="Times New Roman"/>
          <w:i/>
          <w:iCs/>
          <w:sz w:val="24"/>
          <w:szCs w:val="24"/>
        </w:rPr>
        <w:t>AI and Ethics, Academic Integrity and the Future of Quality Assurance in Higher Education</w:t>
      </w:r>
      <w:r w:rsidRPr="00A90AF3">
        <w:rPr>
          <w:rFonts w:eastAsia="Times New Roman"/>
          <w:sz w:val="24"/>
          <w:szCs w:val="24"/>
        </w:rPr>
        <w:t xml:space="preserve">, p. 15. Available at: </w:t>
      </w:r>
      <w:hyperlink r:id="rId36" w:anchor="page=100" w:history="1">
        <w:r w:rsidRPr="0037100D">
          <w:rPr>
            <w:rFonts w:eastAsia="Times New Roman"/>
            <w:color w:val="0000FF"/>
            <w:sz w:val="24"/>
            <w:szCs w:val="24"/>
            <w:u w:val="single"/>
          </w:rPr>
          <w:t>https://www.researchgate.net/profile/Mamman-Muazu-2/publication/384969429_AI_and_EthicsAcademic_integrity_and_the_future_of_Quality_Assurance_in_Higher_Education_Hand_Book_on_AI_and_Quality_Higher_Education_in_Honour_of_Prof_Abubakar_Adamu_Rasheed_Volume_3/links/67655cb9e74ca64e1f20db0b/AI-and-Ethics-Academic-integrity-and-the-future-of-Quality-Assurance-in-Higher-Education-Hand-Book-on-AI-and-Quality-Higher-Education-in-Honour-of-Prof-Abubakar-Adamu-Rasheed-Volume-3.pdf#page=100</w:t>
        </w:r>
      </w:hyperlink>
    </w:p>
    <w:p w14:paraId="15202E37"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Posen, H.E., Ross, J.M., Wu, B., Benigni, S. and Cao, Z. (2023) ‘Reconceptualizing imitation: Implications for dynamic capabilities, innovation, and competitive advantage’, </w:t>
      </w:r>
      <w:r w:rsidRPr="0037100D">
        <w:rPr>
          <w:rFonts w:eastAsia="Times New Roman"/>
          <w:i/>
          <w:iCs/>
          <w:sz w:val="24"/>
          <w:szCs w:val="24"/>
        </w:rPr>
        <w:t>Academy of Management Annals</w:t>
      </w:r>
      <w:r w:rsidRPr="00A90AF3">
        <w:rPr>
          <w:rFonts w:eastAsia="Times New Roman"/>
          <w:sz w:val="24"/>
          <w:szCs w:val="24"/>
        </w:rPr>
        <w:t xml:space="preserve">, 17(1), pp. 74–112. Available at: </w:t>
      </w:r>
      <w:hyperlink r:id="rId37" w:history="1">
        <w:r w:rsidRPr="0037100D">
          <w:rPr>
            <w:rFonts w:eastAsia="Times New Roman"/>
            <w:color w:val="0000FF"/>
            <w:sz w:val="24"/>
            <w:szCs w:val="24"/>
            <w:u w:val="single"/>
          </w:rPr>
          <w:t>https://papers.ssrn.com/sol3/Delivery.cfm?abstractid=4197355</w:t>
        </w:r>
      </w:hyperlink>
    </w:p>
    <w:p w14:paraId="0E99B47F"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Ramirez, M. and Holden, J. (2026) </w:t>
      </w:r>
      <w:r w:rsidRPr="0037100D">
        <w:rPr>
          <w:rFonts w:eastAsia="Times New Roman"/>
          <w:i/>
          <w:iCs/>
          <w:sz w:val="24"/>
          <w:szCs w:val="24"/>
        </w:rPr>
        <w:t>Water, energy pressures are driving up Chile's mining costs</w:t>
      </w:r>
      <w:r w:rsidRPr="00A90AF3">
        <w:rPr>
          <w:rFonts w:eastAsia="Times New Roman"/>
          <w:sz w:val="24"/>
          <w:szCs w:val="24"/>
        </w:rPr>
        <w:t xml:space="preserve">. Available at: </w:t>
      </w:r>
      <w:hyperlink r:id="rId38" w:history="1">
        <w:r w:rsidRPr="0037100D">
          <w:rPr>
            <w:rFonts w:eastAsia="Times New Roman"/>
            <w:color w:val="0000FF"/>
            <w:sz w:val="24"/>
            <w:szCs w:val="24"/>
            <w:u w:val="single"/>
          </w:rPr>
          <w:t>https://www.spglobal.com/market-intelligence/en/news-insights/research/2026/04/water-energy-pressures-are-driving-up-chiles-mining-costs</w:t>
        </w:r>
      </w:hyperlink>
      <w:r w:rsidRPr="00A90AF3">
        <w:rPr>
          <w:rFonts w:eastAsia="Times New Roman"/>
          <w:sz w:val="24"/>
          <w:szCs w:val="24"/>
        </w:rPr>
        <w:t xml:space="preserve"> (Accessed: 11 July 2026).</w:t>
      </w:r>
    </w:p>
    <w:p w14:paraId="39AE2EAC"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Razak, I. (2022) ‘Product diversification: Marketing management strategy for business growth’, </w:t>
      </w:r>
      <w:proofErr w:type="spellStart"/>
      <w:r w:rsidRPr="0037100D">
        <w:rPr>
          <w:rFonts w:eastAsia="Times New Roman"/>
          <w:i/>
          <w:iCs/>
          <w:sz w:val="24"/>
          <w:szCs w:val="24"/>
        </w:rPr>
        <w:t>Jurnal</w:t>
      </w:r>
      <w:proofErr w:type="spellEnd"/>
      <w:r w:rsidRPr="0037100D">
        <w:rPr>
          <w:rFonts w:eastAsia="Times New Roman"/>
          <w:i/>
          <w:iCs/>
          <w:sz w:val="24"/>
          <w:szCs w:val="24"/>
        </w:rPr>
        <w:t xml:space="preserve"> Ekonomi</w:t>
      </w:r>
      <w:r w:rsidRPr="00A90AF3">
        <w:rPr>
          <w:rFonts w:eastAsia="Times New Roman"/>
          <w:sz w:val="24"/>
          <w:szCs w:val="24"/>
        </w:rPr>
        <w:t xml:space="preserve">, 11(03), pp. 2162–2167. Available at: </w:t>
      </w:r>
      <w:hyperlink r:id="rId39" w:history="1">
        <w:r w:rsidRPr="0037100D">
          <w:rPr>
            <w:rFonts w:eastAsia="Times New Roman"/>
            <w:color w:val="0000FF"/>
            <w:sz w:val="24"/>
            <w:szCs w:val="24"/>
            <w:u w:val="single"/>
          </w:rPr>
          <w:t>https://ejournal.seaninstitute.or.id/index.php/Ekonomi/article/download/3995/3173</w:t>
        </w:r>
      </w:hyperlink>
    </w:p>
    <w:p w14:paraId="6A4161B6"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Rivera, M. (2026) </w:t>
      </w:r>
      <w:r w:rsidRPr="0037100D">
        <w:rPr>
          <w:rFonts w:eastAsia="Times New Roman"/>
          <w:i/>
          <w:iCs/>
          <w:sz w:val="24"/>
          <w:szCs w:val="24"/>
        </w:rPr>
        <w:t>Codelco: A State Operator Under Pressure in the Age of Geopolitical Mining</w:t>
      </w:r>
      <w:r w:rsidRPr="00A90AF3">
        <w:rPr>
          <w:rFonts w:eastAsia="Times New Roman"/>
          <w:sz w:val="24"/>
          <w:szCs w:val="24"/>
        </w:rPr>
        <w:t xml:space="preserve">. Available at: </w:t>
      </w:r>
      <w:hyperlink r:id="rId40" w:history="1">
        <w:r w:rsidRPr="0037100D">
          <w:rPr>
            <w:rFonts w:eastAsia="Times New Roman"/>
            <w:color w:val="0000FF"/>
            <w:sz w:val="24"/>
            <w:szCs w:val="24"/>
            <w:u w:val="single"/>
          </w:rPr>
          <w:t>https://geopoliticalmining.com/codelco-chile-a-state-operator-under-pressure-in-the-age-of-geopolitical-mining/</w:t>
        </w:r>
      </w:hyperlink>
      <w:r w:rsidRPr="00A90AF3">
        <w:rPr>
          <w:rFonts w:eastAsia="Times New Roman"/>
          <w:sz w:val="24"/>
          <w:szCs w:val="24"/>
        </w:rPr>
        <w:t xml:space="preserve"> (Accessed: 11 July 2026).</w:t>
      </w:r>
    </w:p>
    <w:p w14:paraId="694E6C2A" w14:textId="77777777" w:rsidR="00C61A6E" w:rsidRPr="00A90AF3" w:rsidRDefault="00C61A6E" w:rsidP="0037100D">
      <w:pPr>
        <w:spacing w:before="100" w:beforeAutospacing="1" w:line="360" w:lineRule="auto"/>
        <w:jc w:val="both"/>
        <w:rPr>
          <w:rFonts w:eastAsia="Times New Roman"/>
          <w:sz w:val="24"/>
          <w:szCs w:val="24"/>
        </w:rPr>
      </w:pPr>
      <w:proofErr w:type="spellStart"/>
      <w:r w:rsidRPr="00A90AF3">
        <w:rPr>
          <w:rFonts w:eastAsia="Times New Roman"/>
          <w:sz w:val="24"/>
          <w:szCs w:val="24"/>
        </w:rPr>
        <w:t>Tojiri</w:t>
      </w:r>
      <w:proofErr w:type="spellEnd"/>
      <w:r w:rsidRPr="00A90AF3">
        <w:rPr>
          <w:rFonts w:eastAsia="Times New Roman"/>
          <w:sz w:val="24"/>
          <w:szCs w:val="24"/>
        </w:rPr>
        <w:t xml:space="preserve">, Y. (2023) ‘Product differentiation strategy for organizational financial profitability: Enhancing market share and profitability – a comprehensive literature review’, </w:t>
      </w:r>
      <w:proofErr w:type="spellStart"/>
      <w:r w:rsidRPr="0037100D">
        <w:rPr>
          <w:rFonts w:eastAsia="Times New Roman"/>
          <w:i/>
          <w:iCs/>
          <w:sz w:val="24"/>
          <w:szCs w:val="24"/>
        </w:rPr>
        <w:t>Atestasi</w:t>
      </w:r>
      <w:proofErr w:type="spellEnd"/>
      <w:r w:rsidRPr="0037100D">
        <w:rPr>
          <w:rFonts w:eastAsia="Times New Roman"/>
          <w:i/>
          <w:iCs/>
          <w:sz w:val="24"/>
          <w:szCs w:val="24"/>
        </w:rPr>
        <w:t xml:space="preserve">: </w:t>
      </w:r>
      <w:proofErr w:type="spellStart"/>
      <w:r w:rsidRPr="0037100D">
        <w:rPr>
          <w:rFonts w:eastAsia="Times New Roman"/>
          <w:i/>
          <w:iCs/>
          <w:sz w:val="24"/>
          <w:szCs w:val="24"/>
        </w:rPr>
        <w:t>Jurnal</w:t>
      </w:r>
      <w:proofErr w:type="spellEnd"/>
      <w:r w:rsidRPr="0037100D">
        <w:rPr>
          <w:rFonts w:eastAsia="Times New Roman"/>
          <w:i/>
          <w:iCs/>
          <w:sz w:val="24"/>
          <w:szCs w:val="24"/>
        </w:rPr>
        <w:t xml:space="preserve"> </w:t>
      </w:r>
      <w:proofErr w:type="spellStart"/>
      <w:r w:rsidRPr="0037100D">
        <w:rPr>
          <w:rFonts w:eastAsia="Times New Roman"/>
          <w:i/>
          <w:iCs/>
          <w:sz w:val="24"/>
          <w:szCs w:val="24"/>
        </w:rPr>
        <w:t>Ilmiah</w:t>
      </w:r>
      <w:proofErr w:type="spellEnd"/>
      <w:r w:rsidRPr="0037100D">
        <w:rPr>
          <w:rFonts w:eastAsia="Times New Roman"/>
          <w:i/>
          <w:iCs/>
          <w:sz w:val="24"/>
          <w:szCs w:val="24"/>
        </w:rPr>
        <w:t xml:space="preserve"> Akuntansi</w:t>
      </w:r>
      <w:r w:rsidRPr="00A90AF3">
        <w:rPr>
          <w:rFonts w:eastAsia="Times New Roman"/>
          <w:sz w:val="24"/>
          <w:szCs w:val="24"/>
        </w:rPr>
        <w:t xml:space="preserve">, 6(2), pp. 856–876. Available at: </w:t>
      </w:r>
      <w:hyperlink r:id="rId41" w:history="1">
        <w:r w:rsidRPr="0037100D">
          <w:rPr>
            <w:rFonts w:eastAsia="Times New Roman"/>
            <w:color w:val="0000FF"/>
            <w:sz w:val="24"/>
            <w:szCs w:val="24"/>
            <w:u w:val="single"/>
          </w:rPr>
          <w:t>https://jurnal.feb-umi.id/index.php/ATESTASI/article/download/821/638</w:t>
        </w:r>
      </w:hyperlink>
    </w:p>
    <w:p w14:paraId="00987A6D" w14:textId="77777777" w:rsidR="00C61A6E" w:rsidRPr="00A90AF3" w:rsidRDefault="00C61A6E" w:rsidP="0037100D">
      <w:pPr>
        <w:spacing w:before="100" w:beforeAutospacing="1" w:line="360" w:lineRule="auto"/>
        <w:jc w:val="both"/>
        <w:rPr>
          <w:rFonts w:eastAsia="Times New Roman"/>
          <w:sz w:val="24"/>
          <w:szCs w:val="24"/>
        </w:rPr>
      </w:pPr>
      <w:proofErr w:type="spellStart"/>
      <w:r w:rsidRPr="00A90AF3">
        <w:rPr>
          <w:rFonts w:eastAsia="Times New Roman"/>
          <w:sz w:val="24"/>
          <w:szCs w:val="24"/>
        </w:rPr>
        <w:lastRenderedPageBreak/>
        <w:t>Ushie</w:t>
      </w:r>
      <w:proofErr w:type="spellEnd"/>
      <w:r w:rsidRPr="00A90AF3">
        <w:rPr>
          <w:rFonts w:eastAsia="Times New Roman"/>
          <w:sz w:val="24"/>
          <w:szCs w:val="24"/>
        </w:rPr>
        <w:t xml:space="preserve">, O.J., Nwokolo, S.C., </w:t>
      </w:r>
      <w:proofErr w:type="spellStart"/>
      <w:r w:rsidRPr="00A90AF3">
        <w:rPr>
          <w:rFonts w:eastAsia="Times New Roman"/>
          <w:sz w:val="24"/>
          <w:szCs w:val="24"/>
        </w:rPr>
        <w:t>Ohiero</w:t>
      </w:r>
      <w:proofErr w:type="spellEnd"/>
      <w:r w:rsidRPr="00A90AF3">
        <w:rPr>
          <w:rFonts w:eastAsia="Times New Roman"/>
          <w:sz w:val="24"/>
          <w:szCs w:val="24"/>
        </w:rPr>
        <w:t xml:space="preserve">, P.O., Iwuji, P.C., </w:t>
      </w:r>
      <w:proofErr w:type="spellStart"/>
      <w:r w:rsidRPr="00A90AF3">
        <w:rPr>
          <w:rFonts w:eastAsia="Times New Roman"/>
          <w:sz w:val="24"/>
          <w:szCs w:val="24"/>
        </w:rPr>
        <w:t>Eyime</w:t>
      </w:r>
      <w:proofErr w:type="spellEnd"/>
      <w:r w:rsidRPr="00A90AF3">
        <w:rPr>
          <w:rFonts w:eastAsia="Times New Roman"/>
          <w:sz w:val="24"/>
          <w:szCs w:val="24"/>
        </w:rPr>
        <w:t xml:space="preserve">, E.E. and Ogbulezie, J.C. (2025) ‘Resilient strategies to mitigate the volatility of copper and </w:t>
      </w:r>
      <w:proofErr w:type="spellStart"/>
      <w:r w:rsidRPr="00A90AF3">
        <w:rPr>
          <w:rFonts w:eastAsia="Times New Roman"/>
          <w:sz w:val="24"/>
          <w:szCs w:val="24"/>
        </w:rPr>
        <w:t>aluminium</w:t>
      </w:r>
      <w:proofErr w:type="spellEnd"/>
      <w:r w:rsidRPr="00A90AF3">
        <w:rPr>
          <w:rFonts w:eastAsia="Times New Roman"/>
          <w:sz w:val="24"/>
          <w:szCs w:val="24"/>
        </w:rPr>
        <w:t xml:space="preserve"> critical mineral demand for net-zero electricity network production’, </w:t>
      </w:r>
      <w:r w:rsidRPr="0037100D">
        <w:rPr>
          <w:rFonts w:eastAsia="Times New Roman"/>
          <w:i/>
          <w:iCs/>
          <w:sz w:val="24"/>
          <w:szCs w:val="24"/>
        </w:rPr>
        <w:t>Sustainable Energy Research</w:t>
      </w:r>
      <w:r w:rsidRPr="00A90AF3">
        <w:rPr>
          <w:rFonts w:eastAsia="Times New Roman"/>
          <w:sz w:val="24"/>
          <w:szCs w:val="24"/>
        </w:rPr>
        <w:t xml:space="preserve">, 12(1), p. 56. Available at: </w:t>
      </w:r>
      <w:hyperlink r:id="rId42" w:history="1">
        <w:r w:rsidRPr="0037100D">
          <w:rPr>
            <w:rFonts w:eastAsia="Times New Roman"/>
            <w:color w:val="0000FF"/>
            <w:sz w:val="24"/>
            <w:szCs w:val="24"/>
            <w:u w:val="single"/>
          </w:rPr>
          <w:t>https://link.springer.com/content/pdf/10.1186/s40807-025-00178-8.pdf</w:t>
        </w:r>
      </w:hyperlink>
    </w:p>
    <w:p w14:paraId="749D620A" w14:textId="77777777" w:rsidR="00C61A6E" w:rsidRPr="00A90AF3" w:rsidRDefault="00C61A6E" w:rsidP="0037100D">
      <w:pPr>
        <w:spacing w:before="100" w:beforeAutospacing="1" w:line="360" w:lineRule="auto"/>
        <w:jc w:val="both"/>
        <w:rPr>
          <w:rFonts w:eastAsia="Times New Roman"/>
          <w:sz w:val="24"/>
          <w:szCs w:val="24"/>
        </w:rPr>
      </w:pPr>
      <w:r w:rsidRPr="00A90AF3">
        <w:rPr>
          <w:rFonts w:eastAsia="Times New Roman"/>
          <w:sz w:val="24"/>
          <w:szCs w:val="24"/>
        </w:rPr>
        <w:t xml:space="preserve">Zugay, B. and Zakaria, R. (2023) ‘Ansoff matrix’. </w:t>
      </w:r>
      <w:r w:rsidRPr="0037100D">
        <w:rPr>
          <w:rFonts w:eastAsia="Times New Roman"/>
          <w:i/>
          <w:iCs/>
          <w:sz w:val="24"/>
          <w:szCs w:val="24"/>
        </w:rPr>
        <w:t>SAGE Publications</w:t>
      </w:r>
      <w:r w:rsidRPr="00A90AF3">
        <w:rPr>
          <w:rFonts w:eastAsia="Times New Roman"/>
          <w:sz w:val="24"/>
          <w:szCs w:val="24"/>
        </w:rPr>
        <w:t xml:space="preserve">. Available at: </w:t>
      </w:r>
      <w:hyperlink r:id="rId43" w:history="1">
        <w:r w:rsidRPr="0037100D">
          <w:rPr>
            <w:rFonts w:eastAsia="Times New Roman"/>
            <w:color w:val="0000FF"/>
            <w:sz w:val="24"/>
            <w:szCs w:val="24"/>
            <w:u w:val="single"/>
          </w:rPr>
          <w:t>https://sk.sagepub.com/foundations/ansoff-matrix?tab=Theory+In+Practice</w:t>
        </w:r>
      </w:hyperlink>
    </w:p>
    <w:p w14:paraId="54C70D8C" w14:textId="77777777" w:rsidR="00C61A6E" w:rsidRDefault="00C61A6E">
      <w:pPr>
        <w:rPr>
          <w:rFonts w:eastAsia="Times New Roman" w:cs="Times New Roman"/>
          <w:b/>
          <w:bCs/>
          <w:sz w:val="28"/>
          <w:szCs w:val="24"/>
          <w:lang w:val="en-GB"/>
        </w:rPr>
      </w:pPr>
      <w:bookmarkStart w:id="15" w:name="_Toc234681937"/>
      <w:r>
        <w:br w:type="page"/>
      </w:r>
    </w:p>
    <w:p w14:paraId="735F9916" w14:textId="77777777" w:rsidR="00F93CF2" w:rsidRPr="003A306B" w:rsidRDefault="00F94710" w:rsidP="00D9633D">
      <w:pPr>
        <w:pStyle w:val="Heading1"/>
      </w:pPr>
      <w:r w:rsidRPr="003A306B">
        <w:lastRenderedPageBreak/>
        <w:t xml:space="preserve">Appendix 1: </w:t>
      </w:r>
      <w:r w:rsidR="00D9633D">
        <w:t>Drought and energy transforming production cost</w:t>
      </w:r>
      <w:bookmarkEnd w:id="15"/>
    </w:p>
    <w:p w14:paraId="3580CA0B" w14:textId="77777777" w:rsidR="00F93CF2" w:rsidRPr="003A306B" w:rsidRDefault="00F94710">
      <w:pPr>
        <w:spacing w:after="200" w:line="360" w:lineRule="auto"/>
        <w:jc w:val="both"/>
        <w:rPr>
          <w:rFonts w:eastAsia="Times New Roman"/>
          <w:b/>
          <w:bCs/>
          <w:sz w:val="24"/>
          <w:szCs w:val="24"/>
          <w:lang w:val="en-GB"/>
        </w:rPr>
      </w:pPr>
      <w:r w:rsidRPr="003A306B">
        <w:rPr>
          <w:rFonts w:eastAsia="Times New Roman"/>
          <w:b/>
          <w:bCs/>
          <w:noProof/>
          <w:sz w:val="24"/>
          <w:szCs w:val="24"/>
        </w:rPr>
        <w:drawing>
          <wp:inline distT="114300" distB="114300" distL="114300" distR="114300" wp14:anchorId="0AB9E2ED" wp14:editId="18435180">
            <wp:extent cx="5731200" cy="33020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4"/>
                    <a:srcRect/>
                    <a:stretch>
                      <a:fillRect/>
                    </a:stretch>
                  </pic:blipFill>
                  <pic:spPr>
                    <a:xfrm>
                      <a:off x="0" y="0"/>
                      <a:ext cx="5731200" cy="3302000"/>
                    </a:xfrm>
                    <a:prstGeom prst="rect">
                      <a:avLst/>
                    </a:prstGeom>
                    <a:ln/>
                  </pic:spPr>
                </pic:pic>
              </a:graphicData>
            </a:graphic>
          </wp:inline>
        </w:drawing>
      </w:r>
    </w:p>
    <w:p w14:paraId="28D3D4CD" w14:textId="77777777" w:rsidR="00F93CF2" w:rsidRPr="00D9633D" w:rsidRDefault="00D9633D" w:rsidP="00D9633D">
      <w:pPr>
        <w:spacing w:after="200" w:line="360" w:lineRule="auto"/>
        <w:jc w:val="center"/>
        <w:rPr>
          <w:rFonts w:eastAsia="Times New Roman"/>
          <w:bCs/>
          <w:sz w:val="24"/>
          <w:szCs w:val="24"/>
          <w:lang w:val="en-GB"/>
        </w:rPr>
      </w:pPr>
      <w:r>
        <w:rPr>
          <w:lang w:val="en-GB"/>
        </w:rPr>
        <w:t xml:space="preserve">(Source: </w:t>
      </w:r>
      <w:hyperlink r:id="rId45">
        <w:r w:rsidR="00F94710" w:rsidRPr="00D9633D">
          <w:rPr>
            <w:rFonts w:eastAsia="Times New Roman"/>
            <w:bCs/>
            <w:color w:val="1155CC"/>
            <w:sz w:val="24"/>
            <w:szCs w:val="24"/>
            <w:u w:val="single"/>
            <w:lang w:val="en-GB"/>
          </w:rPr>
          <w:t>https://www.spglobal.com/market-intelligence/en/news-insights/research/2026/04/water-energy-pressures-are-driving-up-chiles-mining-costs</w:t>
        </w:r>
      </w:hyperlink>
      <w:r w:rsidR="00F94710" w:rsidRPr="00D9633D">
        <w:rPr>
          <w:rFonts w:eastAsia="Times New Roman"/>
          <w:bCs/>
          <w:sz w:val="24"/>
          <w:szCs w:val="24"/>
          <w:lang w:val="en-GB"/>
        </w:rPr>
        <w:t>.</w:t>
      </w:r>
      <w:r>
        <w:rPr>
          <w:rFonts w:eastAsia="Times New Roman"/>
          <w:bCs/>
          <w:sz w:val="24"/>
          <w:szCs w:val="24"/>
          <w:lang w:val="en-GB"/>
        </w:rPr>
        <w:t>)</w:t>
      </w:r>
    </w:p>
    <w:p w14:paraId="619776EA" w14:textId="77777777" w:rsidR="00F93CF2" w:rsidRPr="003A306B" w:rsidRDefault="00F93CF2">
      <w:pPr>
        <w:spacing w:after="200" w:line="360" w:lineRule="auto"/>
        <w:jc w:val="both"/>
        <w:rPr>
          <w:rFonts w:eastAsia="Times New Roman"/>
          <w:b/>
          <w:bCs/>
          <w:sz w:val="24"/>
          <w:szCs w:val="24"/>
          <w:lang w:val="en-GB"/>
        </w:rPr>
      </w:pPr>
    </w:p>
    <w:sectPr w:rsidR="00F93CF2" w:rsidRPr="003A306B" w:rsidSect="000C7DBC">
      <w:footerReference w:type="default" r:id="rId4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ED422" w14:textId="77777777" w:rsidR="00C06D8C" w:rsidRDefault="00C06D8C" w:rsidP="0033172B">
      <w:pPr>
        <w:spacing w:line="240" w:lineRule="auto"/>
      </w:pPr>
      <w:r>
        <w:separator/>
      </w:r>
    </w:p>
  </w:endnote>
  <w:endnote w:type="continuationSeparator" w:id="0">
    <w:p w14:paraId="468CAFD2" w14:textId="77777777" w:rsidR="00C06D8C" w:rsidRDefault="00C06D8C" w:rsidP="00331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ACFF" w:usb2="00000009" w:usb3="00000000" w:csb0="000001FF" w:csb1="00000000"/>
    <w:embedRegular r:id="rId1" w:fontKey="{84C387FF-64DE-4769-99DF-4718D7CA9300}"/>
  </w:font>
  <w:font w:name="Cambria">
    <w:panose1 w:val="02040503050406030204"/>
    <w:charset w:val="00"/>
    <w:family w:val="roman"/>
    <w:pitch w:val="variable"/>
    <w:sig w:usb0="E00006FF" w:usb1="420024FF" w:usb2="02000000" w:usb3="00000000" w:csb0="0000019F" w:csb1="00000000"/>
    <w:embedRegular r:id="rId2" w:fontKey="{A0DDD954-5532-46DF-847B-4F3BAE06DA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1570163"/>
      <w:docPartObj>
        <w:docPartGallery w:val="Page Numbers (Bottom of Page)"/>
        <w:docPartUnique/>
      </w:docPartObj>
    </w:sdtPr>
    <w:sdtEndPr>
      <w:rPr>
        <w:noProof/>
        <w:sz w:val="20"/>
        <w:szCs w:val="20"/>
      </w:rPr>
    </w:sdtEndPr>
    <w:sdtContent>
      <w:p w14:paraId="3882C548" w14:textId="77777777" w:rsidR="0033172B" w:rsidRPr="0033172B" w:rsidRDefault="0033172B">
        <w:pPr>
          <w:pStyle w:val="Footer"/>
          <w:jc w:val="right"/>
          <w:rPr>
            <w:sz w:val="20"/>
            <w:szCs w:val="20"/>
          </w:rPr>
        </w:pPr>
        <w:r w:rsidRPr="0033172B">
          <w:rPr>
            <w:sz w:val="20"/>
            <w:szCs w:val="20"/>
          </w:rPr>
          <w:fldChar w:fldCharType="begin"/>
        </w:r>
        <w:r w:rsidRPr="0033172B">
          <w:rPr>
            <w:sz w:val="20"/>
            <w:szCs w:val="20"/>
          </w:rPr>
          <w:instrText xml:space="preserve"> PAGE   \* MERGEFORMAT </w:instrText>
        </w:r>
        <w:r w:rsidRPr="0033172B">
          <w:rPr>
            <w:sz w:val="20"/>
            <w:szCs w:val="20"/>
          </w:rPr>
          <w:fldChar w:fldCharType="separate"/>
        </w:r>
        <w:r w:rsidR="00C61A6E">
          <w:rPr>
            <w:noProof/>
            <w:sz w:val="20"/>
            <w:szCs w:val="20"/>
          </w:rPr>
          <w:t>6</w:t>
        </w:r>
        <w:r w:rsidRPr="0033172B">
          <w:rPr>
            <w:noProof/>
            <w:sz w:val="20"/>
            <w:szCs w:val="20"/>
          </w:rPr>
          <w:fldChar w:fldCharType="end"/>
        </w:r>
      </w:p>
    </w:sdtContent>
  </w:sdt>
  <w:p w14:paraId="0BD723D7" w14:textId="77777777" w:rsidR="0033172B" w:rsidRDefault="00331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8569B" w14:textId="77777777" w:rsidR="00C06D8C" w:rsidRDefault="00C06D8C" w:rsidP="0033172B">
      <w:pPr>
        <w:spacing w:line="240" w:lineRule="auto"/>
      </w:pPr>
      <w:r>
        <w:separator/>
      </w:r>
    </w:p>
  </w:footnote>
  <w:footnote w:type="continuationSeparator" w:id="0">
    <w:p w14:paraId="2C42C4AF" w14:textId="77777777" w:rsidR="00C06D8C" w:rsidRDefault="00C06D8C" w:rsidP="0033172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CF2"/>
    <w:rsid w:val="000836C0"/>
    <w:rsid w:val="000C7DBC"/>
    <w:rsid w:val="000E3EB6"/>
    <w:rsid w:val="001649DD"/>
    <w:rsid w:val="001904F7"/>
    <w:rsid w:val="0019731C"/>
    <w:rsid w:val="001F6B99"/>
    <w:rsid w:val="002B27FE"/>
    <w:rsid w:val="0033172B"/>
    <w:rsid w:val="0037100D"/>
    <w:rsid w:val="003A306B"/>
    <w:rsid w:val="003B2F4E"/>
    <w:rsid w:val="003B5205"/>
    <w:rsid w:val="003B7953"/>
    <w:rsid w:val="003C3399"/>
    <w:rsid w:val="003E4A8E"/>
    <w:rsid w:val="00415F4F"/>
    <w:rsid w:val="00427905"/>
    <w:rsid w:val="004375CC"/>
    <w:rsid w:val="00460697"/>
    <w:rsid w:val="0049200D"/>
    <w:rsid w:val="004C18CA"/>
    <w:rsid w:val="004D2E56"/>
    <w:rsid w:val="00583131"/>
    <w:rsid w:val="00595740"/>
    <w:rsid w:val="005A3504"/>
    <w:rsid w:val="005E4BB3"/>
    <w:rsid w:val="0062658C"/>
    <w:rsid w:val="006E3179"/>
    <w:rsid w:val="00704302"/>
    <w:rsid w:val="00716F9A"/>
    <w:rsid w:val="00775841"/>
    <w:rsid w:val="007D01FB"/>
    <w:rsid w:val="008559B8"/>
    <w:rsid w:val="00874FC8"/>
    <w:rsid w:val="008941C7"/>
    <w:rsid w:val="008B5AD5"/>
    <w:rsid w:val="008E2008"/>
    <w:rsid w:val="008F7646"/>
    <w:rsid w:val="009958BC"/>
    <w:rsid w:val="009A3AF0"/>
    <w:rsid w:val="009D44F0"/>
    <w:rsid w:val="009E5979"/>
    <w:rsid w:val="009F7804"/>
    <w:rsid w:val="00A10E50"/>
    <w:rsid w:val="00AB0E3C"/>
    <w:rsid w:val="00AC7427"/>
    <w:rsid w:val="00AE0087"/>
    <w:rsid w:val="00B04263"/>
    <w:rsid w:val="00B1557A"/>
    <w:rsid w:val="00B81CA7"/>
    <w:rsid w:val="00B85F3E"/>
    <w:rsid w:val="00BC28DA"/>
    <w:rsid w:val="00C06D8C"/>
    <w:rsid w:val="00C46ED6"/>
    <w:rsid w:val="00C61A6E"/>
    <w:rsid w:val="00C741D7"/>
    <w:rsid w:val="00C85BC0"/>
    <w:rsid w:val="00D9633D"/>
    <w:rsid w:val="00DA0260"/>
    <w:rsid w:val="00DA0687"/>
    <w:rsid w:val="00E03079"/>
    <w:rsid w:val="00E51B3D"/>
    <w:rsid w:val="00F16BBB"/>
    <w:rsid w:val="00F85C4A"/>
    <w:rsid w:val="00F93CF2"/>
    <w:rsid w:val="00F94710"/>
    <w:rsid w:val="00FC71BE"/>
    <w:rsid w:val="00FD5612"/>
    <w:rsid w:val="00FD5634"/>
    <w:rsid w:val="00FE7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93C3"/>
  <w15:docId w15:val="{844EBF0A-B0A9-449A-9B89-6668A3D61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A306B"/>
    <w:pPr>
      <w:spacing w:before="120" w:after="120" w:line="360" w:lineRule="auto"/>
      <w:jc w:val="both"/>
      <w:outlineLvl w:val="0"/>
    </w:pPr>
    <w:rPr>
      <w:rFonts w:eastAsia="Times New Roman" w:cs="Times New Roman"/>
      <w:b/>
      <w:bCs/>
      <w:sz w:val="28"/>
      <w:szCs w:val="24"/>
      <w:lang w:val="en-GB"/>
    </w:rPr>
  </w:style>
  <w:style w:type="paragraph" w:styleId="Heading2">
    <w:name w:val="heading 2"/>
    <w:basedOn w:val="Normal"/>
    <w:next w:val="Normal"/>
    <w:rsid w:val="003A306B"/>
    <w:pPr>
      <w:keepNext/>
      <w:keepLines/>
      <w:spacing w:before="120" w:after="120" w:line="360" w:lineRule="auto"/>
      <w:jc w:val="both"/>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rsid w:val="003A306B"/>
    <w:pPr>
      <w:keepNext/>
      <w:keepLines/>
      <w:spacing w:before="400" w:after="200" w:line="360" w:lineRule="auto"/>
      <w:jc w:val="center"/>
      <w:outlineLvl w:val="3"/>
    </w:pPr>
    <w:rPr>
      <w:b/>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customStyle="1" w:styleId="TableParagraph">
    <w:name w:val="Table Paragraph"/>
    <w:basedOn w:val="Normal"/>
    <w:uiPriority w:val="1"/>
    <w:qFormat/>
    <w:rsid w:val="00B1557A"/>
    <w:pPr>
      <w:widowControl w:val="0"/>
      <w:autoSpaceDE w:val="0"/>
      <w:autoSpaceDN w:val="0"/>
      <w:spacing w:line="240" w:lineRule="auto"/>
      <w:ind w:left="107"/>
    </w:pPr>
    <w:rPr>
      <w:rFonts w:ascii="Arial MT" w:eastAsia="Arial MT" w:hAnsi="Arial MT" w:cs="Arial MT"/>
    </w:rPr>
  </w:style>
  <w:style w:type="paragraph" w:styleId="Header">
    <w:name w:val="header"/>
    <w:basedOn w:val="Normal"/>
    <w:link w:val="HeaderChar"/>
    <w:uiPriority w:val="99"/>
    <w:unhideWhenUsed/>
    <w:rsid w:val="0033172B"/>
    <w:pPr>
      <w:tabs>
        <w:tab w:val="center" w:pos="4680"/>
        <w:tab w:val="right" w:pos="9360"/>
      </w:tabs>
      <w:spacing w:line="240" w:lineRule="auto"/>
    </w:pPr>
  </w:style>
  <w:style w:type="character" w:customStyle="1" w:styleId="HeaderChar">
    <w:name w:val="Header Char"/>
    <w:basedOn w:val="DefaultParagraphFont"/>
    <w:link w:val="Header"/>
    <w:uiPriority w:val="99"/>
    <w:rsid w:val="0033172B"/>
  </w:style>
  <w:style w:type="paragraph" w:styleId="Footer">
    <w:name w:val="footer"/>
    <w:basedOn w:val="Normal"/>
    <w:link w:val="FooterChar"/>
    <w:uiPriority w:val="99"/>
    <w:unhideWhenUsed/>
    <w:rsid w:val="0033172B"/>
    <w:pPr>
      <w:tabs>
        <w:tab w:val="center" w:pos="4680"/>
        <w:tab w:val="right" w:pos="9360"/>
      </w:tabs>
      <w:spacing w:line="240" w:lineRule="auto"/>
    </w:pPr>
  </w:style>
  <w:style w:type="character" w:customStyle="1" w:styleId="FooterChar">
    <w:name w:val="Footer Char"/>
    <w:basedOn w:val="DefaultParagraphFont"/>
    <w:link w:val="Footer"/>
    <w:uiPriority w:val="99"/>
    <w:rsid w:val="0033172B"/>
  </w:style>
  <w:style w:type="paragraph" w:styleId="TOCHeading">
    <w:name w:val="TOC Heading"/>
    <w:basedOn w:val="Heading1"/>
    <w:next w:val="Normal"/>
    <w:uiPriority w:val="39"/>
    <w:unhideWhenUsed/>
    <w:qFormat/>
    <w:rsid w:val="00D9633D"/>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D9633D"/>
    <w:pPr>
      <w:spacing w:after="100"/>
    </w:pPr>
  </w:style>
  <w:style w:type="paragraph" w:styleId="TOC2">
    <w:name w:val="toc 2"/>
    <w:basedOn w:val="Normal"/>
    <w:next w:val="Normal"/>
    <w:autoRedefine/>
    <w:uiPriority w:val="39"/>
    <w:unhideWhenUsed/>
    <w:rsid w:val="00D9633D"/>
    <w:pPr>
      <w:spacing w:after="100"/>
      <w:ind w:left="220"/>
    </w:pPr>
  </w:style>
  <w:style w:type="paragraph" w:styleId="TOC3">
    <w:name w:val="toc 3"/>
    <w:basedOn w:val="Normal"/>
    <w:next w:val="Normal"/>
    <w:autoRedefine/>
    <w:uiPriority w:val="39"/>
    <w:unhideWhenUsed/>
    <w:rsid w:val="00D9633D"/>
    <w:pPr>
      <w:spacing w:after="100"/>
      <w:ind w:left="440"/>
    </w:pPr>
  </w:style>
  <w:style w:type="character" w:styleId="Hyperlink">
    <w:name w:val="Hyperlink"/>
    <w:basedOn w:val="DefaultParagraphFont"/>
    <w:uiPriority w:val="99"/>
    <w:unhideWhenUsed/>
    <w:rsid w:val="00D9633D"/>
    <w:rPr>
      <w:color w:val="0000FF" w:themeColor="hyperlink"/>
      <w:u w:val="single"/>
    </w:rPr>
  </w:style>
  <w:style w:type="paragraph" w:styleId="Revision">
    <w:name w:val="Revision"/>
    <w:hidden/>
    <w:uiPriority w:val="99"/>
    <w:semiHidden/>
    <w:rsid w:val="003E4A8E"/>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www.codelco.com/sustainability-commitments-by-2030" TargetMode="External"/><Relationship Id="rId39" Type="http://schemas.openxmlformats.org/officeDocument/2006/relationships/hyperlink" Target="https://ejournal.seaninstitute.or.id/index.php/Ekonomi/article/download/3995/3173" TargetMode="External"/><Relationship Id="rId21" Type="http://schemas.openxmlformats.org/officeDocument/2006/relationships/hyperlink" Target="https://www.mdpi.com/2071-1050/14/3/1531" TargetMode="External"/><Relationship Id="rId34" Type="http://schemas.openxmlformats.org/officeDocument/2006/relationships/hyperlink" Target="https://pubs.rsc.org/zh-hans/content/articlepdf/2024/su/d3su00335c" TargetMode="External"/><Relationship Id="rId42" Type="http://schemas.openxmlformats.org/officeDocument/2006/relationships/hyperlink" Target="https://link.springer.com/content/pdf/10.1186/s40807-025-00178-8.pdf"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Layout" Target="diagrams/layout2.xml"/><Relationship Id="rId29" Type="http://schemas.openxmlformats.org/officeDocument/2006/relationships/hyperlink" Target="https://internationalcopper.org/resource/codelco-commits-to-reaching-net-zero-emissions-by-2050-with-its-100-percent-clean-energy-matri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hyperlink" Target="https://www.codelco.com/sites/site/docs/20250428/20250428185356/operational_and_financial_report_march_31__2025.pdf" TargetMode="External"/><Relationship Id="rId32" Type="http://schemas.openxmlformats.org/officeDocument/2006/relationships/hyperlink" Target="https://research.cbs.dk/files/98727500/1567855_29068_Master_Thesis.pdf" TargetMode="External"/><Relationship Id="rId37" Type="http://schemas.openxmlformats.org/officeDocument/2006/relationships/hyperlink" Target="https://papers.ssrn.com/sol3/Delivery.cfm?abstractid=4197355" TargetMode="External"/><Relationship Id="rId40" Type="http://schemas.openxmlformats.org/officeDocument/2006/relationships/hyperlink" Target="https://geopoliticalmining.com/codelco-chile-a-state-operator-under-pressure-in-the-age-of-geopolitical-mining/" TargetMode="External"/><Relationship Id="rId45" Type="http://schemas.openxmlformats.org/officeDocument/2006/relationships/hyperlink" Target="https://www.spglobal.com/market-intelligence/en/news-insights/research/2026/04/water-energy-pressures-are-driving-up-chiles-mining-costs" TargetMode="Externa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hyperlink" Target="https://www.codelco.com/prontus_codelco/site/docs/20251002/20251002120038/climate_change_report.pdf" TargetMode="External"/><Relationship Id="rId28" Type="http://schemas.openxmlformats.org/officeDocument/2006/relationships/hyperlink" Target="https://www.international-climate-initiative.com/en/iki-media/video/chile_energy_transition/" TargetMode="External"/><Relationship Id="rId36" Type="http://schemas.openxmlformats.org/officeDocument/2006/relationships/hyperlink" Target="https://www.researchgate.net/profile/Mamman-Muazu-2/publication/384969429_AI_and_EthicsAcademic_integrity_and_the_future_of_Quality_Assurance_in_Higher_Education_Hand_Book_on_AI_and_Quality_Higher_Education_in_Honour_of_Prof_Abubakar_Adamu_Rasheed_Volume_3/links/67655cb9e74ca64e1f20db0b/AI-and-Ethics-Academic-integrity-and-the-future-of-Quality-Assurance-in-Higher-Education-Hand-Book-on-AI-and-Quality-Higher-Education-in-Honour-of-Prof-Abubakar-Adamu-Rasheed-Volume-3.pdf"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www.sciencedirect.com/science/article/pii/S2666990024000120" TargetMode="External"/><Relationship Id="rId44"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hyperlink" Target="https://www.sciencedirect.com/science/article/pii/S0301420723005627" TargetMode="External"/><Relationship Id="rId27" Type="http://schemas.openxmlformats.org/officeDocument/2006/relationships/hyperlink" Target="https://www.iea.org/reports/digitalisation-and-energy" TargetMode="External"/><Relationship Id="rId30" Type="http://schemas.openxmlformats.org/officeDocument/2006/relationships/hyperlink" Target="https://alexispress.us/wp-content/uploads/2022/07/Organizational-Development.pdf" TargetMode="External"/><Relationship Id="rId35" Type="http://schemas.openxmlformats.org/officeDocument/2006/relationships/hyperlink" Target="https://books.google.com/books?hl=en&amp;lr=&amp;id=X1PBEQAAQBAJ&amp;oi=fnd&amp;pg=PA111&amp;dq=market+penetration,+which+provides+limited+growth+within+the+commodity+markets,+and+diversification,+which+carries+higher+strategic+risk,+product+development+offers++capture+the+growing+demand&amp;ots=HBMRsuiuCa&amp;sig=gjUiyBop_bxzgUwHKTkPqA24fBM" TargetMode="External"/><Relationship Id="rId43" Type="http://schemas.openxmlformats.org/officeDocument/2006/relationships/hyperlink" Target="https://sk.sagepub.com/foundations/ansoff-matrix?tab=Theory+In+Practice"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www.codelco.com/memoria2014/site/artic/20150406/asocfile/20150406151445/innovation_and_technology.pdf" TargetMode="External"/><Relationship Id="rId33" Type="http://schemas.openxmlformats.org/officeDocument/2006/relationships/hyperlink" Target="https://www.academia.edu/download/82004772/AC15412450n01.pdf" TargetMode="External"/><Relationship Id="rId38" Type="http://schemas.openxmlformats.org/officeDocument/2006/relationships/hyperlink" Target="https://www.spglobal.com/market-intelligence/en/news-insights/research/2026/04/water-energy-pressures-are-driving-up-chiles-mining-costs" TargetMode="External"/><Relationship Id="rId46" Type="http://schemas.openxmlformats.org/officeDocument/2006/relationships/footer" Target="footer1.xml"/><Relationship Id="rId20" Type="http://schemas.openxmlformats.org/officeDocument/2006/relationships/hyperlink" Target="https://www.gbppublications.com/_files/ugd/5e526c_d512b35bd3f04b9eac3a95ed47ef78ea.pdf" TargetMode="External"/><Relationship Id="rId41" Type="http://schemas.openxmlformats.org/officeDocument/2006/relationships/hyperlink" Target="https://jurnal.feb-umi.id/index.php/ATESTASI/article/download/821/638"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B196B8-19E4-4331-84A6-2A54A4852B43}" type="doc">
      <dgm:prSet loTypeId="urn:microsoft.com/office/officeart/2005/8/layout/cycle4" loCatId="matrix" qsTypeId="urn:microsoft.com/office/officeart/2005/8/quickstyle/3d3" qsCatId="3D" csTypeId="urn:microsoft.com/office/officeart/2005/8/colors/accent0_2" csCatId="mainScheme" phldr="1"/>
      <dgm:spPr/>
      <dgm:t>
        <a:bodyPr/>
        <a:lstStyle/>
        <a:p>
          <a:endParaRPr lang="en-US"/>
        </a:p>
      </dgm:t>
    </dgm:pt>
    <dgm:pt modelId="{9C955758-454E-4BC5-B4AA-C207A2C149E1}">
      <dgm:prSet phldrT="[Text]" custT="1"/>
      <dgm:spPr/>
      <dgm:t>
        <a:bodyPr/>
        <a:lstStyle/>
        <a:p>
          <a:pPr algn="ctr"/>
          <a:r>
            <a:rPr lang="en-US" sz="1000" b="1">
              <a:latin typeface="Arial" panose="020B0604020202020204" pitchFamily="34" charset="0"/>
              <a:cs typeface="Arial" panose="020B0604020202020204" pitchFamily="34" charset="0"/>
            </a:rPr>
            <a:t>Market Penetration</a:t>
          </a:r>
        </a:p>
      </dgm:t>
    </dgm:pt>
    <dgm:pt modelId="{E76B35F0-C808-41C0-AD08-4AD8B6ACBA30}" type="parTrans" cxnId="{9067FE05-1753-49BC-A421-0579B50FB9AB}">
      <dgm:prSet/>
      <dgm:spPr/>
      <dgm:t>
        <a:bodyPr/>
        <a:lstStyle/>
        <a:p>
          <a:endParaRPr lang="en-US"/>
        </a:p>
      </dgm:t>
    </dgm:pt>
    <dgm:pt modelId="{83BAA586-F3BA-4CC2-85CF-472FECCC05D0}" type="sibTrans" cxnId="{9067FE05-1753-49BC-A421-0579B50FB9AB}">
      <dgm:prSet/>
      <dgm:spPr/>
      <dgm:t>
        <a:bodyPr/>
        <a:lstStyle/>
        <a:p>
          <a:endParaRPr lang="en-US"/>
        </a:p>
      </dgm:t>
    </dgm:pt>
    <dgm:pt modelId="{3D19D899-C139-4EB0-B167-B506D3A7D6D4}">
      <dgm:prSet phldrT="[Text]" custT="1"/>
      <dgm:spPr/>
      <dgm:t>
        <a:bodyPr/>
        <a:lstStyle/>
        <a:p>
          <a:pPr algn="ctr"/>
          <a:r>
            <a:rPr lang="en-US" sz="1000" b="1">
              <a:latin typeface="Arial" panose="020B0604020202020204" pitchFamily="34" charset="0"/>
              <a:cs typeface="Arial" panose="020B0604020202020204" pitchFamily="34" charset="0"/>
            </a:rPr>
            <a:t>High risk and outside Codelco's core mining expertise.</a:t>
          </a:r>
        </a:p>
      </dgm:t>
    </dgm:pt>
    <dgm:pt modelId="{5E62AD39-52B5-49D7-B9A8-6D2913D1F350}" type="parTrans" cxnId="{B15105D7-9625-4BA9-99B0-3E7544D87EA5}">
      <dgm:prSet/>
      <dgm:spPr/>
      <dgm:t>
        <a:bodyPr/>
        <a:lstStyle/>
        <a:p>
          <a:endParaRPr lang="en-US"/>
        </a:p>
      </dgm:t>
    </dgm:pt>
    <dgm:pt modelId="{3922EFF6-42AF-4321-925B-C5A60E8CE696}" type="sibTrans" cxnId="{B15105D7-9625-4BA9-99B0-3E7544D87EA5}">
      <dgm:prSet/>
      <dgm:spPr/>
      <dgm:t>
        <a:bodyPr/>
        <a:lstStyle/>
        <a:p>
          <a:endParaRPr lang="en-US"/>
        </a:p>
      </dgm:t>
    </dgm:pt>
    <dgm:pt modelId="{EA3F290E-3C8E-424E-B01D-C6A0D2ADEFBC}">
      <dgm:prSet custT="1"/>
      <dgm:spPr/>
      <dgm:t>
        <a:bodyPr/>
        <a:lstStyle/>
        <a:p>
          <a:pPr algn="ctr"/>
          <a:r>
            <a:rPr lang="en-US" sz="1000" b="1">
              <a:latin typeface="Arial" panose="020B0604020202020204" pitchFamily="34" charset="0"/>
              <a:cs typeface="Arial" panose="020B0604020202020204" pitchFamily="34" charset="0"/>
            </a:rPr>
            <a:t>Market Development</a:t>
          </a:r>
        </a:p>
      </dgm:t>
    </dgm:pt>
    <dgm:pt modelId="{C5DA24F5-4046-45B6-B11C-1592AC09FF8F}" type="parTrans" cxnId="{6CD18B2F-C553-4A44-8894-B2B280304584}">
      <dgm:prSet/>
      <dgm:spPr/>
      <dgm:t>
        <a:bodyPr/>
        <a:lstStyle/>
        <a:p>
          <a:endParaRPr lang="en-US"/>
        </a:p>
      </dgm:t>
    </dgm:pt>
    <dgm:pt modelId="{127E9162-D125-44B7-A775-9CE6100E00CB}" type="sibTrans" cxnId="{6CD18B2F-C553-4A44-8894-B2B280304584}">
      <dgm:prSet/>
      <dgm:spPr/>
      <dgm:t>
        <a:bodyPr/>
        <a:lstStyle/>
        <a:p>
          <a:endParaRPr lang="en-US"/>
        </a:p>
      </dgm:t>
    </dgm:pt>
    <dgm:pt modelId="{71C76B55-E2A1-4A97-BE1E-DAC08837A989}">
      <dgm:prSet custT="1"/>
      <dgm:spPr/>
      <dgm:t>
        <a:bodyPr/>
        <a:lstStyle/>
        <a:p>
          <a:pPr algn="ctr"/>
          <a:r>
            <a:rPr lang="en-US" sz="1000" b="1">
              <a:latin typeface="Arial" panose="020B0604020202020204" pitchFamily="34" charset="0"/>
              <a:cs typeface="Arial" panose="020B0604020202020204" pitchFamily="34" charset="0"/>
            </a:rPr>
            <a:t>Product Development</a:t>
          </a:r>
        </a:p>
      </dgm:t>
    </dgm:pt>
    <dgm:pt modelId="{5C74C154-BF17-4502-9910-1ADDEC75E3BB}" type="parTrans" cxnId="{CDB6FDDF-E92D-48E1-8DE3-3666DEF390D5}">
      <dgm:prSet/>
      <dgm:spPr/>
      <dgm:t>
        <a:bodyPr/>
        <a:lstStyle/>
        <a:p>
          <a:endParaRPr lang="en-US"/>
        </a:p>
      </dgm:t>
    </dgm:pt>
    <dgm:pt modelId="{4F318057-0D56-48F8-9ABB-7F11BB990687}" type="sibTrans" cxnId="{CDB6FDDF-E92D-48E1-8DE3-3666DEF390D5}">
      <dgm:prSet/>
      <dgm:spPr/>
      <dgm:t>
        <a:bodyPr/>
        <a:lstStyle/>
        <a:p>
          <a:endParaRPr lang="en-US"/>
        </a:p>
      </dgm:t>
    </dgm:pt>
    <dgm:pt modelId="{525FFAD4-D46B-4C32-9DE2-F36EE44BFEEB}">
      <dgm:prSet custT="1"/>
      <dgm:spPr/>
      <dgm:t>
        <a:bodyPr/>
        <a:lstStyle/>
        <a:p>
          <a:pPr algn="ctr"/>
          <a:r>
            <a:rPr lang="en-US" sz="1000" b="1">
              <a:latin typeface="Arial" panose="020B0604020202020204" pitchFamily="34" charset="0"/>
              <a:cs typeface="Arial" panose="020B0604020202020204" pitchFamily="34" charset="0"/>
            </a:rPr>
            <a:t>Diversification</a:t>
          </a:r>
        </a:p>
      </dgm:t>
    </dgm:pt>
    <dgm:pt modelId="{940AE8D3-3D89-41F0-BC27-59297EB33AF7}" type="parTrans" cxnId="{8A42B7A9-628F-4DEB-B98D-DE096966DC11}">
      <dgm:prSet/>
      <dgm:spPr/>
      <dgm:t>
        <a:bodyPr/>
        <a:lstStyle/>
        <a:p>
          <a:endParaRPr lang="en-US"/>
        </a:p>
      </dgm:t>
    </dgm:pt>
    <dgm:pt modelId="{495DC5BE-8D10-4801-AADB-8648DF6DA77F}" type="sibTrans" cxnId="{8A42B7A9-628F-4DEB-B98D-DE096966DC11}">
      <dgm:prSet/>
      <dgm:spPr/>
      <dgm:t>
        <a:bodyPr/>
        <a:lstStyle/>
        <a:p>
          <a:endParaRPr lang="en-US"/>
        </a:p>
      </dgm:t>
    </dgm:pt>
    <dgm:pt modelId="{ADD94FC4-D23B-480B-8A3E-8A1AAAC32ABE}">
      <dgm:prSet phldrT="[Text]" custT="1"/>
      <dgm:spPr/>
      <dgm:t>
        <a:bodyPr/>
        <a:lstStyle/>
        <a:p>
          <a:pPr algn="ctr"/>
          <a:r>
            <a:rPr lang="en-US" sz="1000" b="1">
              <a:latin typeface="Arial" panose="020B0604020202020204" pitchFamily="34" charset="0"/>
              <a:cs typeface="Arial" panose="020B0604020202020204" pitchFamily="34" charset="0"/>
            </a:rPr>
            <a:t>Limited potential due to commodity-driven demand. </a:t>
          </a:r>
        </a:p>
      </dgm:t>
    </dgm:pt>
    <dgm:pt modelId="{FF579F01-0A74-474B-9EED-9ED439C48A82}" type="parTrans" cxnId="{C516C9CC-62CD-4E5C-AD7B-632CEFCCB64D}">
      <dgm:prSet/>
      <dgm:spPr/>
      <dgm:t>
        <a:bodyPr/>
        <a:lstStyle/>
        <a:p>
          <a:endParaRPr lang="en-US"/>
        </a:p>
      </dgm:t>
    </dgm:pt>
    <dgm:pt modelId="{C02B6DD9-6E1F-4BA1-81BE-DB3D7DC42575}" type="sibTrans" cxnId="{C516C9CC-62CD-4E5C-AD7B-632CEFCCB64D}">
      <dgm:prSet/>
      <dgm:spPr/>
      <dgm:t>
        <a:bodyPr/>
        <a:lstStyle/>
        <a:p>
          <a:endParaRPr lang="en-US"/>
        </a:p>
      </dgm:t>
    </dgm:pt>
    <dgm:pt modelId="{68004BBE-4A02-487C-AE78-3C498721B5CE}">
      <dgm:prSet custT="1"/>
      <dgm:spPr/>
      <dgm:t>
        <a:bodyPr/>
        <a:lstStyle/>
        <a:p>
          <a:pPr algn="ctr"/>
          <a:r>
            <a:rPr lang="en-US" sz="1000" b="1">
              <a:latin typeface="Arial" panose="020B0604020202020204" pitchFamily="34" charset="0"/>
              <a:cs typeface="Arial" panose="020B0604020202020204" pitchFamily="34" charset="0"/>
            </a:rPr>
            <a:t> Limited scope as Codelco already serves major global markets. </a:t>
          </a:r>
        </a:p>
      </dgm:t>
    </dgm:pt>
    <dgm:pt modelId="{D9D64B67-5D36-4003-9BC7-FD942B0439D7}" type="parTrans" cxnId="{39536C65-6673-42AA-A263-87CBDCDCCC8B}">
      <dgm:prSet/>
      <dgm:spPr/>
      <dgm:t>
        <a:bodyPr/>
        <a:lstStyle/>
        <a:p>
          <a:endParaRPr lang="en-US"/>
        </a:p>
      </dgm:t>
    </dgm:pt>
    <dgm:pt modelId="{208F03A8-49FB-4D26-AAAF-BDEBEA18920C}" type="sibTrans" cxnId="{39536C65-6673-42AA-A263-87CBDCDCCC8B}">
      <dgm:prSet/>
      <dgm:spPr/>
      <dgm:t>
        <a:bodyPr/>
        <a:lstStyle/>
        <a:p>
          <a:endParaRPr lang="en-US"/>
        </a:p>
      </dgm:t>
    </dgm:pt>
    <dgm:pt modelId="{8948088D-FEB6-44E3-A25F-55FEE1934CA0}">
      <dgm:prSet custT="1"/>
      <dgm:spPr/>
      <dgm:t>
        <a:bodyPr/>
        <a:lstStyle/>
        <a:p>
          <a:pPr algn="ctr"/>
          <a:r>
            <a:rPr lang="en-US" sz="1000" b="1">
              <a:latin typeface="Arial" panose="020B0604020202020204" pitchFamily="34" charset="0"/>
              <a:cs typeface="Arial" panose="020B0604020202020204" pitchFamily="34" charset="0"/>
            </a:rPr>
            <a:t>Most suitable for developing lower-carbon copper products. </a:t>
          </a:r>
        </a:p>
      </dgm:t>
    </dgm:pt>
    <dgm:pt modelId="{959C7853-3342-4F42-8BA3-00C00B7EE460}" type="parTrans" cxnId="{573387CD-930C-4506-9B08-75B5C74A0E1F}">
      <dgm:prSet/>
      <dgm:spPr/>
      <dgm:t>
        <a:bodyPr/>
        <a:lstStyle/>
        <a:p>
          <a:endParaRPr lang="en-US"/>
        </a:p>
      </dgm:t>
    </dgm:pt>
    <dgm:pt modelId="{FFE8061D-7BA1-4F71-A344-361C471C97AE}" type="sibTrans" cxnId="{573387CD-930C-4506-9B08-75B5C74A0E1F}">
      <dgm:prSet/>
      <dgm:spPr/>
      <dgm:t>
        <a:bodyPr/>
        <a:lstStyle/>
        <a:p>
          <a:endParaRPr lang="en-US"/>
        </a:p>
      </dgm:t>
    </dgm:pt>
    <dgm:pt modelId="{D0C9DDC5-A7EF-46D2-B925-C093C20F6406}" type="pres">
      <dgm:prSet presAssocID="{46B196B8-19E4-4331-84A6-2A54A4852B43}" presName="cycleMatrixDiagram" presStyleCnt="0">
        <dgm:presLayoutVars>
          <dgm:chMax val="1"/>
          <dgm:dir/>
          <dgm:animLvl val="lvl"/>
          <dgm:resizeHandles val="exact"/>
        </dgm:presLayoutVars>
      </dgm:prSet>
      <dgm:spPr/>
    </dgm:pt>
    <dgm:pt modelId="{4DEDC6F9-05EE-4C62-A25D-80B1926942A5}" type="pres">
      <dgm:prSet presAssocID="{46B196B8-19E4-4331-84A6-2A54A4852B43}" presName="children" presStyleCnt="0"/>
      <dgm:spPr/>
    </dgm:pt>
    <dgm:pt modelId="{BDF396D8-B243-42CB-9A81-99ACFBB7121E}" type="pres">
      <dgm:prSet presAssocID="{46B196B8-19E4-4331-84A6-2A54A4852B43}" presName="child1group" presStyleCnt="0"/>
      <dgm:spPr/>
    </dgm:pt>
    <dgm:pt modelId="{B2A2D4B1-444C-46DE-98D3-8EE27D60FFC7}" type="pres">
      <dgm:prSet presAssocID="{46B196B8-19E4-4331-84A6-2A54A4852B43}" presName="child1" presStyleLbl="bgAcc1" presStyleIdx="0" presStyleCnt="4"/>
      <dgm:spPr/>
    </dgm:pt>
    <dgm:pt modelId="{2701FA4C-614F-488B-AFB2-D66A4481D5F6}" type="pres">
      <dgm:prSet presAssocID="{46B196B8-19E4-4331-84A6-2A54A4852B43}" presName="child1Text" presStyleLbl="bgAcc1" presStyleIdx="0" presStyleCnt="4">
        <dgm:presLayoutVars>
          <dgm:bulletEnabled val="1"/>
        </dgm:presLayoutVars>
      </dgm:prSet>
      <dgm:spPr/>
    </dgm:pt>
    <dgm:pt modelId="{5E6BA5F7-6A02-42DD-95BD-43C4286020EA}" type="pres">
      <dgm:prSet presAssocID="{46B196B8-19E4-4331-84A6-2A54A4852B43}" presName="child2group" presStyleCnt="0"/>
      <dgm:spPr/>
    </dgm:pt>
    <dgm:pt modelId="{B13BC9DA-C11B-4242-B514-87989D0C1A17}" type="pres">
      <dgm:prSet presAssocID="{46B196B8-19E4-4331-84A6-2A54A4852B43}" presName="child2" presStyleLbl="bgAcc1" presStyleIdx="1" presStyleCnt="4"/>
      <dgm:spPr/>
    </dgm:pt>
    <dgm:pt modelId="{87428BCD-8010-443D-B863-2DCF2125600A}" type="pres">
      <dgm:prSet presAssocID="{46B196B8-19E4-4331-84A6-2A54A4852B43}" presName="child2Text" presStyleLbl="bgAcc1" presStyleIdx="1" presStyleCnt="4">
        <dgm:presLayoutVars>
          <dgm:bulletEnabled val="1"/>
        </dgm:presLayoutVars>
      </dgm:prSet>
      <dgm:spPr/>
    </dgm:pt>
    <dgm:pt modelId="{BA6D348F-7402-4D7C-BF59-6EA788F14BF6}" type="pres">
      <dgm:prSet presAssocID="{46B196B8-19E4-4331-84A6-2A54A4852B43}" presName="child3group" presStyleCnt="0"/>
      <dgm:spPr/>
    </dgm:pt>
    <dgm:pt modelId="{063B8675-D199-4056-82EC-B9E9151AED43}" type="pres">
      <dgm:prSet presAssocID="{46B196B8-19E4-4331-84A6-2A54A4852B43}" presName="child3" presStyleLbl="bgAcc1" presStyleIdx="2" presStyleCnt="4"/>
      <dgm:spPr/>
    </dgm:pt>
    <dgm:pt modelId="{5BEBE0AD-2CF2-4AE4-822A-931C8F972B03}" type="pres">
      <dgm:prSet presAssocID="{46B196B8-19E4-4331-84A6-2A54A4852B43}" presName="child3Text" presStyleLbl="bgAcc1" presStyleIdx="2" presStyleCnt="4">
        <dgm:presLayoutVars>
          <dgm:bulletEnabled val="1"/>
        </dgm:presLayoutVars>
      </dgm:prSet>
      <dgm:spPr/>
    </dgm:pt>
    <dgm:pt modelId="{03D10312-65CB-4BB9-B35A-BBEA76FC5978}" type="pres">
      <dgm:prSet presAssocID="{46B196B8-19E4-4331-84A6-2A54A4852B43}" presName="child4group" presStyleCnt="0"/>
      <dgm:spPr/>
    </dgm:pt>
    <dgm:pt modelId="{396DDDAF-45FB-4850-9F58-EB75E807AE99}" type="pres">
      <dgm:prSet presAssocID="{46B196B8-19E4-4331-84A6-2A54A4852B43}" presName="child4" presStyleLbl="bgAcc1" presStyleIdx="3" presStyleCnt="4"/>
      <dgm:spPr/>
    </dgm:pt>
    <dgm:pt modelId="{7726FBD3-B99E-48F5-BDB3-F20E34D5EAF2}" type="pres">
      <dgm:prSet presAssocID="{46B196B8-19E4-4331-84A6-2A54A4852B43}" presName="child4Text" presStyleLbl="bgAcc1" presStyleIdx="3" presStyleCnt="4">
        <dgm:presLayoutVars>
          <dgm:bulletEnabled val="1"/>
        </dgm:presLayoutVars>
      </dgm:prSet>
      <dgm:spPr/>
    </dgm:pt>
    <dgm:pt modelId="{5716DF6A-5F0C-429E-A60A-D702110595D0}" type="pres">
      <dgm:prSet presAssocID="{46B196B8-19E4-4331-84A6-2A54A4852B43}" presName="childPlaceholder" presStyleCnt="0"/>
      <dgm:spPr/>
    </dgm:pt>
    <dgm:pt modelId="{FE295F46-4E5F-4E98-8DF0-9D303850DCD7}" type="pres">
      <dgm:prSet presAssocID="{46B196B8-19E4-4331-84A6-2A54A4852B43}" presName="circle" presStyleCnt="0"/>
      <dgm:spPr/>
    </dgm:pt>
    <dgm:pt modelId="{4E653888-48C7-4AB8-8F0F-DD8C526F4E0C}" type="pres">
      <dgm:prSet presAssocID="{46B196B8-19E4-4331-84A6-2A54A4852B43}" presName="quadrant1" presStyleLbl="node1" presStyleIdx="0" presStyleCnt="4">
        <dgm:presLayoutVars>
          <dgm:chMax val="1"/>
          <dgm:bulletEnabled val="1"/>
        </dgm:presLayoutVars>
      </dgm:prSet>
      <dgm:spPr/>
    </dgm:pt>
    <dgm:pt modelId="{C0137B99-38AE-4EF5-9006-124430C5DFFA}" type="pres">
      <dgm:prSet presAssocID="{46B196B8-19E4-4331-84A6-2A54A4852B43}" presName="quadrant2" presStyleLbl="node1" presStyleIdx="1" presStyleCnt="4">
        <dgm:presLayoutVars>
          <dgm:chMax val="1"/>
          <dgm:bulletEnabled val="1"/>
        </dgm:presLayoutVars>
      </dgm:prSet>
      <dgm:spPr/>
    </dgm:pt>
    <dgm:pt modelId="{C9A8E407-7DE6-433A-BFB2-BC611F1D3185}" type="pres">
      <dgm:prSet presAssocID="{46B196B8-19E4-4331-84A6-2A54A4852B43}" presName="quadrant3" presStyleLbl="node1" presStyleIdx="2" presStyleCnt="4">
        <dgm:presLayoutVars>
          <dgm:chMax val="1"/>
          <dgm:bulletEnabled val="1"/>
        </dgm:presLayoutVars>
      </dgm:prSet>
      <dgm:spPr/>
    </dgm:pt>
    <dgm:pt modelId="{A0777ACA-FF42-40AE-AAC2-D12AB75CF4F9}" type="pres">
      <dgm:prSet presAssocID="{46B196B8-19E4-4331-84A6-2A54A4852B43}" presName="quadrant4" presStyleLbl="node1" presStyleIdx="3" presStyleCnt="4">
        <dgm:presLayoutVars>
          <dgm:chMax val="1"/>
          <dgm:bulletEnabled val="1"/>
        </dgm:presLayoutVars>
      </dgm:prSet>
      <dgm:spPr/>
    </dgm:pt>
    <dgm:pt modelId="{DE691471-7C92-43EB-8F24-D73EA2B87BA8}" type="pres">
      <dgm:prSet presAssocID="{46B196B8-19E4-4331-84A6-2A54A4852B43}" presName="quadrantPlaceholder" presStyleCnt="0"/>
      <dgm:spPr/>
    </dgm:pt>
    <dgm:pt modelId="{04D54E03-4F9C-4A23-8C06-C98B723B9608}" type="pres">
      <dgm:prSet presAssocID="{46B196B8-19E4-4331-84A6-2A54A4852B43}" presName="center1" presStyleLbl="fgShp" presStyleIdx="0" presStyleCnt="2"/>
      <dgm:spPr/>
    </dgm:pt>
    <dgm:pt modelId="{5DA8B766-F797-4018-878E-2D23B32499C9}" type="pres">
      <dgm:prSet presAssocID="{46B196B8-19E4-4331-84A6-2A54A4852B43}" presName="center2" presStyleLbl="fgShp" presStyleIdx="1" presStyleCnt="2"/>
      <dgm:spPr/>
    </dgm:pt>
  </dgm:ptLst>
  <dgm:cxnLst>
    <dgm:cxn modelId="{9067FE05-1753-49BC-A421-0579B50FB9AB}" srcId="{46B196B8-19E4-4331-84A6-2A54A4852B43}" destId="{9C955758-454E-4BC5-B4AA-C207A2C149E1}" srcOrd="0" destOrd="0" parTransId="{E76B35F0-C808-41C0-AD08-4AD8B6ACBA30}" sibTransId="{83BAA586-F3BA-4CC2-85CF-472FECCC05D0}"/>
    <dgm:cxn modelId="{9ECA1B10-AE0A-404B-9F69-1682573B9C59}" type="presOf" srcId="{3D19D899-C139-4EB0-B167-B506D3A7D6D4}" destId="{396DDDAF-45FB-4850-9F58-EB75E807AE99}" srcOrd="0" destOrd="0" presId="urn:microsoft.com/office/officeart/2005/8/layout/cycle4"/>
    <dgm:cxn modelId="{2647671F-FD82-4435-92B3-B96FB78EE612}" type="presOf" srcId="{9C955758-454E-4BC5-B4AA-C207A2C149E1}" destId="{4E653888-48C7-4AB8-8F0F-DD8C526F4E0C}" srcOrd="0" destOrd="0" presId="urn:microsoft.com/office/officeart/2005/8/layout/cycle4"/>
    <dgm:cxn modelId="{AA9F6529-D2E9-4F92-A84D-9CC01BF0EC6F}" type="presOf" srcId="{71C76B55-E2A1-4A97-BE1E-DAC08837A989}" destId="{C9A8E407-7DE6-433A-BFB2-BC611F1D3185}" srcOrd="0" destOrd="0" presId="urn:microsoft.com/office/officeart/2005/8/layout/cycle4"/>
    <dgm:cxn modelId="{6CD18B2F-C553-4A44-8894-B2B280304584}" srcId="{46B196B8-19E4-4331-84A6-2A54A4852B43}" destId="{EA3F290E-3C8E-424E-B01D-C6A0D2ADEFBC}" srcOrd="1" destOrd="0" parTransId="{C5DA24F5-4046-45B6-B11C-1592AC09FF8F}" sibTransId="{127E9162-D125-44B7-A775-9CE6100E00CB}"/>
    <dgm:cxn modelId="{39536C65-6673-42AA-A263-87CBDCDCCC8B}" srcId="{EA3F290E-3C8E-424E-B01D-C6A0D2ADEFBC}" destId="{68004BBE-4A02-487C-AE78-3C498721B5CE}" srcOrd="0" destOrd="0" parTransId="{D9D64B67-5D36-4003-9BC7-FD942B0439D7}" sibTransId="{208F03A8-49FB-4D26-AAAF-BDEBEA18920C}"/>
    <dgm:cxn modelId="{8797E268-DBA9-4D99-A04D-5BFB220BFFB2}" type="presOf" srcId="{46B196B8-19E4-4331-84A6-2A54A4852B43}" destId="{D0C9DDC5-A7EF-46D2-B925-C093C20F6406}" srcOrd="0" destOrd="0" presId="urn:microsoft.com/office/officeart/2005/8/layout/cycle4"/>
    <dgm:cxn modelId="{4C549F6D-B14E-4759-9DDE-C51215793D00}" type="presOf" srcId="{ADD94FC4-D23B-480B-8A3E-8A1AAAC32ABE}" destId="{2701FA4C-614F-488B-AFB2-D66A4481D5F6}" srcOrd="1" destOrd="0" presId="urn:microsoft.com/office/officeart/2005/8/layout/cycle4"/>
    <dgm:cxn modelId="{239C6572-5747-49D0-97DC-C395B9BC7A9B}" type="presOf" srcId="{3D19D899-C139-4EB0-B167-B506D3A7D6D4}" destId="{7726FBD3-B99E-48F5-BDB3-F20E34D5EAF2}" srcOrd="1" destOrd="0" presId="urn:microsoft.com/office/officeart/2005/8/layout/cycle4"/>
    <dgm:cxn modelId="{103F8884-7784-4B90-B9EA-8A7DBCCB6FB3}" type="presOf" srcId="{68004BBE-4A02-487C-AE78-3C498721B5CE}" destId="{87428BCD-8010-443D-B863-2DCF2125600A}" srcOrd="1" destOrd="0" presId="urn:microsoft.com/office/officeart/2005/8/layout/cycle4"/>
    <dgm:cxn modelId="{C1D71D8A-6015-487A-ADBA-00FA700C4C35}" type="presOf" srcId="{525FFAD4-D46B-4C32-9DE2-F36EE44BFEEB}" destId="{A0777ACA-FF42-40AE-AAC2-D12AB75CF4F9}" srcOrd="0" destOrd="0" presId="urn:microsoft.com/office/officeart/2005/8/layout/cycle4"/>
    <dgm:cxn modelId="{85606392-3F4D-473B-9498-37225D8DF33C}" type="presOf" srcId="{ADD94FC4-D23B-480B-8A3E-8A1AAAC32ABE}" destId="{B2A2D4B1-444C-46DE-98D3-8EE27D60FFC7}" srcOrd="0" destOrd="0" presId="urn:microsoft.com/office/officeart/2005/8/layout/cycle4"/>
    <dgm:cxn modelId="{7A88FE93-37AD-4310-B110-8D167F14E9AF}" type="presOf" srcId="{8948088D-FEB6-44E3-A25F-55FEE1934CA0}" destId="{063B8675-D199-4056-82EC-B9E9151AED43}" srcOrd="0" destOrd="0" presId="urn:microsoft.com/office/officeart/2005/8/layout/cycle4"/>
    <dgm:cxn modelId="{8A42B7A9-628F-4DEB-B98D-DE096966DC11}" srcId="{46B196B8-19E4-4331-84A6-2A54A4852B43}" destId="{525FFAD4-D46B-4C32-9DE2-F36EE44BFEEB}" srcOrd="3" destOrd="0" parTransId="{940AE8D3-3D89-41F0-BC27-59297EB33AF7}" sibTransId="{495DC5BE-8D10-4801-AADB-8648DF6DA77F}"/>
    <dgm:cxn modelId="{271FE7B6-F4C2-465C-AB5C-A95D8F0C0950}" type="presOf" srcId="{EA3F290E-3C8E-424E-B01D-C6A0D2ADEFBC}" destId="{C0137B99-38AE-4EF5-9006-124430C5DFFA}" srcOrd="0" destOrd="0" presId="urn:microsoft.com/office/officeart/2005/8/layout/cycle4"/>
    <dgm:cxn modelId="{C516C9CC-62CD-4E5C-AD7B-632CEFCCB64D}" srcId="{9C955758-454E-4BC5-B4AA-C207A2C149E1}" destId="{ADD94FC4-D23B-480B-8A3E-8A1AAAC32ABE}" srcOrd="0" destOrd="0" parTransId="{FF579F01-0A74-474B-9EED-9ED439C48A82}" sibTransId="{C02B6DD9-6E1F-4BA1-81BE-DB3D7DC42575}"/>
    <dgm:cxn modelId="{573387CD-930C-4506-9B08-75B5C74A0E1F}" srcId="{71C76B55-E2A1-4A97-BE1E-DAC08837A989}" destId="{8948088D-FEB6-44E3-A25F-55FEE1934CA0}" srcOrd="0" destOrd="0" parTransId="{959C7853-3342-4F42-8BA3-00C00B7EE460}" sibTransId="{FFE8061D-7BA1-4F71-A344-361C471C97AE}"/>
    <dgm:cxn modelId="{B15105D7-9625-4BA9-99B0-3E7544D87EA5}" srcId="{525FFAD4-D46B-4C32-9DE2-F36EE44BFEEB}" destId="{3D19D899-C139-4EB0-B167-B506D3A7D6D4}" srcOrd="0" destOrd="0" parTransId="{5E62AD39-52B5-49D7-B9A8-6D2913D1F350}" sibTransId="{3922EFF6-42AF-4321-925B-C5A60E8CE696}"/>
    <dgm:cxn modelId="{CDB6FDDF-E92D-48E1-8DE3-3666DEF390D5}" srcId="{46B196B8-19E4-4331-84A6-2A54A4852B43}" destId="{71C76B55-E2A1-4A97-BE1E-DAC08837A989}" srcOrd="2" destOrd="0" parTransId="{5C74C154-BF17-4502-9910-1ADDEC75E3BB}" sibTransId="{4F318057-0D56-48F8-9ABB-7F11BB990687}"/>
    <dgm:cxn modelId="{9E5CBCF9-D37D-4A70-B286-C838FDD2C219}" type="presOf" srcId="{8948088D-FEB6-44E3-A25F-55FEE1934CA0}" destId="{5BEBE0AD-2CF2-4AE4-822A-931C8F972B03}" srcOrd="1" destOrd="0" presId="urn:microsoft.com/office/officeart/2005/8/layout/cycle4"/>
    <dgm:cxn modelId="{6EC627FA-3C65-4EB4-B7F2-D35193FC05AB}" type="presOf" srcId="{68004BBE-4A02-487C-AE78-3C498721B5CE}" destId="{B13BC9DA-C11B-4242-B514-87989D0C1A17}" srcOrd="0" destOrd="0" presId="urn:microsoft.com/office/officeart/2005/8/layout/cycle4"/>
    <dgm:cxn modelId="{03637045-4661-4F22-BD6B-BF4D8A7D9AAE}" type="presParOf" srcId="{D0C9DDC5-A7EF-46D2-B925-C093C20F6406}" destId="{4DEDC6F9-05EE-4C62-A25D-80B1926942A5}" srcOrd="0" destOrd="0" presId="urn:microsoft.com/office/officeart/2005/8/layout/cycle4"/>
    <dgm:cxn modelId="{324B04F7-E85F-48A3-9975-27A4F2D6F28D}" type="presParOf" srcId="{4DEDC6F9-05EE-4C62-A25D-80B1926942A5}" destId="{BDF396D8-B243-42CB-9A81-99ACFBB7121E}" srcOrd="0" destOrd="0" presId="urn:microsoft.com/office/officeart/2005/8/layout/cycle4"/>
    <dgm:cxn modelId="{95BB9396-9EB5-463C-8068-BD73DF994993}" type="presParOf" srcId="{BDF396D8-B243-42CB-9A81-99ACFBB7121E}" destId="{B2A2D4B1-444C-46DE-98D3-8EE27D60FFC7}" srcOrd="0" destOrd="0" presId="urn:microsoft.com/office/officeart/2005/8/layout/cycle4"/>
    <dgm:cxn modelId="{A30C0DDE-A28C-4D03-86FF-D1843558D885}" type="presParOf" srcId="{BDF396D8-B243-42CB-9A81-99ACFBB7121E}" destId="{2701FA4C-614F-488B-AFB2-D66A4481D5F6}" srcOrd="1" destOrd="0" presId="urn:microsoft.com/office/officeart/2005/8/layout/cycle4"/>
    <dgm:cxn modelId="{E6B26B51-BABA-4D63-AAA8-5A5DDD89B662}" type="presParOf" srcId="{4DEDC6F9-05EE-4C62-A25D-80B1926942A5}" destId="{5E6BA5F7-6A02-42DD-95BD-43C4286020EA}" srcOrd="1" destOrd="0" presId="urn:microsoft.com/office/officeart/2005/8/layout/cycle4"/>
    <dgm:cxn modelId="{D3F51A94-259C-4A5B-8C59-5B400DC5ABF5}" type="presParOf" srcId="{5E6BA5F7-6A02-42DD-95BD-43C4286020EA}" destId="{B13BC9DA-C11B-4242-B514-87989D0C1A17}" srcOrd="0" destOrd="0" presId="urn:microsoft.com/office/officeart/2005/8/layout/cycle4"/>
    <dgm:cxn modelId="{3766355F-7EFD-4019-8B53-6C92365F0728}" type="presParOf" srcId="{5E6BA5F7-6A02-42DD-95BD-43C4286020EA}" destId="{87428BCD-8010-443D-B863-2DCF2125600A}" srcOrd="1" destOrd="0" presId="urn:microsoft.com/office/officeart/2005/8/layout/cycle4"/>
    <dgm:cxn modelId="{F4042BF3-229D-4060-A7F3-906682D3CB14}" type="presParOf" srcId="{4DEDC6F9-05EE-4C62-A25D-80B1926942A5}" destId="{BA6D348F-7402-4D7C-BF59-6EA788F14BF6}" srcOrd="2" destOrd="0" presId="urn:microsoft.com/office/officeart/2005/8/layout/cycle4"/>
    <dgm:cxn modelId="{EC97E193-2095-4554-8D14-1F88DCA455D9}" type="presParOf" srcId="{BA6D348F-7402-4D7C-BF59-6EA788F14BF6}" destId="{063B8675-D199-4056-82EC-B9E9151AED43}" srcOrd="0" destOrd="0" presId="urn:microsoft.com/office/officeart/2005/8/layout/cycle4"/>
    <dgm:cxn modelId="{73ACA733-352F-4B0B-AD90-C8037E2CD5EF}" type="presParOf" srcId="{BA6D348F-7402-4D7C-BF59-6EA788F14BF6}" destId="{5BEBE0AD-2CF2-4AE4-822A-931C8F972B03}" srcOrd="1" destOrd="0" presId="urn:microsoft.com/office/officeart/2005/8/layout/cycle4"/>
    <dgm:cxn modelId="{4B1C15BF-E1CA-4466-82F1-834EB7EBED7C}" type="presParOf" srcId="{4DEDC6F9-05EE-4C62-A25D-80B1926942A5}" destId="{03D10312-65CB-4BB9-B35A-BBEA76FC5978}" srcOrd="3" destOrd="0" presId="urn:microsoft.com/office/officeart/2005/8/layout/cycle4"/>
    <dgm:cxn modelId="{33769E74-CA68-4A94-BD05-8190B77A059D}" type="presParOf" srcId="{03D10312-65CB-4BB9-B35A-BBEA76FC5978}" destId="{396DDDAF-45FB-4850-9F58-EB75E807AE99}" srcOrd="0" destOrd="0" presId="urn:microsoft.com/office/officeart/2005/8/layout/cycle4"/>
    <dgm:cxn modelId="{DE11BBC9-6063-415D-9BDB-C1AA787C45DF}" type="presParOf" srcId="{03D10312-65CB-4BB9-B35A-BBEA76FC5978}" destId="{7726FBD3-B99E-48F5-BDB3-F20E34D5EAF2}" srcOrd="1" destOrd="0" presId="urn:microsoft.com/office/officeart/2005/8/layout/cycle4"/>
    <dgm:cxn modelId="{FDB94D7C-7E13-476A-BA41-4C1F9CBBD70E}" type="presParOf" srcId="{4DEDC6F9-05EE-4C62-A25D-80B1926942A5}" destId="{5716DF6A-5F0C-429E-A60A-D702110595D0}" srcOrd="4" destOrd="0" presId="urn:microsoft.com/office/officeart/2005/8/layout/cycle4"/>
    <dgm:cxn modelId="{E784C236-2EE9-41E5-B4C9-9D7A8BE3B0C8}" type="presParOf" srcId="{D0C9DDC5-A7EF-46D2-B925-C093C20F6406}" destId="{FE295F46-4E5F-4E98-8DF0-9D303850DCD7}" srcOrd="1" destOrd="0" presId="urn:microsoft.com/office/officeart/2005/8/layout/cycle4"/>
    <dgm:cxn modelId="{3B1365B1-9BC8-4255-ACDA-A0992F8FCBCD}" type="presParOf" srcId="{FE295F46-4E5F-4E98-8DF0-9D303850DCD7}" destId="{4E653888-48C7-4AB8-8F0F-DD8C526F4E0C}" srcOrd="0" destOrd="0" presId="urn:microsoft.com/office/officeart/2005/8/layout/cycle4"/>
    <dgm:cxn modelId="{52197B3E-5682-414D-BA55-DE9C7C766C15}" type="presParOf" srcId="{FE295F46-4E5F-4E98-8DF0-9D303850DCD7}" destId="{C0137B99-38AE-4EF5-9006-124430C5DFFA}" srcOrd="1" destOrd="0" presId="urn:microsoft.com/office/officeart/2005/8/layout/cycle4"/>
    <dgm:cxn modelId="{E9A40054-1C80-4882-9E1A-8FC949CADEC0}" type="presParOf" srcId="{FE295F46-4E5F-4E98-8DF0-9D303850DCD7}" destId="{C9A8E407-7DE6-433A-BFB2-BC611F1D3185}" srcOrd="2" destOrd="0" presId="urn:microsoft.com/office/officeart/2005/8/layout/cycle4"/>
    <dgm:cxn modelId="{7CA0D8E8-4ADE-497F-B09D-755D110E67DA}" type="presParOf" srcId="{FE295F46-4E5F-4E98-8DF0-9D303850DCD7}" destId="{A0777ACA-FF42-40AE-AAC2-D12AB75CF4F9}" srcOrd="3" destOrd="0" presId="urn:microsoft.com/office/officeart/2005/8/layout/cycle4"/>
    <dgm:cxn modelId="{D0A34322-0D9E-4ABC-B1DA-77668CCC2637}" type="presParOf" srcId="{FE295F46-4E5F-4E98-8DF0-9D303850DCD7}" destId="{DE691471-7C92-43EB-8F24-D73EA2B87BA8}" srcOrd="4" destOrd="0" presId="urn:microsoft.com/office/officeart/2005/8/layout/cycle4"/>
    <dgm:cxn modelId="{27D9FE44-6D9F-49B8-B0F0-28EA83E7C3F0}" type="presParOf" srcId="{D0C9DDC5-A7EF-46D2-B925-C093C20F6406}" destId="{04D54E03-4F9C-4A23-8C06-C98B723B9608}" srcOrd="2" destOrd="0" presId="urn:microsoft.com/office/officeart/2005/8/layout/cycle4"/>
    <dgm:cxn modelId="{1CC19184-A9F7-41C3-AF4D-41CE389FE090}" type="presParOf" srcId="{D0C9DDC5-A7EF-46D2-B925-C093C20F6406}" destId="{5DA8B766-F797-4018-878E-2D23B32499C9}"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62886CE-0B8C-4830-861B-6FB4D4D6ACFF}" type="doc">
      <dgm:prSet loTypeId="urn:microsoft.com/office/officeart/2005/8/layout/matrix2" loCatId="matrix" qsTypeId="urn:microsoft.com/office/officeart/2005/8/quickstyle/simple2" qsCatId="simple" csTypeId="urn:microsoft.com/office/officeart/2005/8/colors/accent0_2" csCatId="mainScheme" phldr="1"/>
      <dgm:spPr/>
      <dgm:t>
        <a:bodyPr/>
        <a:lstStyle/>
        <a:p>
          <a:endParaRPr lang="en-US"/>
        </a:p>
      </dgm:t>
    </dgm:pt>
    <dgm:pt modelId="{C99DDDB3-6472-4EDE-BA1F-5906FCC735F8}">
      <dgm:prSet phldrT="[Text]"/>
      <dgm:spPr/>
      <dgm:t>
        <a:bodyPr/>
        <a:lstStyle/>
        <a:p>
          <a:pPr algn="ctr"/>
          <a:r>
            <a:rPr lang="en-US" b="1">
              <a:latin typeface="Arial" panose="020B0604020202020204" pitchFamily="34" charset="0"/>
              <a:cs typeface="Arial" panose="020B0604020202020204" pitchFamily="34" charset="0"/>
            </a:rPr>
            <a:t>Cost Leadership</a:t>
          </a:r>
        </a:p>
      </dgm:t>
    </dgm:pt>
    <dgm:pt modelId="{AFF447D3-174D-44CE-85C6-5C51BC72B5A4}" type="parTrans" cxnId="{C89ED1D2-E555-4125-915C-1F5B8EFD849B}">
      <dgm:prSet/>
      <dgm:spPr/>
      <dgm:t>
        <a:bodyPr/>
        <a:lstStyle/>
        <a:p>
          <a:endParaRPr lang="en-US"/>
        </a:p>
      </dgm:t>
    </dgm:pt>
    <dgm:pt modelId="{BE7E7EF1-701F-4D3D-A611-9242A734D41B}" type="sibTrans" cxnId="{C89ED1D2-E555-4125-915C-1F5B8EFD849B}">
      <dgm:prSet/>
      <dgm:spPr/>
      <dgm:t>
        <a:bodyPr/>
        <a:lstStyle/>
        <a:p>
          <a:endParaRPr lang="en-US"/>
        </a:p>
      </dgm:t>
    </dgm:pt>
    <dgm:pt modelId="{16DFA2A8-E504-4CAF-A232-16808060CBCD}">
      <dgm:prSet/>
      <dgm:spPr/>
      <dgm:t>
        <a:bodyPr/>
        <a:lstStyle/>
        <a:p>
          <a:pPr algn="l"/>
          <a:r>
            <a:rPr lang="en-US">
              <a:latin typeface="Arial" panose="020B0604020202020204" pitchFamily="34" charset="0"/>
              <a:cs typeface="Arial" panose="020B0604020202020204" pitchFamily="34" charset="0"/>
            </a:rPr>
            <a:t>High decarbonisation costs</a:t>
          </a:r>
        </a:p>
      </dgm:t>
    </dgm:pt>
    <dgm:pt modelId="{12AE7C42-5CD7-4BDB-BFFA-191A0B79FCE0}" type="parTrans" cxnId="{5A11FF7F-97D7-40C3-B836-8C038CFA7A0B}">
      <dgm:prSet/>
      <dgm:spPr/>
      <dgm:t>
        <a:bodyPr/>
        <a:lstStyle/>
        <a:p>
          <a:endParaRPr lang="en-US"/>
        </a:p>
      </dgm:t>
    </dgm:pt>
    <dgm:pt modelId="{D2DE2971-5DBA-4257-852E-90892E6928F0}" type="sibTrans" cxnId="{5A11FF7F-97D7-40C3-B836-8C038CFA7A0B}">
      <dgm:prSet/>
      <dgm:spPr/>
      <dgm:t>
        <a:bodyPr/>
        <a:lstStyle/>
        <a:p>
          <a:endParaRPr lang="en-US"/>
        </a:p>
      </dgm:t>
    </dgm:pt>
    <dgm:pt modelId="{B70F4869-F98B-4B8F-A57F-CC375DB215E9}">
      <dgm:prSet/>
      <dgm:spPr/>
      <dgm:t>
        <a:bodyPr/>
        <a:lstStyle/>
        <a:p>
          <a:pPr algn="l"/>
          <a:r>
            <a:rPr lang="en-US">
              <a:latin typeface="Arial" panose="020B0604020202020204" pitchFamily="34" charset="0"/>
              <a:cs typeface="Arial" panose="020B0604020202020204" pitchFamily="34" charset="0"/>
            </a:rPr>
            <a:t>Not price-driven</a:t>
          </a:r>
        </a:p>
      </dgm:t>
    </dgm:pt>
    <dgm:pt modelId="{297630C6-DD5D-446B-AB7B-778DA2C978A2}" type="parTrans" cxnId="{90059C93-5350-4155-B7BD-DBB75BC884B7}">
      <dgm:prSet/>
      <dgm:spPr/>
      <dgm:t>
        <a:bodyPr/>
        <a:lstStyle/>
        <a:p>
          <a:endParaRPr lang="en-US"/>
        </a:p>
      </dgm:t>
    </dgm:pt>
    <dgm:pt modelId="{3E19AFE8-A59D-4F99-9CE3-44C4EBE9EF12}" type="sibTrans" cxnId="{90059C93-5350-4155-B7BD-DBB75BC884B7}">
      <dgm:prSet/>
      <dgm:spPr/>
      <dgm:t>
        <a:bodyPr/>
        <a:lstStyle/>
        <a:p>
          <a:endParaRPr lang="en-US"/>
        </a:p>
      </dgm:t>
    </dgm:pt>
    <dgm:pt modelId="{9A4789C3-7468-42F8-9571-9BD5FA9862FE}">
      <dgm:prSet/>
      <dgm:spPr/>
      <dgm:t>
        <a:bodyPr/>
        <a:lstStyle/>
        <a:p>
          <a:pPr algn="ctr"/>
          <a:r>
            <a:rPr lang="en-US" b="1">
              <a:latin typeface="Arial" panose="020B0604020202020204" pitchFamily="34" charset="0"/>
              <a:cs typeface="Arial" panose="020B0604020202020204" pitchFamily="34" charset="0"/>
            </a:rPr>
            <a:t>Differentiation </a:t>
          </a:r>
        </a:p>
      </dgm:t>
    </dgm:pt>
    <dgm:pt modelId="{BB0C8D32-E188-4241-9461-250FD7FCA0B9}" type="parTrans" cxnId="{04CFDC40-A4FE-4A55-BF62-2618120E96D1}">
      <dgm:prSet/>
      <dgm:spPr/>
      <dgm:t>
        <a:bodyPr/>
        <a:lstStyle/>
        <a:p>
          <a:endParaRPr lang="en-US"/>
        </a:p>
      </dgm:t>
    </dgm:pt>
    <dgm:pt modelId="{F3E88EF0-2425-4A7B-9601-46B17E73BE05}" type="sibTrans" cxnId="{04CFDC40-A4FE-4A55-BF62-2618120E96D1}">
      <dgm:prSet/>
      <dgm:spPr/>
      <dgm:t>
        <a:bodyPr/>
        <a:lstStyle/>
        <a:p>
          <a:endParaRPr lang="en-US"/>
        </a:p>
      </dgm:t>
    </dgm:pt>
    <dgm:pt modelId="{CFF7B5B2-95CB-4848-AD9C-F44864EA8B6B}">
      <dgm:prSet/>
      <dgm:spPr/>
      <dgm:t>
        <a:bodyPr/>
        <a:lstStyle/>
        <a:p>
          <a:pPr algn="l"/>
          <a:r>
            <a:rPr lang="en-US">
              <a:latin typeface="Arial" panose="020B0604020202020204" pitchFamily="34" charset="0"/>
              <a:cs typeface="Arial" panose="020B0604020202020204" pitchFamily="34" charset="0"/>
            </a:rPr>
            <a:t>Lower-carbon copper</a:t>
          </a:r>
        </a:p>
      </dgm:t>
    </dgm:pt>
    <dgm:pt modelId="{DB039B60-BAAF-4D66-B5C9-362BF451A9B0}" type="parTrans" cxnId="{9CF4A6DA-67D3-45DA-95C8-12B5A5DC1F89}">
      <dgm:prSet/>
      <dgm:spPr/>
      <dgm:t>
        <a:bodyPr/>
        <a:lstStyle/>
        <a:p>
          <a:endParaRPr lang="en-US"/>
        </a:p>
      </dgm:t>
    </dgm:pt>
    <dgm:pt modelId="{2AA1A8F9-E33E-4676-9CAF-BB4E67F0DE59}" type="sibTrans" cxnId="{9CF4A6DA-67D3-45DA-95C8-12B5A5DC1F89}">
      <dgm:prSet/>
      <dgm:spPr/>
      <dgm:t>
        <a:bodyPr/>
        <a:lstStyle/>
        <a:p>
          <a:endParaRPr lang="en-US"/>
        </a:p>
      </dgm:t>
    </dgm:pt>
    <dgm:pt modelId="{C1082C6F-0274-47D5-91BA-6EBE8BED68E3}">
      <dgm:prSet/>
      <dgm:spPr/>
      <dgm:t>
        <a:bodyPr/>
        <a:lstStyle/>
        <a:p>
          <a:pPr algn="l"/>
          <a:r>
            <a:rPr lang="en-US">
              <a:latin typeface="Arial" panose="020B0604020202020204" pitchFamily="34" charset="0"/>
              <a:cs typeface="Arial" panose="020B0604020202020204" pitchFamily="34" charset="0"/>
            </a:rPr>
            <a:t>Renewable-powered mining</a:t>
          </a:r>
        </a:p>
      </dgm:t>
    </dgm:pt>
    <dgm:pt modelId="{243C2E03-194B-4572-B300-06FCF492ABBF}" type="parTrans" cxnId="{411A914A-1BC7-47E2-ADAB-BE377CD82FE3}">
      <dgm:prSet/>
      <dgm:spPr/>
      <dgm:t>
        <a:bodyPr/>
        <a:lstStyle/>
        <a:p>
          <a:endParaRPr lang="en-US"/>
        </a:p>
      </dgm:t>
    </dgm:pt>
    <dgm:pt modelId="{C51AB6A7-F8DD-403D-AF9F-46354E725532}" type="sibTrans" cxnId="{411A914A-1BC7-47E2-ADAB-BE377CD82FE3}">
      <dgm:prSet/>
      <dgm:spPr/>
      <dgm:t>
        <a:bodyPr/>
        <a:lstStyle/>
        <a:p>
          <a:endParaRPr lang="en-US"/>
        </a:p>
      </dgm:t>
    </dgm:pt>
    <dgm:pt modelId="{AE345F84-176A-43A5-8F64-99D5C1D2467D}">
      <dgm:prSet/>
      <dgm:spPr/>
      <dgm:t>
        <a:bodyPr/>
        <a:lstStyle/>
        <a:p>
          <a:pPr algn="l"/>
          <a:r>
            <a:rPr lang="en-US">
              <a:latin typeface="Arial" panose="020B0604020202020204" pitchFamily="34" charset="0"/>
              <a:cs typeface="Arial" panose="020B0604020202020204" pitchFamily="34" charset="0"/>
            </a:rPr>
            <a:t>Responsible sourcing</a:t>
          </a:r>
        </a:p>
      </dgm:t>
    </dgm:pt>
    <dgm:pt modelId="{9D1132D7-3C83-465C-AC23-3DA86068D40B}" type="parTrans" cxnId="{1A99EDD6-5550-4D6B-80C5-B7F806368063}">
      <dgm:prSet/>
      <dgm:spPr/>
      <dgm:t>
        <a:bodyPr/>
        <a:lstStyle/>
        <a:p>
          <a:endParaRPr lang="en-US"/>
        </a:p>
      </dgm:t>
    </dgm:pt>
    <dgm:pt modelId="{D4CC259D-8A8F-475F-A5BC-5A337A725BE2}" type="sibTrans" cxnId="{1A99EDD6-5550-4D6B-80C5-B7F806368063}">
      <dgm:prSet/>
      <dgm:spPr/>
      <dgm:t>
        <a:bodyPr/>
        <a:lstStyle/>
        <a:p>
          <a:endParaRPr lang="en-US"/>
        </a:p>
      </dgm:t>
    </dgm:pt>
    <dgm:pt modelId="{B4C327EB-5CBD-4D59-AD92-CA9692D3866D}">
      <dgm:prSet/>
      <dgm:spPr/>
      <dgm:t>
        <a:bodyPr/>
        <a:lstStyle/>
        <a:p>
          <a:pPr algn="l"/>
          <a:r>
            <a:rPr lang="en-US">
              <a:latin typeface="Arial" panose="020B0604020202020204" pitchFamily="34" charset="0"/>
              <a:cs typeface="Arial" panose="020B0604020202020204" pitchFamily="34" charset="0"/>
            </a:rPr>
            <a:t>Strong ESG reputation</a:t>
          </a:r>
        </a:p>
      </dgm:t>
    </dgm:pt>
    <dgm:pt modelId="{D55E6DB9-CFD2-4AED-8C76-5E85AF4205B9}" type="parTrans" cxnId="{E4E61CC7-1E6B-43C2-A0E0-7F1906ECADBD}">
      <dgm:prSet/>
      <dgm:spPr/>
      <dgm:t>
        <a:bodyPr/>
        <a:lstStyle/>
        <a:p>
          <a:endParaRPr lang="en-US"/>
        </a:p>
      </dgm:t>
    </dgm:pt>
    <dgm:pt modelId="{CC8F3161-FE0E-4434-B9FB-A08048A69DB9}" type="sibTrans" cxnId="{E4E61CC7-1E6B-43C2-A0E0-7F1906ECADBD}">
      <dgm:prSet/>
      <dgm:spPr/>
      <dgm:t>
        <a:bodyPr/>
        <a:lstStyle/>
        <a:p>
          <a:endParaRPr lang="en-US"/>
        </a:p>
      </dgm:t>
    </dgm:pt>
    <dgm:pt modelId="{02F667C1-2002-4112-9E63-85B8EC92EB7F}">
      <dgm:prSet/>
      <dgm:spPr/>
      <dgm:t>
        <a:bodyPr/>
        <a:lstStyle/>
        <a:p>
          <a:pPr algn="ctr"/>
          <a:r>
            <a:rPr lang="en-US" b="1">
              <a:latin typeface="Arial" panose="020B0604020202020204" pitchFamily="34" charset="0"/>
              <a:cs typeface="Arial" panose="020B0604020202020204" pitchFamily="34" charset="0"/>
            </a:rPr>
            <a:t>Cost Focus</a:t>
          </a:r>
        </a:p>
      </dgm:t>
    </dgm:pt>
    <dgm:pt modelId="{A7842917-BBA2-4D70-AC20-B98E820A3021}" type="parTrans" cxnId="{4F09D500-237A-4435-ACCF-74C0CA6D2EA3}">
      <dgm:prSet/>
      <dgm:spPr/>
      <dgm:t>
        <a:bodyPr/>
        <a:lstStyle/>
        <a:p>
          <a:endParaRPr lang="en-US"/>
        </a:p>
      </dgm:t>
    </dgm:pt>
    <dgm:pt modelId="{73201F30-04A2-47AA-9C6C-4F476899D0B6}" type="sibTrans" cxnId="{4F09D500-237A-4435-ACCF-74C0CA6D2EA3}">
      <dgm:prSet/>
      <dgm:spPr/>
      <dgm:t>
        <a:bodyPr/>
        <a:lstStyle/>
        <a:p>
          <a:endParaRPr lang="en-US"/>
        </a:p>
      </dgm:t>
    </dgm:pt>
    <dgm:pt modelId="{6779A4E0-853B-45F8-8787-0BF57AFD8E4F}">
      <dgm:prSet/>
      <dgm:spPr/>
      <dgm:t>
        <a:bodyPr/>
        <a:lstStyle/>
        <a:p>
          <a:pPr algn="l"/>
          <a:r>
            <a:rPr lang="en-US">
              <a:latin typeface="Arial" panose="020B0604020202020204" pitchFamily="34" charset="0"/>
              <a:cs typeface="Arial" panose="020B0604020202020204" pitchFamily="34" charset="0"/>
            </a:rPr>
            <a:t>No niche cost strategy</a:t>
          </a:r>
        </a:p>
      </dgm:t>
    </dgm:pt>
    <dgm:pt modelId="{06C73979-CB7E-4DBE-A274-9E3401652F6A}" type="parTrans" cxnId="{56901155-E2B3-478F-86BC-4650A67FAEB3}">
      <dgm:prSet/>
      <dgm:spPr/>
      <dgm:t>
        <a:bodyPr/>
        <a:lstStyle/>
        <a:p>
          <a:endParaRPr lang="en-US"/>
        </a:p>
      </dgm:t>
    </dgm:pt>
    <dgm:pt modelId="{1DBC544E-1469-48DC-B8EE-7EED3878FE81}" type="sibTrans" cxnId="{56901155-E2B3-478F-86BC-4650A67FAEB3}">
      <dgm:prSet/>
      <dgm:spPr/>
      <dgm:t>
        <a:bodyPr/>
        <a:lstStyle/>
        <a:p>
          <a:endParaRPr lang="en-US"/>
        </a:p>
      </dgm:t>
    </dgm:pt>
    <dgm:pt modelId="{C07F4402-7B3D-40DD-AE0B-270D51ACDD22}">
      <dgm:prSet/>
      <dgm:spPr/>
      <dgm:t>
        <a:bodyPr/>
        <a:lstStyle/>
        <a:p>
          <a:pPr algn="l"/>
          <a:r>
            <a:rPr lang="en-US">
              <a:latin typeface="Arial" panose="020B0604020202020204" pitchFamily="34" charset="0"/>
              <a:cs typeface="Arial" panose="020B0604020202020204" pitchFamily="34" charset="0"/>
            </a:rPr>
            <a:t>Global customer base</a:t>
          </a:r>
        </a:p>
      </dgm:t>
    </dgm:pt>
    <dgm:pt modelId="{7E870FE8-AFA9-44E3-BFA3-8A849DBB28FA}" type="parTrans" cxnId="{07E6699B-66BE-446E-9459-04470149911A}">
      <dgm:prSet/>
      <dgm:spPr/>
      <dgm:t>
        <a:bodyPr/>
        <a:lstStyle/>
        <a:p>
          <a:endParaRPr lang="en-US"/>
        </a:p>
      </dgm:t>
    </dgm:pt>
    <dgm:pt modelId="{BA74F56C-9CB7-4132-958A-FD7C311FF130}" type="sibTrans" cxnId="{07E6699B-66BE-446E-9459-04470149911A}">
      <dgm:prSet/>
      <dgm:spPr/>
      <dgm:t>
        <a:bodyPr/>
        <a:lstStyle/>
        <a:p>
          <a:endParaRPr lang="en-US"/>
        </a:p>
      </dgm:t>
    </dgm:pt>
    <dgm:pt modelId="{C29B486A-2997-46AA-B722-CA6C3408216C}">
      <dgm:prSet/>
      <dgm:spPr/>
      <dgm:t>
        <a:bodyPr/>
        <a:lstStyle/>
        <a:p>
          <a:pPr algn="ctr"/>
          <a:r>
            <a:rPr lang="en-US" b="1">
              <a:latin typeface="Arial" panose="020B0604020202020204" pitchFamily="34" charset="0"/>
              <a:cs typeface="Arial" panose="020B0604020202020204" pitchFamily="34" charset="0"/>
            </a:rPr>
            <a:t>Differentiation Focus</a:t>
          </a:r>
        </a:p>
      </dgm:t>
    </dgm:pt>
    <dgm:pt modelId="{151B2D40-A2E4-4941-BACA-9E3A5431A721}" type="parTrans" cxnId="{9BBF3BF2-4B8A-4600-9291-5E5F8F31157A}">
      <dgm:prSet/>
      <dgm:spPr/>
      <dgm:t>
        <a:bodyPr/>
        <a:lstStyle/>
        <a:p>
          <a:endParaRPr lang="en-US"/>
        </a:p>
      </dgm:t>
    </dgm:pt>
    <dgm:pt modelId="{42C5DEE4-5716-4162-9F82-11B720E1815F}" type="sibTrans" cxnId="{9BBF3BF2-4B8A-4600-9291-5E5F8F31157A}">
      <dgm:prSet/>
      <dgm:spPr/>
      <dgm:t>
        <a:bodyPr/>
        <a:lstStyle/>
        <a:p>
          <a:endParaRPr lang="en-US"/>
        </a:p>
      </dgm:t>
    </dgm:pt>
    <dgm:pt modelId="{47D29982-5C41-4BD3-AC03-4862F50D8529}">
      <dgm:prSet/>
      <dgm:spPr/>
      <dgm:t>
        <a:bodyPr/>
        <a:lstStyle/>
        <a:p>
          <a:pPr algn="l"/>
          <a:r>
            <a:rPr lang="en-US">
              <a:latin typeface="Arial" panose="020B0604020202020204" pitchFamily="34" charset="0"/>
              <a:cs typeface="Arial" panose="020B0604020202020204" pitchFamily="34" charset="0"/>
            </a:rPr>
            <a:t>Supplies green copper to EV and renewable sectors</a:t>
          </a:r>
        </a:p>
      </dgm:t>
    </dgm:pt>
    <dgm:pt modelId="{85DDE8D9-989C-4017-AA90-B7902D1655F0}" type="parTrans" cxnId="{D3CCCB62-5A65-4090-A592-6FD8B5B1E696}">
      <dgm:prSet/>
      <dgm:spPr/>
      <dgm:t>
        <a:bodyPr/>
        <a:lstStyle/>
        <a:p>
          <a:endParaRPr lang="en-US"/>
        </a:p>
      </dgm:t>
    </dgm:pt>
    <dgm:pt modelId="{792A84ED-846A-4D53-BD75-3257CD026736}" type="sibTrans" cxnId="{D3CCCB62-5A65-4090-A592-6FD8B5B1E696}">
      <dgm:prSet/>
      <dgm:spPr/>
      <dgm:t>
        <a:bodyPr/>
        <a:lstStyle/>
        <a:p>
          <a:endParaRPr lang="en-US"/>
        </a:p>
      </dgm:t>
    </dgm:pt>
    <dgm:pt modelId="{6056B0A9-1FF1-46AB-8E88-23338D5FA2DA}">
      <dgm:prSet/>
      <dgm:spPr/>
      <dgm:t>
        <a:bodyPr/>
        <a:lstStyle/>
        <a:p>
          <a:pPr algn="l"/>
          <a:r>
            <a:rPr lang="en-US">
              <a:latin typeface="Arial" panose="020B0604020202020204" pitchFamily="34" charset="0"/>
              <a:cs typeface="Arial" panose="020B0604020202020204" pitchFamily="34" charset="0"/>
            </a:rPr>
            <a:t>Broad market, not niche</a:t>
          </a:r>
        </a:p>
      </dgm:t>
    </dgm:pt>
    <dgm:pt modelId="{4F1E3652-C31E-4E1B-89A4-5AD83FF53D92}" type="parTrans" cxnId="{F4746061-3E9E-40AE-8798-B213B747A219}">
      <dgm:prSet/>
      <dgm:spPr/>
      <dgm:t>
        <a:bodyPr/>
        <a:lstStyle/>
        <a:p>
          <a:endParaRPr lang="en-US"/>
        </a:p>
      </dgm:t>
    </dgm:pt>
    <dgm:pt modelId="{90584895-77A9-4472-8EB5-31802D8C8412}" type="sibTrans" cxnId="{F4746061-3E9E-40AE-8798-B213B747A219}">
      <dgm:prSet/>
      <dgm:spPr/>
      <dgm:t>
        <a:bodyPr/>
        <a:lstStyle/>
        <a:p>
          <a:endParaRPr lang="en-US"/>
        </a:p>
      </dgm:t>
    </dgm:pt>
    <dgm:pt modelId="{BFA505E6-1E74-4E72-B2DB-2054847FD68D}" type="pres">
      <dgm:prSet presAssocID="{C62886CE-0B8C-4830-861B-6FB4D4D6ACFF}" presName="matrix" presStyleCnt="0">
        <dgm:presLayoutVars>
          <dgm:chMax val="1"/>
          <dgm:dir/>
          <dgm:resizeHandles val="exact"/>
        </dgm:presLayoutVars>
      </dgm:prSet>
      <dgm:spPr/>
    </dgm:pt>
    <dgm:pt modelId="{3FED87D0-966C-4E24-92F2-C230D61B2A0C}" type="pres">
      <dgm:prSet presAssocID="{C62886CE-0B8C-4830-861B-6FB4D4D6ACFF}" presName="axisShape" presStyleLbl="bgShp" presStyleIdx="0" presStyleCnt="1"/>
      <dgm:spPr/>
    </dgm:pt>
    <dgm:pt modelId="{12D82F6A-D8E7-40D4-9F69-2D6D8309650A}" type="pres">
      <dgm:prSet presAssocID="{C62886CE-0B8C-4830-861B-6FB4D4D6ACFF}" presName="rect1" presStyleLbl="node1" presStyleIdx="0" presStyleCnt="4">
        <dgm:presLayoutVars>
          <dgm:chMax val="0"/>
          <dgm:chPref val="0"/>
          <dgm:bulletEnabled val="1"/>
        </dgm:presLayoutVars>
      </dgm:prSet>
      <dgm:spPr/>
    </dgm:pt>
    <dgm:pt modelId="{0BC2733C-A8F2-4FCB-8E26-FE1D8CDB92EB}" type="pres">
      <dgm:prSet presAssocID="{C62886CE-0B8C-4830-861B-6FB4D4D6ACFF}" presName="rect2" presStyleLbl="node1" presStyleIdx="1" presStyleCnt="4">
        <dgm:presLayoutVars>
          <dgm:chMax val="0"/>
          <dgm:chPref val="0"/>
          <dgm:bulletEnabled val="1"/>
        </dgm:presLayoutVars>
      </dgm:prSet>
      <dgm:spPr/>
    </dgm:pt>
    <dgm:pt modelId="{502043B4-FA40-4778-927C-DA0917140EB9}" type="pres">
      <dgm:prSet presAssocID="{C62886CE-0B8C-4830-861B-6FB4D4D6ACFF}" presName="rect3" presStyleLbl="node1" presStyleIdx="2" presStyleCnt="4">
        <dgm:presLayoutVars>
          <dgm:chMax val="0"/>
          <dgm:chPref val="0"/>
          <dgm:bulletEnabled val="1"/>
        </dgm:presLayoutVars>
      </dgm:prSet>
      <dgm:spPr/>
    </dgm:pt>
    <dgm:pt modelId="{BDE11EC7-4121-4266-8A17-13C274D19671}" type="pres">
      <dgm:prSet presAssocID="{C62886CE-0B8C-4830-861B-6FB4D4D6ACFF}" presName="rect4" presStyleLbl="node1" presStyleIdx="3" presStyleCnt="4">
        <dgm:presLayoutVars>
          <dgm:chMax val="0"/>
          <dgm:chPref val="0"/>
          <dgm:bulletEnabled val="1"/>
        </dgm:presLayoutVars>
      </dgm:prSet>
      <dgm:spPr/>
    </dgm:pt>
  </dgm:ptLst>
  <dgm:cxnLst>
    <dgm:cxn modelId="{4F09D500-237A-4435-ACCF-74C0CA6D2EA3}" srcId="{C62886CE-0B8C-4830-861B-6FB4D4D6ACFF}" destId="{02F667C1-2002-4112-9E63-85B8EC92EB7F}" srcOrd="2" destOrd="0" parTransId="{A7842917-BBA2-4D70-AC20-B98E820A3021}" sibTransId="{73201F30-04A2-47AA-9C6C-4F476899D0B6}"/>
    <dgm:cxn modelId="{EC082102-8641-41A3-A4D7-597E38DED9D6}" type="presOf" srcId="{16DFA2A8-E504-4CAF-A232-16808060CBCD}" destId="{12D82F6A-D8E7-40D4-9F69-2D6D8309650A}" srcOrd="0" destOrd="1" presId="urn:microsoft.com/office/officeart/2005/8/layout/matrix2"/>
    <dgm:cxn modelId="{60AA013B-DC8A-4401-A7F7-475A886EFCA2}" type="presOf" srcId="{02F667C1-2002-4112-9E63-85B8EC92EB7F}" destId="{502043B4-FA40-4778-927C-DA0917140EB9}" srcOrd="0" destOrd="0" presId="urn:microsoft.com/office/officeart/2005/8/layout/matrix2"/>
    <dgm:cxn modelId="{04CFDC40-A4FE-4A55-BF62-2618120E96D1}" srcId="{C62886CE-0B8C-4830-861B-6FB4D4D6ACFF}" destId="{9A4789C3-7468-42F8-9571-9BD5FA9862FE}" srcOrd="1" destOrd="0" parTransId="{BB0C8D32-E188-4241-9461-250FD7FCA0B9}" sibTransId="{F3E88EF0-2425-4A7B-9601-46B17E73BE05}"/>
    <dgm:cxn modelId="{F4746061-3E9E-40AE-8798-B213B747A219}" srcId="{C29B486A-2997-46AA-B722-CA6C3408216C}" destId="{6056B0A9-1FF1-46AB-8E88-23338D5FA2DA}" srcOrd="1" destOrd="0" parTransId="{4F1E3652-C31E-4E1B-89A4-5AD83FF53D92}" sibTransId="{90584895-77A9-4472-8EB5-31802D8C8412}"/>
    <dgm:cxn modelId="{D3CCCB62-5A65-4090-A592-6FD8B5B1E696}" srcId="{C29B486A-2997-46AA-B722-CA6C3408216C}" destId="{47D29982-5C41-4BD3-AC03-4862F50D8529}" srcOrd="0" destOrd="0" parTransId="{85DDE8D9-989C-4017-AA90-B7902D1655F0}" sibTransId="{792A84ED-846A-4D53-BD75-3257CD026736}"/>
    <dgm:cxn modelId="{852B5863-06AB-4192-A1D4-4DD8E8298F03}" type="presOf" srcId="{B4C327EB-5CBD-4D59-AD92-CA9692D3866D}" destId="{0BC2733C-A8F2-4FCB-8E26-FE1D8CDB92EB}" srcOrd="0" destOrd="4" presId="urn:microsoft.com/office/officeart/2005/8/layout/matrix2"/>
    <dgm:cxn modelId="{411A914A-1BC7-47E2-ADAB-BE377CD82FE3}" srcId="{9A4789C3-7468-42F8-9571-9BD5FA9862FE}" destId="{C1082C6F-0274-47D5-91BA-6EBE8BED68E3}" srcOrd="1" destOrd="0" parTransId="{243C2E03-194B-4572-B300-06FCF492ABBF}" sibTransId="{C51AB6A7-F8DD-403D-AF9F-46354E725532}"/>
    <dgm:cxn modelId="{56901155-E2B3-478F-86BC-4650A67FAEB3}" srcId="{02F667C1-2002-4112-9E63-85B8EC92EB7F}" destId="{6779A4E0-853B-45F8-8787-0BF57AFD8E4F}" srcOrd="0" destOrd="0" parTransId="{06C73979-CB7E-4DBE-A274-9E3401652F6A}" sibTransId="{1DBC544E-1469-48DC-B8EE-7EED3878FE81}"/>
    <dgm:cxn modelId="{52FF3C76-7BC0-49E4-A011-CC55F773F1AF}" type="presOf" srcId="{C1082C6F-0274-47D5-91BA-6EBE8BED68E3}" destId="{0BC2733C-A8F2-4FCB-8E26-FE1D8CDB92EB}" srcOrd="0" destOrd="2" presId="urn:microsoft.com/office/officeart/2005/8/layout/matrix2"/>
    <dgm:cxn modelId="{5A11FF7F-97D7-40C3-B836-8C038CFA7A0B}" srcId="{C99DDDB3-6472-4EDE-BA1F-5906FCC735F8}" destId="{16DFA2A8-E504-4CAF-A232-16808060CBCD}" srcOrd="0" destOrd="0" parTransId="{12AE7C42-5CD7-4BDB-BFFA-191A0B79FCE0}" sibTransId="{D2DE2971-5DBA-4257-852E-90892E6928F0}"/>
    <dgm:cxn modelId="{35FC2382-C50B-4F0E-8332-85CA0186DA1F}" type="presOf" srcId="{C29B486A-2997-46AA-B722-CA6C3408216C}" destId="{BDE11EC7-4121-4266-8A17-13C274D19671}" srcOrd="0" destOrd="0" presId="urn:microsoft.com/office/officeart/2005/8/layout/matrix2"/>
    <dgm:cxn modelId="{35AD8A82-3FA5-49B4-B873-E53B570256BD}" type="presOf" srcId="{CFF7B5B2-95CB-4848-AD9C-F44864EA8B6B}" destId="{0BC2733C-A8F2-4FCB-8E26-FE1D8CDB92EB}" srcOrd="0" destOrd="1" presId="urn:microsoft.com/office/officeart/2005/8/layout/matrix2"/>
    <dgm:cxn modelId="{F5195D88-CED5-4516-B060-35D5164B1CDF}" type="presOf" srcId="{C07F4402-7B3D-40DD-AE0B-270D51ACDD22}" destId="{502043B4-FA40-4778-927C-DA0917140EB9}" srcOrd="0" destOrd="2" presId="urn:microsoft.com/office/officeart/2005/8/layout/matrix2"/>
    <dgm:cxn modelId="{90059C93-5350-4155-B7BD-DBB75BC884B7}" srcId="{C99DDDB3-6472-4EDE-BA1F-5906FCC735F8}" destId="{B70F4869-F98B-4B8F-A57F-CC375DB215E9}" srcOrd="1" destOrd="0" parTransId="{297630C6-DD5D-446B-AB7B-778DA2C978A2}" sibTransId="{3E19AFE8-A59D-4F99-9CE3-44C4EBE9EF12}"/>
    <dgm:cxn modelId="{07E6699B-66BE-446E-9459-04470149911A}" srcId="{02F667C1-2002-4112-9E63-85B8EC92EB7F}" destId="{C07F4402-7B3D-40DD-AE0B-270D51ACDD22}" srcOrd="1" destOrd="0" parTransId="{7E870FE8-AFA9-44E3-BFA3-8A849DBB28FA}" sibTransId="{BA74F56C-9CB7-4132-958A-FD7C311FF130}"/>
    <dgm:cxn modelId="{8D4A94A7-C352-4EB3-BA91-E6679FDB4A29}" type="presOf" srcId="{AE345F84-176A-43A5-8F64-99D5C1D2467D}" destId="{0BC2733C-A8F2-4FCB-8E26-FE1D8CDB92EB}" srcOrd="0" destOrd="3" presId="urn:microsoft.com/office/officeart/2005/8/layout/matrix2"/>
    <dgm:cxn modelId="{D350D5AA-395C-4A6E-A751-746A33D1867E}" type="presOf" srcId="{C62886CE-0B8C-4830-861B-6FB4D4D6ACFF}" destId="{BFA505E6-1E74-4E72-B2DB-2054847FD68D}" srcOrd="0" destOrd="0" presId="urn:microsoft.com/office/officeart/2005/8/layout/matrix2"/>
    <dgm:cxn modelId="{979C3DAD-0FF8-4053-926E-ED0E783B4106}" type="presOf" srcId="{B70F4869-F98B-4B8F-A57F-CC375DB215E9}" destId="{12D82F6A-D8E7-40D4-9F69-2D6D8309650A}" srcOrd="0" destOrd="2" presId="urn:microsoft.com/office/officeart/2005/8/layout/matrix2"/>
    <dgm:cxn modelId="{5063D8B0-1C6F-4C50-9B84-A1A8B54EB4B3}" type="presOf" srcId="{47D29982-5C41-4BD3-AC03-4862F50D8529}" destId="{BDE11EC7-4121-4266-8A17-13C274D19671}" srcOrd="0" destOrd="1" presId="urn:microsoft.com/office/officeart/2005/8/layout/matrix2"/>
    <dgm:cxn modelId="{E4E61CC7-1E6B-43C2-A0E0-7F1906ECADBD}" srcId="{9A4789C3-7468-42F8-9571-9BD5FA9862FE}" destId="{B4C327EB-5CBD-4D59-AD92-CA9692D3866D}" srcOrd="3" destOrd="0" parTransId="{D55E6DB9-CFD2-4AED-8C76-5E85AF4205B9}" sibTransId="{CC8F3161-FE0E-4434-B9FB-A08048A69DB9}"/>
    <dgm:cxn modelId="{9DA3E6C8-080D-4AD0-936B-5605E793AB17}" type="presOf" srcId="{C99DDDB3-6472-4EDE-BA1F-5906FCC735F8}" destId="{12D82F6A-D8E7-40D4-9F69-2D6D8309650A}" srcOrd="0" destOrd="0" presId="urn:microsoft.com/office/officeart/2005/8/layout/matrix2"/>
    <dgm:cxn modelId="{FC60EFCF-AE99-4012-8185-98D7A823D074}" type="presOf" srcId="{6056B0A9-1FF1-46AB-8E88-23338D5FA2DA}" destId="{BDE11EC7-4121-4266-8A17-13C274D19671}" srcOrd="0" destOrd="2" presId="urn:microsoft.com/office/officeart/2005/8/layout/matrix2"/>
    <dgm:cxn modelId="{C89ED1D2-E555-4125-915C-1F5B8EFD849B}" srcId="{C62886CE-0B8C-4830-861B-6FB4D4D6ACFF}" destId="{C99DDDB3-6472-4EDE-BA1F-5906FCC735F8}" srcOrd="0" destOrd="0" parTransId="{AFF447D3-174D-44CE-85C6-5C51BC72B5A4}" sibTransId="{BE7E7EF1-701F-4D3D-A611-9242A734D41B}"/>
    <dgm:cxn modelId="{1A99EDD6-5550-4D6B-80C5-B7F806368063}" srcId="{9A4789C3-7468-42F8-9571-9BD5FA9862FE}" destId="{AE345F84-176A-43A5-8F64-99D5C1D2467D}" srcOrd="2" destOrd="0" parTransId="{9D1132D7-3C83-465C-AC23-3DA86068D40B}" sibTransId="{D4CC259D-8A8F-475F-A5BC-5A337A725BE2}"/>
    <dgm:cxn modelId="{9CF4A6DA-67D3-45DA-95C8-12B5A5DC1F89}" srcId="{9A4789C3-7468-42F8-9571-9BD5FA9862FE}" destId="{CFF7B5B2-95CB-4848-AD9C-F44864EA8B6B}" srcOrd="0" destOrd="0" parTransId="{DB039B60-BAAF-4D66-B5C9-362BF451A9B0}" sibTransId="{2AA1A8F9-E33E-4676-9CAF-BB4E67F0DE59}"/>
    <dgm:cxn modelId="{80E95BE2-5517-43C1-B00A-743F32A5E853}" type="presOf" srcId="{6779A4E0-853B-45F8-8787-0BF57AFD8E4F}" destId="{502043B4-FA40-4778-927C-DA0917140EB9}" srcOrd="0" destOrd="1" presId="urn:microsoft.com/office/officeart/2005/8/layout/matrix2"/>
    <dgm:cxn modelId="{F009D0E2-DF5B-4A69-9AA3-6BED8313B5AC}" type="presOf" srcId="{9A4789C3-7468-42F8-9571-9BD5FA9862FE}" destId="{0BC2733C-A8F2-4FCB-8E26-FE1D8CDB92EB}" srcOrd="0" destOrd="0" presId="urn:microsoft.com/office/officeart/2005/8/layout/matrix2"/>
    <dgm:cxn modelId="{9BBF3BF2-4B8A-4600-9291-5E5F8F31157A}" srcId="{C62886CE-0B8C-4830-861B-6FB4D4D6ACFF}" destId="{C29B486A-2997-46AA-B722-CA6C3408216C}" srcOrd="3" destOrd="0" parTransId="{151B2D40-A2E4-4941-BACA-9E3A5431A721}" sibTransId="{42C5DEE4-5716-4162-9F82-11B720E1815F}"/>
    <dgm:cxn modelId="{31DA18C4-E9EF-4E8C-9DFC-06FB44B88618}" type="presParOf" srcId="{BFA505E6-1E74-4E72-B2DB-2054847FD68D}" destId="{3FED87D0-966C-4E24-92F2-C230D61B2A0C}" srcOrd="0" destOrd="0" presId="urn:microsoft.com/office/officeart/2005/8/layout/matrix2"/>
    <dgm:cxn modelId="{FCB80585-B1D4-447A-9690-8ACF62EB8197}" type="presParOf" srcId="{BFA505E6-1E74-4E72-B2DB-2054847FD68D}" destId="{12D82F6A-D8E7-40D4-9F69-2D6D8309650A}" srcOrd="1" destOrd="0" presId="urn:microsoft.com/office/officeart/2005/8/layout/matrix2"/>
    <dgm:cxn modelId="{5E85B95A-2F48-4BD2-80DF-CCCBFBC16A7B}" type="presParOf" srcId="{BFA505E6-1E74-4E72-B2DB-2054847FD68D}" destId="{0BC2733C-A8F2-4FCB-8E26-FE1D8CDB92EB}" srcOrd="2" destOrd="0" presId="urn:microsoft.com/office/officeart/2005/8/layout/matrix2"/>
    <dgm:cxn modelId="{76F9FFBB-A3E5-4AE5-8D55-05FFB121F2AB}" type="presParOf" srcId="{BFA505E6-1E74-4E72-B2DB-2054847FD68D}" destId="{502043B4-FA40-4778-927C-DA0917140EB9}" srcOrd="3" destOrd="0" presId="urn:microsoft.com/office/officeart/2005/8/layout/matrix2"/>
    <dgm:cxn modelId="{45F8C23E-17E3-4911-BE1C-B53971C14CCE}" type="presParOf" srcId="{BFA505E6-1E74-4E72-B2DB-2054847FD68D}" destId="{BDE11EC7-4121-4266-8A17-13C274D19671}" srcOrd="4" destOrd="0" presId="urn:microsoft.com/office/officeart/2005/8/layout/matrix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3B8675-D199-4056-82EC-B9E9151AED43}">
      <dsp:nvSpPr>
        <dsp:cNvPr id="0" name=""/>
        <dsp:cNvSpPr/>
      </dsp:nvSpPr>
      <dsp:spPr>
        <a:xfrm>
          <a:off x="3130842" y="1984327"/>
          <a:ext cx="1441555" cy="933801"/>
        </a:xfrm>
        <a:prstGeom prst="roundRect">
          <a:avLst>
            <a:gd name="adj" fmla="val 10000"/>
          </a:avLst>
        </a:prstGeom>
        <a:solidFill>
          <a:schemeClr val="dk2">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ctr" defTabSz="444500">
            <a:lnSpc>
              <a:spcPct val="90000"/>
            </a:lnSpc>
            <a:spcBef>
              <a:spcPct val="0"/>
            </a:spcBef>
            <a:spcAft>
              <a:spcPct val="15000"/>
            </a:spcAft>
            <a:buChar char="•"/>
          </a:pPr>
          <a:r>
            <a:rPr lang="en-US" sz="1000" b="1" kern="1200">
              <a:latin typeface="Arial" panose="020B0604020202020204" pitchFamily="34" charset="0"/>
              <a:cs typeface="Arial" panose="020B0604020202020204" pitchFamily="34" charset="0"/>
            </a:rPr>
            <a:t>Most suitable for developing lower-carbon copper products. </a:t>
          </a:r>
        </a:p>
      </dsp:txBody>
      <dsp:txXfrm>
        <a:off x="3583821" y="2238291"/>
        <a:ext cx="968063" cy="659324"/>
      </dsp:txXfrm>
    </dsp:sp>
    <dsp:sp modelId="{396DDDAF-45FB-4850-9F58-EB75E807AE99}">
      <dsp:nvSpPr>
        <dsp:cNvPr id="0" name=""/>
        <dsp:cNvSpPr/>
      </dsp:nvSpPr>
      <dsp:spPr>
        <a:xfrm>
          <a:off x="778830" y="1984327"/>
          <a:ext cx="1441555" cy="933801"/>
        </a:xfrm>
        <a:prstGeom prst="roundRect">
          <a:avLst>
            <a:gd name="adj" fmla="val 10000"/>
          </a:avLst>
        </a:prstGeom>
        <a:solidFill>
          <a:schemeClr val="dk2">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ctr" defTabSz="444500">
            <a:lnSpc>
              <a:spcPct val="90000"/>
            </a:lnSpc>
            <a:spcBef>
              <a:spcPct val="0"/>
            </a:spcBef>
            <a:spcAft>
              <a:spcPct val="15000"/>
            </a:spcAft>
            <a:buChar char="•"/>
          </a:pPr>
          <a:r>
            <a:rPr lang="en-US" sz="1000" b="1" kern="1200">
              <a:latin typeface="Arial" panose="020B0604020202020204" pitchFamily="34" charset="0"/>
              <a:cs typeface="Arial" panose="020B0604020202020204" pitchFamily="34" charset="0"/>
            </a:rPr>
            <a:t>High risk and outside Codelco's core mining expertise.</a:t>
          </a:r>
        </a:p>
      </dsp:txBody>
      <dsp:txXfrm>
        <a:off x="799343" y="2238291"/>
        <a:ext cx="968063" cy="659324"/>
      </dsp:txXfrm>
    </dsp:sp>
    <dsp:sp modelId="{B13BC9DA-C11B-4242-B514-87989D0C1A17}">
      <dsp:nvSpPr>
        <dsp:cNvPr id="0" name=""/>
        <dsp:cNvSpPr/>
      </dsp:nvSpPr>
      <dsp:spPr>
        <a:xfrm>
          <a:off x="3130842" y="0"/>
          <a:ext cx="1441555" cy="933801"/>
        </a:xfrm>
        <a:prstGeom prst="roundRect">
          <a:avLst>
            <a:gd name="adj" fmla="val 10000"/>
          </a:avLst>
        </a:prstGeom>
        <a:solidFill>
          <a:schemeClr val="dk2">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ctr" defTabSz="444500">
            <a:lnSpc>
              <a:spcPct val="90000"/>
            </a:lnSpc>
            <a:spcBef>
              <a:spcPct val="0"/>
            </a:spcBef>
            <a:spcAft>
              <a:spcPct val="15000"/>
            </a:spcAft>
            <a:buChar char="•"/>
          </a:pPr>
          <a:r>
            <a:rPr lang="en-US" sz="1000" b="1" kern="1200">
              <a:latin typeface="Arial" panose="020B0604020202020204" pitchFamily="34" charset="0"/>
              <a:cs typeface="Arial" panose="020B0604020202020204" pitchFamily="34" charset="0"/>
            </a:rPr>
            <a:t> Limited scope as Codelco already serves major global markets. </a:t>
          </a:r>
        </a:p>
      </dsp:txBody>
      <dsp:txXfrm>
        <a:off x="3583821" y="20513"/>
        <a:ext cx="968063" cy="659324"/>
      </dsp:txXfrm>
    </dsp:sp>
    <dsp:sp modelId="{B2A2D4B1-444C-46DE-98D3-8EE27D60FFC7}">
      <dsp:nvSpPr>
        <dsp:cNvPr id="0" name=""/>
        <dsp:cNvSpPr/>
      </dsp:nvSpPr>
      <dsp:spPr>
        <a:xfrm>
          <a:off x="778830" y="0"/>
          <a:ext cx="1441555" cy="933801"/>
        </a:xfrm>
        <a:prstGeom prst="roundRect">
          <a:avLst>
            <a:gd name="adj" fmla="val 10000"/>
          </a:avLst>
        </a:prstGeom>
        <a:solidFill>
          <a:schemeClr val="dk2">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ctr" defTabSz="444500">
            <a:lnSpc>
              <a:spcPct val="90000"/>
            </a:lnSpc>
            <a:spcBef>
              <a:spcPct val="0"/>
            </a:spcBef>
            <a:spcAft>
              <a:spcPct val="15000"/>
            </a:spcAft>
            <a:buChar char="•"/>
          </a:pPr>
          <a:r>
            <a:rPr lang="en-US" sz="1000" b="1" kern="1200">
              <a:latin typeface="Arial" panose="020B0604020202020204" pitchFamily="34" charset="0"/>
              <a:cs typeface="Arial" panose="020B0604020202020204" pitchFamily="34" charset="0"/>
            </a:rPr>
            <a:t>Limited potential due to commodity-driven demand. </a:t>
          </a:r>
        </a:p>
      </dsp:txBody>
      <dsp:txXfrm>
        <a:off x="799343" y="20513"/>
        <a:ext cx="968063" cy="659324"/>
      </dsp:txXfrm>
    </dsp:sp>
    <dsp:sp modelId="{4E653888-48C7-4AB8-8F0F-DD8C526F4E0C}">
      <dsp:nvSpPr>
        <dsp:cNvPr id="0" name=""/>
        <dsp:cNvSpPr/>
      </dsp:nvSpPr>
      <dsp:spPr>
        <a:xfrm>
          <a:off x="1382882" y="166333"/>
          <a:ext cx="1263549" cy="1263549"/>
        </a:xfrm>
        <a:prstGeom prst="pieWedg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Market Penetration</a:t>
          </a:r>
        </a:p>
      </dsp:txBody>
      <dsp:txXfrm>
        <a:off x="1752967" y="536418"/>
        <a:ext cx="893464" cy="893464"/>
      </dsp:txXfrm>
    </dsp:sp>
    <dsp:sp modelId="{C0137B99-38AE-4EF5-9006-124430C5DFFA}">
      <dsp:nvSpPr>
        <dsp:cNvPr id="0" name=""/>
        <dsp:cNvSpPr/>
      </dsp:nvSpPr>
      <dsp:spPr>
        <a:xfrm rot="5400000">
          <a:off x="2704795" y="166333"/>
          <a:ext cx="1263549" cy="1263549"/>
        </a:xfrm>
        <a:prstGeom prst="pieWedg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Market Development</a:t>
          </a:r>
        </a:p>
      </dsp:txBody>
      <dsp:txXfrm rot="-5400000">
        <a:off x="2704795" y="536418"/>
        <a:ext cx="893464" cy="893464"/>
      </dsp:txXfrm>
    </dsp:sp>
    <dsp:sp modelId="{C9A8E407-7DE6-433A-BFB2-BC611F1D3185}">
      <dsp:nvSpPr>
        <dsp:cNvPr id="0" name=""/>
        <dsp:cNvSpPr/>
      </dsp:nvSpPr>
      <dsp:spPr>
        <a:xfrm rot="10800000">
          <a:off x="2704795" y="1488245"/>
          <a:ext cx="1263549" cy="1263549"/>
        </a:xfrm>
        <a:prstGeom prst="pieWedg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Product Development</a:t>
          </a:r>
        </a:p>
      </dsp:txBody>
      <dsp:txXfrm rot="10800000">
        <a:off x="2704795" y="1488245"/>
        <a:ext cx="893464" cy="893464"/>
      </dsp:txXfrm>
    </dsp:sp>
    <dsp:sp modelId="{A0777ACA-FF42-40AE-AAC2-D12AB75CF4F9}">
      <dsp:nvSpPr>
        <dsp:cNvPr id="0" name=""/>
        <dsp:cNvSpPr/>
      </dsp:nvSpPr>
      <dsp:spPr>
        <a:xfrm rot="16200000">
          <a:off x="1382882" y="1488245"/>
          <a:ext cx="1263549" cy="1263549"/>
        </a:xfrm>
        <a:prstGeom prst="pieWedg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Diversification</a:t>
          </a:r>
        </a:p>
      </dsp:txBody>
      <dsp:txXfrm rot="5400000">
        <a:off x="1752967" y="1488245"/>
        <a:ext cx="893464" cy="893464"/>
      </dsp:txXfrm>
    </dsp:sp>
    <dsp:sp modelId="{04D54E03-4F9C-4A23-8C06-C98B723B9608}">
      <dsp:nvSpPr>
        <dsp:cNvPr id="0" name=""/>
        <dsp:cNvSpPr/>
      </dsp:nvSpPr>
      <dsp:spPr>
        <a:xfrm>
          <a:off x="2457483" y="1196432"/>
          <a:ext cx="436260" cy="379356"/>
        </a:xfrm>
        <a:prstGeom prst="circularArrow">
          <a:avLst/>
        </a:prstGeom>
        <a:solidFill>
          <a:schemeClr val="dk2">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5DA8B766-F797-4018-878E-2D23B32499C9}">
      <dsp:nvSpPr>
        <dsp:cNvPr id="0" name=""/>
        <dsp:cNvSpPr/>
      </dsp:nvSpPr>
      <dsp:spPr>
        <a:xfrm rot="10800000">
          <a:off x="2457483" y="1342339"/>
          <a:ext cx="436260" cy="379356"/>
        </a:xfrm>
        <a:prstGeom prst="circularArrow">
          <a:avLst/>
        </a:prstGeom>
        <a:solidFill>
          <a:schemeClr val="dk2">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ED87D0-966C-4E24-92F2-C230D61B2A0C}">
      <dsp:nvSpPr>
        <dsp:cNvPr id="0" name=""/>
        <dsp:cNvSpPr/>
      </dsp:nvSpPr>
      <dsp:spPr>
        <a:xfrm>
          <a:off x="1143000" y="0"/>
          <a:ext cx="3200400" cy="3200400"/>
        </a:xfrm>
        <a:prstGeom prst="quadArrow">
          <a:avLst>
            <a:gd name="adj1" fmla="val 2000"/>
            <a:gd name="adj2" fmla="val 4000"/>
            <a:gd name="adj3" fmla="val 500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2D82F6A-D8E7-40D4-9F69-2D6D8309650A}">
      <dsp:nvSpPr>
        <dsp:cNvPr id="0" name=""/>
        <dsp:cNvSpPr/>
      </dsp:nvSpPr>
      <dsp:spPr>
        <a:xfrm>
          <a:off x="1351026" y="208026"/>
          <a:ext cx="1280160" cy="128016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Cost Leadership</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High decarbonisation costs</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Not price-driven</a:t>
          </a:r>
        </a:p>
      </dsp:txBody>
      <dsp:txXfrm>
        <a:off x="1413518" y="270518"/>
        <a:ext cx="1155176" cy="1155176"/>
      </dsp:txXfrm>
    </dsp:sp>
    <dsp:sp modelId="{0BC2733C-A8F2-4FCB-8E26-FE1D8CDB92EB}">
      <dsp:nvSpPr>
        <dsp:cNvPr id="0" name=""/>
        <dsp:cNvSpPr/>
      </dsp:nvSpPr>
      <dsp:spPr>
        <a:xfrm>
          <a:off x="2855214" y="208026"/>
          <a:ext cx="1280160" cy="128016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Differentiation </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Lower-carbon copper</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Renewable-powered mining</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Responsible sourcing</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Strong ESG reputation</a:t>
          </a:r>
        </a:p>
      </dsp:txBody>
      <dsp:txXfrm>
        <a:off x="2917706" y="270518"/>
        <a:ext cx="1155176" cy="1155176"/>
      </dsp:txXfrm>
    </dsp:sp>
    <dsp:sp modelId="{502043B4-FA40-4778-927C-DA0917140EB9}">
      <dsp:nvSpPr>
        <dsp:cNvPr id="0" name=""/>
        <dsp:cNvSpPr/>
      </dsp:nvSpPr>
      <dsp:spPr>
        <a:xfrm>
          <a:off x="1351026" y="1712214"/>
          <a:ext cx="1280160" cy="128016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Cost Focus</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No niche cost strategy</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Global customer base</a:t>
          </a:r>
        </a:p>
      </dsp:txBody>
      <dsp:txXfrm>
        <a:off x="1413518" y="1774706"/>
        <a:ext cx="1155176" cy="1155176"/>
      </dsp:txXfrm>
    </dsp:sp>
    <dsp:sp modelId="{BDE11EC7-4121-4266-8A17-13C274D19671}">
      <dsp:nvSpPr>
        <dsp:cNvPr id="0" name=""/>
        <dsp:cNvSpPr/>
      </dsp:nvSpPr>
      <dsp:spPr>
        <a:xfrm>
          <a:off x="2855214" y="1712214"/>
          <a:ext cx="1280160" cy="1280160"/>
        </a:xfrm>
        <a:prstGeom prst="round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t"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Differentiation Focus</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Supplies green copper to EV and renewable sectors</a:t>
          </a:r>
        </a:p>
        <a:p>
          <a:pPr marL="57150" lvl="1" indent="-57150" algn="l" defTabSz="355600">
            <a:lnSpc>
              <a:spcPct val="90000"/>
            </a:lnSpc>
            <a:spcBef>
              <a:spcPct val="0"/>
            </a:spcBef>
            <a:spcAft>
              <a:spcPct val="15000"/>
            </a:spcAft>
            <a:buChar char="•"/>
          </a:pPr>
          <a:r>
            <a:rPr lang="en-US" sz="800" kern="1200">
              <a:latin typeface="Arial" panose="020B0604020202020204" pitchFamily="34" charset="0"/>
              <a:cs typeface="Arial" panose="020B0604020202020204" pitchFamily="34" charset="0"/>
            </a:rPr>
            <a:t>Broad market, not niche</a:t>
          </a:r>
        </a:p>
      </dsp:txBody>
      <dsp:txXfrm>
        <a:off x="2917706"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197CC-7450-4826-A996-B2C8077F6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4512</Words>
  <Characters>25721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30173</CharactersWithSpaces>
  <SharedDoc>false</SharedDoc>
  <HLinks>
    <vt:vector size="234" baseType="variant">
      <vt:variant>
        <vt:i4>5898320</vt:i4>
      </vt:variant>
      <vt:variant>
        <vt:i4>159</vt:i4>
      </vt:variant>
      <vt:variant>
        <vt:i4>0</vt:i4>
      </vt:variant>
      <vt:variant>
        <vt:i4>5</vt:i4>
      </vt:variant>
      <vt:variant>
        <vt:lpwstr>https://www.spglobal.com/market-intelligence/en/news-insights/research/2026/04/water-energy-pressures-are-driving-up-chiles-mining-costs</vt:lpwstr>
      </vt:variant>
      <vt:variant>
        <vt:lpwstr/>
      </vt:variant>
      <vt:variant>
        <vt:i4>6881402</vt:i4>
      </vt:variant>
      <vt:variant>
        <vt:i4>156</vt:i4>
      </vt:variant>
      <vt:variant>
        <vt:i4>0</vt:i4>
      </vt:variant>
      <vt:variant>
        <vt:i4>5</vt:i4>
      </vt:variant>
      <vt:variant>
        <vt:lpwstr>https://sk.sagepub.com/foundations/ansoff-matrix?tab=Theory+In+Practice</vt:lpwstr>
      </vt:variant>
      <vt:variant>
        <vt:lpwstr/>
      </vt:variant>
      <vt:variant>
        <vt:i4>5832797</vt:i4>
      </vt:variant>
      <vt:variant>
        <vt:i4>153</vt:i4>
      </vt:variant>
      <vt:variant>
        <vt:i4>0</vt:i4>
      </vt:variant>
      <vt:variant>
        <vt:i4>5</vt:i4>
      </vt:variant>
      <vt:variant>
        <vt:lpwstr>https://link.springer.com/content/pdf/10.1186/s40807-025-00178-8.pdf</vt:lpwstr>
      </vt:variant>
      <vt:variant>
        <vt:lpwstr/>
      </vt:variant>
      <vt:variant>
        <vt:i4>5832780</vt:i4>
      </vt:variant>
      <vt:variant>
        <vt:i4>150</vt:i4>
      </vt:variant>
      <vt:variant>
        <vt:i4>0</vt:i4>
      </vt:variant>
      <vt:variant>
        <vt:i4>5</vt:i4>
      </vt:variant>
      <vt:variant>
        <vt:lpwstr>https://jurnal.feb-umi.id/index.php/ATESTASI/article/download/821/638</vt:lpwstr>
      </vt:variant>
      <vt:variant>
        <vt:lpwstr/>
      </vt:variant>
      <vt:variant>
        <vt:i4>7864352</vt:i4>
      </vt:variant>
      <vt:variant>
        <vt:i4>147</vt:i4>
      </vt:variant>
      <vt:variant>
        <vt:i4>0</vt:i4>
      </vt:variant>
      <vt:variant>
        <vt:i4>5</vt:i4>
      </vt:variant>
      <vt:variant>
        <vt:lpwstr>https://geopoliticalmining.com/codelco-chile-a-state-operator-under-pressure-in-the-age-of-geopolitical-mining/</vt:lpwstr>
      </vt:variant>
      <vt:variant>
        <vt:lpwstr/>
      </vt:variant>
      <vt:variant>
        <vt:i4>720927</vt:i4>
      </vt:variant>
      <vt:variant>
        <vt:i4>144</vt:i4>
      </vt:variant>
      <vt:variant>
        <vt:i4>0</vt:i4>
      </vt:variant>
      <vt:variant>
        <vt:i4>5</vt:i4>
      </vt:variant>
      <vt:variant>
        <vt:lpwstr>https://ejournal.seaninstitute.or.id/index.php/Ekonomi/article/download/3995/3173</vt:lpwstr>
      </vt:variant>
      <vt:variant>
        <vt:lpwstr/>
      </vt:variant>
      <vt:variant>
        <vt:i4>5898320</vt:i4>
      </vt:variant>
      <vt:variant>
        <vt:i4>141</vt:i4>
      </vt:variant>
      <vt:variant>
        <vt:i4>0</vt:i4>
      </vt:variant>
      <vt:variant>
        <vt:i4>5</vt:i4>
      </vt:variant>
      <vt:variant>
        <vt:lpwstr>https://www.spglobal.com/market-intelligence/en/news-insights/research/2026/04/water-energy-pressures-are-driving-up-chiles-mining-costs</vt:lpwstr>
      </vt:variant>
      <vt:variant>
        <vt:lpwstr/>
      </vt:variant>
      <vt:variant>
        <vt:i4>4325445</vt:i4>
      </vt:variant>
      <vt:variant>
        <vt:i4>138</vt:i4>
      </vt:variant>
      <vt:variant>
        <vt:i4>0</vt:i4>
      </vt:variant>
      <vt:variant>
        <vt:i4>5</vt:i4>
      </vt:variant>
      <vt:variant>
        <vt:lpwstr>https://papers.ssrn.com/sol3/Delivery.cfm?abstractid=4197355</vt:lpwstr>
      </vt:variant>
      <vt:variant>
        <vt:lpwstr/>
      </vt:variant>
      <vt:variant>
        <vt:i4>1114222</vt:i4>
      </vt:variant>
      <vt:variant>
        <vt:i4>135</vt:i4>
      </vt:variant>
      <vt:variant>
        <vt:i4>0</vt:i4>
      </vt:variant>
      <vt:variant>
        <vt:i4>5</vt:i4>
      </vt:variant>
      <vt:variant>
        <vt:lpwstr>https://www.researchgate.net/profile/Mamman-Muazu-2/publication/384969429_AI_and_EthicsAcademic_integrity_and_the_future_of_Quality_Assurance_in_Higher_Education_Hand_Book_on_AI_and_Quality_Higher_Education_in_Honour_of_Prof_Abubakar_Adamu_Rasheed_Volume_3/links/67655cb9e74ca64e1f20db0b/AI-and-Ethics-Academic-integrity-and-the-future-of-Quality-Assurance-in-Higher-Education-Hand-Book-on-AI-and-Quality-Higher-Education-in-Honour-of-Prof-Abubakar-Adamu-Rasheed-Volume-3.pdf</vt:lpwstr>
      </vt:variant>
      <vt:variant>
        <vt:lpwstr>page=100</vt:lpwstr>
      </vt:variant>
      <vt:variant>
        <vt:i4>6553634</vt:i4>
      </vt:variant>
      <vt:variant>
        <vt:i4>132</vt:i4>
      </vt:variant>
      <vt:variant>
        <vt:i4>0</vt:i4>
      </vt:variant>
      <vt:variant>
        <vt:i4>5</vt:i4>
      </vt:variant>
      <vt:variant>
        <vt:lpwstr>https://books.google.com/books?hl=en&amp;lr=&amp;id=X1PBEQAAQBAJ&amp;oi=fnd&amp;pg=PA111&amp;dq=market+penetration,+which+provides+limited+growth+within+the+commodity+markets,+and+diversification,+which+carries+higher+strategic+risk,+product+development+offers++capture+the+growing+demand&amp;ots=HBMRsuiuCa&amp;sig=gjUiyBop_bxzgUwHKTkPqA24fBM</vt:lpwstr>
      </vt:variant>
      <vt:variant>
        <vt:lpwstr/>
      </vt:variant>
      <vt:variant>
        <vt:i4>7405693</vt:i4>
      </vt:variant>
      <vt:variant>
        <vt:i4>129</vt:i4>
      </vt:variant>
      <vt:variant>
        <vt:i4>0</vt:i4>
      </vt:variant>
      <vt:variant>
        <vt:i4>5</vt:i4>
      </vt:variant>
      <vt:variant>
        <vt:lpwstr>https://pubs.rsc.org/zh-hans/content/articlepdf/2024/su/d3su00335c</vt:lpwstr>
      </vt:variant>
      <vt:variant>
        <vt:lpwstr/>
      </vt:variant>
      <vt:variant>
        <vt:i4>5177374</vt:i4>
      </vt:variant>
      <vt:variant>
        <vt:i4>126</vt:i4>
      </vt:variant>
      <vt:variant>
        <vt:i4>0</vt:i4>
      </vt:variant>
      <vt:variant>
        <vt:i4>5</vt:i4>
      </vt:variant>
      <vt:variant>
        <vt:lpwstr>https://www.academia.edu/download/82004772/AC15412450n01.pdf</vt:lpwstr>
      </vt:variant>
      <vt:variant>
        <vt:lpwstr/>
      </vt:variant>
      <vt:variant>
        <vt:i4>1441912</vt:i4>
      </vt:variant>
      <vt:variant>
        <vt:i4>123</vt:i4>
      </vt:variant>
      <vt:variant>
        <vt:i4>0</vt:i4>
      </vt:variant>
      <vt:variant>
        <vt:i4>5</vt:i4>
      </vt:variant>
      <vt:variant>
        <vt:lpwstr>https://research.cbs.dk/files/98727500/1567855_29068_Master_Thesis.pdf</vt:lpwstr>
      </vt:variant>
      <vt:variant>
        <vt:lpwstr/>
      </vt:variant>
      <vt:variant>
        <vt:i4>7274611</vt:i4>
      </vt:variant>
      <vt:variant>
        <vt:i4>120</vt:i4>
      </vt:variant>
      <vt:variant>
        <vt:i4>0</vt:i4>
      </vt:variant>
      <vt:variant>
        <vt:i4>5</vt:i4>
      </vt:variant>
      <vt:variant>
        <vt:lpwstr>https://www.sciencedirect.com/science/article/pii/S2666990024000120</vt:lpwstr>
      </vt:variant>
      <vt:variant>
        <vt:lpwstr/>
      </vt:variant>
      <vt:variant>
        <vt:i4>1703965</vt:i4>
      </vt:variant>
      <vt:variant>
        <vt:i4>117</vt:i4>
      </vt:variant>
      <vt:variant>
        <vt:i4>0</vt:i4>
      </vt:variant>
      <vt:variant>
        <vt:i4>5</vt:i4>
      </vt:variant>
      <vt:variant>
        <vt:lpwstr>https://alexispress.us/wp-content/uploads/2022/07/Organizational-Development.pdf</vt:lpwstr>
      </vt:variant>
      <vt:variant>
        <vt:lpwstr>page=145</vt:lpwstr>
      </vt:variant>
      <vt:variant>
        <vt:i4>5177412</vt:i4>
      </vt:variant>
      <vt:variant>
        <vt:i4>114</vt:i4>
      </vt:variant>
      <vt:variant>
        <vt:i4>0</vt:i4>
      </vt:variant>
      <vt:variant>
        <vt:i4>5</vt:i4>
      </vt:variant>
      <vt:variant>
        <vt:lpwstr>https://internationalcopper.org/resource/codelco-commits-to-reaching-net-zero-emissions-by-2050-with-its-100-percent-clean-energy-matrix/</vt:lpwstr>
      </vt:variant>
      <vt:variant>
        <vt:lpwstr/>
      </vt:variant>
      <vt:variant>
        <vt:i4>3866736</vt:i4>
      </vt:variant>
      <vt:variant>
        <vt:i4>111</vt:i4>
      </vt:variant>
      <vt:variant>
        <vt:i4>0</vt:i4>
      </vt:variant>
      <vt:variant>
        <vt:i4>5</vt:i4>
      </vt:variant>
      <vt:variant>
        <vt:lpwstr>https://www.international-climate-initiative.com/en/iki-media/video/chile_energy_transition/</vt:lpwstr>
      </vt:variant>
      <vt:variant>
        <vt:lpwstr/>
      </vt:variant>
      <vt:variant>
        <vt:i4>196674</vt:i4>
      </vt:variant>
      <vt:variant>
        <vt:i4>108</vt:i4>
      </vt:variant>
      <vt:variant>
        <vt:i4>0</vt:i4>
      </vt:variant>
      <vt:variant>
        <vt:i4>5</vt:i4>
      </vt:variant>
      <vt:variant>
        <vt:lpwstr>https://www.iea.org/reports/digitalisation-and-energy</vt:lpwstr>
      </vt:variant>
      <vt:variant>
        <vt:lpwstr/>
      </vt:variant>
      <vt:variant>
        <vt:i4>6750240</vt:i4>
      </vt:variant>
      <vt:variant>
        <vt:i4>105</vt:i4>
      </vt:variant>
      <vt:variant>
        <vt:i4>0</vt:i4>
      </vt:variant>
      <vt:variant>
        <vt:i4>5</vt:i4>
      </vt:variant>
      <vt:variant>
        <vt:lpwstr>https://www.codelco.com/sustainability-commitments-by-2030</vt:lpwstr>
      </vt:variant>
      <vt:variant>
        <vt:lpwstr/>
      </vt:variant>
      <vt:variant>
        <vt:i4>524382</vt:i4>
      </vt:variant>
      <vt:variant>
        <vt:i4>102</vt:i4>
      </vt:variant>
      <vt:variant>
        <vt:i4>0</vt:i4>
      </vt:variant>
      <vt:variant>
        <vt:i4>5</vt:i4>
      </vt:variant>
      <vt:variant>
        <vt:lpwstr>https://www.codelco.com/memoria2014/site/artic/20150406/asocfile/20150406151445/innovation_and_technology.pdf</vt:lpwstr>
      </vt:variant>
      <vt:variant>
        <vt:lpwstr/>
      </vt:variant>
      <vt:variant>
        <vt:i4>3211292</vt:i4>
      </vt:variant>
      <vt:variant>
        <vt:i4>99</vt:i4>
      </vt:variant>
      <vt:variant>
        <vt:i4>0</vt:i4>
      </vt:variant>
      <vt:variant>
        <vt:i4>5</vt:i4>
      </vt:variant>
      <vt:variant>
        <vt:lpwstr>https://www.codelco.com/sites/site/docs/20250428/20250428185356/operational_and_financial_report_march_31__2025.pdf</vt:lpwstr>
      </vt:variant>
      <vt:variant>
        <vt:lpwstr/>
      </vt:variant>
      <vt:variant>
        <vt:i4>7536715</vt:i4>
      </vt:variant>
      <vt:variant>
        <vt:i4>96</vt:i4>
      </vt:variant>
      <vt:variant>
        <vt:i4>0</vt:i4>
      </vt:variant>
      <vt:variant>
        <vt:i4>5</vt:i4>
      </vt:variant>
      <vt:variant>
        <vt:lpwstr>https://www.codelco.com/prontus_codelco/site/docs/20251002/20251002120038/climate_change_report.pdf</vt:lpwstr>
      </vt:variant>
      <vt:variant>
        <vt:lpwstr/>
      </vt:variant>
      <vt:variant>
        <vt:i4>6488189</vt:i4>
      </vt:variant>
      <vt:variant>
        <vt:i4>93</vt:i4>
      </vt:variant>
      <vt:variant>
        <vt:i4>0</vt:i4>
      </vt:variant>
      <vt:variant>
        <vt:i4>5</vt:i4>
      </vt:variant>
      <vt:variant>
        <vt:lpwstr>https://www.sciencedirect.com/science/article/pii/S0301420723005627</vt:lpwstr>
      </vt:variant>
      <vt:variant>
        <vt:lpwstr/>
      </vt:variant>
      <vt:variant>
        <vt:i4>5636124</vt:i4>
      </vt:variant>
      <vt:variant>
        <vt:i4>90</vt:i4>
      </vt:variant>
      <vt:variant>
        <vt:i4>0</vt:i4>
      </vt:variant>
      <vt:variant>
        <vt:i4>5</vt:i4>
      </vt:variant>
      <vt:variant>
        <vt:lpwstr>https://www.mdpi.com/2071-1050/14/3/1531</vt:lpwstr>
      </vt:variant>
      <vt:variant>
        <vt:lpwstr/>
      </vt:variant>
      <vt:variant>
        <vt:i4>4522010</vt:i4>
      </vt:variant>
      <vt:variant>
        <vt:i4>87</vt:i4>
      </vt:variant>
      <vt:variant>
        <vt:i4>0</vt:i4>
      </vt:variant>
      <vt:variant>
        <vt:i4>5</vt:i4>
      </vt:variant>
      <vt:variant>
        <vt:lpwstr>https://www.gbppublications.com/_files/ugd/5e526c_d512b35bd3f04b9eac3a95ed47ef78ea.pdf</vt:lpwstr>
      </vt:variant>
      <vt:variant>
        <vt:lpwstr>page=117</vt:lpwstr>
      </vt:variant>
      <vt:variant>
        <vt:i4>1048631</vt:i4>
      </vt:variant>
      <vt:variant>
        <vt:i4>80</vt:i4>
      </vt:variant>
      <vt:variant>
        <vt:i4>0</vt:i4>
      </vt:variant>
      <vt:variant>
        <vt:i4>5</vt:i4>
      </vt:variant>
      <vt:variant>
        <vt:lpwstr/>
      </vt:variant>
      <vt:variant>
        <vt:lpwstr>_Toc234681937</vt:lpwstr>
      </vt:variant>
      <vt:variant>
        <vt:i4>1048631</vt:i4>
      </vt:variant>
      <vt:variant>
        <vt:i4>74</vt:i4>
      </vt:variant>
      <vt:variant>
        <vt:i4>0</vt:i4>
      </vt:variant>
      <vt:variant>
        <vt:i4>5</vt:i4>
      </vt:variant>
      <vt:variant>
        <vt:lpwstr/>
      </vt:variant>
      <vt:variant>
        <vt:lpwstr>_Toc234681936</vt:lpwstr>
      </vt:variant>
      <vt:variant>
        <vt:i4>1048631</vt:i4>
      </vt:variant>
      <vt:variant>
        <vt:i4>68</vt:i4>
      </vt:variant>
      <vt:variant>
        <vt:i4>0</vt:i4>
      </vt:variant>
      <vt:variant>
        <vt:i4>5</vt:i4>
      </vt:variant>
      <vt:variant>
        <vt:lpwstr/>
      </vt:variant>
      <vt:variant>
        <vt:lpwstr>_Toc234681935</vt:lpwstr>
      </vt:variant>
      <vt:variant>
        <vt:i4>1048631</vt:i4>
      </vt:variant>
      <vt:variant>
        <vt:i4>62</vt:i4>
      </vt:variant>
      <vt:variant>
        <vt:i4>0</vt:i4>
      </vt:variant>
      <vt:variant>
        <vt:i4>5</vt:i4>
      </vt:variant>
      <vt:variant>
        <vt:lpwstr/>
      </vt:variant>
      <vt:variant>
        <vt:lpwstr>_Toc234681934</vt:lpwstr>
      </vt:variant>
      <vt:variant>
        <vt:i4>1048631</vt:i4>
      </vt:variant>
      <vt:variant>
        <vt:i4>56</vt:i4>
      </vt:variant>
      <vt:variant>
        <vt:i4>0</vt:i4>
      </vt:variant>
      <vt:variant>
        <vt:i4>5</vt:i4>
      </vt:variant>
      <vt:variant>
        <vt:lpwstr/>
      </vt:variant>
      <vt:variant>
        <vt:lpwstr>_Toc234681933</vt:lpwstr>
      </vt:variant>
      <vt:variant>
        <vt:i4>1048631</vt:i4>
      </vt:variant>
      <vt:variant>
        <vt:i4>50</vt:i4>
      </vt:variant>
      <vt:variant>
        <vt:i4>0</vt:i4>
      </vt:variant>
      <vt:variant>
        <vt:i4>5</vt:i4>
      </vt:variant>
      <vt:variant>
        <vt:lpwstr/>
      </vt:variant>
      <vt:variant>
        <vt:lpwstr>_Toc234681932</vt:lpwstr>
      </vt:variant>
      <vt:variant>
        <vt:i4>1048631</vt:i4>
      </vt:variant>
      <vt:variant>
        <vt:i4>44</vt:i4>
      </vt:variant>
      <vt:variant>
        <vt:i4>0</vt:i4>
      </vt:variant>
      <vt:variant>
        <vt:i4>5</vt:i4>
      </vt:variant>
      <vt:variant>
        <vt:lpwstr/>
      </vt:variant>
      <vt:variant>
        <vt:lpwstr>_Toc234681931</vt:lpwstr>
      </vt:variant>
      <vt:variant>
        <vt:i4>1048631</vt:i4>
      </vt:variant>
      <vt:variant>
        <vt:i4>38</vt:i4>
      </vt:variant>
      <vt:variant>
        <vt:i4>0</vt:i4>
      </vt:variant>
      <vt:variant>
        <vt:i4>5</vt:i4>
      </vt:variant>
      <vt:variant>
        <vt:lpwstr/>
      </vt:variant>
      <vt:variant>
        <vt:lpwstr>_Toc234681930</vt:lpwstr>
      </vt:variant>
      <vt:variant>
        <vt:i4>1114167</vt:i4>
      </vt:variant>
      <vt:variant>
        <vt:i4>32</vt:i4>
      </vt:variant>
      <vt:variant>
        <vt:i4>0</vt:i4>
      </vt:variant>
      <vt:variant>
        <vt:i4>5</vt:i4>
      </vt:variant>
      <vt:variant>
        <vt:lpwstr/>
      </vt:variant>
      <vt:variant>
        <vt:lpwstr>_Toc234681929</vt:lpwstr>
      </vt:variant>
      <vt:variant>
        <vt:i4>1114167</vt:i4>
      </vt:variant>
      <vt:variant>
        <vt:i4>26</vt:i4>
      </vt:variant>
      <vt:variant>
        <vt:i4>0</vt:i4>
      </vt:variant>
      <vt:variant>
        <vt:i4>5</vt:i4>
      </vt:variant>
      <vt:variant>
        <vt:lpwstr/>
      </vt:variant>
      <vt:variant>
        <vt:lpwstr>_Toc234681928</vt:lpwstr>
      </vt:variant>
      <vt:variant>
        <vt:i4>1114167</vt:i4>
      </vt:variant>
      <vt:variant>
        <vt:i4>20</vt:i4>
      </vt:variant>
      <vt:variant>
        <vt:i4>0</vt:i4>
      </vt:variant>
      <vt:variant>
        <vt:i4>5</vt:i4>
      </vt:variant>
      <vt:variant>
        <vt:lpwstr/>
      </vt:variant>
      <vt:variant>
        <vt:lpwstr>_Toc234681927</vt:lpwstr>
      </vt:variant>
      <vt:variant>
        <vt:i4>1114167</vt:i4>
      </vt:variant>
      <vt:variant>
        <vt:i4>14</vt:i4>
      </vt:variant>
      <vt:variant>
        <vt:i4>0</vt:i4>
      </vt:variant>
      <vt:variant>
        <vt:i4>5</vt:i4>
      </vt:variant>
      <vt:variant>
        <vt:lpwstr/>
      </vt:variant>
      <vt:variant>
        <vt:lpwstr>_Toc234681926</vt:lpwstr>
      </vt:variant>
      <vt:variant>
        <vt:i4>1114167</vt:i4>
      </vt:variant>
      <vt:variant>
        <vt:i4>8</vt:i4>
      </vt:variant>
      <vt:variant>
        <vt:i4>0</vt:i4>
      </vt:variant>
      <vt:variant>
        <vt:i4>5</vt:i4>
      </vt:variant>
      <vt:variant>
        <vt:lpwstr/>
      </vt:variant>
      <vt:variant>
        <vt:lpwstr>_Toc234681925</vt:lpwstr>
      </vt:variant>
      <vt:variant>
        <vt:i4>1114167</vt:i4>
      </vt:variant>
      <vt:variant>
        <vt:i4>2</vt:i4>
      </vt:variant>
      <vt:variant>
        <vt:i4>0</vt:i4>
      </vt:variant>
      <vt:variant>
        <vt:i4>5</vt:i4>
      </vt:variant>
      <vt:variant>
        <vt:lpwstr/>
      </vt:variant>
      <vt:variant>
        <vt:lpwstr>_Toc234681924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dc:creator>
  <cp:lastModifiedBy>Neha Yadav</cp:lastModifiedBy>
  <cp:revision>2</cp:revision>
  <dcterms:created xsi:type="dcterms:W3CDTF">2026-07-23T21:17:00Z</dcterms:created>
  <dcterms:modified xsi:type="dcterms:W3CDTF">2026-07-23T21:17:00Z</dcterms:modified>
</cp:coreProperties>
</file>