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DB450F" w14:textId="77777777" w:rsidR="001B3FAA" w:rsidRPr="00D43235" w:rsidRDefault="00802108" w:rsidP="00466A11">
      <w:pPr>
        <w:jc w:val="center"/>
        <w:rPr>
          <w:rFonts w:ascii="Arial" w:hAnsi="Arial" w:cs="Arial"/>
          <w:b/>
          <w:sz w:val="22"/>
          <w:lang w:eastAsia="en-GB"/>
        </w:rPr>
      </w:pPr>
      <w:r w:rsidRPr="00D43235">
        <w:rPr>
          <w:rFonts w:ascii="Arial" w:hAnsi="Arial" w:cs="Arial"/>
          <w:b/>
          <w:sz w:val="22"/>
          <w:lang w:eastAsia="en-GB"/>
        </w:rPr>
        <w:t>Health, Wellbeing and Sustainable Development: A Critical Examination of SDG 3 and SDG 10 at Global, National and Local Levels</w:t>
      </w:r>
    </w:p>
    <w:p w14:paraId="5AF5286A" w14:textId="77777777" w:rsidR="00BF5CC0" w:rsidRPr="00D43235" w:rsidRDefault="00BF5CC0" w:rsidP="00466A11">
      <w:pPr>
        <w:jc w:val="center"/>
        <w:rPr>
          <w:rFonts w:ascii="Arial" w:hAnsi="Arial" w:cs="Arial"/>
          <w:b/>
          <w:sz w:val="22"/>
          <w:lang w:eastAsia="en-GB"/>
        </w:rPr>
      </w:pPr>
    </w:p>
    <w:p w14:paraId="0A1C4DCB" w14:textId="77777777" w:rsidR="00BF5CC0" w:rsidRPr="00D43235" w:rsidRDefault="00BF5CC0" w:rsidP="00466A11">
      <w:pPr>
        <w:jc w:val="center"/>
        <w:rPr>
          <w:rFonts w:ascii="Arial" w:hAnsi="Arial" w:cs="Arial"/>
          <w:b/>
          <w:sz w:val="22"/>
          <w:lang w:eastAsia="en-GB"/>
        </w:rPr>
      </w:pPr>
    </w:p>
    <w:p w14:paraId="7AE10BB5" w14:textId="77777777" w:rsidR="00BF5CC0" w:rsidRPr="00D43235" w:rsidRDefault="00BF5CC0" w:rsidP="00466A11">
      <w:pPr>
        <w:jc w:val="center"/>
        <w:rPr>
          <w:rFonts w:ascii="Arial" w:hAnsi="Arial" w:cs="Arial"/>
          <w:b/>
          <w:sz w:val="22"/>
          <w:lang w:eastAsia="en-GB"/>
        </w:rPr>
      </w:pPr>
    </w:p>
    <w:p w14:paraId="268B09FA" w14:textId="77777777" w:rsidR="00BF5CC0" w:rsidRPr="00D43235" w:rsidRDefault="00BF5CC0" w:rsidP="00466A11">
      <w:pPr>
        <w:jc w:val="center"/>
        <w:rPr>
          <w:rFonts w:ascii="Arial" w:hAnsi="Arial" w:cs="Arial"/>
          <w:b/>
          <w:sz w:val="22"/>
          <w:lang w:eastAsia="en-GB"/>
        </w:rPr>
      </w:pPr>
    </w:p>
    <w:p w14:paraId="3F0A92F6" w14:textId="77777777" w:rsidR="00BF5CC0" w:rsidRPr="00D43235" w:rsidRDefault="00BF5CC0" w:rsidP="00466A11">
      <w:pPr>
        <w:jc w:val="center"/>
        <w:rPr>
          <w:rFonts w:ascii="Arial" w:hAnsi="Arial" w:cs="Arial"/>
          <w:b/>
          <w:sz w:val="22"/>
          <w:lang w:eastAsia="en-GB"/>
        </w:rPr>
      </w:pPr>
    </w:p>
    <w:p w14:paraId="13B4CABA" w14:textId="77777777" w:rsidR="00BF5CC0" w:rsidRPr="00D43235" w:rsidRDefault="00BF5CC0" w:rsidP="00466A11">
      <w:pPr>
        <w:jc w:val="center"/>
        <w:rPr>
          <w:rFonts w:ascii="Arial" w:hAnsi="Arial" w:cs="Arial"/>
          <w:b/>
          <w:sz w:val="22"/>
          <w:lang w:eastAsia="en-GB"/>
        </w:rPr>
      </w:pPr>
    </w:p>
    <w:p w14:paraId="19D1EF81" w14:textId="75441AFA" w:rsidR="00BF5CC0" w:rsidRPr="00D43235" w:rsidRDefault="004A7A1B" w:rsidP="00466A11">
      <w:pPr>
        <w:jc w:val="center"/>
        <w:rPr>
          <w:rFonts w:ascii="Arial" w:hAnsi="Arial" w:cs="Arial"/>
          <w:b/>
          <w:sz w:val="22"/>
          <w:lang w:eastAsia="en-GB"/>
        </w:rPr>
      </w:pPr>
      <w:r>
        <w:rPr>
          <w:rFonts w:ascii="Arial" w:hAnsi="Arial" w:cs="Arial"/>
          <w:b/>
          <w:sz w:val="22"/>
          <w:lang w:eastAsia="en-GB"/>
        </w:rPr>
        <w:t>Component</w:t>
      </w:r>
      <w:r w:rsidR="0022098F">
        <w:rPr>
          <w:rFonts w:ascii="Arial" w:hAnsi="Arial" w:cs="Arial"/>
          <w:b/>
          <w:sz w:val="22"/>
          <w:lang w:eastAsia="en-GB"/>
        </w:rPr>
        <w:t xml:space="preserve"> 2: Written Report</w:t>
      </w:r>
    </w:p>
    <w:p w14:paraId="25DDE89A" w14:textId="19943E53" w:rsidR="00BF5CC0" w:rsidRPr="00FE0C80" w:rsidRDefault="00BF5CC0" w:rsidP="00466A11">
      <w:pPr>
        <w:jc w:val="center"/>
        <w:rPr>
          <w:rFonts w:ascii="Arial" w:hAnsi="Arial" w:cs="Arial"/>
          <w:b/>
          <w:sz w:val="22"/>
          <w:lang w:val="nl-NL" w:eastAsia="en-GB"/>
        </w:rPr>
      </w:pPr>
      <w:r w:rsidRPr="00FE0C80">
        <w:rPr>
          <w:rFonts w:ascii="Arial" w:hAnsi="Arial" w:cs="Arial"/>
          <w:b/>
          <w:sz w:val="22"/>
          <w:lang w:val="nl-NL" w:eastAsia="en-GB"/>
        </w:rPr>
        <w:t>Student Name</w:t>
      </w:r>
      <w:r w:rsidR="00FE0C80" w:rsidRPr="00FE0C80">
        <w:rPr>
          <w:rFonts w:ascii="Arial" w:hAnsi="Arial" w:cs="Arial"/>
          <w:b/>
          <w:sz w:val="22"/>
          <w:lang w:val="nl-NL" w:eastAsia="en-GB"/>
        </w:rPr>
        <w:t>: Amreen Akhtar</w:t>
      </w:r>
    </w:p>
    <w:p w14:paraId="4D313363" w14:textId="30C4F910" w:rsidR="00BF5CC0" w:rsidRDefault="00BF5CC0" w:rsidP="00466A11">
      <w:pPr>
        <w:jc w:val="center"/>
        <w:rPr>
          <w:rFonts w:ascii="Arial" w:hAnsi="Arial" w:cs="Arial"/>
          <w:b/>
          <w:sz w:val="22"/>
          <w:lang w:val="nl-NL" w:eastAsia="en-GB"/>
        </w:rPr>
      </w:pPr>
      <w:r w:rsidRPr="00FE0C80">
        <w:rPr>
          <w:rFonts w:ascii="Arial" w:hAnsi="Arial" w:cs="Arial"/>
          <w:b/>
          <w:sz w:val="22"/>
          <w:lang w:val="nl-NL" w:eastAsia="en-GB"/>
        </w:rPr>
        <w:t>ID</w:t>
      </w:r>
      <w:r w:rsidR="00FE0C80" w:rsidRPr="00FE0C80">
        <w:rPr>
          <w:rFonts w:ascii="Arial" w:hAnsi="Arial" w:cs="Arial"/>
          <w:b/>
          <w:sz w:val="22"/>
          <w:lang w:val="nl-NL" w:eastAsia="en-GB"/>
        </w:rPr>
        <w:t xml:space="preserve"> 2</w:t>
      </w:r>
      <w:r w:rsidR="00FE0C80">
        <w:rPr>
          <w:rFonts w:ascii="Arial" w:hAnsi="Arial" w:cs="Arial"/>
          <w:b/>
          <w:sz w:val="22"/>
          <w:lang w:val="nl-NL" w:eastAsia="en-GB"/>
        </w:rPr>
        <w:t>214675</w:t>
      </w:r>
    </w:p>
    <w:p w14:paraId="3C3B34DC" w14:textId="536C561F" w:rsidR="00BC45F9" w:rsidRDefault="00F060FD" w:rsidP="00466A11">
      <w:pPr>
        <w:jc w:val="center"/>
        <w:rPr>
          <w:rFonts w:ascii="Arial" w:hAnsi="Arial" w:cs="Arial"/>
          <w:b/>
          <w:sz w:val="22"/>
          <w:lang w:eastAsia="en-GB"/>
        </w:rPr>
      </w:pPr>
      <w:r w:rsidRPr="005B7EAD">
        <w:rPr>
          <w:rFonts w:ascii="Arial" w:hAnsi="Arial" w:cs="Arial"/>
          <w:b/>
          <w:sz w:val="22"/>
          <w:lang w:eastAsia="en-GB"/>
        </w:rPr>
        <w:t>BMHP6030 Health</w:t>
      </w:r>
      <w:r w:rsidR="005B7EAD" w:rsidRPr="005B7EAD">
        <w:rPr>
          <w:rFonts w:ascii="Arial" w:hAnsi="Arial" w:cs="Arial"/>
          <w:b/>
          <w:sz w:val="22"/>
          <w:lang w:eastAsia="en-GB"/>
        </w:rPr>
        <w:t xml:space="preserve"> Wellbeing and </w:t>
      </w:r>
      <w:proofErr w:type="spellStart"/>
      <w:r w:rsidR="005B7EAD" w:rsidRPr="005B7EAD">
        <w:rPr>
          <w:rFonts w:ascii="Arial" w:hAnsi="Arial" w:cs="Arial"/>
          <w:b/>
          <w:sz w:val="22"/>
          <w:lang w:eastAsia="en-GB"/>
        </w:rPr>
        <w:t>S</w:t>
      </w:r>
      <w:r w:rsidR="005B7EAD">
        <w:rPr>
          <w:rFonts w:ascii="Arial" w:hAnsi="Arial" w:cs="Arial"/>
          <w:b/>
          <w:sz w:val="22"/>
          <w:lang w:eastAsia="en-GB"/>
        </w:rPr>
        <w:t>ub</w:t>
      </w:r>
      <w:r w:rsidR="00534060">
        <w:rPr>
          <w:rFonts w:ascii="Arial" w:hAnsi="Arial" w:cs="Arial"/>
          <w:b/>
          <w:sz w:val="22"/>
          <w:lang w:eastAsia="en-GB"/>
        </w:rPr>
        <w:t>stainable</w:t>
      </w:r>
      <w:proofErr w:type="spellEnd"/>
      <w:r w:rsidR="00534060">
        <w:rPr>
          <w:rFonts w:ascii="Arial" w:hAnsi="Arial" w:cs="Arial"/>
          <w:b/>
          <w:sz w:val="22"/>
          <w:lang w:eastAsia="en-GB"/>
        </w:rPr>
        <w:t xml:space="preserve"> Development</w:t>
      </w:r>
    </w:p>
    <w:p w14:paraId="30DBA8B6" w14:textId="76449645" w:rsidR="00534060" w:rsidRPr="005B7EAD" w:rsidRDefault="00534060" w:rsidP="00466A11">
      <w:pPr>
        <w:jc w:val="center"/>
        <w:rPr>
          <w:rFonts w:ascii="Arial" w:hAnsi="Arial" w:cs="Arial"/>
          <w:b/>
          <w:sz w:val="22"/>
          <w:lang w:eastAsia="en-GB"/>
        </w:rPr>
      </w:pPr>
      <w:proofErr w:type="spellStart"/>
      <w:r>
        <w:rPr>
          <w:rFonts w:ascii="Arial" w:hAnsi="Arial" w:cs="Arial"/>
          <w:b/>
          <w:sz w:val="22"/>
          <w:lang w:eastAsia="en-GB"/>
        </w:rPr>
        <w:t>Tut</w:t>
      </w:r>
      <w:r w:rsidR="009D2237">
        <w:rPr>
          <w:rFonts w:ascii="Arial" w:hAnsi="Arial" w:cs="Arial"/>
          <w:b/>
          <w:sz w:val="22"/>
          <w:lang w:eastAsia="en-GB"/>
        </w:rPr>
        <w:t>ur</w:t>
      </w:r>
      <w:proofErr w:type="spellEnd"/>
      <w:r w:rsidR="009D2237">
        <w:rPr>
          <w:rFonts w:ascii="Arial" w:hAnsi="Arial" w:cs="Arial"/>
          <w:b/>
          <w:sz w:val="22"/>
          <w:lang w:eastAsia="en-GB"/>
        </w:rPr>
        <w:t xml:space="preserve">: </w:t>
      </w:r>
      <w:r w:rsidR="00426CE7">
        <w:rPr>
          <w:rFonts w:ascii="Arial" w:hAnsi="Arial" w:cs="Arial"/>
          <w:b/>
          <w:sz w:val="22"/>
          <w:lang w:eastAsia="en-GB"/>
        </w:rPr>
        <w:t>Parese A</w:t>
      </w:r>
      <w:r w:rsidR="00E51222">
        <w:rPr>
          <w:rFonts w:ascii="Arial" w:hAnsi="Arial" w:cs="Arial"/>
          <w:b/>
          <w:sz w:val="22"/>
          <w:lang w:eastAsia="en-GB"/>
        </w:rPr>
        <w:t>hmed</w:t>
      </w:r>
    </w:p>
    <w:p w14:paraId="738D35D4" w14:textId="77777777" w:rsidR="00BF5CC0" w:rsidRPr="005B7EAD" w:rsidRDefault="00BF5CC0" w:rsidP="00466A11">
      <w:pPr>
        <w:jc w:val="center"/>
        <w:rPr>
          <w:rFonts w:ascii="Arial" w:hAnsi="Arial" w:cs="Arial"/>
          <w:b/>
          <w:sz w:val="22"/>
          <w:lang w:eastAsia="en-GB"/>
        </w:rPr>
      </w:pPr>
      <w:r w:rsidRPr="005B7EAD">
        <w:rPr>
          <w:rFonts w:ascii="Arial" w:hAnsi="Arial" w:cs="Arial"/>
          <w:b/>
          <w:sz w:val="22"/>
          <w:lang w:eastAsia="en-GB"/>
        </w:rPr>
        <w:br w:type="page"/>
      </w:r>
    </w:p>
    <w:p w14:paraId="0B56F031" w14:textId="77777777" w:rsidR="00BF5CC0" w:rsidRPr="00D43235" w:rsidRDefault="00BF5CC0" w:rsidP="00466A11">
      <w:pPr>
        <w:jc w:val="center"/>
        <w:rPr>
          <w:rFonts w:ascii="Arial" w:hAnsi="Arial" w:cs="Arial"/>
          <w:b/>
          <w:sz w:val="22"/>
          <w:lang w:eastAsia="en-GB"/>
        </w:rPr>
      </w:pPr>
      <w:r w:rsidRPr="00D43235">
        <w:rPr>
          <w:rFonts w:ascii="Arial" w:hAnsi="Arial" w:cs="Arial"/>
          <w:b/>
          <w:sz w:val="22"/>
          <w:lang w:eastAsia="en-GB"/>
        </w:rPr>
        <w:lastRenderedPageBreak/>
        <w:t>Table of Contents</w:t>
      </w:r>
    </w:p>
    <w:sdt>
      <w:sdtPr>
        <w:rPr>
          <w:rFonts w:ascii="Arial" w:eastAsiaTheme="minorHAnsi" w:hAnsi="Arial" w:cs="Arial"/>
          <w:color w:val="auto"/>
          <w:sz w:val="22"/>
          <w:szCs w:val="22"/>
          <w:lang w:val="en-GB"/>
        </w:rPr>
        <w:id w:val="1780836016"/>
        <w:docPartObj>
          <w:docPartGallery w:val="Table of Contents"/>
          <w:docPartUnique/>
        </w:docPartObj>
      </w:sdtPr>
      <w:sdtEndPr>
        <w:rPr>
          <w:b/>
          <w:bCs/>
          <w:noProof/>
        </w:rPr>
      </w:sdtEndPr>
      <w:sdtContent>
        <w:p w14:paraId="21494A1D" w14:textId="77777777" w:rsidR="007A3F2C" w:rsidRPr="00466A11" w:rsidRDefault="007A3F2C" w:rsidP="00367E6C">
          <w:pPr>
            <w:pStyle w:val="TOCHeading"/>
            <w:spacing w:line="360" w:lineRule="auto"/>
            <w:jc w:val="both"/>
            <w:rPr>
              <w:rFonts w:ascii="Arial" w:hAnsi="Arial" w:cs="Arial"/>
              <w:color w:val="auto"/>
              <w:sz w:val="22"/>
              <w:szCs w:val="22"/>
              <w:lang w:val="en-GB"/>
            </w:rPr>
          </w:pPr>
        </w:p>
        <w:p w14:paraId="13AD0ADC" w14:textId="77777777" w:rsidR="000D7D63" w:rsidRPr="00466A11" w:rsidRDefault="007A3F2C">
          <w:pPr>
            <w:pStyle w:val="TOC2"/>
            <w:tabs>
              <w:tab w:val="right" w:leader="dot" w:pos="9016"/>
            </w:tabs>
            <w:rPr>
              <w:rFonts w:ascii="Arial" w:eastAsiaTheme="minorEastAsia" w:hAnsi="Arial" w:cs="Arial"/>
              <w:noProof/>
              <w:sz w:val="22"/>
              <w:lang w:val="en-US"/>
            </w:rPr>
          </w:pPr>
          <w:r w:rsidRPr="00466A11">
            <w:rPr>
              <w:rFonts w:ascii="Arial" w:hAnsi="Arial" w:cs="Arial"/>
              <w:sz w:val="22"/>
            </w:rPr>
            <w:fldChar w:fldCharType="begin"/>
          </w:r>
          <w:r w:rsidRPr="00466A11">
            <w:rPr>
              <w:rFonts w:ascii="Arial" w:hAnsi="Arial" w:cs="Arial"/>
              <w:sz w:val="22"/>
            </w:rPr>
            <w:instrText xml:space="preserve"> TOC \o "1-3" \h \z \u </w:instrText>
          </w:r>
          <w:r w:rsidRPr="00466A11">
            <w:rPr>
              <w:rFonts w:ascii="Arial" w:hAnsi="Arial" w:cs="Arial"/>
              <w:sz w:val="22"/>
            </w:rPr>
            <w:fldChar w:fldCharType="separate"/>
          </w:r>
          <w:hyperlink w:anchor="_Toc223208665" w:history="1">
            <w:r w:rsidR="000D7D63" w:rsidRPr="00466A11">
              <w:rPr>
                <w:rStyle w:val="Hyperlink"/>
                <w:rFonts w:ascii="Arial" w:hAnsi="Arial" w:cs="Arial"/>
                <w:noProof/>
                <w:color w:val="auto"/>
                <w:sz w:val="22"/>
              </w:rPr>
              <w:t>Introduction</w:t>
            </w:r>
            <w:r w:rsidR="000D7D63" w:rsidRPr="00466A11">
              <w:rPr>
                <w:rFonts w:ascii="Arial" w:hAnsi="Arial" w:cs="Arial"/>
                <w:noProof/>
                <w:webHidden/>
                <w:sz w:val="22"/>
              </w:rPr>
              <w:tab/>
            </w:r>
            <w:r w:rsidR="000D7D63" w:rsidRPr="00466A11">
              <w:rPr>
                <w:rFonts w:ascii="Arial" w:hAnsi="Arial" w:cs="Arial"/>
                <w:noProof/>
                <w:webHidden/>
                <w:sz w:val="22"/>
              </w:rPr>
              <w:fldChar w:fldCharType="begin"/>
            </w:r>
            <w:r w:rsidR="000D7D63" w:rsidRPr="00466A11">
              <w:rPr>
                <w:rFonts w:ascii="Arial" w:hAnsi="Arial" w:cs="Arial"/>
                <w:noProof/>
                <w:webHidden/>
                <w:sz w:val="22"/>
              </w:rPr>
              <w:instrText xml:space="preserve"> PAGEREF _Toc223208665 \h </w:instrText>
            </w:r>
            <w:r w:rsidR="000D7D63" w:rsidRPr="00466A11">
              <w:rPr>
                <w:rFonts w:ascii="Arial" w:hAnsi="Arial" w:cs="Arial"/>
                <w:noProof/>
                <w:webHidden/>
                <w:sz w:val="22"/>
              </w:rPr>
            </w:r>
            <w:r w:rsidR="000D7D63" w:rsidRPr="00466A11">
              <w:rPr>
                <w:rFonts w:ascii="Arial" w:hAnsi="Arial" w:cs="Arial"/>
                <w:noProof/>
                <w:webHidden/>
                <w:sz w:val="22"/>
              </w:rPr>
              <w:fldChar w:fldCharType="separate"/>
            </w:r>
            <w:r w:rsidR="000D7D63" w:rsidRPr="00466A11">
              <w:rPr>
                <w:rFonts w:ascii="Arial" w:hAnsi="Arial" w:cs="Arial"/>
                <w:noProof/>
                <w:webHidden/>
                <w:sz w:val="22"/>
              </w:rPr>
              <w:t>3</w:t>
            </w:r>
            <w:r w:rsidR="000D7D63" w:rsidRPr="00466A11">
              <w:rPr>
                <w:rFonts w:ascii="Arial" w:hAnsi="Arial" w:cs="Arial"/>
                <w:noProof/>
                <w:webHidden/>
                <w:sz w:val="22"/>
              </w:rPr>
              <w:fldChar w:fldCharType="end"/>
            </w:r>
          </w:hyperlink>
        </w:p>
        <w:p w14:paraId="708668F8" w14:textId="77777777" w:rsidR="000D7D63" w:rsidRPr="00466A11" w:rsidRDefault="000D7D63">
          <w:pPr>
            <w:pStyle w:val="TOC2"/>
            <w:tabs>
              <w:tab w:val="right" w:leader="dot" w:pos="9016"/>
            </w:tabs>
            <w:rPr>
              <w:rFonts w:ascii="Arial" w:eastAsiaTheme="minorEastAsia" w:hAnsi="Arial" w:cs="Arial"/>
              <w:noProof/>
              <w:sz w:val="22"/>
              <w:lang w:val="en-US"/>
            </w:rPr>
          </w:pPr>
          <w:hyperlink w:anchor="_Toc223208666" w:history="1">
            <w:r w:rsidRPr="00466A11">
              <w:rPr>
                <w:rStyle w:val="Hyperlink"/>
                <w:rFonts w:ascii="Arial" w:hAnsi="Arial" w:cs="Arial"/>
                <w:noProof/>
                <w:color w:val="auto"/>
                <w:sz w:val="22"/>
              </w:rPr>
              <w:t>Conceptual Framework: Social Determinants, Inequality and Sustainability</w:t>
            </w:r>
            <w:r w:rsidRPr="00466A11">
              <w:rPr>
                <w:rFonts w:ascii="Arial" w:hAnsi="Arial" w:cs="Arial"/>
                <w:noProof/>
                <w:webHidden/>
                <w:sz w:val="22"/>
              </w:rPr>
              <w:tab/>
            </w:r>
            <w:r w:rsidRPr="00466A11">
              <w:rPr>
                <w:rFonts w:ascii="Arial" w:hAnsi="Arial" w:cs="Arial"/>
                <w:noProof/>
                <w:webHidden/>
                <w:sz w:val="22"/>
              </w:rPr>
              <w:fldChar w:fldCharType="begin"/>
            </w:r>
            <w:r w:rsidRPr="00466A11">
              <w:rPr>
                <w:rFonts w:ascii="Arial" w:hAnsi="Arial" w:cs="Arial"/>
                <w:noProof/>
                <w:webHidden/>
                <w:sz w:val="22"/>
              </w:rPr>
              <w:instrText xml:space="preserve"> PAGEREF _Toc223208666 \h </w:instrText>
            </w:r>
            <w:r w:rsidRPr="00466A11">
              <w:rPr>
                <w:rFonts w:ascii="Arial" w:hAnsi="Arial" w:cs="Arial"/>
                <w:noProof/>
                <w:webHidden/>
                <w:sz w:val="22"/>
              </w:rPr>
            </w:r>
            <w:r w:rsidRPr="00466A11">
              <w:rPr>
                <w:rFonts w:ascii="Arial" w:hAnsi="Arial" w:cs="Arial"/>
                <w:noProof/>
                <w:webHidden/>
                <w:sz w:val="22"/>
              </w:rPr>
              <w:fldChar w:fldCharType="separate"/>
            </w:r>
            <w:r w:rsidRPr="00466A11">
              <w:rPr>
                <w:rFonts w:ascii="Arial" w:hAnsi="Arial" w:cs="Arial"/>
                <w:noProof/>
                <w:webHidden/>
                <w:sz w:val="22"/>
              </w:rPr>
              <w:t>3</w:t>
            </w:r>
            <w:r w:rsidRPr="00466A11">
              <w:rPr>
                <w:rFonts w:ascii="Arial" w:hAnsi="Arial" w:cs="Arial"/>
                <w:noProof/>
                <w:webHidden/>
                <w:sz w:val="22"/>
              </w:rPr>
              <w:fldChar w:fldCharType="end"/>
            </w:r>
          </w:hyperlink>
        </w:p>
        <w:p w14:paraId="6F75E422" w14:textId="77777777" w:rsidR="000D7D63" w:rsidRPr="00466A11" w:rsidRDefault="000D7D63">
          <w:pPr>
            <w:pStyle w:val="TOC2"/>
            <w:tabs>
              <w:tab w:val="right" w:leader="dot" w:pos="9016"/>
            </w:tabs>
            <w:rPr>
              <w:rFonts w:ascii="Arial" w:eastAsiaTheme="minorEastAsia" w:hAnsi="Arial" w:cs="Arial"/>
              <w:noProof/>
              <w:sz w:val="22"/>
              <w:lang w:val="en-US"/>
            </w:rPr>
          </w:pPr>
          <w:hyperlink w:anchor="_Toc223208667" w:history="1">
            <w:r w:rsidRPr="00466A11">
              <w:rPr>
                <w:rStyle w:val="Hyperlink"/>
                <w:rFonts w:ascii="Arial" w:hAnsi="Arial" w:cs="Arial"/>
                <w:noProof/>
                <w:color w:val="auto"/>
                <w:sz w:val="22"/>
              </w:rPr>
              <w:t>Global Analysis: Progress and Persistent Inequalities</w:t>
            </w:r>
            <w:r w:rsidRPr="00466A11">
              <w:rPr>
                <w:rFonts w:ascii="Arial" w:hAnsi="Arial" w:cs="Arial"/>
                <w:noProof/>
                <w:webHidden/>
                <w:sz w:val="22"/>
              </w:rPr>
              <w:tab/>
            </w:r>
            <w:r w:rsidRPr="00466A11">
              <w:rPr>
                <w:rFonts w:ascii="Arial" w:hAnsi="Arial" w:cs="Arial"/>
                <w:noProof/>
                <w:webHidden/>
                <w:sz w:val="22"/>
              </w:rPr>
              <w:fldChar w:fldCharType="begin"/>
            </w:r>
            <w:r w:rsidRPr="00466A11">
              <w:rPr>
                <w:rFonts w:ascii="Arial" w:hAnsi="Arial" w:cs="Arial"/>
                <w:noProof/>
                <w:webHidden/>
                <w:sz w:val="22"/>
              </w:rPr>
              <w:instrText xml:space="preserve"> PAGEREF _Toc223208667 \h </w:instrText>
            </w:r>
            <w:r w:rsidRPr="00466A11">
              <w:rPr>
                <w:rFonts w:ascii="Arial" w:hAnsi="Arial" w:cs="Arial"/>
                <w:noProof/>
                <w:webHidden/>
                <w:sz w:val="22"/>
              </w:rPr>
            </w:r>
            <w:r w:rsidRPr="00466A11">
              <w:rPr>
                <w:rFonts w:ascii="Arial" w:hAnsi="Arial" w:cs="Arial"/>
                <w:noProof/>
                <w:webHidden/>
                <w:sz w:val="22"/>
              </w:rPr>
              <w:fldChar w:fldCharType="separate"/>
            </w:r>
            <w:r w:rsidRPr="00466A11">
              <w:rPr>
                <w:rFonts w:ascii="Arial" w:hAnsi="Arial" w:cs="Arial"/>
                <w:noProof/>
                <w:webHidden/>
                <w:sz w:val="22"/>
              </w:rPr>
              <w:t>4</w:t>
            </w:r>
            <w:r w:rsidRPr="00466A11">
              <w:rPr>
                <w:rFonts w:ascii="Arial" w:hAnsi="Arial" w:cs="Arial"/>
                <w:noProof/>
                <w:webHidden/>
                <w:sz w:val="22"/>
              </w:rPr>
              <w:fldChar w:fldCharType="end"/>
            </w:r>
          </w:hyperlink>
        </w:p>
        <w:p w14:paraId="18BDD7E0" w14:textId="77777777" w:rsidR="000D7D63" w:rsidRPr="00466A11" w:rsidRDefault="000D7D63">
          <w:pPr>
            <w:pStyle w:val="TOC2"/>
            <w:tabs>
              <w:tab w:val="right" w:leader="dot" w:pos="9016"/>
            </w:tabs>
            <w:rPr>
              <w:rFonts w:ascii="Arial" w:eastAsiaTheme="minorEastAsia" w:hAnsi="Arial" w:cs="Arial"/>
              <w:noProof/>
              <w:sz w:val="22"/>
              <w:lang w:val="en-US"/>
            </w:rPr>
          </w:pPr>
          <w:hyperlink w:anchor="_Toc223208668" w:history="1">
            <w:r w:rsidRPr="00466A11">
              <w:rPr>
                <w:rStyle w:val="Hyperlink"/>
                <w:rFonts w:ascii="Arial" w:hAnsi="Arial" w:cs="Arial"/>
                <w:noProof/>
                <w:color w:val="auto"/>
                <w:sz w:val="22"/>
              </w:rPr>
              <w:t>National Analysis: United Kingdom</w:t>
            </w:r>
            <w:r w:rsidRPr="00466A11">
              <w:rPr>
                <w:rFonts w:ascii="Arial" w:hAnsi="Arial" w:cs="Arial"/>
                <w:noProof/>
                <w:webHidden/>
                <w:sz w:val="22"/>
              </w:rPr>
              <w:tab/>
            </w:r>
            <w:r w:rsidRPr="00466A11">
              <w:rPr>
                <w:rFonts w:ascii="Arial" w:hAnsi="Arial" w:cs="Arial"/>
                <w:noProof/>
                <w:webHidden/>
                <w:sz w:val="22"/>
              </w:rPr>
              <w:fldChar w:fldCharType="begin"/>
            </w:r>
            <w:r w:rsidRPr="00466A11">
              <w:rPr>
                <w:rFonts w:ascii="Arial" w:hAnsi="Arial" w:cs="Arial"/>
                <w:noProof/>
                <w:webHidden/>
                <w:sz w:val="22"/>
              </w:rPr>
              <w:instrText xml:space="preserve"> PAGEREF _Toc223208668 \h </w:instrText>
            </w:r>
            <w:r w:rsidRPr="00466A11">
              <w:rPr>
                <w:rFonts w:ascii="Arial" w:hAnsi="Arial" w:cs="Arial"/>
                <w:noProof/>
                <w:webHidden/>
                <w:sz w:val="22"/>
              </w:rPr>
            </w:r>
            <w:r w:rsidRPr="00466A11">
              <w:rPr>
                <w:rFonts w:ascii="Arial" w:hAnsi="Arial" w:cs="Arial"/>
                <w:noProof/>
                <w:webHidden/>
                <w:sz w:val="22"/>
              </w:rPr>
              <w:fldChar w:fldCharType="separate"/>
            </w:r>
            <w:r w:rsidRPr="00466A11">
              <w:rPr>
                <w:rFonts w:ascii="Arial" w:hAnsi="Arial" w:cs="Arial"/>
                <w:noProof/>
                <w:webHidden/>
                <w:sz w:val="22"/>
              </w:rPr>
              <w:t>5</w:t>
            </w:r>
            <w:r w:rsidRPr="00466A11">
              <w:rPr>
                <w:rFonts w:ascii="Arial" w:hAnsi="Arial" w:cs="Arial"/>
                <w:noProof/>
                <w:webHidden/>
                <w:sz w:val="22"/>
              </w:rPr>
              <w:fldChar w:fldCharType="end"/>
            </w:r>
          </w:hyperlink>
        </w:p>
        <w:p w14:paraId="460F7907" w14:textId="77777777" w:rsidR="000D7D63" w:rsidRPr="00466A11" w:rsidRDefault="000D7D63">
          <w:pPr>
            <w:pStyle w:val="TOC2"/>
            <w:tabs>
              <w:tab w:val="right" w:leader="dot" w:pos="9016"/>
            </w:tabs>
            <w:rPr>
              <w:rFonts w:ascii="Arial" w:eastAsiaTheme="minorEastAsia" w:hAnsi="Arial" w:cs="Arial"/>
              <w:noProof/>
              <w:sz w:val="22"/>
              <w:lang w:val="en-US"/>
            </w:rPr>
          </w:pPr>
          <w:hyperlink w:anchor="_Toc223208669" w:history="1">
            <w:r w:rsidRPr="00466A11">
              <w:rPr>
                <w:rStyle w:val="Hyperlink"/>
                <w:rFonts w:ascii="Arial" w:hAnsi="Arial" w:cs="Arial"/>
                <w:noProof/>
                <w:color w:val="auto"/>
                <w:sz w:val="22"/>
              </w:rPr>
              <w:t>Local Analysis: Wales and the Well-being of Future Generations Act</w:t>
            </w:r>
            <w:r w:rsidRPr="00466A11">
              <w:rPr>
                <w:rFonts w:ascii="Arial" w:hAnsi="Arial" w:cs="Arial"/>
                <w:noProof/>
                <w:webHidden/>
                <w:sz w:val="22"/>
              </w:rPr>
              <w:tab/>
            </w:r>
            <w:r w:rsidRPr="00466A11">
              <w:rPr>
                <w:rFonts w:ascii="Arial" w:hAnsi="Arial" w:cs="Arial"/>
                <w:noProof/>
                <w:webHidden/>
                <w:sz w:val="22"/>
              </w:rPr>
              <w:fldChar w:fldCharType="begin"/>
            </w:r>
            <w:r w:rsidRPr="00466A11">
              <w:rPr>
                <w:rFonts w:ascii="Arial" w:hAnsi="Arial" w:cs="Arial"/>
                <w:noProof/>
                <w:webHidden/>
                <w:sz w:val="22"/>
              </w:rPr>
              <w:instrText xml:space="preserve"> PAGEREF _Toc223208669 \h </w:instrText>
            </w:r>
            <w:r w:rsidRPr="00466A11">
              <w:rPr>
                <w:rFonts w:ascii="Arial" w:hAnsi="Arial" w:cs="Arial"/>
                <w:noProof/>
                <w:webHidden/>
                <w:sz w:val="22"/>
              </w:rPr>
            </w:r>
            <w:r w:rsidRPr="00466A11">
              <w:rPr>
                <w:rFonts w:ascii="Arial" w:hAnsi="Arial" w:cs="Arial"/>
                <w:noProof/>
                <w:webHidden/>
                <w:sz w:val="22"/>
              </w:rPr>
              <w:fldChar w:fldCharType="separate"/>
            </w:r>
            <w:r w:rsidRPr="00466A11">
              <w:rPr>
                <w:rFonts w:ascii="Arial" w:hAnsi="Arial" w:cs="Arial"/>
                <w:noProof/>
                <w:webHidden/>
                <w:sz w:val="22"/>
              </w:rPr>
              <w:t>6</w:t>
            </w:r>
            <w:r w:rsidRPr="00466A11">
              <w:rPr>
                <w:rFonts w:ascii="Arial" w:hAnsi="Arial" w:cs="Arial"/>
                <w:noProof/>
                <w:webHidden/>
                <w:sz w:val="22"/>
              </w:rPr>
              <w:fldChar w:fldCharType="end"/>
            </w:r>
          </w:hyperlink>
        </w:p>
        <w:p w14:paraId="5AA2D46A" w14:textId="77777777" w:rsidR="000D7D63" w:rsidRPr="00466A11" w:rsidRDefault="000D7D63">
          <w:pPr>
            <w:pStyle w:val="TOC2"/>
            <w:tabs>
              <w:tab w:val="right" w:leader="dot" w:pos="9016"/>
            </w:tabs>
            <w:rPr>
              <w:rFonts w:ascii="Arial" w:eastAsiaTheme="minorEastAsia" w:hAnsi="Arial" w:cs="Arial"/>
              <w:noProof/>
              <w:sz w:val="22"/>
              <w:lang w:val="en-US"/>
            </w:rPr>
          </w:pPr>
          <w:hyperlink w:anchor="_Toc223208670" w:history="1">
            <w:r w:rsidRPr="00466A11">
              <w:rPr>
                <w:rStyle w:val="Hyperlink"/>
                <w:rFonts w:ascii="Arial" w:hAnsi="Arial" w:cs="Arial"/>
                <w:noProof/>
                <w:color w:val="auto"/>
                <w:sz w:val="22"/>
              </w:rPr>
              <w:t>Critical Evaluation</w:t>
            </w:r>
            <w:r w:rsidRPr="00466A11">
              <w:rPr>
                <w:rFonts w:ascii="Arial" w:hAnsi="Arial" w:cs="Arial"/>
                <w:noProof/>
                <w:webHidden/>
                <w:sz w:val="22"/>
              </w:rPr>
              <w:tab/>
            </w:r>
            <w:r w:rsidRPr="00466A11">
              <w:rPr>
                <w:rFonts w:ascii="Arial" w:hAnsi="Arial" w:cs="Arial"/>
                <w:noProof/>
                <w:webHidden/>
                <w:sz w:val="22"/>
              </w:rPr>
              <w:fldChar w:fldCharType="begin"/>
            </w:r>
            <w:r w:rsidRPr="00466A11">
              <w:rPr>
                <w:rFonts w:ascii="Arial" w:hAnsi="Arial" w:cs="Arial"/>
                <w:noProof/>
                <w:webHidden/>
                <w:sz w:val="22"/>
              </w:rPr>
              <w:instrText xml:space="preserve"> PAGEREF _Toc223208670 \h </w:instrText>
            </w:r>
            <w:r w:rsidRPr="00466A11">
              <w:rPr>
                <w:rFonts w:ascii="Arial" w:hAnsi="Arial" w:cs="Arial"/>
                <w:noProof/>
                <w:webHidden/>
                <w:sz w:val="22"/>
              </w:rPr>
            </w:r>
            <w:r w:rsidRPr="00466A11">
              <w:rPr>
                <w:rFonts w:ascii="Arial" w:hAnsi="Arial" w:cs="Arial"/>
                <w:noProof/>
                <w:webHidden/>
                <w:sz w:val="22"/>
              </w:rPr>
              <w:fldChar w:fldCharType="separate"/>
            </w:r>
            <w:r w:rsidRPr="00466A11">
              <w:rPr>
                <w:rFonts w:ascii="Arial" w:hAnsi="Arial" w:cs="Arial"/>
                <w:noProof/>
                <w:webHidden/>
                <w:sz w:val="22"/>
              </w:rPr>
              <w:t>7</w:t>
            </w:r>
            <w:r w:rsidRPr="00466A11">
              <w:rPr>
                <w:rFonts w:ascii="Arial" w:hAnsi="Arial" w:cs="Arial"/>
                <w:noProof/>
                <w:webHidden/>
                <w:sz w:val="22"/>
              </w:rPr>
              <w:fldChar w:fldCharType="end"/>
            </w:r>
          </w:hyperlink>
        </w:p>
        <w:p w14:paraId="33BBBC4D" w14:textId="77777777" w:rsidR="000D7D63" w:rsidRPr="00466A11" w:rsidRDefault="000D7D63">
          <w:pPr>
            <w:pStyle w:val="TOC2"/>
            <w:tabs>
              <w:tab w:val="right" w:leader="dot" w:pos="9016"/>
            </w:tabs>
            <w:rPr>
              <w:rFonts w:ascii="Arial" w:eastAsiaTheme="minorEastAsia" w:hAnsi="Arial" w:cs="Arial"/>
              <w:noProof/>
              <w:sz w:val="22"/>
              <w:lang w:val="en-US"/>
            </w:rPr>
          </w:pPr>
          <w:hyperlink w:anchor="_Toc223208671" w:history="1">
            <w:r w:rsidRPr="00466A11">
              <w:rPr>
                <w:rStyle w:val="Hyperlink"/>
                <w:rFonts w:ascii="Arial" w:hAnsi="Arial" w:cs="Arial"/>
                <w:noProof/>
                <w:color w:val="auto"/>
                <w:sz w:val="22"/>
              </w:rPr>
              <w:t>Recommendations</w:t>
            </w:r>
            <w:r w:rsidRPr="00466A11">
              <w:rPr>
                <w:rFonts w:ascii="Arial" w:hAnsi="Arial" w:cs="Arial"/>
                <w:noProof/>
                <w:webHidden/>
                <w:sz w:val="22"/>
              </w:rPr>
              <w:tab/>
            </w:r>
            <w:r w:rsidRPr="00466A11">
              <w:rPr>
                <w:rFonts w:ascii="Arial" w:hAnsi="Arial" w:cs="Arial"/>
                <w:noProof/>
                <w:webHidden/>
                <w:sz w:val="22"/>
              </w:rPr>
              <w:fldChar w:fldCharType="begin"/>
            </w:r>
            <w:r w:rsidRPr="00466A11">
              <w:rPr>
                <w:rFonts w:ascii="Arial" w:hAnsi="Arial" w:cs="Arial"/>
                <w:noProof/>
                <w:webHidden/>
                <w:sz w:val="22"/>
              </w:rPr>
              <w:instrText xml:space="preserve"> PAGEREF _Toc223208671 \h </w:instrText>
            </w:r>
            <w:r w:rsidRPr="00466A11">
              <w:rPr>
                <w:rFonts w:ascii="Arial" w:hAnsi="Arial" w:cs="Arial"/>
                <w:noProof/>
                <w:webHidden/>
                <w:sz w:val="22"/>
              </w:rPr>
            </w:r>
            <w:r w:rsidRPr="00466A11">
              <w:rPr>
                <w:rFonts w:ascii="Arial" w:hAnsi="Arial" w:cs="Arial"/>
                <w:noProof/>
                <w:webHidden/>
                <w:sz w:val="22"/>
              </w:rPr>
              <w:fldChar w:fldCharType="separate"/>
            </w:r>
            <w:r w:rsidRPr="00466A11">
              <w:rPr>
                <w:rFonts w:ascii="Arial" w:hAnsi="Arial" w:cs="Arial"/>
                <w:noProof/>
                <w:webHidden/>
                <w:sz w:val="22"/>
              </w:rPr>
              <w:t>7</w:t>
            </w:r>
            <w:r w:rsidRPr="00466A11">
              <w:rPr>
                <w:rFonts w:ascii="Arial" w:hAnsi="Arial" w:cs="Arial"/>
                <w:noProof/>
                <w:webHidden/>
                <w:sz w:val="22"/>
              </w:rPr>
              <w:fldChar w:fldCharType="end"/>
            </w:r>
          </w:hyperlink>
        </w:p>
        <w:p w14:paraId="4433AEFD" w14:textId="77777777" w:rsidR="000D7D63" w:rsidRPr="00466A11" w:rsidRDefault="000D7D63">
          <w:pPr>
            <w:pStyle w:val="TOC2"/>
            <w:tabs>
              <w:tab w:val="right" w:leader="dot" w:pos="9016"/>
            </w:tabs>
            <w:rPr>
              <w:rFonts w:ascii="Arial" w:eastAsiaTheme="minorEastAsia" w:hAnsi="Arial" w:cs="Arial"/>
              <w:noProof/>
              <w:sz w:val="22"/>
              <w:lang w:val="en-US"/>
            </w:rPr>
          </w:pPr>
          <w:hyperlink w:anchor="_Toc223208672" w:history="1">
            <w:r w:rsidRPr="00466A11">
              <w:rPr>
                <w:rStyle w:val="Hyperlink"/>
                <w:rFonts w:ascii="Arial" w:hAnsi="Arial" w:cs="Arial"/>
                <w:noProof/>
                <w:color w:val="auto"/>
                <w:sz w:val="22"/>
              </w:rPr>
              <w:t>Conclusion</w:t>
            </w:r>
            <w:r w:rsidRPr="00466A11">
              <w:rPr>
                <w:rFonts w:ascii="Arial" w:hAnsi="Arial" w:cs="Arial"/>
                <w:noProof/>
                <w:webHidden/>
                <w:sz w:val="22"/>
              </w:rPr>
              <w:tab/>
            </w:r>
            <w:r w:rsidRPr="00466A11">
              <w:rPr>
                <w:rFonts w:ascii="Arial" w:hAnsi="Arial" w:cs="Arial"/>
                <w:noProof/>
                <w:webHidden/>
                <w:sz w:val="22"/>
              </w:rPr>
              <w:fldChar w:fldCharType="begin"/>
            </w:r>
            <w:r w:rsidRPr="00466A11">
              <w:rPr>
                <w:rFonts w:ascii="Arial" w:hAnsi="Arial" w:cs="Arial"/>
                <w:noProof/>
                <w:webHidden/>
                <w:sz w:val="22"/>
              </w:rPr>
              <w:instrText xml:space="preserve"> PAGEREF _Toc223208672 \h </w:instrText>
            </w:r>
            <w:r w:rsidRPr="00466A11">
              <w:rPr>
                <w:rFonts w:ascii="Arial" w:hAnsi="Arial" w:cs="Arial"/>
                <w:noProof/>
                <w:webHidden/>
                <w:sz w:val="22"/>
              </w:rPr>
            </w:r>
            <w:r w:rsidRPr="00466A11">
              <w:rPr>
                <w:rFonts w:ascii="Arial" w:hAnsi="Arial" w:cs="Arial"/>
                <w:noProof/>
                <w:webHidden/>
                <w:sz w:val="22"/>
              </w:rPr>
              <w:fldChar w:fldCharType="separate"/>
            </w:r>
            <w:r w:rsidRPr="00466A11">
              <w:rPr>
                <w:rFonts w:ascii="Arial" w:hAnsi="Arial" w:cs="Arial"/>
                <w:noProof/>
                <w:webHidden/>
                <w:sz w:val="22"/>
              </w:rPr>
              <w:t>8</w:t>
            </w:r>
            <w:r w:rsidRPr="00466A11">
              <w:rPr>
                <w:rFonts w:ascii="Arial" w:hAnsi="Arial" w:cs="Arial"/>
                <w:noProof/>
                <w:webHidden/>
                <w:sz w:val="22"/>
              </w:rPr>
              <w:fldChar w:fldCharType="end"/>
            </w:r>
          </w:hyperlink>
        </w:p>
        <w:p w14:paraId="0DCCF1A9" w14:textId="77777777" w:rsidR="000D7D63" w:rsidRPr="00466A11" w:rsidRDefault="000D7D63">
          <w:pPr>
            <w:pStyle w:val="TOC2"/>
            <w:tabs>
              <w:tab w:val="right" w:leader="dot" w:pos="9016"/>
            </w:tabs>
            <w:rPr>
              <w:rFonts w:ascii="Arial" w:eastAsiaTheme="minorEastAsia" w:hAnsi="Arial" w:cs="Arial"/>
              <w:noProof/>
              <w:sz w:val="22"/>
              <w:lang w:val="en-US"/>
            </w:rPr>
          </w:pPr>
          <w:hyperlink w:anchor="_Toc223208673" w:history="1">
            <w:r w:rsidRPr="00466A11">
              <w:rPr>
                <w:rStyle w:val="Hyperlink"/>
                <w:rFonts w:ascii="Arial" w:hAnsi="Arial" w:cs="Arial"/>
                <w:noProof/>
                <w:color w:val="auto"/>
                <w:sz w:val="22"/>
              </w:rPr>
              <w:t>References</w:t>
            </w:r>
            <w:r w:rsidRPr="00466A11">
              <w:rPr>
                <w:rFonts w:ascii="Arial" w:hAnsi="Arial" w:cs="Arial"/>
                <w:noProof/>
                <w:webHidden/>
                <w:sz w:val="22"/>
              </w:rPr>
              <w:tab/>
            </w:r>
            <w:r w:rsidRPr="00466A11">
              <w:rPr>
                <w:rFonts w:ascii="Arial" w:hAnsi="Arial" w:cs="Arial"/>
                <w:noProof/>
                <w:webHidden/>
                <w:sz w:val="22"/>
              </w:rPr>
              <w:fldChar w:fldCharType="begin"/>
            </w:r>
            <w:r w:rsidRPr="00466A11">
              <w:rPr>
                <w:rFonts w:ascii="Arial" w:hAnsi="Arial" w:cs="Arial"/>
                <w:noProof/>
                <w:webHidden/>
                <w:sz w:val="22"/>
              </w:rPr>
              <w:instrText xml:space="preserve"> PAGEREF _Toc223208673 \h </w:instrText>
            </w:r>
            <w:r w:rsidRPr="00466A11">
              <w:rPr>
                <w:rFonts w:ascii="Arial" w:hAnsi="Arial" w:cs="Arial"/>
                <w:noProof/>
                <w:webHidden/>
                <w:sz w:val="22"/>
              </w:rPr>
            </w:r>
            <w:r w:rsidRPr="00466A11">
              <w:rPr>
                <w:rFonts w:ascii="Arial" w:hAnsi="Arial" w:cs="Arial"/>
                <w:noProof/>
                <w:webHidden/>
                <w:sz w:val="22"/>
              </w:rPr>
              <w:fldChar w:fldCharType="separate"/>
            </w:r>
            <w:r w:rsidRPr="00466A11">
              <w:rPr>
                <w:rFonts w:ascii="Arial" w:hAnsi="Arial" w:cs="Arial"/>
                <w:noProof/>
                <w:webHidden/>
                <w:sz w:val="22"/>
              </w:rPr>
              <w:t>9</w:t>
            </w:r>
            <w:r w:rsidRPr="00466A11">
              <w:rPr>
                <w:rFonts w:ascii="Arial" w:hAnsi="Arial" w:cs="Arial"/>
                <w:noProof/>
                <w:webHidden/>
                <w:sz w:val="22"/>
              </w:rPr>
              <w:fldChar w:fldCharType="end"/>
            </w:r>
          </w:hyperlink>
        </w:p>
        <w:p w14:paraId="0A5F9A65" w14:textId="77777777" w:rsidR="007A3F2C" w:rsidRPr="00D43235" w:rsidRDefault="007A3F2C" w:rsidP="00367E6C">
          <w:pPr>
            <w:rPr>
              <w:rFonts w:ascii="Arial" w:hAnsi="Arial" w:cs="Arial"/>
              <w:sz w:val="22"/>
            </w:rPr>
          </w:pPr>
          <w:r w:rsidRPr="00466A11">
            <w:rPr>
              <w:rFonts w:ascii="Arial" w:hAnsi="Arial" w:cs="Arial"/>
              <w:b/>
              <w:bCs/>
              <w:noProof/>
              <w:sz w:val="22"/>
            </w:rPr>
            <w:fldChar w:fldCharType="end"/>
          </w:r>
        </w:p>
      </w:sdtContent>
    </w:sdt>
    <w:p w14:paraId="10B2B86F" w14:textId="77777777" w:rsidR="007A3F2C" w:rsidRPr="00D43235" w:rsidRDefault="007A3F2C" w:rsidP="00367E6C">
      <w:pPr>
        <w:rPr>
          <w:rFonts w:ascii="Arial" w:hAnsi="Arial" w:cs="Arial"/>
          <w:b/>
          <w:sz w:val="22"/>
          <w:lang w:eastAsia="en-GB"/>
        </w:rPr>
      </w:pPr>
    </w:p>
    <w:p w14:paraId="335A4674" w14:textId="77777777" w:rsidR="001811BE" w:rsidRPr="00D43235" w:rsidRDefault="001B3FAA" w:rsidP="00367E6C">
      <w:pPr>
        <w:rPr>
          <w:rFonts w:ascii="Arial" w:hAnsi="Arial" w:cs="Arial"/>
          <w:b/>
          <w:sz w:val="22"/>
          <w:lang w:eastAsia="en-GB"/>
        </w:rPr>
      </w:pPr>
      <w:r w:rsidRPr="00D43235">
        <w:rPr>
          <w:rFonts w:ascii="Arial" w:hAnsi="Arial" w:cs="Arial"/>
          <w:b/>
          <w:sz w:val="22"/>
          <w:lang w:eastAsia="en-GB"/>
        </w:rPr>
        <w:br w:type="page"/>
      </w:r>
    </w:p>
    <w:p w14:paraId="294D9899" w14:textId="77777777" w:rsidR="001811BE" w:rsidRPr="00D43235" w:rsidRDefault="001811BE" w:rsidP="00367E6C">
      <w:pPr>
        <w:pStyle w:val="Heading2"/>
        <w:spacing w:line="360" w:lineRule="auto"/>
        <w:jc w:val="both"/>
        <w:rPr>
          <w:rFonts w:ascii="Arial" w:hAnsi="Arial" w:cs="Arial"/>
          <w:sz w:val="22"/>
          <w:szCs w:val="22"/>
        </w:rPr>
      </w:pPr>
      <w:bookmarkStart w:id="0" w:name="_Toc223208665"/>
      <w:r w:rsidRPr="00D43235">
        <w:rPr>
          <w:rFonts w:ascii="Arial" w:hAnsi="Arial" w:cs="Arial"/>
          <w:sz w:val="22"/>
          <w:szCs w:val="22"/>
        </w:rPr>
        <w:lastRenderedPageBreak/>
        <w:t>Introduction</w:t>
      </w:r>
      <w:bookmarkEnd w:id="0"/>
    </w:p>
    <w:p w14:paraId="20E3F1DC" w14:textId="394D95FC" w:rsidR="00A62EFF" w:rsidRPr="00D43235" w:rsidRDefault="00A62EFF" w:rsidP="00367E6C">
      <w:pPr>
        <w:pStyle w:val="NormalWeb"/>
        <w:spacing w:line="360" w:lineRule="auto"/>
        <w:jc w:val="both"/>
        <w:rPr>
          <w:rFonts w:ascii="Arial" w:hAnsi="Arial" w:cs="Arial"/>
          <w:sz w:val="22"/>
          <w:szCs w:val="22"/>
        </w:rPr>
      </w:pPr>
      <w:r w:rsidRPr="00D43235">
        <w:rPr>
          <w:rFonts w:ascii="Arial" w:hAnsi="Arial" w:cs="Arial"/>
          <w:sz w:val="22"/>
          <w:szCs w:val="22"/>
        </w:rPr>
        <w:t>In 2015, the United Nations adopted the 2030 Agenda of Sustainable Development, which created 17 interdependent Sustainable Development Goals (SDGs) aimed at solving the global social, economic and environmental problems. SDGs acknowledge that development should be inclusive, equitable and sustainable to the environment to ensure long</w:t>
      </w:r>
      <w:r w:rsidR="005E2AE9">
        <w:rPr>
          <w:rFonts w:ascii="Arial" w:hAnsi="Arial" w:cs="Arial"/>
          <w:sz w:val="22"/>
          <w:szCs w:val="22"/>
        </w:rPr>
        <w:t>-</w:t>
      </w:r>
      <w:r w:rsidRPr="00D43235">
        <w:rPr>
          <w:rFonts w:ascii="Arial" w:hAnsi="Arial" w:cs="Arial"/>
          <w:sz w:val="22"/>
          <w:szCs w:val="22"/>
        </w:rPr>
        <w:t>term wellbeing</w:t>
      </w:r>
      <w:r w:rsidR="0050294C" w:rsidRPr="00D43235">
        <w:rPr>
          <w:rFonts w:ascii="Arial" w:hAnsi="Arial" w:cs="Arial"/>
          <w:sz w:val="22"/>
          <w:szCs w:val="22"/>
        </w:rPr>
        <w:t xml:space="preserve"> (United Nations, 2015)</w:t>
      </w:r>
      <w:r w:rsidRPr="00D43235">
        <w:rPr>
          <w:rFonts w:ascii="Arial" w:hAnsi="Arial" w:cs="Arial"/>
          <w:sz w:val="22"/>
          <w:szCs w:val="22"/>
        </w:rPr>
        <w:t>. One of these objectives, SDG 3, means to provide healthy lives and well</w:t>
      </w:r>
      <w:r w:rsidR="005E2AE9">
        <w:rPr>
          <w:rFonts w:ascii="Arial" w:hAnsi="Arial" w:cs="Arial"/>
          <w:sz w:val="22"/>
          <w:szCs w:val="22"/>
        </w:rPr>
        <w:t>-</w:t>
      </w:r>
      <w:r w:rsidRPr="00D43235">
        <w:rPr>
          <w:rFonts w:ascii="Arial" w:hAnsi="Arial" w:cs="Arial"/>
          <w:sz w:val="22"/>
          <w:szCs w:val="22"/>
        </w:rPr>
        <w:t>being to people of all ages, whereas SDG 10 is to minimise inequalities inside and outside of the countries. These objectives are inseparably related: social and economic inequalities have a tremendous impact on any health outcomes, and without any advancement in inequality reduction, any positive changes in health cannot be maintained fairly.</w:t>
      </w:r>
    </w:p>
    <w:p w14:paraId="63C25B50" w14:textId="4BA3818F" w:rsidR="006F0DD0" w:rsidRPr="00D43235" w:rsidRDefault="00A62EFF" w:rsidP="00367E6C">
      <w:pPr>
        <w:pStyle w:val="NormalWeb"/>
        <w:spacing w:line="360" w:lineRule="auto"/>
        <w:jc w:val="both"/>
        <w:rPr>
          <w:rFonts w:ascii="Arial" w:hAnsi="Arial" w:cs="Arial"/>
          <w:sz w:val="22"/>
          <w:szCs w:val="22"/>
        </w:rPr>
      </w:pPr>
      <w:r w:rsidRPr="00D43235">
        <w:rPr>
          <w:rFonts w:ascii="Arial" w:hAnsi="Arial" w:cs="Arial"/>
          <w:sz w:val="22"/>
          <w:szCs w:val="22"/>
        </w:rPr>
        <w:t>In spite of the wide international interest, there are still marked life expectancy gaps, disease burden, mental health outcomes and access to care levels in the world and countr</w:t>
      </w:r>
      <w:r w:rsidR="005E2AE9">
        <w:rPr>
          <w:rFonts w:ascii="Arial" w:hAnsi="Arial" w:cs="Arial"/>
          <w:sz w:val="22"/>
          <w:szCs w:val="22"/>
        </w:rPr>
        <w:t>ies</w:t>
      </w:r>
      <w:r w:rsidRPr="00D43235">
        <w:rPr>
          <w:rFonts w:ascii="Arial" w:hAnsi="Arial" w:cs="Arial"/>
          <w:sz w:val="22"/>
          <w:szCs w:val="22"/>
        </w:rPr>
        <w:t>. The COVID-19 outbreak also revealed systemic weaknesses, as well as expanded existing disparities. The report is a critical analysis of the impact of SDG 3 and SDG 10 on global, national (United Kingdom) and local (Wales) health and wellbeing. It assesses the efficiency of the modern policies and programmes and provide</w:t>
      </w:r>
      <w:r w:rsidR="005E2AE9">
        <w:rPr>
          <w:rFonts w:ascii="Arial" w:hAnsi="Arial" w:cs="Arial"/>
          <w:sz w:val="22"/>
          <w:szCs w:val="22"/>
        </w:rPr>
        <w:t>s</w:t>
      </w:r>
      <w:r w:rsidRPr="00D43235">
        <w:rPr>
          <w:rFonts w:ascii="Arial" w:hAnsi="Arial" w:cs="Arial"/>
          <w:sz w:val="22"/>
          <w:szCs w:val="22"/>
        </w:rPr>
        <w:t xml:space="preserve"> evidence-based suggestions to enhance sustainable health promotion measures. The discussion states that despite the rhetorical consensus between policy frameworks and SDG ambitions, structural inequality, inadequate funding and implementation constraints are still obsta</w:t>
      </w:r>
      <w:r w:rsidR="006F0DD0" w:rsidRPr="00D43235">
        <w:rPr>
          <w:rFonts w:ascii="Arial" w:hAnsi="Arial" w:cs="Arial"/>
          <w:sz w:val="22"/>
          <w:szCs w:val="22"/>
        </w:rPr>
        <w:t>cles to transformational change (United Nations, 2023; World Health Organization, 2023)</w:t>
      </w:r>
      <w:r w:rsidR="0007699A" w:rsidRPr="00D43235">
        <w:rPr>
          <w:rFonts w:ascii="Arial" w:hAnsi="Arial" w:cs="Arial"/>
          <w:sz w:val="22"/>
          <w:szCs w:val="22"/>
        </w:rPr>
        <w:t>.</w:t>
      </w:r>
    </w:p>
    <w:p w14:paraId="3235F676" w14:textId="77777777" w:rsidR="001811BE" w:rsidRPr="00D43235" w:rsidRDefault="001811BE" w:rsidP="00367E6C">
      <w:pPr>
        <w:pStyle w:val="Heading2"/>
        <w:spacing w:line="360" w:lineRule="auto"/>
        <w:jc w:val="both"/>
        <w:rPr>
          <w:rFonts w:ascii="Arial" w:hAnsi="Arial" w:cs="Arial"/>
          <w:sz w:val="22"/>
          <w:szCs w:val="22"/>
        </w:rPr>
      </w:pPr>
      <w:bookmarkStart w:id="1" w:name="_Toc223208666"/>
      <w:r w:rsidRPr="00D43235">
        <w:rPr>
          <w:rFonts w:ascii="Arial" w:hAnsi="Arial" w:cs="Arial"/>
          <w:sz w:val="22"/>
          <w:szCs w:val="22"/>
        </w:rPr>
        <w:t>Conceptual Framework: Social Determinants, Inequality and Sustainability</w:t>
      </w:r>
      <w:bookmarkEnd w:id="1"/>
    </w:p>
    <w:p w14:paraId="5B3CE402" w14:textId="77777777" w:rsidR="00952507" w:rsidRPr="00D43235" w:rsidRDefault="00952507" w:rsidP="00367E6C">
      <w:pPr>
        <w:pStyle w:val="NormalWeb"/>
        <w:spacing w:line="360" w:lineRule="auto"/>
        <w:jc w:val="both"/>
        <w:rPr>
          <w:rFonts w:ascii="Arial" w:hAnsi="Arial" w:cs="Arial"/>
          <w:sz w:val="22"/>
          <w:szCs w:val="22"/>
        </w:rPr>
      </w:pPr>
      <w:r w:rsidRPr="00D43235">
        <w:rPr>
          <w:rFonts w:ascii="Arial" w:hAnsi="Arial" w:cs="Arial"/>
          <w:sz w:val="22"/>
          <w:szCs w:val="22"/>
        </w:rPr>
        <w:t>Health does not exist as merely a negative manifestation of disease but as a multi-dimensional condition whose determinants are biological, psychological, social and environmental. The Social Determinants of Health framework reveals the importance of living conditions, income, jobs, housing quality, education, and social capital in determining the outcome of health (Marmot, 2020). The Dahlgren and Whitehead model illustrates the influences on health which lie in layers in a visual way, starting with the individual lifestyle and then rising to broader socioeconomic, cultural and environmental circumstances. All these frameworks add up to the realisation that health inequalities are not only systemic but also structural</w:t>
      </w:r>
      <w:r w:rsidR="007103ED" w:rsidRPr="00D43235">
        <w:rPr>
          <w:rFonts w:ascii="Arial" w:hAnsi="Arial" w:cs="Arial"/>
          <w:sz w:val="22"/>
          <w:szCs w:val="22"/>
        </w:rPr>
        <w:t xml:space="preserve"> (Dahlgren and Whitehead, 2021)</w:t>
      </w:r>
      <w:r w:rsidRPr="00D43235">
        <w:rPr>
          <w:rFonts w:ascii="Arial" w:hAnsi="Arial" w:cs="Arial"/>
          <w:sz w:val="22"/>
          <w:szCs w:val="22"/>
        </w:rPr>
        <w:t>.</w:t>
      </w:r>
    </w:p>
    <w:p w14:paraId="4A040415" w14:textId="5AAE1B7F" w:rsidR="00952507" w:rsidRPr="00D43235" w:rsidRDefault="00952507" w:rsidP="00367E6C">
      <w:pPr>
        <w:pStyle w:val="NormalWeb"/>
        <w:spacing w:line="360" w:lineRule="auto"/>
        <w:jc w:val="both"/>
        <w:rPr>
          <w:rFonts w:ascii="Arial" w:hAnsi="Arial" w:cs="Arial"/>
          <w:sz w:val="22"/>
          <w:szCs w:val="22"/>
        </w:rPr>
      </w:pPr>
      <w:r w:rsidRPr="00D43235">
        <w:rPr>
          <w:rFonts w:ascii="Arial" w:hAnsi="Arial" w:cs="Arial"/>
          <w:sz w:val="22"/>
          <w:szCs w:val="22"/>
        </w:rPr>
        <w:t>In SDG 10</w:t>
      </w:r>
      <w:r w:rsidR="005E2AE9">
        <w:rPr>
          <w:rFonts w:ascii="Arial" w:hAnsi="Arial" w:cs="Arial"/>
          <w:sz w:val="22"/>
          <w:szCs w:val="22"/>
        </w:rPr>
        <w:t>,</w:t>
      </w:r>
      <w:r w:rsidRPr="00D43235">
        <w:rPr>
          <w:rFonts w:ascii="Arial" w:hAnsi="Arial" w:cs="Arial"/>
          <w:sz w:val="22"/>
          <w:szCs w:val="22"/>
        </w:rPr>
        <w:t xml:space="preserve"> structural disparity is specifically covered as the authors understand that the disparity between access to resources, power and opportunity will yield unequal health outcomes. The case of income inequality, to illustrate the point, is strongly associated with the </w:t>
      </w:r>
      <w:r w:rsidRPr="00D43235">
        <w:rPr>
          <w:rFonts w:ascii="Arial" w:hAnsi="Arial" w:cs="Arial"/>
          <w:sz w:val="22"/>
          <w:szCs w:val="22"/>
        </w:rPr>
        <w:lastRenderedPageBreak/>
        <w:t>increased rates of chronic illness, worse mental health and shorter life span. Thus, development according to SDG 3 is directly reliant on inequality reduction via redistributive and preventative policies</w:t>
      </w:r>
      <w:r w:rsidR="000C0B72" w:rsidRPr="00D43235">
        <w:rPr>
          <w:rFonts w:ascii="Arial" w:hAnsi="Arial" w:cs="Arial"/>
          <w:sz w:val="22"/>
          <w:szCs w:val="22"/>
        </w:rPr>
        <w:t xml:space="preserve"> (Braveman et al., 2022)</w:t>
      </w:r>
      <w:r w:rsidRPr="00D43235">
        <w:rPr>
          <w:rFonts w:ascii="Arial" w:hAnsi="Arial" w:cs="Arial"/>
          <w:sz w:val="22"/>
          <w:szCs w:val="22"/>
        </w:rPr>
        <w:t>.</w:t>
      </w:r>
    </w:p>
    <w:p w14:paraId="171D6DED" w14:textId="14534709" w:rsidR="00952507" w:rsidRPr="00D43235" w:rsidRDefault="00952507" w:rsidP="00367E6C">
      <w:pPr>
        <w:pStyle w:val="NormalWeb"/>
        <w:spacing w:line="360" w:lineRule="auto"/>
        <w:jc w:val="both"/>
        <w:rPr>
          <w:rFonts w:ascii="Arial" w:hAnsi="Arial" w:cs="Arial"/>
          <w:sz w:val="22"/>
          <w:szCs w:val="22"/>
        </w:rPr>
      </w:pPr>
      <w:r w:rsidRPr="00D43235">
        <w:rPr>
          <w:rFonts w:ascii="Arial" w:hAnsi="Arial" w:cs="Arial"/>
          <w:sz w:val="22"/>
          <w:szCs w:val="22"/>
        </w:rPr>
        <w:t>Sustainable development also incorporates both social equity and environmental protection</w:t>
      </w:r>
      <w:r w:rsidR="005E2AE9">
        <w:rPr>
          <w:rFonts w:ascii="Arial" w:hAnsi="Arial" w:cs="Arial"/>
          <w:sz w:val="22"/>
          <w:szCs w:val="22"/>
        </w:rPr>
        <w:t>,</w:t>
      </w:r>
      <w:r w:rsidRPr="00D43235">
        <w:rPr>
          <w:rFonts w:ascii="Arial" w:hAnsi="Arial" w:cs="Arial"/>
          <w:sz w:val="22"/>
          <w:szCs w:val="22"/>
        </w:rPr>
        <w:t xml:space="preserve"> as well as economic resiliency. Health in All Policies (</w:t>
      </w:r>
      <w:proofErr w:type="spellStart"/>
      <w:r w:rsidRPr="00D43235">
        <w:rPr>
          <w:rFonts w:ascii="Arial" w:hAnsi="Arial" w:cs="Arial"/>
          <w:sz w:val="22"/>
          <w:szCs w:val="22"/>
        </w:rPr>
        <w:t>HiAP</w:t>
      </w:r>
      <w:proofErr w:type="spellEnd"/>
      <w:r w:rsidRPr="00D43235">
        <w:rPr>
          <w:rFonts w:ascii="Arial" w:hAnsi="Arial" w:cs="Arial"/>
          <w:sz w:val="22"/>
          <w:szCs w:val="22"/>
        </w:rPr>
        <w:t>) is an approach that the World Health Organisation advocates</w:t>
      </w:r>
      <w:r w:rsidR="005E2AE9">
        <w:rPr>
          <w:rFonts w:ascii="Arial" w:hAnsi="Arial" w:cs="Arial"/>
          <w:sz w:val="22"/>
          <w:szCs w:val="22"/>
        </w:rPr>
        <w:t>,</w:t>
      </w:r>
      <w:r w:rsidRPr="00D43235">
        <w:rPr>
          <w:rFonts w:ascii="Arial" w:hAnsi="Arial" w:cs="Arial"/>
          <w:sz w:val="22"/>
          <w:szCs w:val="22"/>
        </w:rPr>
        <w:t xml:space="preserve"> which focuses on cross-sectoral cooperation to incorporate health concerns into the transport, housing, employment, and environmental policy. This is an appreciation of the fact that health disparities can never be solved by healthcare services</w:t>
      </w:r>
      <w:r w:rsidR="00C23262" w:rsidRPr="00D43235">
        <w:rPr>
          <w:rFonts w:ascii="Arial" w:hAnsi="Arial" w:cs="Arial"/>
          <w:sz w:val="22"/>
          <w:szCs w:val="22"/>
        </w:rPr>
        <w:t xml:space="preserve"> (World Health Organization, 2018)</w:t>
      </w:r>
      <w:r w:rsidRPr="00D43235">
        <w:rPr>
          <w:rFonts w:ascii="Arial" w:hAnsi="Arial" w:cs="Arial"/>
          <w:sz w:val="22"/>
          <w:szCs w:val="22"/>
        </w:rPr>
        <w:t>.</w:t>
      </w:r>
    </w:p>
    <w:p w14:paraId="5F0EDDD6" w14:textId="71A54BDB" w:rsidR="001811BE" w:rsidRPr="00D43235" w:rsidRDefault="00952507" w:rsidP="00367E6C">
      <w:pPr>
        <w:pStyle w:val="NormalWeb"/>
        <w:spacing w:line="360" w:lineRule="auto"/>
        <w:jc w:val="both"/>
        <w:rPr>
          <w:rFonts w:ascii="Arial" w:hAnsi="Arial" w:cs="Arial"/>
          <w:sz w:val="22"/>
          <w:szCs w:val="22"/>
        </w:rPr>
      </w:pPr>
      <w:r w:rsidRPr="00D43235">
        <w:rPr>
          <w:rFonts w:ascii="Arial" w:hAnsi="Arial" w:cs="Arial"/>
          <w:sz w:val="22"/>
          <w:szCs w:val="22"/>
        </w:rPr>
        <w:t>Nonetheless, the transfer of theory into practi</w:t>
      </w:r>
      <w:r w:rsidR="005E2AE9">
        <w:rPr>
          <w:rFonts w:ascii="Arial" w:hAnsi="Arial" w:cs="Arial"/>
          <w:sz w:val="22"/>
          <w:szCs w:val="22"/>
        </w:rPr>
        <w:t>ce remains</w:t>
      </w:r>
      <w:r w:rsidRPr="00D43235">
        <w:rPr>
          <w:rFonts w:ascii="Arial" w:hAnsi="Arial" w:cs="Arial"/>
          <w:sz w:val="22"/>
          <w:szCs w:val="22"/>
        </w:rPr>
        <w:t xml:space="preserve"> complicated. Integrated approaches are often hampered by political short-termism, economic austerity and divided governance systems. Moreover, sustainability outcomes are usually not measured consistently, as this limits accountability. These conceptual contradictions offer an evaluation perspective with the help of which global, national, and local processes of implementing SDG 3 and SDG 10 may be assessed</w:t>
      </w:r>
      <w:r w:rsidR="009B40F9" w:rsidRPr="00D43235">
        <w:rPr>
          <w:rFonts w:ascii="Arial" w:hAnsi="Arial" w:cs="Arial"/>
          <w:sz w:val="22"/>
          <w:szCs w:val="22"/>
        </w:rPr>
        <w:t xml:space="preserve"> (Solar and Irwin, 2019)</w:t>
      </w:r>
      <w:r w:rsidRPr="00D43235">
        <w:rPr>
          <w:rFonts w:ascii="Arial" w:hAnsi="Arial" w:cs="Arial"/>
          <w:sz w:val="22"/>
          <w:szCs w:val="22"/>
        </w:rPr>
        <w:t>.</w:t>
      </w:r>
    </w:p>
    <w:p w14:paraId="5861322F" w14:textId="77777777" w:rsidR="001811BE" w:rsidRPr="00D43235" w:rsidRDefault="001811BE" w:rsidP="00367E6C">
      <w:pPr>
        <w:pStyle w:val="Heading2"/>
        <w:spacing w:line="360" w:lineRule="auto"/>
        <w:jc w:val="both"/>
        <w:rPr>
          <w:rFonts w:ascii="Arial" w:hAnsi="Arial" w:cs="Arial"/>
          <w:sz w:val="22"/>
          <w:szCs w:val="22"/>
        </w:rPr>
      </w:pPr>
      <w:bookmarkStart w:id="2" w:name="_Toc223208667"/>
      <w:r w:rsidRPr="00D43235">
        <w:rPr>
          <w:rFonts w:ascii="Arial" w:hAnsi="Arial" w:cs="Arial"/>
          <w:sz w:val="22"/>
          <w:szCs w:val="22"/>
        </w:rPr>
        <w:t>Global Analysis: Progress and Persistent Inequalities</w:t>
      </w:r>
      <w:bookmarkEnd w:id="2"/>
    </w:p>
    <w:p w14:paraId="23CF0DF1" w14:textId="6D5BF39D" w:rsidR="00B55A53" w:rsidRPr="00D43235" w:rsidRDefault="00B55A53" w:rsidP="00367E6C">
      <w:pPr>
        <w:pStyle w:val="NormalWeb"/>
        <w:spacing w:line="360" w:lineRule="auto"/>
        <w:jc w:val="both"/>
        <w:rPr>
          <w:rFonts w:ascii="Arial" w:hAnsi="Arial" w:cs="Arial"/>
          <w:sz w:val="22"/>
          <w:szCs w:val="22"/>
        </w:rPr>
      </w:pPr>
      <w:r w:rsidRPr="00D43235">
        <w:rPr>
          <w:rFonts w:ascii="Arial" w:hAnsi="Arial" w:cs="Arial"/>
          <w:sz w:val="22"/>
          <w:szCs w:val="22"/>
        </w:rPr>
        <w:t>SDG 3 showed moderate improvement in maternal mortality and the control of infectious diseases globally. Nevertheless, the World Health Organisation (2023) notes that there has been no progress and in certain instances even a decline in the same, especially after the coronavirus pandemic. In 2020 and 2021, the global life expectancy decreased, and routine immunisation initiatives were interrupted in several regions.</w:t>
      </w:r>
    </w:p>
    <w:p w14:paraId="59569A5C" w14:textId="77777777" w:rsidR="00B55A53" w:rsidRPr="00D43235" w:rsidRDefault="00B55A53" w:rsidP="00367E6C">
      <w:pPr>
        <w:pStyle w:val="NormalWeb"/>
        <w:spacing w:line="360" w:lineRule="auto"/>
        <w:jc w:val="both"/>
        <w:rPr>
          <w:rFonts w:ascii="Arial" w:hAnsi="Arial" w:cs="Arial"/>
          <w:sz w:val="22"/>
          <w:szCs w:val="22"/>
        </w:rPr>
      </w:pPr>
      <w:r w:rsidRPr="00D43235">
        <w:rPr>
          <w:rFonts w:ascii="Arial" w:hAnsi="Arial" w:cs="Arial"/>
          <w:sz w:val="22"/>
          <w:szCs w:val="22"/>
        </w:rPr>
        <w:t>The pandemic demonstrated that there existed deep inequalities in healthcare access, vaccine distribution and economic resilience. The richest nations purchased vaccines at much higher prices compared to the poorer countries, a fact that demonstrates the imbalance in power structures of the global health governance. Such injustice demonstrates the fact that SDG 10 is not treated appropriately on the international level</w:t>
      </w:r>
      <w:r w:rsidR="00964F40" w:rsidRPr="00D43235">
        <w:rPr>
          <w:rFonts w:ascii="Arial" w:hAnsi="Arial" w:cs="Arial"/>
          <w:sz w:val="22"/>
          <w:szCs w:val="22"/>
        </w:rPr>
        <w:t xml:space="preserve"> (Ghebreyesus, 2022)</w:t>
      </w:r>
      <w:r w:rsidRPr="00D43235">
        <w:rPr>
          <w:rFonts w:ascii="Arial" w:hAnsi="Arial" w:cs="Arial"/>
          <w:sz w:val="22"/>
          <w:szCs w:val="22"/>
        </w:rPr>
        <w:t>.</w:t>
      </w:r>
    </w:p>
    <w:p w14:paraId="6A6CA405" w14:textId="7B9DACF7" w:rsidR="00B55A53" w:rsidRPr="00D43235" w:rsidRDefault="00B55A53" w:rsidP="00367E6C">
      <w:pPr>
        <w:pStyle w:val="NormalWeb"/>
        <w:spacing w:line="360" w:lineRule="auto"/>
        <w:jc w:val="both"/>
        <w:rPr>
          <w:rFonts w:ascii="Arial" w:hAnsi="Arial" w:cs="Arial"/>
          <w:sz w:val="22"/>
          <w:szCs w:val="22"/>
        </w:rPr>
      </w:pPr>
      <w:r w:rsidRPr="00D43235">
        <w:rPr>
          <w:rFonts w:ascii="Arial" w:hAnsi="Arial" w:cs="Arial"/>
          <w:sz w:val="22"/>
          <w:szCs w:val="22"/>
        </w:rPr>
        <w:t xml:space="preserve">In addition to the pandemic, more than half of the global population does not have access to the necessary health services (United Nations, 2023). Out-of-pocket health spending has remained a major cause of financial strain that pushes millions of people </w:t>
      </w:r>
      <w:r w:rsidR="005E2AE9">
        <w:rPr>
          <w:rFonts w:ascii="Arial" w:hAnsi="Arial" w:cs="Arial"/>
          <w:sz w:val="22"/>
          <w:szCs w:val="22"/>
        </w:rPr>
        <w:t>in</w:t>
      </w:r>
      <w:r w:rsidRPr="00D43235">
        <w:rPr>
          <w:rFonts w:ascii="Arial" w:hAnsi="Arial" w:cs="Arial"/>
          <w:sz w:val="22"/>
          <w:szCs w:val="22"/>
        </w:rPr>
        <w:t>to poverty every year. These facts signify that the level of universal health coverage is idealistic in most settings.</w:t>
      </w:r>
    </w:p>
    <w:p w14:paraId="64DD4388" w14:textId="3464BC43" w:rsidR="00B55A53" w:rsidRPr="00D43235" w:rsidRDefault="00B55A53" w:rsidP="00367E6C">
      <w:pPr>
        <w:pStyle w:val="NormalWeb"/>
        <w:spacing w:line="360" w:lineRule="auto"/>
        <w:jc w:val="both"/>
        <w:rPr>
          <w:rFonts w:ascii="Arial" w:hAnsi="Arial" w:cs="Arial"/>
          <w:sz w:val="22"/>
          <w:szCs w:val="22"/>
        </w:rPr>
      </w:pPr>
      <w:r w:rsidRPr="00D43235">
        <w:rPr>
          <w:rFonts w:ascii="Arial" w:hAnsi="Arial" w:cs="Arial"/>
          <w:sz w:val="22"/>
          <w:szCs w:val="22"/>
        </w:rPr>
        <w:lastRenderedPageBreak/>
        <w:t>The issue of climate change also makes things more difficult. Disastrous weather conditions, food uncertainties and displacement have a disproportionate impact on vulnerable groups</w:t>
      </w:r>
      <w:r w:rsidR="005E2AE9">
        <w:rPr>
          <w:rFonts w:ascii="Arial" w:hAnsi="Arial" w:cs="Arial"/>
          <w:sz w:val="22"/>
          <w:szCs w:val="22"/>
        </w:rPr>
        <w:t>,</w:t>
      </w:r>
      <w:r w:rsidRPr="00D43235">
        <w:rPr>
          <w:rFonts w:ascii="Arial" w:hAnsi="Arial" w:cs="Arial"/>
          <w:sz w:val="22"/>
          <w:szCs w:val="22"/>
        </w:rPr>
        <w:t xml:space="preserve"> increasing disparities in health. This proves that sustainable development cannot be broken into parts since environmental sustainability and health equity are complementary</w:t>
      </w:r>
      <w:r w:rsidR="001129A5" w:rsidRPr="00D43235">
        <w:rPr>
          <w:rFonts w:ascii="Arial" w:hAnsi="Arial" w:cs="Arial"/>
          <w:sz w:val="22"/>
          <w:szCs w:val="22"/>
        </w:rPr>
        <w:t xml:space="preserve"> (The Lancet Public Health, 2022)</w:t>
      </w:r>
      <w:r w:rsidRPr="00D43235">
        <w:rPr>
          <w:rFonts w:ascii="Arial" w:hAnsi="Arial" w:cs="Arial"/>
          <w:sz w:val="22"/>
          <w:szCs w:val="22"/>
        </w:rPr>
        <w:t>.</w:t>
      </w:r>
    </w:p>
    <w:p w14:paraId="1774B1F1" w14:textId="17971A9A" w:rsidR="001811BE" w:rsidRPr="00D43235" w:rsidRDefault="00B55A53" w:rsidP="00367E6C">
      <w:pPr>
        <w:pStyle w:val="NormalWeb"/>
        <w:spacing w:line="360" w:lineRule="auto"/>
        <w:jc w:val="both"/>
        <w:rPr>
          <w:rFonts w:ascii="Arial" w:hAnsi="Arial" w:cs="Arial"/>
          <w:sz w:val="22"/>
          <w:szCs w:val="22"/>
        </w:rPr>
      </w:pPr>
      <w:r w:rsidRPr="00D43235">
        <w:rPr>
          <w:rFonts w:ascii="Arial" w:hAnsi="Arial" w:cs="Arial"/>
          <w:sz w:val="22"/>
          <w:szCs w:val="22"/>
        </w:rPr>
        <w:t>However, there are structural weaknesses in global structures. SDGs are based on voluntary compliance of states and have no enforcement mechanisms. The financial commitments are changing based on political priorities</w:t>
      </w:r>
      <w:r w:rsidR="005E2AE9">
        <w:rPr>
          <w:rFonts w:ascii="Arial" w:hAnsi="Arial" w:cs="Arial"/>
          <w:sz w:val="22"/>
          <w:szCs w:val="22"/>
        </w:rPr>
        <w:t>,</w:t>
      </w:r>
      <w:r w:rsidRPr="00D43235">
        <w:rPr>
          <w:rFonts w:ascii="Arial" w:hAnsi="Arial" w:cs="Arial"/>
          <w:sz w:val="22"/>
          <w:szCs w:val="22"/>
        </w:rPr>
        <w:t xml:space="preserve"> and geopolitical unpredictability interferes with the action. The normative guidance of SDG 3 and SDG 10 is therefore unevenly conducted with a limited scope of implementation based on systemic economic inequities and power disparities</w:t>
      </w:r>
      <w:r w:rsidR="00FB7AAE" w:rsidRPr="00D43235">
        <w:rPr>
          <w:rFonts w:ascii="Arial" w:hAnsi="Arial" w:cs="Arial"/>
          <w:sz w:val="22"/>
          <w:szCs w:val="22"/>
        </w:rPr>
        <w:t xml:space="preserve"> (Oxfam, 2023)</w:t>
      </w:r>
      <w:r w:rsidRPr="00D43235">
        <w:rPr>
          <w:rFonts w:ascii="Arial" w:hAnsi="Arial" w:cs="Arial"/>
          <w:sz w:val="22"/>
          <w:szCs w:val="22"/>
        </w:rPr>
        <w:t>.</w:t>
      </w:r>
    </w:p>
    <w:p w14:paraId="72DB35DA" w14:textId="77777777" w:rsidR="001811BE" w:rsidRPr="00D43235" w:rsidRDefault="001811BE" w:rsidP="00367E6C">
      <w:pPr>
        <w:pStyle w:val="Heading2"/>
        <w:spacing w:line="360" w:lineRule="auto"/>
        <w:jc w:val="both"/>
        <w:rPr>
          <w:rFonts w:ascii="Arial" w:hAnsi="Arial" w:cs="Arial"/>
          <w:sz w:val="22"/>
          <w:szCs w:val="22"/>
        </w:rPr>
      </w:pPr>
      <w:bookmarkStart w:id="3" w:name="_Toc223208668"/>
      <w:r w:rsidRPr="00D43235">
        <w:rPr>
          <w:rFonts w:ascii="Arial" w:hAnsi="Arial" w:cs="Arial"/>
          <w:sz w:val="22"/>
          <w:szCs w:val="22"/>
        </w:rPr>
        <w:t>National Analysis: United Kingdom</w:t>
      </w:r>
      <w:bookmarkEnd w:id="3"/>
    </w:p>
    <w:p w14:paraId="5EADDB16" w14:textId="1AE44BA2" w:rsidR="00896F48" w:rsidRPr="00D43235" w:rsidRDefault="00896F48" w:rsidP="00367E6C">
      <w:pPr>
        <w:pStyle w:val="NormalWeb"/>
        <w:spacing w:line="360" w:lineRule="auto"/>
        <w:jc w:val="both"/>
        <w:rPr>
          <w:rFonts w:ascii="Arial" w:hAnsi="Arial" w:cs="Arial"/>
          <w:sz w:val="22"/>
          <w:szCs w:val="22"/>
        </w:rPr>
      </w:pPr>
      <w:r w:rsidRPr="00D43235">
        <w:rPr>
          <w:rFonts w:ascii="Arial" w:hAnsi="Arial" w:cs="Arial"/>
          <w:sz w:val="22"/>
          <w:szCs w:val="22"/>
        </w:rPr>
        <w:t>On the national level, the principles of sustainable development have been employed in the United Kingdom</w:t>
      </w:r>
      <w:r w:rsidR="005E2AE9">
        <w:rPr>
          <w:rFonts w:ascii="Arial" w:hAnsi="Arial" w:cs="Arial"/>
          <w:sz w:val="22"/>
          <w:szCs w:val="22"/>
        </w:rPr>
        <w:t>'s</w:t>
      </w:r>
      <w:r w:rsidRPr="00D43235">
        <w:rPr>
          <w:rFonts w:ascii="Arial" w:hAnsi="Arial" w:cs="Arial"/>
          <w:sz w:val="22"/>
          <w:szCs w:val="22"/>
        </w:rPr>
        <w:t xml:space="preserve"> health policy. The Long Term Plan of the National Health Service (NHS) is based on prevention, health inequality integration and reduction. But the update of the Marmot Review, Build Back Fairer (2020), found that even before the pandemic, the improvements in life expectancy had stopped, and the disparities between wealthy and poor communities were growing.</w:t>
      </w:r>
    </w:p>
    <w:p w14:paraId="4EBAD49A" w14:textId="0949F042" w:rsidR="00896F48" w:rsidRPr="00D43235" w:rsidRDefault="00896F48" w:rsidP="00367E6C">
      <w:pPr>
        <w:pStyle w:val="NormalWeb"/>
        <w:spacing w:line="360" w:lineRule="auto"/>
        <w:jc w:val="both"/>
        <w:rPr>
          <w:rFonts w:ascii="Arial" w:hAnsi="Arial" w:cs="Arial"/>
          <w:sz w:val="22"/>
          <w:szCs w:val="22"/>
        </w:rPr>
      </w:pPr>
      <w:r w:rsidRPr="00D43235">
        <w:rPr>
          <w:rFonts w:ascii="Arial" w:hAnsi="Arial" w:cs="Arial"/>
          <w:sz w:val="22"/>
          <w:szCs w:val="22"/>
        </w:rPr>
        <w:t xml:space="preserve">The inequality in the region is also sharp. The healthy life expectancy of people in the most deprived regions is </w:t>
      </w:r>
      <w:r w:rsidR="005E2AE9">
        <w:rPr>
          <w:rFonts w:ascii="Arial" w:hAnsi="Arial" w:cs="Arial"/>
          <w:sz w:val="22"/>
          <w:szCs w:val="22"/>
        </w:rPr>
        <w:t>far lowe</w:t>
      </w:r>
      <w:r w:rsidRPr="00D43235">
        <w:rPr>
          <w:rFonts w:ascii="Arial" w:hAnsi="Arial" w:cs="Arial"/>
          <w:sz w:val="22"/>
          <w:szCs w:val="22"/>
        </w:rPr>
        <w:t xml:space="preserve">r than that of the more prosperous areas. There is </w:t>
      </w:r>
      <w:r w:rsidR="005E2AE9">
        <w:rPr>
          <w:rFonts w:ascii="Arial" w:hAnsi="Arial" w:cs="Arial"/>
          <w:sz w:val="22"/>
          <w:szCs w:val="22"/>
        </w:rPr>
        <w:t xml:space="preserve">a </w:t>
      </w:r>
      <w:r w:rsidRPr="00D43235">
        <w:rPr>
          <w:rFonts w:ascii="Arial" w:hAnsi="Arial" w:cs="Arial"/>
          <w:sz w:val="22"/>
          <w:szCs w:val="22"/>
        </w:rPr>
        <w:t xml:space="preserve">strong socioeconomic gradient in obesity, cardiovascular disease and mental illness. These trends are indicative of more social determinants like </w:t>
      </w:r>
      <w:r w:rsidR="005E2AE9">
        <w:rPr>
          <w:rFonts w:ascii="Arial" w:hAnsi="Arial" w:cs="Arial"/>
          <w:sz w:val="22"/>
          <w:szCs w:val="22"/>
        </w:rPr>
        <w:t>i</w:t>
      </w:r>
      <w:r w:rsidRPr="00D43235">
        <w:rPr>
          <w:rFonts w:ascii="Arial" w:hAnsi="Arial" w:cs="Arial"/>
          <w:sz w:val="22"/>
          <w:szCs w:val="22"/>
        </w:rPr>
        <w:t>nsecure jobs, poor housing and education</w:t>
      </w:r>
      <w:r w:rsidR="00B5132B" w:rsidRPr="00D43235">
        <w:rPr>
          <w:rFonts w:ascii="Arial" w:hAnsi="Arial" w:cs="Arial"/>
          <w:sz w:val="22"/>
          <w:szCs w:val="22"/>
        </w:rPr>
        <w:t xml:space="preserve"> (Buck, 2021)</w:t>
      </w:r>
      <w:r w:rsidRPr="00D43235">
        <w:rPr>
          <w:rFonts w:ascii="Arial" w:hAnsi="Arial" w:cs="Arial"/>
          <w:sz w:val="22"/>
          <w:szCs w:val="22"/>
        </w:rPr>
        <w:t>.</w:t>
      </w:r>
    </w:p>
    <w:p w14:paraId="707AEA37" w14:textId="77777777" w:rsidR="00896F48" w:rsidRPr="00D43235" w:rsidRDefault="00896F48" w:rsidP="00367E6C">
      <w:pPr>
        <w:pStyle w:val="NormalWeb"/>
        <w:spacing w:line="360" w:lineRule="auto"/>
        <w:jc w:val="both"/>
        <w:rPr>
          <w:rFonts w:ascii="Arial" w:hAnsi="Arial" w:cs="Arial"/>
          <w:sz w:val="22"/>
          <w:szCs w:val="22"/>
        </w:rPr>
      </w:pPr>
      <w:r w:rsidRPr="00D43235">
        <w:rPr>
          <w:rFonts w:ascii="Arial" w:hAnsi="Arial" w:cs="Arial"/>
          <w:sz w:val="22"/>
          <w:szCs w:val="22"/>
        </w:rPr>
        <w:t xml:space="preserve">In the year 2020, the Office of Health Improvement and Disparities </w:t>
      </w:r>
      <w:r w:rsidR="00964F40" w:rsidRPr="00D43235">
        <w:rPr>
          <w:rFonts w:ascii="Arial" w:hAnsi="Arial" w:cs="Arial"/>
          <w:sz w:val="22"/>
          <w:szCs w:val="22"/>
        </w:rPr>
        <w:t xml:space="preserve">(2023) </w:t>
      </w:r>
      <w:r w:rsidRPr="00D43235">
        <w:rPr>
          <w:rFonts w:ascii="Arial" w:hAnsi="Arial" w:cs="Arial"/>
          <w:sz w:val="22"/>
          <w:szCs w:val="22"/>
        </w:rPr>
        <w:t>states that inequality trends remain persistent, even though the policies promise to level up. The decline in funding in the last ten years on the part of the public health has reduced local authority capability to provide preventive programmes. This is contrary to the preventative ethos of SDG 3.</w:t>
      </w:r>
    </w:p>
    <w:p w14:paraId="36782AC1" w14:textId="77777777" w:rsidR="00896F48" w:rsidRPr="00D43235" w:rsidRDefault="00896F48" w:rsidP="00367E6C">
      <w:pPr>
        <w:pStyle w:val="NormalWeb"/>
        <w:spacing w:line="360" w:lineRule="auto"/>
        <w:jc w:val="both"/>
        <w:rPr>
          <w:rFonts w:ascii="Arial" w:hAnsi="Arial" w:cs="Arial"/>
          <w:sz w:val="22"/>
          <w:szCs w:val="22"/>
        </w:rPr>
      </w:pPr>
      <w:r w:rsidRPr="00D43235">
        <w:rPr>
          <w:rFonts w:ascii="Arial" w:hAnsi="Arial" w:cs="Arial"/>
          <w:sz w:val="22"/>
          <w:szCs w:val="22"/>
        </w:rPr>
        <w:t>Moreover, the scarcity of workforce, waiting list backlog and mounting pressure of demands in the NHS have strengthened a reactive model of healthcare. Even though preventative interventions are cost-effective in the long run, they may need long-term financial investment, which can be deemed incompatible with short-term financial limitations</w:t>
      </w:r>
      <w:r w:rsidR="008A72ED" w:rsidRPr="00D43235">
        <w:rPr>
          <w:rFonts w:ascii="Arial" w:hAnsi="Arial" w:cs="Arial"/>
          <w:sz w:val="22"/>
          <w:szCs w:val="22"/>
        </w:rPr>
        <w:t xml:space="preserve"> (NHS England, 2019)</w:t>
      </w:r>
      <w:r w:rsidRPr="00D43235">
        <w:rPr>
          <w:rFonts w:ascii="Arial" w:hAnsi="Arial" w:cs="Arial"/>
          <w:sz w:val="22"/>
          <w:szCs w:val="22"/>
        </w:rPr>
        <w:t>.</w:t>
      </w:r>
    </w:p>
    <w:p w14:paraId="3B0D01CF" w14:textId="77777777" w:rsidR="001811BE" w:rsidRPr="00D43235" w:rsidRDefault="00896F48" w:rsidP="00367E6C">
      <w:pPr>
        <w:pStyle w:val="NormalWeb"/>
        <w:spacing w:line="360" w:lineRule="auto"/>
        <w:jc w:val="both"/>
        <w:rPr>
          <w:rFonts w:ascii="Arial" w:hAnsi="Arial" w:cs="Arial"/>
          <w:sz w:val="22"/>
          <w:szCs w:val="22"/>
        </w:rPr>
      </w:pPr>
      <w:r w:rsidRPr="00D43235">
        <w:rPr>
          <w:rFonts w:ascii="Arial" w:hAnsi="Arial" w:cs="Arial"/>
          <w:sz w:val="22"/>
          <w:szCs w:val="22"/>
        </w:rPr>
        <w:lastRenderedPageBreak/>
        <w:t>Most importantly, the UK policy alignment with SDGs can be seen on a strategic level, but there are operational realities that show tensions between the ambition and capacity. Although inequality is acknowledged by frameworks, structural economic reform in the context of housing, income security and employment conditions is not properly reflected. The health disparities can hardly be reduced without cross-sector transformation</w:t>
      </w:r>
      <w:r w:rsidR="00873319" w:rsidRPr="00D43235">
        <w:rPr>
          <w:rFonts w:ascii="Arial" w:hAnsi="Arial" w:cs="Arial"/>
          <w:sz w:val="22"/>
          <w:szCs w:val="22"/>
        </w:rPr>
        <w:t xml:space="preserve"> (HM Government, 2022)</w:t>
      </w:r>
      <w:r w:rsidRPr="00D43235">
        <w:rPr>
          <w:rFonts w:ascii="Arial" w:hAnsi="Arial" w:cs="Arial"/>
          <w:sz w:val="22"/>
          <w:szCs w:val="22"/>
        </w:rPr>
        <w:t>.</w:t>
      </w:r>
    </w:p>
    <w:p w14:paraId="7D0B37EA" w14:textId="77777777" w:rsidR="001811BE" w:rsidRPr="00D43235" w:rsidRDefault="001811BE" w:rsidP="00367E6C">
      <w:pPr>
        <w:pStyle w:val="Heading2"/>
        <w:spacing w:line="360" w:lineRule="auto"/>
        <w:jc w:val="both"/>
        <w:rPr>
          <w:rFonts w:ascii="Arial" w:hAnsi="Arial" w:cs="Arial"/>
          <w:sz w:val="22"/>
          <w:szCs w:val="22"/>
        </w:rPr>
      </w:pPr>
      <w:bookmarkStart w:id="4" w:name="_Toc223208669"/>
      <w:r w:rsidRPr="00D43235">
        <w:rPr>
          <w:rFonts w:ascii="Arial" w:hAnsi="Arial" w:cs="Arial"/>
          <w:sz w:val="22"/>
          <w:szCs w:val="22"/>
        </w:rPr>
        <w:t>Local Analysis: Wales and the Well-being of Future Generations Act</w:t>
      </w:r>
      <w:bookmarkEnd w:id="4"/>
    </w:p>
    <w:p w14:paraId="326D046B" w14:textId="77777777" w:rsidR="00D17310" w:rsidRPr="00D43235" w:rsidRDefault="00D17310" w:rsidP="00367E6C">
      <w:pPr>
        <w:pStyle w:val="NormalWeb"/>
        <w:spacing w:line="360" w:lineRule="auto"/>
        <w:jc w:val="both"/>
        <w:rPr>
          <w:rFonts w:ascii="Arial" w:hAnsi="Arial" w:cs="Arial"/>
          <w:sz w:val="22"/>
          <w:szCs w:val="22"/>
        </w:rPr>
      </w:pPr>
      <w:r w:rsidRPr="00D43235">
        <w:rPr>
          <w:rFonts w:ascii="Arial" w:hAnsi="Arial" w:cs="Arial"/>
          <w:sz w:val="22"/>
          <w:szCs w:val="22"/>
        </w:rPr>
        <w:t>The Well-being of Future Generations (Wales) Act 2015 stipulated by the Welsh Government introduces an innovative approach to legislation in Wales. The Act provides that the long-term sustainability, prevention, integration, collaboration and involvement in decision-making should be taken into consideration by the public bodies. It creates boards of the Public Services, which are in control of multi-agency planning, which is in line with SDG principles</w:t>
      </w:r>
      <w:r w:rsidR="00367E6C" w:rsidRPr="00D43235">
        <w:rPr>
          <w:rFonts w:ascii="Arial" w:hAnsi="Arial" w:cs="Arial"/>
          <w:sz w:val="22"/>
          <w:szCs w:val="22"/>
        </w:rPr>
        <w:t xml:space="preserve"> (Welsh Government, 2015)</w:t>
      </w:r>
      <w:r w:rsidRPr="00D43235">
        <w:rPr>
          <w:rFonts w:ascii="Arial" w:hAnsi="Arial" w:cs="Arial"/>
          <w:sz w:val="22"/>
          <w:szCs w:val="22"/>
        </w:rPr>
        <w:t>.</w:t>
      </w:r>
    </w:p>
    <w:p w14:paraId="1B4F52D1" w14:textId="3E425B94" w:rsidR="00D17310" w:rsidRPr="00D43235" w:rsidRDefault="00D17310" w:rsidP="00367E6C">
      <w:pPr>
        <w:pStyle w:val="NormalWeb"/>
        <w:spacing w:line="360" w:lineRule="auto"/>
        <w:jc w:val="both"/>
        <w:rPr>
          <w:rFonts w:ascii="Arial" w:hAnsi="Arial" w:cs="Arial"/>
          <w:sz w:val="22"/>
          <w:szCs w:val="22"/>
        </w:rPr>
      </w:pPr>
      <w:r w:rsidRPr="00D43235">
        <w:rPr>
          <w:rFonts w:ascii="Arial" w:hAnsi="Arial" w:cs="Arial"/>
          <w:sz w:val="22"/>
          <w:szCs w:val="22"/>
        </w:rPr>
        <w:t>The Act establishes sustainable development within governance frameworks, and the health boards and local authorities must illustrate how the policies will support the well</w:t>
      </w:r>
      <w:r w:rsidR="005E2AE9">
        <w:rPr>
          <w:rFonts w:ascii="Arial" w:hAnsi="Arial" w:cs="Arial"/>
          <w:sz w:val="22"/>
          <w:szCs w:val="22"/>
        </w:rPr>
        <w:t>-</w:t>
      </w:r>
      <w:r w:rsidRPr="00D43235">
        <w:rPr>
          <w:rFonts w:ascii="Arial" w:hAnsi="Arial" w:cs="Arial"/>
          <w:sz w:val="22"/>
          <w:szCs w:val="22"/>
        </w:rPr>
        <w:t xml:space="preserve">being objectives. This model is similar to the </w:t>
      </w:r>
      <w:proofErr w:type="spellStart"/>
      <w:r w:rsidRPr="00D43235">
        <w:rPr>
          <w:rFonts w:ascii="Arial" w:hAnsi="Arial" w:cs="Arial"/>
          <w:sz w:val="22"/>
          <w:szCs w:val="22"/>
        </w:rPr>
        <w:t>HiAP</w:t>
      </w:r>
      <w:proofErr w:type="spellEnd"/>
      <w:r w:rsidRPr="00D43235">
        <w:rPr>
          <w:rFonts w:ascii="Arial" w:hAnsi="Arial" w:cs="Arial"/>
          <w:sz w:val="22"/>
          <w:szCs w:val="22"/>
        </w:rPr>
        <w:t xml:space="preserve"> model</w:t>
      </w:r>
      <w:r w:rsidR="005E2AE9">
        <w:rPr>
          <w:rFonts w:ascii="Arial" w:hAnsi="Arial" w:cs="Arial"/>
          <w:sz w:val="22"/>
          <w:szCs w:val="22"/>
        </w:rPr>
        <w:t>,</w:t>
      </w:r>
      <w:r w:rsidRPr="00D43235">
        <w:rPr>
          <w:rFonts w:ascii="Arial" w:hAnsi="Arial" w:cs="Arial"/>
          <w:sz w:val="22"/>
          <w:szCs w:val="22"/>
        </w:rPr>
        <w:t xml:space="preserve"> which combines housing, transport and environmental policy with health outcomes</w:t>
      </w:r>
      <w:r w:rsidR="00367E6C" w:rsidRPr="00D43235">
        <w:rPr>
          <w:rFonts w:ascii="Arial" w:hAnsi="Arial" w:cs="Arial"/>
          <w:sz w:val="22"/>
          <w:szCs w:val="22"/>
        </w:rPr>
        <w:t xml:space="preserve"> (Future Generations Commissioner for Wales, 2023)</w:t>
      </w:r>
      <w:r w:rsidRPr="00D43235">
        <w:rPr>
          <w:rFonts w:ascii="Arial" w:hAnsi="Arial" w:cs="Arial"/>
          <w:sz w:val="22"/>
          <w:szCs w:val="22"/>
        </w:rPr>
        <w:t>.</w:t>
      </w:r>
    </w:p>
    <w:p w14:paraId="4D28DC83" w14:textId="12C0224C" w:rsidR="00D17310" w:rsidRPr="00D43235" w:rsidRDefault="00D17310" w:rsidP="00367E6C">
      <w:pPr>
        <w:pStyle w:val="NormalWeb"/>
        <w:spacing w:line="360" w:lineRule="auto"/>
        <w:jc w:val="both"/>
        <w:rPr>
          <w:rFonts w:ascii="Arial" w:hAnsi="Arial" w:cs="Arial"/>
          <w:sz w:val="22"/>
          <w:szCs w:val="22"/>
        </w:rPr>
      </w:pPr>
      <w:r w:rsidRPr="00D43235">
        <w:rPr>
          <w:rFonts w:ascii="Arial" w:hAnsi="Arial" w:cs="Arial"/>
          <w:sz w:val="22"/>
          <w:szCs w:val="22"/>
        </w:rPr>
        <w:t>There is an indication of improvement in the community involvement and cross-sectoral cooperation. Programs that encourage active transportation, community resilience</w:t>
      </w:r>
      <w:r w:rsidR="005E2AE9">
        <w:rPr>
          <w:rFonts w:ascii="Arial" w:hAnsi="Arial" w:cs="Arial"/>
          <w:sz w:val="22"/>
          <w:szCs w:val="22"/>
        </w:rPr>
        <w:t>,</w:t>
      </w:r>
      <w:r w:rsidRPr="00D43235">
        <w:rPr>
          <w:rFonts w:ascii="Arial" w:hAnsi="Arial" w:cs="Arial"/>
          <w:sz w:val="22"/>
          <w:szCs w:val="22"/>
        </w:rPr>
        <w:t xml:space="preserve"> and access to green spaces can be seen as examples of how sustainable strategies of wellbeing can be implemented</w:t>
      </w:r>
      <w:r w:rsidR="00367E6C" w:rsidRPr="00D43235">
        <w:rPr>
          <w:rFonts w:ascii="Arial" w:hAnsi="Arial" w:cs="Arial"/>
          <w:sz w:val="22"/>
          <w:szCs w:val="22"/>
        </w:rPr>
        <w:t xml:space="preserve"> (Public Health Wales, 2022)</w:t>
      </w:r>
      <w:r w:rsidRPr="00D43235">
        <w:rPr>
          <w:rFonts w:ascii="Arial" w:hAnsi="Arial" w:cs="Arial"/>
          <w:sz w:val="22"/>
          <w:szCs w:val="22"/>
        </w:rPr>
        <w:t>.</w:t>
      </w:r>
    </w:p>
    <w:p w14:paraId="33A07D75" w14:textId="77777777" w:rsidR="00D17310" w:rsidRPr="00D43235" w:rsidRDefault="00D17310" w:rsidP="00367E6C">
      <w:pPr>
        <w:pStyle w:val="NormalWeb"/>
        <w:spacing w:line="360" w:lineRule="auto"/>
        <w:jc w:val="both"/>
        <w:rPr>
          <w:rFonts w:ascii="Arial" w:hAnsi="Arial" w:cs="Arial"/>
          <w:sz w:val="22"/>
          <w:szCs w:val="22"/>
        </w:rPr>
      </w:pPr>
      <w:r w:rsidRPr="00D43235">
        <w:rPr>
          <w:rFonts w:ascii="Arial" w:hAnsi="Arial" w:cs="Arial"/>
          <w:sz w:val="22"/>
          <w:szCs w:val="22"/>
        </w:rPr>
        <w:t>However, challenges persist. The size and pace of implementation is constrained by financial constraints. The difference in local authorities results in an uneven performance. Also, the long-term effect is difficult to measure because the sustainability objectives are intergenerational.</w:t>
      </w:r>
    </w:p>
    <w:p w14:paraId="2EF9D29D" w14:textId="6FF075CE" w:rsidR="001811BE" w:rsidRPr="00D43235" w:rsidRDefault="00D17310" w:rsidP="00367E6C">
      <w:pPr>
        <w:pStyle w:val="NormalWeb"/>
        <w:spacing w:line="360" w:lineRule="auto"/>
        <w:jc w:val="both"/>
        <w:rPr>
          <w:rFonts w:ascii="Arial" w:hAnsi="Arial" w:cs="Arial"/>
          <w:sz w:val="22"/>
          <w:szCs w:val="22"/>
        </w:rPr>
      </w:pPr>
      <w:r w:rsidRPr="00D43235">
        <w:rPr>
          <w:rFonts w:ascii="Arial" w:hAnsi="Arial" w:cs="Arial"/>
          <w:sz w:val="22"/>
          <w:szCs w:val="22"/>
        </w:rPr>
        <w:t>It is alleged by some critics that though the Act offers good rhetorical commitment, there are few procedures to enforce the Act</w:t>
      </w:r>
      <w:r w:rsidR="005E2AE9">
        <w:rPr>
          <w:rFonts w:ascii="Arial" w:hAnsi="Arial" w:cs="Arial"/>
          <w:sz w:val="22"/>
          <w:szCs w:val="22"/>
        </w:rPr>
        <w:t>,</w:t>
      </w:r>
      <w:r w:rsidRPr="00D43235">
        <w:rPr>
          <w:rFonts w:ascii="Arial" w:hAnsi="Arial" w:cs="Arial"/>
          <w:sz w:val="22"/>
          <w:szCs w:val="22"/>
        </w:rPr>
        <w:t xml:space="preserve"> and accountability is dependent on reporting and not on sanctions. Thus, it is possible to note that despite structural innovation in Wales, political and financial stability is required to transform the legislative ambition into quantifiable inequality reduction</w:t>
      </w:r>
      <w:r w:rsidR="00367E6C" w:rsidRPr="00D43235">
        <w:rPr>
          <w:rFonts w:ascii="Arial" w:hAnsi="Arial" w:cs="Arial"/>
          <w:sz w:val="22"/>
          <w:szCs w:val="22"/>
        </w:rPr>
        <w:t xml:space="preserve"> (Audit Wales, 2022)</w:t>
      </w:r>
      <w:r w:rsidRPr="00D43235">
        <w:rPr>
          <w:rFonts w:ascii="Arial" w:hAnsi="Arial" w:cs="Arial"/>
          <w:sz w:val="22"/>
          <w:szCs w:val="22"/>
        </w:rPr>
        <w:t>.</w:t>
      </w:r>
    </w:p>
    <w:p w14:paraId="41119419" w14:textId="77777777" w:rsidR="001811BE" w:rsidRPr="00D43235" w:rsidRDefault="001811BE" w:rsidP="00367E6C">
      <w:pPr>
        <w:pStyle w:val="Heading2"/>
        <w:spacing w:line="360" w:lineRule="auto"/>
        <w:jc w:val="both"/>
        <w:rPr>
          <w:rFonts w:ascii="Arial" w:hAnsi="Arial" w:cs="Arial"/>
          <w:sz w:val="22"/>
          <w:szCs w:val="22"/>
        </w:rPr>
      </w:pPr>
      <w:bookmarkStart w:id="5" w:name="_Toc223208670"/>
      <w:r w:rsidRPr="00D43235">
        <w:rPr>
          <w:rFonts w:ascii="Arial" w:hAnsi="Arial" w:cs="Arial"/>
          <w:sz w:val="22"/>
          <w:szCs w:val="22"/>
        </w:rPr>
        <w:lastRenderedPageBreak/>
        <w:t>Critical Evaluation</w:t>
      </w:r>
      <w:bookmarkEnd w:id="5"/>
    </w:p>
    <w:p w14:paraId="5A6B4C5C" w14:textId="2DD8A456" w:rsidR="001A035E" w:rsidRPr="00D43235" w:rsidRDefault="001A035E" w:rsidP="00367E6C">
      <w:pPr>
        <w:pStyle w:val="NormalWeb"/>
        <w:spacing w:line="360" w:lineRule="auto"/>
        <w:jc w:val="both"/>
        <w:rPr>
          <w:rFonts w:ascii="Arial" w:hAnsi="Arial" w:cs="Arial"/>
          <w:sz w:val="22"/>
          <w:szCs w:val="22"/>
        </w:rPr>
      </w:pPr>
      <w:r w:rsidRPr="00D43235">
        <w:rPr>
          <w:rFonts w:ascii="Arial" w:hAnsi="Arial" w:cs="Arial"/>
          <w:sz w:val="22"/>
          <w:szCs w:val="22"/>
        </w:rPr>
        <w:t>There are a number of themes that are common across the global, national and local levels. To begin with, policy frameworks are consistent with SDG 3 and SDG 10 principles in general, considering the importance of inequality in defining health outcomes. Second, there is the prevalence of the rhetoric of preventive and sustainability. The extent of structural change is</w:t>
      </w:r>
      <w:r w:rsidR="005E2AE9">
        <w:rPr>
          <w:rFonts w:ascii="Arial" w:hAnsi="Arial" w:cs="Arial"/>
          <w:sz w:val="22"/>
          <w:szCs w:val="22"/>
        </w:rPr>
        <w:t>,</w:t>
      </w:r>
      <w:r w:rsidRPr="00D43235">
        <w:rPr>
          <w:rFonts w:ascii="Arial" w:hAnsi="Arial" w:cs="Arial"/>
          <w:sz w:val="22"/>
          <w:szCs w:val="22"/>
        </w:rPr>
        <w:t xml:space="preserve"> however</w:t>
      </w:r>
      <w:r w:rsidR="005E2AE9">
        <w:rPr>
          <w:rFonts w:ascii="Arial" w:hAnsi="Arial" w:cs="Arial"/>
          <w:sz w:val="22"/>
          <w:szCs w:val="22"/>
        </w:rPr>
        <w:t>,</w:t>
      </w:r>
      <w:r w:rsidRPr="00D43235">
        <w:rPr>
          <w:rFonts w:ascii="Arial" w:hAnsi="Arial" w:cs="Arial"/>
          <w:sz w:val="22"/>
          <w:szCs w:val="22"/>
        </w:rPr>
        <w:t xml:space="preserve"> constrained.</w:t>
      </w:r>
    </w:p>
    <w:p w14:paraId="615D57FC" w14:textId="12A664B3" w:rsidR="001A035E" w:rsidRPr="00D43235" w:rsidRDefault="001A035E" w:rsidP="00367E6C">
      <w:pPr>
        <w:pStyle w:val="NormalWeb"/>
        <w:spacing w:line="360" w:lineRule="auto"/>
        <w:jc w:val="both"/>
        <w:rPr>
          <w:rFonts w:ascii="Arial" w:hAnsi="Arial" w:cs="Arial"/>
          <w:sz w:val="22"/>
          <w:szCs w:val="22"/>
        </w:rPr>
      </w:pPr>
      <w:r w:rsidRPr="00D43235">
        <w:rPr>
          <w:rFonts w:ascii="Arial" w:hAnsi="Arial" w:cs="Arial"/>
          <w:sz w:val="22"/>
          <w:szCs w:val="22"/>
        </w:rPr>
        <w:t xml:space="preserve">Long-term sustainability plans are often weakened by political cycles and temporary </w:t>
      </w:r>
      <w:r w:rsidR="005E2AE9">
        <w:rPr>
          <w:rFonts w:ascii="Arial" w:hAnsi="Arial" w:cs="Arial"/>
          <w:sz w:val="22"/>
          <w:szCs w:val="22"/>
        </w:rPr>
        <w:t>economic forces</w:t>
      </w:r>
      <w:r w:rsidRPr="00D43235">
        <w:rPr>
          <w:rFonts w:ascii="Arial" w:hAnsi="Arial" w:cs="Arial"/>
          <w:sz w:val="22"/>
          <w:szCs w:val="22"/>
        </w:rPr>
        <w:t>. Funding instability impacts the community programmes and public health services, and diminishes preventative capacity. In addition, health systems have continued to be treatment-based in nature, even though research indicates the use of upstream intervention</w:t>
      </w:r>
      <w:r w:rsidR="005E2AE9">
        <w:rPr>
          <w:rFonts w:ascii="Arial" w:hAnsi="Arial" w:cs="Arial"/>
          <w:sz w:val="22"/>
          <w:szCs w:val="22"/>
        </w:rPr>
        <w:t>s</w:t>
      </w:r>
      <w:r w:rsidRPr="00D43235">
        <w:rPr>
          <w:rFonts w:ascii="Arial" w:hAnsi="Arial" w:cs="Arial"/>
          <w:sz w:val="22"/>
          <w:szCs w:val="22"/>
        </w:rPr>
        <w:t>.</w:t>
      </w:r>
    </w:p>
    <w:p w14:paraId="55055455" w14:textId="70AA0395" w:rsidR="001A035E" w:rsidRPr="00D43235" w:rsidRDefault="001A035E" w:rsidP="00367E6C">
      <w:pPr>
        <w:pStyle w:val="NormalWeb"/>
        <w:spacing w:line="360" w:lineRule="auto"/>
        <w:jc w:val="both"/>
        <w:rPr>
          <w:rFonts w:ascii="Arial" w:hAnsi="Arial" w:cs="Arial"/>
          <w:sz w:val="22"/>
          <w:szCs w:val="22"/>
        </w:rPr>
      </w:pPr>
      <w:r w:rsidRPr="00D43235">
        <w:rPr>
          <w:rFonts w:ascii="Arial" w:hAnsi="Arial" w:cs="Arial"/>
          <w:sz w:val="22"/>
          <w:szCs w:val="22"/>
        </w:rPr>
        <w:t xml:space="preserve">Measurement and accountability are also doubtful. Although SDG indicators offer monitoring systems, the data gaps and inconsistencies do not allow an overall assessment. Also, asymmetries of power and economic inequality </w:t>
      </w:r>
      <w:r w:rsidR="005E2AE9">
        <w:rPr>
          <w:rFonts w:ascii="Arial" w:hAnsi="Arial" w:cs="Arial"/>
          <w:sz w:val="22"/>
          <w:szCs w:val="22"/>
        </w:rPr>
        <w:t>worldwide</w:t>
      </w:r>
      <w:r w:rsidRPr="00D43235">
        <w:rPr>
          <w:rFonts w:ascii="Arial" w:hAnsi="Arial" w:cs="Arial"/>
          <w:sz w:val="22"/>
          <w:szCs w:val="22"/>
        </w:rPr>
        <w:t xml:space="preserve"> limit fair development among nations.</w:t>
      </w:r>
    </w:p>
    <w:p w14:paraId="48812F66" w14:textId="77777777" w:rsidR="001811BE" w:rsidRPr="00D43235" w:rsidRDefault="001A035E" w:rsidP="00367E6C">
      <w:pPr>
        <w:pStyle w:val="NormalWeb"/>
        <w:spacing w:line="360" w:lineRule="auto"/>
        <w:jc w:val="both"/>
        <w:rPr>
          <w:rFonts w:ascii="Arial" w:hAnsi="Arial" w:cs="Arial"/>
          <w:sz w:val="22"/>
          <w:szCs w:val="22"/>
        </w:rPr>
      </w:pPr>
      <w:r w:rsidRPr="00D43235">
        <w:rPr>
          <w:rFonts w:ascii="Arial" w:hAnsi="Arial" w:cs="Arial"/>
          <w:sz w:val="22"/>
          <w:szCs w:val="22"/>
        </w:rPr>
        <w:t>Therefore, the normative agreement with the aims of SDGs is quite obvious, but to achieve the transformative structural change, inequality reduction has to be more deeply integrated into the economic and social policy.</w:t>
      </w:r>
    </w:p>
    <w:p w14:paraId="1F0432D3" w14:textId="77777777" w:rsidR="001811BE" w:rsidRPr="00D43235" w:rsidRDefault="001811BE" w:rsidP="00367E6C">
      <w:pPr>
        <w:pStyle w:val="Heading2"/>
        <w:spacing w:line="360" w:lineRule="auto"/>
        <w:jc w:val="both"/>
        <w:rPr>
          <w:rFonts w:ascii="Arial" w:hAnsi="Arial" w:cs="Arial"/>
          <w:sz w:val="22"/>
          <w:szCs w:val="22"/>
        </w:rPr>
      </w:pPr>
      <w:bookmarkStart w:id="6" w:name="_Toc223208671"/>
      <w:r w:rsidRPr="00D43235">
        <w:rPr>
          <w:rFonts w:ascii="Arial" w:hAnsi="Arial" w:cs="Arial"/>
          <w:sz w:val="22"/>
          <w:szCs w:val="22"/>
        </w:rPr>
        <w:t>Recommendations</w:t>
      </w:r>
      <w:bookmarkEnd w:id="6"/>
    </w:p>
    <w:p w14:paraId="7F1E8929" w14:textId="45585B72" w:rsidR="009E0088" w:rsidRPr="00D43235" w:rsidRDefault="009E0088" w:rsidP="00367E6C">
      <w:pPr>
        <w:pStyle w:val="NormalWeb"/>
        <w:spacing w:line="360" w:lineRule="auto"/>
        <w:jc w:val="both"/>
        <w:rPr>
          <w:rFonts w:ascii="Arial" w:hAnsi="Arial" w:cs="Arial"/>
          <w:sz w:val="22"/>
          <w:szCs w:val="22"/>
        </w:rPr>
      </w:pPr>
      <w:r w:rsidRPr="00D43235">
        <w:rPr>
          <w:rFonts w:ascii="Arial" w:hAnsi="Arial" w:cs="Arial"/>
          <w:sz w:val="22"/>
          <w:szCs w:val="22"/>
        </w:rPr>
        <w:t>To enhance the achievements in SDG 3 and SDG 10, a number of evidence-based conclusions are suggested.</w:t>
      </w:r>
    </w:p>
    <w:p w14:paraId="5180F928" w14:textId="7A9CC2A9" w:rsidR="009E0088" w:rsidRPr="00D43235" w:rsidRDefault="009E0088" w:rsidP="00367E6C">
      <w:pPr>
        <w:pStyle w:val="NormalWeb"/>
        <w:spacing w:line="360" w:lineRule="auto"/>
        <w:jc w:val="both"/>
        <w:rPr>
          <w:rFonts w:ascii="Arial" w:hAnsi="Arial" w:cs="Arial"/>
          <w:sz w:val="22"/>
          <w:szCs w:val="22"/>
        </w:rPr>
      </w:pPr>
      <w:r w:rsidRPr="00D43235">
        <w:rPr>
          <w:rFonts w:ascii="Arial" w:hAnsi="Arial" w:cs="Arial"/>
          <w:sz w:val="22"/>
          <w:szCs w:val="22"/>
        </w:rPr>
        <w:t>First, adopt proportionate universalism in the country and in the localities. Preferred services should be sustained as more resources are devoted to the deprived communities. There is evidence in the Marmot Review that long-term health spending is more likely to be cut by a carefully</w:t>
      </w:r>
      <w:r w:rsidR="005E2AE9">
        <w:rPr>
          <w:rFonts w:ascii="Arial" w:hAnsi="Arial" w:cs="Arial"/>
          <w:sz w:val="22"/>
          <w:szCs w:val="22"/>
        </w:rPr>
        <w:t xml:space="preserve"> </w:t>
      </w:r>
      <w:r w:rsidRPr="00D43235">
        <w:rPr>
          <w:rFonts w:ascii="Arial" w:hAnsi="Arial" w:cs="Arial"/>
          <w:sz w:val="22"/>
          <w:szCs w:val="22"/>
        </w:rPr>
        <w:t xml:space="preserve">planned upstream investment, </w:t>
      </w:r>
      <w:r w:rsidR="00DF176B" w:rsidRPr="00D43235">
        <w:rPr>
          <w:rFonts w:ascii="Arial" w:hAnsi="Arial" w:cs="Arial"/>
          <w:sz w:val="22"/>
          <w:szCs w:val="22"/>
        </w:rPr>
        <w:t xml:space="preserve">and inequality gaps are closed. </w:t>
      </w:r>
      <w:r w:rsidRPr="00D43235">
        <w:rPr>
          <w:rFonts w:ascii="Arial" w:hAnsi="Arial" w:cs="Arial"/>
          <w:sz w:val="22"/>
          <w:szCs w:val="22"/>
        </w:rPr>
        <w:t>Second, incorporate the indicators of sustainability and inequality in the NHS commissioning systems. Environmental and social sustainability metrics must be in harmony with procurement processes, workforce planning and infrastructure development so as to have holistic accountability.</w:t>
      </w:r>
    </w:p>
    <w:p w14:paraId="5BE358C2" w14:textId="2A1219F0" w:rsidR="009E0088" w:rsidRPr="00D43235" w:rsidRDefault="009E0088" w:rsidP="00367E6C">
      <w:pPr>
        <w:pStyle w:val="NormalWeb"/>
        <w:spacing w:line="360" w:lineRule="auto"/>
        <w:jc w:val="both"/>
        <w:rPr>
          <w:rFonts w:ascii="Arial" w:hAnsi="Arial" w:cs="Arial"/>
          <w:sz w:val="22"/>
          <w:szCs w:val="22"/>
        </w:rPr>
      </w:pPr>
      <w:r w:rsidRPr="00D43235">
        <w:rPr>
          <w:rFonts w:ascii="Arial" w:hAnsi="Arial" w:cs="Arial"/>
          <w:sz w:val="22"/>
          <w:szCs w:val="22"/>
        </w:rPr>
        <w:t>Third, bring about consistent annual funding settlements to the local governments. Preventative efforts demand long</w:t>
      </w:r>
      <w:r w:rsidR="005E2AE9">
        <w:rPr>
          <w:rFonts w:ascii="Arial" w:hAnsi="Arial" w:cs="Arial"/>
          <w:sz w:val="22"/>
          <w:szCs w:val="22"/>
        </w:rPr>
        <w:t>-</w:t>
      </w:r>
      <w:r w:rsidRPr="00D43235">
        <w:rPr>
          <w:rFonts w:ascii="Arial" w:hAnsi="Arial" w:cs="Arial"/>
          <w:sz w:val="22"/>
          <w:szCs w:val="22"/>
        </w:rPr>
        <w:t>term investments</w:t>
      </w:r>
      <w:r w:rsidR="005E2AE9">
        <w:rPr>
          <w:rFonts w:ascii="Arial" w:hAnsi="Arial" w:cs="Arial"/>
          <w:sz w:val="22"/>
          <w:szCs w:val="22"/>
        </w:rPr>
        <w:t>,</w:t>
      </w:r>
      <w:r w:rsidRPr="00D43235">
        <w:rPr>
          <w:rFonts w:ascii="Arial" w:hAnsi="Arial" w:cs="Arial"/>
          <w:sz w:val="22"/>
          <w:szCs w:val="22"/>
        </w:rPr>
        <w:t xml:space="preserve"> and short</w:t>
      </w:r>
      <w:r w:rsidR="005E2AE9">
        <w:rPr>
          <w:rFonts w:ascii="Arial" w:hAnsi="Arial" w:cs="Arial"/>
          <w:sz w:val="22"/>
          <w:szCs w:val="22"/>
        </w:rPr>
        <w:t>-</w:t>
      </w:r>
      <w:r w:rsidRPr="00D43235">
        <w:rPr>
          <w:rFonts w:ascii="Arial" w:hAnsi="Arial" w:cs="Arial"/>
          <w:sz w:val="22"/>
          <w:szCs w:val="22"/>
        </w:rPr>
        <w:t>term grants d</w:t>
      </w:r>
      <w:r w:rsidR="00DF176B" w:rsidRPr="00D43235">
        <w:rPr>
          <w:rFonts w:ascii="Arial" w:hAnsi="Arial" w:cs="Arial"/>
          <w:sz w:val="22"/>
          <w:szCs w:val="22"/>
        </w:rPr>
        <w:t xml:space="preserve">estroy long-term effectiveness. </w:t>
      </w:r>
      <w:r w:rsidRPr="00D43235">
        <w:rPr>
          <w:rFonts w:ascii="Arial" w:hAnsi="Arial" w:cs="Arial"/>
          <w:sz w:val="22"/>
          <w:szCs w:val="22"/>
        </w:rPr>
        <w:t>Fourth, increase cross</w:t>
      </w:r>
      <w:r w:rsidR="005E2AE9">
        <w:rPr>
          <w:rFonts w:ascii="Arial" w:hAnsi="Arial" w:cs="Arial"/>
          <w:sz w:val="22"/>
          <w:szCs w:val="22"/>
        </w:rPr>
        <w:t>-</w:t>
      </w:r>
      <w:r w:rsidRPr="00D43235">
        <w:rPr>
          <w:rFonts w:ascii="Arial" w:hAnsi="Arial" w:cs="Arial"/>
          <w:sz w:val="22"/>
          <w:szCs w:val="22"/>
        </w:rPr>
        <w:t xml:space="preserve">sector governing processes. Accountability structures, </w:t>
      </w:r>
      <w:r w:rsidRPr="00D43235">
        <w:rPr>
          <w:rFonts w:ascii="Arial" w:hAnsi="Arial" w:cs="Arial"/>
          <w:sz w:val="22"/>
          <w:szCs w:val="22"/>
        </w:rPr>
        <w:lastRenderedPageBreak/>
        <w:t>which are legally binding, like the Welsh model</w:t>
      </w:r>
      <w:r w:rsidR="005E2AE9">
        <w:rPr>
          <w:rFonts w:ascii="Arial" w:hAnsi="Arial" w:cs="Arial"/>
          <w:sz w:val="22"/>
          <w:szCs w:val="22"/>
        </w:rPr>
        <w:t>,</w:t>
      </w:r>
      <w:r w:rsidRPr="00D43235">
        <w:rPr>
          <w:rFonts w:ascii="Arial" w:hAnsi="Arial" w:cs="Arial"/>
          <w:sz w:val="22"/>
          <w:szCs w:val="22"/>
        </w:rPr>
        <w:t xml:space="preserve"> can be extended throughout the UK to instil sustain</w:t>
      </w:r>
      <w:r w:rsidR="00DF176B" w:rsidRPr="00D43235">
        <w:rPr>
          <w:rFonts w:ascii="Arial" w:hAnsi="Arial" w:cs="Arial"/>
          <w:sz w:val="22"/>
          <w:szCs w:val="22"/>
        </w:rPr>
        <w:t xml:space="preserve">ability within decision-making. </w:t>
      </w:r>
      <w:r w:rsidRPr="00D43235">
        <w:rPr>
          <w:rFonts w:ascii="Arial" w:hAnsi="Arial" w:cs="Arial"/>
          <w:sz w:val="22"/>
          <w:szCs w:val="22"/>
        </w:rPr>
        <w:t>Fifth, enhance data transparency and data monitoring. Regional standardised health inequality indicator reporting would allow benchmarking and evidence-based corrections.</w:t>
      </w:r>
    </w:p>
    <w:p w14:paraId="3BD0F387" w14:textId="77777777" w:rsidR="003C4D4D" w:rsidRPr="00D43235" w:rsidRDefault="009E0088" w:rsidP="00367E6C">
      <w:pPr>
        <w:pStyle w:val="NormalWeb"/>
        <w:spacing w:line="360" w:lineRule="auto"/>
        <w:jc w:val="both"/>
        <w:rPr>
          <w:rFonts w:ascii="Arial" w:hAnsi="Arial" w:cs="Arial"/>
          <w:sz w:val="22"/>
          <w:szCs w:val="22"/>
        </w:rPr>
      </w:pPr>
      <w:r w:rsidRPr="00D43235">
        <w:rPr>
          <w:rFonts w:ascii="Arial" w:hAnsi="Arial" w:cs="Arial"/>
          <w:sz w:val="22"/>
          <w:szCs w:val="22"/>
        </w:rPr>
        <w:t>Last but not least, invest in the sustainability of the workforce strategies. The programmes on recruiting, retaining, and professional wellbeing are necessary to ensure service quality and fairness.</w:t>
      </w:r>
      <w:r w:rsidR="004A6C43" w:rsidRPr="00D43235">
        <w:rPr>
          <w:rFonts w:ascii="Arial" w:hAnsi="Arial" w:cs="Arial"/>
          <w:sz w:val="22"/>
          <w:szCs w:val="22"/>
        </w:rPr>
        <w:t xml:space="preserve"> </w:t>
      </w:r>
      <w:r w:rsidRPr="00D43235">
        <w:rPr>
          <w:rFonts w:ascii="Arial" w:hAnsi="Arial" w:cs="Arial"/>
          <w:sz w:val="22"/>
          <w:szCs w:val="22"/>
        </w:rPr>
        <w:t xml:space="preserve">All these recommendations are directed towards </w:t>
      </w:r>
      <w:r w:rsidR="00512484" w:rsidRPr="00D43235">
        <w:rPr>
          <w:rFonts w:ascii="Arial" w:hAnsi="Arial" w:cs="Arial"/>
          <w:sz w:val="22"/>
          <w:szCs w:val="22"/>
        </w:rPr>
        <w:t>dealing with</w:t>
      </w:r>
      <w:r w:rsidRPr="00D43235">
        <w:rPr>
          <w:rFonts w:ascii="Arial" w:hAnsi="Arial" w:cs="Arial"/>
          <w:sz w:val="22"/>
          <w:szCs w:val="22"/>
        </w:rPr>
        <w:t xml:space="preserve"> structural barriers, but strengthening the interdependence of health and inequality reduction.</w:t>
      </w:r>
    </w:p>
    <w:p w14:paraId="5A1B4ED8" w14:textId="77777777" w:rsidR="001811BE" w:rsidRPr="00D43235" w:rsidRDefault="001811BE" w:rsidP="00367E6C">
      <w:pPr>
        <w:pStyle w:val="Heading2"/>
        <w:spacing w:line="360" w:lineRule="auto"/>
        <w:jc w:val="both"/>
        <w:rPr>
          <w:rFonts w:ascii="Arial" w:hAnsi="Arial" w:cs="Arial"/>
          <w:sz w:val="22"/>
          <w:szCs w:val="22"/>
        </w:rPr>
      </w:pPr>
      <w:bookmarkStart w:id="7" w:name="_Toc223208672"/>
      <w:r w:rsidRPr="00D43235">
        <w:rPr>
          <w:rFonts w:ascii="Arial" w:hAnsi="Arial" w:cs="Arial"/>
          <w:sz w:val="22"/>
          <w:szCs w:val="22"/>
        </w:rPr>
        <w:t>Conclusion</w:t>
      </w:r>
      <w:bookmarkEnd w:id="7"/>
    </w:p>
    <w:p w14:paraId="64AC9546" w14:textId="665D045A" w:rsidR="00EF57A8" w:rsidRPr="00D43235" w:rsidRDefault="00EF57A8" w:rsidP="00367E6C">
      <w:pPr>
        <w:spacing w:after="0"/>
        <w:rPr>
          <w:rFonts w:ascii="Arial" w:eastAsia="Times New Roman" w:hAnsi="Arial" w:cs="Arial"/>
          <w:bCs/>
          <w:kern w:val="36"/>
          <w:sz w:val="22"/>
          <w:lang w:eastAsia="en-GB"/>
        </w:rPr>
      </w:pPr>
      <w:r w:rsidRPr="00D43235">
        <w:rPr>
          <w:rFonts w:ascii="Arial" w:eastAsia="Times New Roman" w:hAnsi="Arial" w:cs="Arial"/>
          <w:bCs/>
          <w:kern w:val="36"/>
          <w:sz w:val="22"/>
          <w:lang w:eastAsia="en-GB"/>
        </w:rPr>
        <w:t xml:space="preserve">SDG 3 and SDG 10 are both directly related to each other because it is the responsibility of the structure to eliminate social and economic differences to achieve fair health results. Although the international, national and local systems show their initiatives </w:t>
      </w:r>
      <w:r w:rsidR="005E2AE9">
        <w:rPr>
          <w:rFonts w:ascii="Arial" w:eastAsia="Times New Roman" w:hAnsi="Arial" w:cs="Arial"/>
          <w:bCs/>
          <w:kern w:val="36"/>
          <w:sz w:val="22"/>
          <w:lang w:eastAsia="en-GB"/>
        </w:rPr>
        <w:t>for</w:t>
      </w:r>
      <w:r w:rsidRPr="00D43235">
        <w:rPr>
          <w:rFonts w:ascii="Arial" w:eastAsia="Times New Roman" w:hAnsi="Arial" w:cs="Arial"/>
          <w:bCs/>
          <w:kern w:val="36"/>
          <w:sz w:val="22"/>
          <w:lang w:eastAsia="en-GB"/>
        </w:rPr>
        <w:t xml:space="preserve"> sustainable development, the inequalities, unstable funding</w:t>
      </w:r>
      <w:r w:rsidR="005E2AE9">
        <w:rPr>
          <w:rFonts w:ascii="Arial" w:eastAsia="Times New Roman" w:hAnsi="Arial" w:cs="Arial"/>
          <w:bCs/>
          <w:kern w:val="36"/>
          <w:sz w:val="22"/>
          <w:lang w:eastAsia="en-GB"/>
        </w:rPr>
        <w:t>,</w:t>
      </w:r>
      <w:r w:rsidRPr="00D43235">
        <w:rPr>
          <w:rFonts w:ascii="Arial" w:eastAsia="Times New Roman" w:hAnsi="Arial" w:cs="Arial"/>
          <w:bCs/>
          <w:kern w:val="36"/>
          <w:sz w:val="22"/>
          <w:lang w:eastAsia="en-GB"/>
        </w:rPr>
        <w:t xml:space="preserve"> and implementation issues reduce the transformative effects.</w:t>
      </w:r>
    </w:p>
    <w:p w14:paraId="4BE79258" w14:textId="77777777" w:rsidR="00EF57A8" w:rsidRPr="00D43235" w:rsidRDefault="00EF57A8" w:rsidP="00367E6C">
      <w:pPr>
        <w:spacing w:after="0"/>
        <w:rPr>
          <w:rFonts w:ascii="Arial" w:eastAsia="Times New Roman" w:hAnsi="Arial" w:cs="Arial"/>
          <w:bCs/>
          <w:kern w:val="36"/>
          <w:sz w:val="22"/>
          <w:lang w:eastAsia="en-GB"/>
        </w:rPr>
      </w:pPr>
      <w:r w:rsidRPr="00D43235">
        <w:rPr>
          <w:rFonts w:ascii="Arial" w:eastAsia="Times New Roman" w:hAnsi="Arial" w:cs="Arial"/>
          <w:bCs/>
          <w:kern w:val="36"/>
          <w:sz w:val="22"/>
          <w:lang w:eastAsia="en-GB"/>
        </w:rPr>
        <w:t>The Welsh legislative example is a successful example of new approaches to integrating sustainability into governance, but it takes time to achieve a new state and hopeful outcomes of political interest and investments. On the UK level, the preventative rhetoric needs to be followed by structural economic reform and stable funding in order to lessen the deep-rooted disparities.</w:t>
      </w:r>
    </w:p>
    <w:p w14:paraId="0DE613BC" w14:textId="77777777" w:rsidR="00EF57A8" w:rsidRPr="00D43235" w:rsidRDefault="00EF57A8" w:rsidP="00367E6C">
      <w:pPr>
        <w:spacing w:after="0"/>
        <w:rPr>
          <w:rFonts w:ascii="Arial" w:eastAsia="Times New Roman" w:hAnsi="Arial" w:cs="Arial"/>
          <w:bCs/>
          <w:kern w:val="36"/>
          <w:sz w:val="22"/>
          <w:lang w:eastAsia="en-GB"/>
        </w:rPr>
      </w:pPr>
      <w:r w:rsidRPr="00D43235">
        <w:rPr>
          <w:rFonts w:ascii="Arial" w:eastAsia="Times New Roman" w:hAnsi="Arial" w:cs="Arial"/>
          <w:bCs/>
          <w:kern w:val="36"/>
          <w:sz w:val="22"/>
          <w:lang w:eastAsia="en-GB"/>
        </w:rPr>
        <w:t>The concept of sustainable development consequently requires the healthcare-based reform to give way to the socio-economic transformation on the systemic level. The equity of health should be entrenched in fiscal policy, urban planning, labour market control and environmental governance. The intergenerational goals of SDG 3 and SDG 10 could only be realised in a valuable and quantifiable manner through a coordinated structural reform.</w:t>
      </w:r>
    </w:p>
    <w:p w14:paraId="4E8FDE00" w14:textId="56EFF766" w:rsidR="006C3949" w:rsidRPr="00D43235" w:rsidRDefault="00EF57A8" w:rsidP="00367E6C">
      <w:pPr>
        <w:spacing w:after="0"/>
        <w:rPr>
          <w:rFonts w:ascii="Arial" w:eastAsia="Times New Roman" w:hAnsi="Arial" w:cs="Arial"/>
          <w:bCs/>
          <w:kern w:val="36"/>
          <w:sz w:val="22"/>
          <w:lang w:eastAsia="en-GB"/>
        </w:rPr>
      </w:pPr>
      <w:r w:rsidRPr="00D43235">
        <w:rPr>
          <w:rFonts w:ascii="Arial" w:eastAsia="Times New Roman" w:hAnsi="Arial" w:cs="Arial"/>
          <w:bCs/>
          <w:kern w:val="36"/>
          <w:sz w:val="22"/>
          <w:lang w:eastAsia="en-GB"/>
        </w:rPr>
        <w:t>In conclusion, sustainable health and well</w:t>
      </w:r>
      <w:r w:rsidR="005E2AE9">
        <w:rPr>
          <w:rFonts w:ascii="Arial" w:eastAsia="Times New Roman" w:hAnsi="Arial" w:cs="Arial"/>
          <w:bCs/>
          <w:kern w:val="36"/>
          <w:sz w:val="22"/>
          <w:lang w:eastAsia="en-GB"/>
        </w:rPr>
        <w:t>-</w:t>
      </w:r>
      <w:r w:rsidRPr="00D43235">
        <w:rPr>
          <w:rFonts w:ascii="Arial" w:eastAsia="Times New Roman" w:hAnsi="Arial" w:cs="Arial"/>
          <w:bCs/>
          <w:kern w:val="36"/>
          <w:sz w:val="22"/>
          <w:lang w:eastAsia="en-GB"/>
        </w:rPr>
        <w:t xml:space="preserve">being require a cross-sector partnership, which would be long-term and be based on the principles of social justice. In the absence of any meaningful strides in the reduction of inequality, the aspirations of the 2030 Agenda are likely to be more of an aspiration than </w:t>
      </w:r>
      <w:r w:rsidR="005E2AE9">
        <w:rPr>
          <w:rFonts w:ascii="Arial" w:eastAsia="Times New Roman" w:hAnsi="Arial" w:cs="Arial"/>
          <w:bCs/>
          <w:kern w:val="36"/>
          <w:sz w:val="22"/>
          <w:lang w:eastAsia="en-GB"/>
        </w:rPr>
        <w:t xml:space="preserve">a </w:t>
      </w:r>
      <w:r w:rsidRPr="00D43235">
        <w:rPr>
          <w:rFonts w:ascii="Arial" w:eastAsia="Times New Roman" w:hAnsi="Arial" w:cs="Arial"/>
          <w:bCs/>
          <w:kern w:val="36"/>
          <w:sz w:val="22"/>
          <w:lang w:eastAsia="en-GB"/>
        </w:rPr>
        <w:t>change.</w:t>
      </w:r>
    </w:p>
    <w:p w14:paraId="00448384" w14:textId="77777777" w:rsidR="00EF57A8" w:rsidRPr="00D43235" w:rsidRDefault="006C3949" w:rsidP="00367E6C">
      <w:pPr>
        <w:jc w:val="left"/>
        <w:rPr>
          <w:rFonts w:ascii="Arial" w:eastAsia="Times New Roman" w:hAnsi="Arial" w:cs="Arial"/>
          <w:bCs/>
          <w:kern w:val="36"/>
          <w:sz w:val="22"/>
          <w:lang w:eastAsia="en-GB"/>
        </w:rPr>
      </w:pPr>
      <w:r w:rsidRPr="00D43235">
        <w:rPr>
          <w:rFonts w:ascii="Arial" w:eastAsia="Times New Roman" w:hAnsi="Arial" w:cs="Arial"/>
          <w:bCs/>
          <w:kern w:val="36"/>
          <w:sz w:val="22"/>
          <w:lang w:eastAsia="en-GB"/>
        </w:rPr>
        <w:br w:type="page"/>
      </w:r>
    </w:p>
    <w:p w14:paraId="5F760670" w14:textId="77777777" w:rsidR="00802108" w:rsidRPr="00945129" w:rsidRDefault="00802108" w:rsidP="00945129">
      <w:pPr>
        <w:pStyle w:val="Heading2"/>
        <w:rPr>
          <w:rFonts w:ascii="Arial" w:hAnsi="Arial" w:cs="Arial"/>
          <w:sz w:val="22"/>
        </w:rPr>
      </w:pPr>
      <w:bookmarkStart w:id="8" w:name="_Toc223208673"/>
      <w:r w:rsidRPr="00945129">
        <w:rPr>
          <w:rFonts w:ascii="Arial" w:hAnsi="Arial" w:cs="Arial"/>
          <w:sz w:val="22"/>
        </w:rPr>
        <w:lastRenderedPageBreak/>
        <w:t>References</w:t>
      </w:r>
      <w:bookmarkEnd w:id="8"/>
    </w:p>
    <w:p w14:paraId="4DE1EC53" w14:textId="471EF91C" w:rsidR="00367E6C" w:rsidRPr="00D43235" w:rsidRDefault="00367E6C" w:rsidP="00367E6C">
      <w:pPr>
        <w:pStyle w:val="NormalWeb"/>
        <w:spacing w:line="360" w:lineRule="auto"/>
        <w:rPr>
          <w:rFonts w:ascii="Arial" w:hAnsi="Arial" w:cs="Arial"/>
          <w:sz w:val="22"/>
        </w:rPr>
      </w:pPr>
      <w:r w:rsidRPr="00D43235">
        <w:rPr>
          <w:rFonts w:ascii="Arial" w:hAnsi="Arial" w:cs="Arial"/>
          <w:sz w:val="22"/>
        </w:rPr>
        <w:t xml:space="preserve">Audit Wales (2022) </w:t>
      </w:r>
      <w:r w:rsidRPr="00D43235">
        <w:rPr>
          <w:rStyle w:val="Emphasis"/>
          <w:rFonts w:ascii="Arial" w:hAnsi="Arial" w:cs="Arial"/>
          <w:sz w:val="22"/>
        </w:rPr>
        <w:t>Well-being of Future Generations Act: Implementation Review</w:t>
      </w:r>
      <w:r w:rsidRPr="00D43235">
        <w:rPr>
          <w:rFonts w:ascii="Arial" w:hAnsi="Arial" w:cs="Arial"/>
          <w:sz w:val="22"/>
        </w:rPr>
        <w:t xml:space="preserve">. Available at: </w:t>
      </w:r>
      <w:r w:rsidRPr="005E2AE9">
        <w:rPr>
          <w:rFonts w:ascii="Arial" w:hAnsi="Arial" w:cs="Arial"/>
          <w:sz w:val="22"/>
        </w:rPr>
        <w:t>https://www.audit.wales</w:t>
      </w:r>
      <w:r w:rsidRPr="00D43235">
        <w:rPr>
          <w:rFonts w:ascii="Arial" w:hAnsi="Arial" w:cs="Arial"/>
          <w:sz w:val="22"/>
        </w:rPr>
        <w:t xml:space="preserve"> (Accessed: 2</w:t>
      </w:r>
      <w:r w:rsidR="005E2AE9">
        <w:rPr>
          <w:rFonts w:ascii="Arial" w:hAnsi="Arial" w:cs="Arial"/>
          <w:sz w:val="22"/>
        </w:rPr>
        <w:t>2</w:t>
      </w:r>
      <w:r w:rsidRPr="00D43235">
        <w:rPr>
          <w:rFonts w:ascii="Arial" w:hAnsi="Arial" w:cs="Arial"/>
          <w:sz w:val="22"/>
        </w:rPr>
        <w:t xml:space="preserve"> February 2026).</w:t>
      </w:r>
    </w:p>
    <w:p w14:paraId="6F341B1E" w14:textId="77777777" w:rsidR="00367E6C" w:rsidRPr="00D43235" w:rsidRDefault="00367E6C" w:rsidP="00367E6C">
      <w:pPr>
        <w:pStyle w:val="NormalWeb"/>
        <w:spacing w:line="360" w:lineRule="auto"/>
        <w:rPr>
          <w:rFonts w:ascii="Arial" w:hAnsi="Arial" w:cs="Arial"/>
          <w:sz w:val="22"/>
        </w:rPr>
      </w:pPr>
      <w:r w:rsidRPr="00D43235">
        <w:rPr>
          <w:rFonts w:ascii="Arial" w:hAnsi="Arial" w:cs="Arial"/>
          <w:sz w:val="22"/>
        </w:rPr>
        <w:t xml:space="preserve">Braveman, P., Arkin, E., Proctor, D., </w:t>
      </w:r>
      <w:proofErr w:type="spellStart"/>
      <w:r w:rsidRPr="00D43235">
        <w:rPr>
          <w:rFonts w:ascii="Arial" w:hAnsi="Arial" w:cs="Arial"/>
          <w:sz w:val="22"/>
        </w:rPr>
        <w:t>Kauh</w:t>
      </w:r>
      <w:proofErr w:type="spellEnd"/>
      <w:r w:rsidRPr="00D43235">
        <w:rPr>
          <w:rFonts w:ascii="Arial" w:hAnsi="Arial" w:cs="Arial"/>
          <w:sz w:val="22"/>
        </w:rPr>
        <w:t xml:space="preserve">, T. and Holm, N. (2022) ‘Systemic and structural racism: definitions, examples, health damages and approaches to dismantling’, </w:t>
      </w:r>
      <w:r w:rsidRPr="00D43235">
        <w:rPr>
          <w:rStyle w:val="Emphasis"/>
          <w:rFonts w:ascii="Arial" w:hAnsi="Arial" w:cs="Arial"/>
          <w:sz w:val="22"/>
        </w:rPr>
        <w:t>Health Affairs</w:t>
      </w:r>
      <w:r w:rsidRPr="00D43235">
        <w:rPr>
          <w:rFonts w:ascii="Arial" w:hAnsi="Arial" w:cs="Arial"/>
          <w:sz w:val="22"/>
        </w:rPr>
        <w:t>, 41(2), pp. 171–178.</w:t>
      </w:r>
    </w:p>
    <w:p w14:paraId="3D014E7A" w14:textId="3982C61E" w:rsidR="00367E6C" w:rsidRPr="00D43235" w:rsidRDefault="00367E6C" w:rsidP="00367E6C">
      <w:pPr>
        <w:pStyle w:val="NormalWeb"/>
        <w:spacing w:line="360" w:lineRule="auto"/>
        <w:rPr>
          <w:rFonts w:ascii="Arial" w:hAnsi="Arial" w:cs="Arial"/>
          <w:sz w:val="22"/>
        </w:rPr>
      </w:pPr>
      <w:r w:rsidRPr="00D43235">
        <w:rPr>
          <w:rFonts w:ascii="Arial" w:hAnsi="Arial" w:cs="Arial"/>
          <w:sz w:val="22"/>
        </w:rPr>
        <w:t xml:space="preserve">Buck, D. (2021) </w:t>
      </w:r>
      <w:r w:rsidRPr="00D43235">
        <w:rPr>
          <w:rStyle w:val="Emphasis"/>
          <w:rFonts w:ascii="Arial" w:hAnsi="Arial" w:cs="Arial"/>
          <w:sz w:val="22"/>
        </w:rPr>
        <w:t>The NHS After the Pandemic</w:t>
      </w:r>
      <w:r w:rsidRPr="00D43235">
        <w:rPr>
          <w:rFonts w:ascii="Arial" w:hAnsi="Arial" w:cs="Arial"/>
          <w:sz w:val="22"/>
        </w:rPr>
        <w:t xml:space="preserve">. London: The King’s Fund. Available at: </w:t>
      </w:r>
      <w:r w:rsidRPr="005E2AE9">
        <w:rPr>
          <w:rFonts w:ascii="Arial" w:hAnsi="Arial" w:cs="Arial"/>
          <w:sz w:val="22"/>
        </w:rPr>
        <w:t>https://www.kingsfund.org.uk</w:t>
      </w:r>
      <w:r w:rsidRPr="00D43235">
        <w:rPr>
          <w:rFonts w:ascii="Arial" w:hAnsi="Arial" w:cs="Arial"/>
          <w:sz w:val="22"/>
        </w:rPr>
        <w:t xml:space="preserve"> (Accessed: 2</w:t>
      </w:r>
      <w:r w:rsidR="005E2AE9">
        <w:rPr>
          <w:rFonts w:ascii="Arial" w:hAnsi="Arial" w:cs="Arial"/>
          <w:sz w:val="22"/>
        </w:rPr>
        <w:t>2</w:t>
      </w:r>
      <w:r w:rsidRPr="00D43235">
        <w:rPr>
          <w:rFonts w:ascii="Arial" w:hAnsi="Arial" w:cs="Arial"/>
          <w:sz w:val="22"/>
        </w:rPr>
        <w:t xml:space="preserve"> February 2026).</w:t>
      </w:r>
    </w:p>
    <w:p w14:paraId="762C6C78" w14:textId="77777777" w:rsidR="00367E6C" w:rsidRPr="00D43235" w:rsidRDefault="00367E6C" w:rsidP="00367E6C">
      <w:pPr>
        <w:pStyle w:val="NormalWeb"/>
        <w:spacing w:line="360" w:lineRule="auto"/>
        <w:rPr>
          <w:rFonts w:ascii="Arial" w:hAnsi="Arial" w:cs="Arial"/>
          <w:sz w:val="22"/>
        </w:rPr>
      </w:pPr>
      <w:r w:rsidRPr="00D43235">
        <w:rPr>
          <w:rFonts w:ascii="Arial" w:hAnsi="Arial" w:cs="Arial"/>
          <w:sz w:val="22"/>
        </w:rPr>
        <w:t xml:space="preserve">Dahlgren, G. and Whitehead, M. (2021) </w:t>
      </w:r>
      <w:r w:rsidRPr="00D43235">
        <w:rPr>
          <w:rStyle w:val="Emphasis"/>
          <w:rFonts w:ascii="Arial" w:hAnsi="Arial" w:cs="Arial"/>
          <w:sz w:val="22"/>
        </w:rPr>
        <w:t>European Strategies for Tackling Social Inequities in Health</w:t>
      </w:r>
      <w:r w:rsidRPr="00D43235">
        <w:rPr>
          <w:rFonts w:ascii="Arial" w:hAnsi="Arial" w:cs="Arial"/>
          <w:sz w:val="22"/>
        </w:rPr>
        <w:t>. Copenhagen: WHO Regional Office for Europe.</w:t>
      </w:r>
    </w:p>
    <w:p w14:paraId="214A22BE" w14:textId="23156C3A" w:rsidR="00367E6C" w:rsidRPr="00D43235" w:rsidRDefault="00367E6C" w:rsidP="00367E6C">
      <w:pPr>
        <w:pStyle w:val="NormalWeb"/>
        <w:spacing w:line="360" w:lineRule="auto"/>
        <w:rPr>
          <w:rFonts w:ascii="Arial" w:hAnsi="Arial" w:cs="Arial"/>
          <w:sz w:val="22"/>
        </w:rPr>
      </w:pPr>
      <w:r w:rsidRPr="00D43235">
        <w:rPr>
          <w:rFonts w:ascii="Arial" w:hAnsi="Arial" w:cs="Arial"/>
          <w:sz w:val="22"/>
        </w:rPr>
        <w:t xml:space="preserve">Future Generations Commissioner for Wales (2023) </w:t>
      </w:r>
      <w:r w:rsidRPr="00D43235">
        <w:rPr>
          <w:rStyle w:val="Emphasis"/>
          <w:rFonts w:ascii="Arial" w:hAnsi="Arial" w:cs="Arial"/>
          <w:sz w:val="22"/>
        </w:rPr>
        <w:t>Annual Report 2023</w:t>
      </w:r>
      <w:r w:rsidRPr="00D43235">
        <w:rPr>
          <w:rFonts w:ascii="Arial" w:hAnsi="Arial" w:cs="Arial"/>
          <w:sz w:val="22"/>
        </w:rPr>
        <w:t xml:space="preserve">. Available at: </w:t>
      </w:r>
      <w:r w:rsidRPr="005E2AE9">
        <w:rPr>
          <w:rFonts w:ascii="Arial" w:hAnsi="Arial" w:cs="Arial"/>
          <w:sz w:val="22"/>
        </w:rPr>
        <w:t>https://www.futuregenerations.wales</w:t>
      </w:r>
      <w:r w:rsidRPr="00D43235">
        <w:rPr>
          <w:rFonts w:ascii="Arial" w:hAnsi="Arial" w:cs="Arial"/>
          <w:sz w:val="22"/>
        </w:rPr>
        <w:t xml:space="preserve"> (Accessed: 2</w:t>
      </w:r>
      <w:r w:rsidR="005E2AE9">
        <w:rPr>
          <w:rFonts w:ascii="Arial" w:hAnsi="Arial" w:cs="Arial"/>
          <w:sz w:val="22"/>
        </w:rPr>
        <w:t>2</w:t>
      </w:r>
      <w:r w:rsidRPr="00D43235">
        <w:rPr>
          <w:rFonts w:ascii="Arial" w:hAnsi="Arial" w:cs="Arial"/>
          <w:sz w:val="22"/>
        </w:rPr>
        <w:t xml:space="preserve"> February 2026).</w:t>
      </w:r>
    </w:p>
    <w:p w14:paraId="3423A346" w14:textId="77777777" w:rsidR="00367E6C" w:rsidRPr="00D43235" w:rsidRDefault="00367E6C" w:rsidP="00367E6C">
      <w:pPr>
        <w:pStyle w:val="NormalWeb"/>
        <w:spacing w:line="360" w:lineRule="auto"/>
        <w:rPr>
          <w:rFonts w:ascii="Arial" w:hAnsi="Arial" w:cs="Arial"/>
          <w:sz w:val="22"/>
        </w:rPr>
      </w:pPr>
      <w:r w:rsidRPr="00D43235">
        <w:rPr>
          <w:rFonts w:ascii="Arial" w:hAnsi="Arial" w:cs="Arial"/>
          <w:sz w:val="22"/>
        </w:rPr>
        <w:t xml:space="preserve">Ghebreyesus, T.A. (2022) ‘Global health equity and vaccine distribution’, </w:t>
      </w:r>
      <w:r w:rsidRPr="00D43235">
        <w:rPr>
          <w:rStyle w:val="Emphasis"/>
          <w:rFonts w:ascii="Arial" w:hAnsi="Arial" w:cs="Arial"/>
          <w:sz w:val="22"/>
        </w:rPr>
        <w:t>BMJ</w:t>
      </w:r>
      <w:r w:rsidRPr="00D43235">
        <w:rPr>
          <w:rFonts w:ascii="Arial" w:hAnsi="Arial" w:cs="Arial"/>
          <w:sz w:val="22"/>
        </w:rPr>
        <w:t>, 376, o417.</w:t>
      </w:r>
    </w:p>
    <w:p w14:paraId="563B7C82" w14:textId="139662D1" w:rsidR="00367E6C" w:rsidRPr="00D43235" w:rsidRDefault="00367E6C" w:rsidP="00367E6C">
      <w:pPr>
        <w:pStyle w:val="NormalWeb"/>
        <w:spacing w:line="360" w:lineRule="auto"/>
        <w:rPr>
          <w:rFonts w:ascii="Arial" w:hAnsi="Arial" w:cs="Arial"/>
          <w:sz w:val="22"/>
        </w:rPr>
      </w:pPr>
      <w:r w:rsidRPr="00D43235">
        <w:rPr>
          <w:rFonts w:ascii="Arial" w:hAnsi="Arial" w:cs="Arial"/>
          <w:sz w:val="22"/>
        </w:rPr>
        <w:t xml:space="preserve">HM Government (2022) </w:t>
      </w:r>
      <w:r w:rsidRPr="00D43235">
        <w:rPr>
          <w:rStyle w:val="Emphasis"/>
          <w:rFonts w:ascii="Arial" w:hAnsi="Arial" w:cs="Arial"/>
          <w:sz w:val="22"/>
        </w:rPr>
        <w:t>Levelling Up the United Kingdom White Paper</w:t>
      </w:r>
      <w:r w:rsidRPr="00D43235">
        <w:rPr>
          <w:rFonts w:ascii="Arial" w:hAnsi="Arial" w:cs="Arial"/>
          <w:sz w:val="22"/>
        </w:rPr>
        <w:t xml:space="preserve">. London: HMSO. Available at: </w:t>
      </w:r>
      <w:r w:rsidRPr="005E2AE9">
        <w:rPr>
          <w:rFonts w:ascii="Arial" w:hAnsi="Arial" w:cs="Arial"/>
          <w:sz w:val="22"/>
        </w:rPr>
        <w:t>https://www.gov.uk</w:t>
      </w:r>
      <w:r w:rsidRPr="00D43235">
        <w:rPr>
          <w:rFonts w:ascii="Arial" w:hAnsi="Arial" w:cs="Arial"/>
          <w:sz w:val="22"/>
        </w:rPr>
        <w:t xml:space="preserve"> (Accessed: 2</w:t>
      </w:r>
      <w:r w:rsidR="005E2AE9">
        <w:rPr>
          <w:rFonts w:ascii="Arial" w:hAnsi="Arial" w:cs="Arial"/>
          <w:sz w:val="22"/>
        </w:rPr>
        <w:t>2</w:t>
      </w:r>
      <w:r w:rsidRPr="00D43235">
        <w:rPr>
          <w:rFonts w:ascii="Arial" w:hAnsi="Arial" w:cs="Arial"/>
          <w:sz w:val="22"/>
        </w:rPr>
        <w:t xml:space="preserve"> February 2026).</w:t>
      </w:r>
    </w:p>
    <w:p w14:paraId="43247D63" w14:textId="2B80C620" w:rsidR="00367E6C" w:rsidRPr="00D43235" w:rsidRDefault="00367E6C" w:rsidP="00367E6C">
      <w:pPr>
        <w:pStyle w:val="NormalWeb"/>
        <w:spacing w:line="360" w:lineRule="auto"/>
        <w:rPr>
          <w:rFonts w:ascii="Arial" w:hAnsi="Arial" w:cs="Arial"/>
          <w:sz w:val="22"/>
        </w:rPr>
      </w:pPr>
      <w:r w:rsidRPr="00D43235">
        <w:rPr>
          <w:rFonts w:ascii="Arial" w:hAnsi="Arial" w:cs="Arial"/>
          <w:sz w:val="22"/>
        </w:rPr>
        <w:t xml:space="preserve">Marmot, M. (2020) </w:t>
      </w:r>
      <w:r w:rsidRPr="00D43235">
        <w:rPr>
          <w:rStyle w:val="Emphasis"/>
          <w:rFonts w:ascii="Arial" w:hAnsi="Arial" w:cs="Arial"/>
          <w:sz w:val="22"/>
        </w:rPr>
        <w:t>Build Back Fairer: The COVID-19 Marmot Review</w:t>
      </w:r>
      <w:r w:rsidRPr="00D43235">
        <w:rPr>
          <w:rFonts w:ascii="Arial" w:hAnsi="Arial" w:cs="Arial"/>
          <w:sz w:val="22"/>
        </w:rPr>
        <w:t xml:space="preserve">. London: Institute of Health Equity. Available at: </w:t>
      </w:r>
      <w:r w:rsidRPr="005E2AE9">
        <w:rPr>
          <w:rFonts w:ascii="Arial" w:hAnsi="Arial" w:cs="Arial"/>
          <w:sz w:val="22"/>
        </w:rPr>
        <w:t>https://www.health.org.uk</w:t>
      </w:r>
      <w:r w:rsidRPr="00D43235">
        <w:rPr>
          <w:rFonts w:ascii="Arial" w:hAnsi="Arial" w:cs="Arial"/>
          <w:sz w:val="22"/>
        </w:rPr>
        <w:t xml:space="preserve"> (Accessed: 2</w:t>
      </w:r>
      <w:r w:rsidR="005E2AE9">
        <w:rPr>
          <w:rFonts w:ascii="Arial" w:hAnsi="Arial" w:cs="Arial"/>
          <w:sz w:val="22"/>
        </w:rPr>
        <w:t>3</w:t>
      </w:r>
      <w:r w:rsidRPr="00D43235">
        <w:rPr>
          <w:rFonts w:ascii="Arial" w:hAnsi="Arial" w:cs="Arial"/>
          <w:sz w:val="22"/>
        </w:rPr>
        <w:t xml:space="preserve"> February 2026).</w:t>
      </w:r>
    </w:p>
    <w:p w14:paraId="69EB29F6" w14:textId="614F00A1" w:rsidR="00367E6C" w:rsidRPr="00D43235" w:rsidRDefault="00367E6C" w:rsidP="00367E6C">
      <w:pPr>
        <w:pStyle w:val="NormalWeb"/>
        <w:spacing w:line="360" w:lineRule="auto"/>
        <w:rPr>
          <w:rFonts w:ascii="Arial" w:hAnsi="Arial" w:cs="Arial"/>
          <w:sz w:val="22"/>
        </w:rPr>
      </w:pPr>
      <w:r w:rsidRPr="00D43235">
        <w:rPr>
          <w:rFonts w:ascii="Arial" w:hAnsi="Arial" w:cs="Arial"/>
          <w:sz w:val="22"/>
        </w:rPr>
        <w:t xml:space="preserve">NHS England (2019) </w:t>
      </w:r>
      <w:r w:rsidRPr="00D43235">
        <w:rPr>
          <w:rStyle w:val="Emphasis"/>
          <w:rFonts w:ascii="Arial" w:hAnsi="Arial" w:cs="Arial"/>
          <w:sz w:val="22"/>
        </w:rPr>
        <w:t>The NHS Long Term Plan</w:t>
      </w:r>
      <w:r w:rsidRPr="00D43235">
        <w:rPr>
          <w:rFonts w:ascii="Arial" w:hAnsi="Arial" w:cs="Arial"/>
          <w:sz w:val="22"/>
        </w:rPr>
        <w:t xml:space="preserve">. Available at: </w:t>
      </w:r>
      <w:r w:rsidRPr="005E2AE9">
        <w:rPr>
          <w:rFonts w:ascii="Arial" w:hAnsi="Arial" w:cs="Arial"/>
          <w:sz w:val="22"/>
        </w:rPr>
        <w:t>https://www.longtermplan.nhs.uk</w:t>
      </w:r>
      <w:r w:rsidRPr="00D43235">
        <w:rPr>
          <w:rFonts w:ascii="Arial" w:hAnsi="Arial" w:cs="Arial"/>
          <w:sz w:val="22"/>
        </w:rPr>
        <w:t xml:space="preserve"> (Accessed: 2</w:t>
      </w:r>
      <w:r w:rsidR="005E2AE9">
        <w:rPr>
          <w:rFonts w:ascii="Arial" w:hAnsi="Arial" w:cs="Arial"/>
          <w:sz w:val="22"/>
        </w:rPr>
        <w:t>3</w:t>
      </w:r>
      <w:r w:rsidRPr="00D43235">
        <w:rPr>
          <w:rFonts w:ascii="Arial" w:hAnsi="Arial" w:cs="Arial"/>
          <w:sz w:val="22"/>
        </w:rPr>
        <w:t xml:space="preserve"> February 2026).</w:t>
      </w:r>
    </w:p>
    <w:p w14:paraId="7DB5AAE4" w14:textId="2B3DA55D" w:rsidR="00367E6C" w:rsidRPr="00D43235" w:rsidRDefault="00367E6C" w:rsidP="00367E6C">
      <w:pPr>
        <w:pStyle w:val="NormalWeb"/>
        <w:spacing w:line="360" w:lineRule="auto"/>
        <w:rPr>
          <w:rFonts w:ascii="Arial" w:hAnsi="Arial" w:cs="Arial"/>
          <w:sz w:val="22"/>
        </w:rPr>
      </w:pPr>
      <w:r w:rsidRPr="00D43235">
        <w:rPr>
          <w:rFonts w:ascii="Arial" w:hAnsi="Arial" w:cs="Arial"/>
          <w:sz w:val="22"/>
        </w:rPr>
        <w:t xml:space="preserve">Office for Health Improvement and Disparities (2023) </w:t>
      </w:r>
      <w:r w:rsidRPr="00D43235">
        <w:rPr>
          <w:rStyle w:val="Emphasis"/>
          <w:rFonts w:ascii="Arial" w:hAnsi="Arial" w:cs="Arial"/>
          <w:sz w:val="22"/>
        </w:rPr>
        <w:t>Health Inequalities Dashboard</w:t>
      </w:r>
      <w:r w:rsidRPr="00D43235">
        <w:rPr>
          <w:rFonts w:ascii="Arial" w:hAnsi="Arial" w:cs="Arial"/>
          <w:sz w:val="22"/>
        </w:rPr>
        <w:t xml:space="preserve">. Available at: </w:t>
      </w:r>
      <w:r w:rsidRPr="005E2AE9">
        <w:rPr>
          <w:rFonts w:ascii="Arial" w:hAnsi="Arial" w:cs="Arial"/>
          <w:sz w:val="22"/>
        </w:rPr>
        <w:t>https://www.gov.uk</w:t>
      </w:r>
      <w:r w:rsidRPr="00D43235">
        <w:rPr>
          <w:rFonts w:ascii="Arial" w:hAnsi="Arial" w:cs="Arial"/>
          <w:sz w:val="22"/>
        </w:rPr>
        <w:t xml:space="preserve"> (Accessed: 2</w:t>
      </w:r>
      <w:r w:rsidR="005E2AE9">
        <w:rPr>
          <w:rFonts w:ascii="Arial" w:hAnsi="Arial" w:cs="Arial"/>
          <w:sz w:val="22"/>
        </w:rPr>
        <w:t>3</w:t>
      </w:r>
      <w:r w:rsidRPr="00D43235">
        <w:rPr>
          <w:rFonts w:ascii="Arial" w:hAnsi="Arial" w:cs="Arial"/>
          <w:sz w:val="22"/>
        </w:rPr>
        <w:t xml:space="preserve"> February 2026).</w:t>
      </w:r>
    </w:p>
    <w:p w14:paraId="3D69D594" w14:textId="15705FA9" w:rsidR="00367E6C" w:rsidRPr="00D43235" w:rsidRDefault="00367E6C" w:rsidP="00367E6C">
      <w:pPr>
        <w:pStyle w:val="NormalWeb"/>
        <w:spacing w:line="360" w:lineRule="auto"/>
        <w:rPr>
          <w:rFonts w:ascii="Arial" w:hAnsi="Arial" w:cs="Arial"/>
          <w:sz w:val="22"/>
        </w:rPr>
      </w:pPr>
      <w:r w:rsidRPr="00D43235">
        <w:rPr>
          <w:rFonts w:ascii="Arial" w:hAnsi="Arial" w:cs="Arial"/>
          <w:sz w:val="22"/>
        </w:rPr>
        <w:t xml:space="preserve">Oxfam (2023) </w:t>
      </w:r>
      <w:r w:rsidRPr="00D43235">
        <w:rPr>
          <w:rStyle w:val="Emphasis"/>
          <w:rFonts w:ascii="Arial" w:hAnsi="Arial" w:cs="Arial"/>
          <w:sz w:val="22"/>
        </w:rPr>
        <w:t>Survival of the Richest</w:t>
      </w:r>
      <w:r w:rsidRPr="00D43235">
        <w:rPr>
          <w:rFonts w:ascii="Arial" w:hAnsi="Arial" w:cs="Arial"/>
          <w:sz w:val="22"/>
        </w:rPr>
        <w:t xml:space="preserve">. Available at: </w:t>
      </w:r>
      <w:r w:rsidRPr="005E2AE9">
        <w:rPr>
          <w:rFonts w:ascii="Arial" w:hAnsi="Arial" w:cs="Arial"/>
          <w:sz w:val="22"/>
        </w:rPr>
        <w:t>https://www.oxfam.org</w:t>
      </w:r>
      <w:r w:rsidRPr="00D43235">
        <w:rPr>
          <w:rFonts w:ascii="Arial" w:hAnsi="Arial" w:cs="Arial"/>
          <w:sz w:val="22"/>
        </w:rPr>
        <w:t xml:space="preserve"> (Accessed: 2</w:t>
      </w:r>
      <w:r w:rsidR="005E2AE9">
        <w:rPr>
          <w:rFonts w:ascii="Arial" w:hAnsi="Arial" w:cs="Arial"/>
          <w:sz w:val="22"/>
        </w:rPr>
        <w:t>3</w:t>
      </w:r>
      <w:r w:rsidRPr="00D43235">
        <w:rPr>
          <w:rFonts w:ascii="Arial" w:hAnsi="Arial" w:cs="Arial"/>
          <w:sz w:val="22"/>
        </w:rPr>
        <w:t xml:space="preserve"> February 2026).</w:t>
      </w:r>
    </w:p>
    <w:p w14:paraId="20336636" w14:textId="1D2D1252" w:rsidR="00367E6C" w:rsidRPr="00D43235" w:rsidRDefault="00367E6C" w:rsidP="00367E6C">
      <w:pPr>
        <w:pStyle w:val="NormalWeb"/>
        <w:spacing w:line="360" w:lineRule="auto"/>
        <w:rPr>
          <w:rFonts w:ascii="Arial" w:hAnsi="Arial" w:cs="Arial"/>
          <w:sz w:val="22"/>
        </w:rPr>
      </w:pPr>
      <w:r w:rsidRPr="00D43235">
        <w:rPr>
          <w:rFonts w:ascii="Arial" w:hAnsi="Arial" w:cs="Arial"/>
          <w:sz w:val="22"/>
        </w:rPr>
        <w:t xml:space="preserve">Public Health Wales (2022) </w:t>
      </w:r>
      <w:r w:rsidRPr="00D43235">
        <w:rPr>
          <w:rStyle w:val="Emphasis"/>
          <w:rFonts w:ascii="Arial" w:hAnsi="Arial" w:cs="Arial"/>
          <w:sz w:val="22"/>
        </w:rPr>
        <w:t>Health Inequality Trends Report</w:t>
      </w:r>
      <w:r w:rsidRPr="00D43235">
        <w:rPr>
          <w:rFonts w:ascii="Arial" w:hAnsi="Arial" w:cs="Arial"/>
          <w:sz w:val="22"/>
        </w:rPr>
        <w:t xml:space="preserve">. Available at: </w:t>
      </w:r>
      <w:r w:rsidRPr="005E2AE9">
        <w:rPr>
          <w:rFonts w:ascii="Arial" w:hAnsi="Arial" w:cs="Arial"/>
          <w:sz w:val="22"/>
        </w:rPr>
        <w:t>https://phw.nhs.wales</w:t>
      </w:r>
      <w:r w:rsidRPr="00D43235">
        <w:rPr>
          <w:rFonts w:ascii="Arial" w:hAnsi="Arial" w:cs="Arial"/>
          <w:sz w:val="22"/>
        </w:rPr>
        <w:t xml:space="preserve"> (Accessed: 2</w:t>
      </w:r>
      <w:r w:rsidR="005E2AE9">
        <w:rPr>
          <w:rFonts w:ascii="Arial" w:hAnsi="Arial" w:cs="Arial"/>
          <w:sz w:val="22"/>
        </w:rPr>
        <w:t>4</w:t>
      </w:r>
      <w:r w:rsidRPr="00D43235">
        <w:rPr>
          <w:rFonts w:ascii="Arial" w:hAnsi="Arial" w:cs="Arial"/>
          <w:sz w:val="22"/>
        </w:rPr>
        <w:t xml:space="preserve"> February 2026).</w:t>
      </w:r>
    </w:p>
    <w:p w14:paraId="6EE4D81E" w14:textId="77777777" w:rsidR="00367E6C" w:rsidRPr="00D43235" w:rsidRDefault="00367E6C" w:rsidP="00367E6C">
      <w:pPr>
        <w:pStyle w:val="NormalWeb"/>
        <w:spacing w:line="360" w:lineRule="auto"/>
        <w:rPr>
          <w:rFonts w:ascii="Arial" w:hAnsi="Arial" w:cs="Arial"/>
          <w:sz w:val="22"/>
        </w:rPr>
      </w:pPr>
      <w:r w:rsidRPr="00D43235">
        <w:rPr>
          <w:rFonts w:ascii="Arial" w:hAnsi="Arial" w:cs="Arial"/>
          <w:sz w:val="22"/>
        </w:rPr>
        <w:t xml:space="preserve">Solar, O. and Irwin, A. (2019) </w:t>
      </w:r>
      <w:r w:rsidRPr="00D43235">
        <w:rPr>
          <w:rStyle w:val="Emphasis"/>
          <w:rFonts w:ascii="Arial" w:hAnsi="Arial" w:cs="Arial"/>
          <w:sz w:val="22"/>
        </w:rPr>
        <w:t>A Conceptual Framework for Action on the Social Determinants of Health</w:t>
      </w:r>
      <w:r w:rsidRPr="00D43235">
        <w:rPr>
          <w:rFonts w:ascii="Arial" w:hAnsi="Arial" w:cs="Arial"/>
          <w:sz w:val="22"/>
        </w:rPr>
        <w:t>. Geneva: WHO.</w:t>
      </w:r>
    </w:p>
    <w:p w14:paraId="5C43E112" w14:textId="79B585B2" w:rsidR="00367E6C" w:rsidRPr="00D43235" w:rsidRDefault="00367E6C" w:rsidP="00367E6C">
      <w:pPr>
        <w:pStyle w:val="NormalWeb"/>
        <w:spacing w:line="360" w:lineRule="auto"/>
        <w:rPr>
          <w:rFonts w:ascii="Arial" w:hAnsi="Arial" w:cs="Arial"/>
          <w:sz w:val="22"/>
        </w:rPr>
      </w:pPr>
      <w:r w:rsidRPr="00D43235">
        <w:rPr>
          <w:rFonts w:ascii="Arial" w:hAnsi="Arial" w:cs="Arial"/>
          <w:sz w:val="22"/>
        </w:rPr>
        <w:lastRenderedPageBreak/>
        <w:t xml:space="preserve">United Nations (2015) </w:t>
      </w:r>
      <w:r w:rsidRPr="00D43235">
        <w:rPr>
          <w:rStyle w:val="Emphasis"/>
          <w:rFonts w:ascii="Arial" w:hAnsi="Arial" w:cs="Arial"/>
          <w:sz w:val="22"/>
        </w:rPr>
        <w:t>Transforming our World: The 2030 Agenda for Sustainable Development</w:t>
      </w:r>
      <w:r w:rsidRPr="00D43235">
        <w:rPr>
          <w:rFonts w:ascii="Arial" w:hAnsi="Arial" w:cs="Arial"/>
          <w:sz w:val="22"/>
        </w:rPr>
        <w:t xml:space="preserve">. Available at: </w:t>
      </w:r>
      <w:r w:rsidRPr="005E2AE9">
        <w:rPr>
          <w:rFonts w:ascii="Arial" w:hAnsi="Arial" w:cs="Arial"/>
          <w:sz w:val="22"/>
        </w:rPr>
        <w:t>https://sdgs.un.org</w:t>
      </w:r>
      <w:r w:rsidRPr="00D43235">
        <w:rPr>
          <w:rFonts w:ascii="Arial" w:hAnsi="Arial" w:cs="Arial"/>
          <w:sz w:val="22"/>
        </w:rPr>
        <w:t xml:space="preserve"> (Accessed: 2</w:t>
      </w:r>
      <w:r w:rsidR="005E2AE9">
        <w:rPr>
          <w:rFonts w:ascii="Arial" w:hAnsi="Arial" w:cs="Arial"/>
          <w:sz w:val="22"/>
        </w:rPr>
        <w:t>4</w:t>
      </w:r>
      <w:r w:rsidRPr="00D43235">
        <w:rPr>
          <w:rFonts w:ascii="Arial" w:hAnsi="Arial" w:cs="Arial"/>
          <w:sz w:val="22"/>
        </w:rPr>
        <w:t xml:space="preserve"> February 2026).</w:t>
      </w:r>
    </w:p>
    <w:p w14:paraId="331E5837" w14:textId="5520D03D" w:rsidR="00367E6C" w:rsidRPr="00D43235" w:rsidRDefault="00367E6C" w:rsidP="00367E6C">
      <w:pPr>
        <w:pStyle w:val="NormalWeb"/>
        <w:spacing w:line="360" w:lineRule="auto"/>
        <w:rPr>
          <w:rFonts w:ascii="Arial" w:hAnsi="Arial" w:cs="Arial"/>
          <w:sz w:val="22"/>
        </w:rPr>
      </w:pPr>
      <w:r w:rsidRPr="00D43235">
        <w:rPr>
          <w:rFonts w:ascii="Arial" w:hAnsi="Arial" w:cs="Arial"/>
          <w:sz w:val="22"/>
        </w:rPr>
        <w:t xml:space="preserve">United Nations (2023) </w:t>
      </w:r>
      <w:r w:rsidRPr="00D43235">
        <w:rPr>
          <w:rStyle w:val="Emphasis"/>
          <w:rFonts w:ascii="Arial" w:hAnsi="Arial" w:cs="Arial"/>
          <w:sz w:val="22"/>
        </w:rPr>
        <w:t>The Sustainable Development Goals Report 2023</w:t>
      </w:r>
      <w:r w:rsidRPr="00D43235">
        <w:rPr>
          <w:rFonts w:ascii="Arial" w:hAnsi="Arial" w:cs="Arial"/>
          <w:sz w:val="22"/>
        </w:rPr>
        <w:t xml:space="preserve">. Available at: </w:t>
      </w:r>
      <w:r w:rsidRPr="005E2AE9">
        <w:rPr>
          <w:rFonts w:ascii="Arial" w:hAnsi="Arial" w:cs="Arial"/>
          <w:sz w:val="22"/>
        </w:rPr>
        <w:t>https://unstats.un.org</w:t>
      </w:r>
      <w:r w:rsidRPr="00D43235">
        <w:rPr>
          <w:rFonts w:ascii="Arial" w:hAnsi="Arial" w:cs="Arial"/>
          <w:sz w:val="22"/>
        </w:rPr>
        <w:t xml:space="preserve"> (Accessed: 2</w:t>
      </w:r>
      <w:r w:rsidR="005E2AE9">
        <w:rPr>
          <w:rFonts w:ascii="Arial" w:hAnsi="Arial" w:cs="Arial"/>
          <w:sz w:val="22"/>
        </w:rPr>
        <w:t>4</w:t>
      </w:r>
      <w:r w:rsidRPr="00D43235">
        <w:rPr>
          <w:rFonts w:ascii="Arial" w:hAnsi="Arial" w:cs="Arial"/>
          <w:sz w:val="22"/>
        </w:rPr>
        <w:t xml:space="preserve"> February 2026).</w:t>
      </w:r>
    </w:p>
    <w:p w14:paraId="2E2B064E" w14:textId="18E4C9D8" w:rsidR="00367E6C" w:rsidRPr="00D43235" w:rsidRDefault="00367E6C" w:rsidP="00367E6C">
      <w:pPr>
        <w:pStyle w:val="NormalWeb"/>
        <w:spacing w:line="360" w:lineRule="auto"/>
        <w:rPr>
          <w:rFonts w:ascii="Arial" w:hAnsi="Arial" w:cs="Arial"/>
          <w:sz w:val="22"/>
        </w:rPr>
      </w:pPr>
      <w:r w:rsidRPr="00D43235">
        <w:rPr>
          <w:rFonts w:ascii="Arial" w:hAnsi="Arial" w:cs="Arial"/>
          <w:sz w:val="22"/>
        </w:rPr>
        <w:t xml:space="preserve">Welsh Government (2015) </w:t>
      </w:r>
      <w:r w:rsidRPr="00D43235">
        <w:rPr>
          <w:rStyle w:val="Emphasis"/>
          <w:rFonts w:ascii="Arial" w:hAnsi="Arial" w:cs="Arial"/>
          <w:sz w:val="22"/>
        </w:rPr>
        <w:t>Well-being of Future Generations (Wales) Act 2015</w:t>
      </w:r>
      <w:r w:rsidRPr="00D43235">
        <w:rPr>
          <w:rFonts w:ascii="Arial" w:hAnsi="Arial" w:cs="Arial"/>
          <w:sz w:val="22"/>
        </w:rPr>
        <w:t xml:space="preserve">. Available at: </w:t>
      </w:r>
      <w:r w:rsidRPr="005E2AE9">
        <w:rPr>
          <w:rFonts w:ascii="Arial" w:hAnsi="Arial" w:cs="Arial"/>
          <w:sz w:val="22"/>
        </w:rPr>
        <w:t>https://www.futuregenerations.wales</w:t>
      </w:r>
      <w:r w:rsidRPr="00D43235">
        <w:rPr>
          <w:rFonts w:ascii="Arial" w:hAnsi="Arial" w:cs="Arial"/>
          <w:sz w:val="22"/>
        </w:rPr>
        <w:t xml:space="preserve"> (Accessed: 2</w:t>
      </w:r>
      <w:r w:rsidR="005E2AE9">
        <w:rPr>
          <w:rFonts w:ascii="Arial" w:hAnsi="Arial" w:cs="Arial"/>
          <w:sz w:val="22"/>
        </w:rPr>
        <w:t>4</w:t>
      </w:r>
      <w:r w:rsidRPr="00D43235">
        <w:rPr>
          <w:rFonts w:ascii="Arial" w:hAnsi="Arial" w:cs="Arial"/>
          <w:sz w:val="22"/>
        </w:rPr>
        <w:t xml:space="preserve"> February 2026).</w:t>
      </w:r>
    </w:p>
    <w:p w14:paraId="439DAD63" w14:textId="77777777" w:rsidR="00367E6C" w:rsidRPr="00D43235" w:rsidRDefault="00367E6C" w:rsidP="00367E6C">
      <w:pPr>
        <w:pStyle w:val="NormalWeb"/>
        <w:spacing w:line="360" w:lineRule="auto"/>
        <w:rPr>
          <w:rFonts w:ascii="Arial" w:hAnsi="Arial" w:cs="Arial"/>
          <w:sz w:val="22"/>
        </w:rPr>
      </w:pPr>
      <w:r w:rsidRPr="00D43235">
        <w:rPr>
          <w:rFonts w:ascii="Arial" w:hAnsi="Arial" w:cs="Arial"/>
          <w:sz w:val="22"/>
        </w:rPr>
        <w:t xml:space="preserve">World Health Organization (2018) </w:t>
      </w:r>
      <w:r w:rsidRPr="00D43235">
        <w:rPr>
          <w:rStyle w:val="Emphasis"/>
          <w:rFonts w:ascii="Arial" w:hAnsi="Arial" w:cs="Arial"/>
          <w:sz w:val="22"/>
        </w:rPr>
        <w:t>Health in All Policies Framework</w:t>
      </w:r>
      <w:r w:rsidRPr="00D43235">
        <w:rPr>
          <w:rFonts w:ascii="Arial" w:hAnsi="Arial" w:cs="Arial"/>
          <w:sz w:val="22"/>
        </w:rPr>
        <w:t>. Geneva: WHO.</w:t>
      </w:r>
    </w:p>
    <w:p w14:paraId="13117AA5" w14:textId="03212A26" w:rsidR="00367E6C" w:rsidRPr="00D43235" w:rsidRDefault="00367E6C" w:rsidP="00367E6C">
      <w:pPr>
        <w:pStyle w:val="NormalWeb"/>
        <w:spacing w:line="360" w:lineRule="auto"/>
        <w:rPr>
          <w:rFonts w:ascii="Arial" w:hAnsi="Arial" w:cs="Arial"/>
          <w:sz w:val="22"/>
        </w:rPr>
      </w:pPr>
      <w:r w:rsidRPr="00D43235">
        <w:rPr>
          <w:rFonts w:ascii="Arial" w:hAnsi="Arial" w:cs="Arial"/>
          <w:sz w:val="22"/>
        </w:rPr>
        <w:t xml:space="preserve">World Health Organization (2023) </w:t>
      </w:r>
      <w:r w:rsidRPr="00D43235">
        <w:rPr>
          <w:rStyle w:val="Emphasis"/>
          <w:rFonts w:ascii="Arial" w:hAnsi="Arial" w:cs="Arial"/>
          <w:sz w:val="22"/>
        </w:rPr>
        <w:t>World Health Statistics 2023</w:t>
      </w:r>
      <w:r w:rsidRPr="00D43235">
        <w:rPr>
          <w:rFonts w:ascii="Arial" w:hAnsi="Arial" w:cs="Arial"/>
          <w:sz w:val="22"/>
        </w:rPr>
        <w:t xml:space="preserve">. Geneva: WHO. Available at: </w:t>
      </w:r>
      <w:r w:rsidRPr="005E2AE9">
        <w:rPr>
          <w:rFonts w:ascii="Arial" w:hAnsi="Arial" w:cs="Arial"/>
          <w:sz w:val="22"/>
        </w:rPr>
        <w:t>https://www.who.int</w:t>
      </w:r>
      <w:r w:rsidRPr="00D43235">
        <w:rPr>
          <w:rFonts w:ascii="Arial" w:hAnsi="Arial" w:cs="Arial"/>
          <w:sz w:val="22"/>
        </w:rPr>
        <w:t xml:space="preserve"> (Accessed: 2</w:t>
      </w:r>
      <w:r w:rsidR="005E2AE9">
        <w:rPr>
          <w:rFonts w:ascii="Arial" w:hAnsi="Arial" w:cs="Arial"/>
          <w:sz w:val="22"/>
        </w:rPr>
        <w:t>4</w:t>
      </w:r>
      <w:r w:rsidRPr="00D43235">
        <w:rPr>
          <w:rFonts w:ascii="Arial" w:hAnsi="Arial" w:cs="Arial"/>
          <w:sz w:val="22"/>
        </w:rPr>
        <w:t xml:space="preserve"> February 2026).</w:t>
      </w:r>
    </w:p>
    <w:p w14:paraId="209AD0F4" w14:textId="77777777" w:rsidR="00E60B4B" w:rsidRPr="00D43235" w:rsidRDefault="00E60B4B" w:rsidP="00367E6C">
      <w:pPr>
        <w:rPr>
          <w:rFonts w:ascii="Arial" w:hAnsi="Arial" w:cs="Arial"/>
          <w:sz w:val="22"/>
        </w:rPr>
      </w:pPr>
    </w:p>
    <w:sectPr w:rsidR="00E60B4B" w:rsidRPr="00D432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6A0A81"/>
    <w:multiLevelType w:val="multilevel"/>
    <w:tmpl w:val="2CBEE66E"/>
    <w:lvl w:ilvl="0">
      <w:start w:val="1"/>
      <w:numFmt w:val="decimal"/>
      <w:lvlText w:val="%1."/>
      <w:lvlJc w:val="left"/>
      <w:pPr>
        <w:ind w:left="360" w:hanging="360"/>
      </w:pPr>
      <w:rPr>
        <w:rFonts w:hint="default"/>
      </w:rPr>
    </w:lvl>
    <w:lvl w:ilvl="1">
      <w:start w:val="1"/>
      <w:numFmt w:val="decimal"/>
      <w:pStyle w:val="Heading1"/>
      <w:isLgl/>
      <w:lvlText w:val="%2."/>
      <w:lvlJc w:val="left"/>
      <w:pPr>
        <w:ind w:left="360" w:hanging="360"/>
      </w:pPr>
      <w:rPr>
        <w:rFonts w:ascii="Times New Roman" w:eastAsiaTheme="majorEastAsia" w:hAnsi="Times New Roman" w:cstheme="majorBidi"/>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15790909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M3t7S0sDC2NDU3NDFT0lEKTi0uzszPAykwqgUAeXZA9ywAAAA="/>
  </w:docVars>
  <w:rsids>
    <w:rsidRoot w:val="00680A68"/>
    <w:rsid w:val="0007699A"/>
    <w:rsid w:val="000C0B72"/>
    <w:rsid w:val="000D7D63"/>
    <w:rsid w:val="001129A5"/>
    <w:rsid w:val="00134599"/>
    <w:rsid w:val="00167B10"/>
    <w:rsid w:val="00170033"/>
    <w:rsid w:val="001811BE"/>
    <w:rsid w:val="001A035E"/>
    <w:rsid w:val="001A24C4"/>
    <w:rsid w:val="001B3FAA"/>
    <w:rsid w:val="001F41C1"/>
    <w:rsid w:val="00200313"/>
    <w:rsid w:val="0022098F"/>
    <w:rsid w:val="00226D77"/>
    <w:rsid w:val="00367E6C"/>
    <w:rsid w:val="003C4D4D"/>
    <w:rsid w:val="003F2AB3"/>
    <w:rsid w:val="00426CE7"/>
    <w:rsid w:val="00466A11"/>
    <w:rsid w:val="004A6C43"/>
    <w:rsid w:val="004A7A1B"/>
    <w:rsid w:val="0050294C"/>
    <w:rsid w:val="00512484"/>
    <w:rsid w:val="00534060"/>
    <w:rsid w:val="005633AE"/>
    <w:rsid w:val="005727A3"/>
    <w:rsid w:val="00573089"/>
    <w:rsid w:val="005B7EAD"/>
    <w:rsid w:val="005E2AE9"/>
    <w:rsid w:val="0062741C"/>
    <w:rsid w:val="00680A68"/>
    <w:rsid w:val="006C3949"/>
    <w:rsid w:val="006F0DD0"/>
    <w:rsid w:val="007103ED"/>
    <w:rsid w:val="0072001C"/>
    <w:rsid w:val="007A3F2C"/>
    <w:rsid w:val="007E1838"/>
    <w:rsid w:val="00801E99"/>
    <w:rsid w:val="00802108"/>
    <w:rsid w:val="00837E28"/>
    <w:rsid w:val="00873319"/>
    <w:rsid w:val="00896F48"/>
    <w:rsid w:val="008A72ED"/>
    <w:rsid w:val="00945129"/>
    <w:rsid w:val="00952507"/>
    <w:rsid w:val="00964F40"/>
    <w:rsid w:val="00995A18"/>
    <w:rsid w:val="009B40F9"/>
    <w:rsid w:val="009D2237"/>
    <w:rsid w:val="009E0088"/>
    <w:rsid w:val="009F7A25"/>
    <w:rsid w:val="00A62EFF"/>
    <w:rsid w:val="00A93EC1"/>
    <w:rsid w:val="00B5132B"/>
    <w:rsid w:val="00B55A53"/>
    <w:rsid w:val="00B86367"/>
    <w:rsid w:val="00BC45F9"/>
    <w:rsid w:val="00BD76FB"/>
    <w:rsid w:val="00BF5CC0"/>
    <w:rsid w:val="00C15B87"/>
    <w:rsid w:val="00C23262"/>
    <w:rsid w:val="00D17310"/>
    <w:rsid w:val="00D43235"/>
    <w:rsid w:val="00D44778"/>
    <w:rsid w:val="00D9795B"/>
    <w:rsid w:val="00DF176B"/>
    <w:rsid w:val="00E51222"/>
    <w:rsid w:val="00E60B4B"/>
    <w:rsid w:val="00EF57A8"/>
    <w:rsid w:val="00F060FD"/>
    <w:rsid w:val="00F1704E"/>
    <w:rsid w:val="00FB7AAE"/>
    <w:rsid w:val="00FE0C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65E45"/>
  <w15:chartTrackingRefBased/>
  <w15:docId w15:val="{C4F5CAA9-EB0E-496E-80B1-5BFDE9269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0033"/>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70033"/>
    <w:pPr>
      <w:keepNext/>
      <w:keepLines/>
      <w:numPr>
        <w:ilvl w:val="1"/>
        <w:numId w:val="1"/>
      </w:numPr>
      <w:spacing w:before="240" w:after="0"/>
      <w:outlineLvl w:val="0"/>
    </w:pPr>
    <w:rPr>
      <w:rFonts w:eastAsiaTheme="majorEastAsia" w:cstheme="majorBidi"/>
      <w:b/>
      <w:szCs w:val="32"/>
      <w:lang w:val="en-US"/>
    </w:rPr>
  </w:style>
  <w:style w:type="paragraph" w:styleId="Heading2">
    <w:name w:val="heading 2"/>
    <w:basedOn w:val="Normal"/>
    <w:link w:val="Heading2Char"/>
    <w:uiPriority w:val="9"/>
    <w:qFormat/>
    <w:rsid w:val="00802108"/>
    <w:pPr>
      <w:spacing w:before="100" w:beforeAutospacing="1" w:after="100" w:afterAutospacing="1" w:line="240" w:lineRule="auto"/>
      <w:jc w:val="left"/>
      <w:outlineLvl w:val="1"/>
    </w:pPr>
    <w:rPr>
      <w:rFonts w:eastAsia="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033"/>
    <w:rPr>
      <w:rFonts w:ascii="Times New Roman" w:eastAsiaTheme="majorEastAsia" w:hAnsi="Times New Roman" w:cstheme="majorBidi"/>
      <w:b/>
      <w:sz w:val="24"/>
      <w:szCs w:val="32"/>
      <w:lang w:val="en-US"/>
    </w:rPr>
  </w:style>
  <w:style w:type="character" w:customStyle="1" w:styleId="Heading2Char">
    <w:name w:val="Heading 2 Char"/>
    <w:basedOn w:val="DefaultParagraphFont"/>
    <w:link w:val="Heading2"/>
    <w:uiPriority w:val="9"/>
    <w:rsid w:val="00802108"/>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802108"/>
    <w:pPr>
      <w:spacing w:before="100" w:beforeAutospacing="1" w:after="100" w:afterAutospacing="1" w:line="240" w:lineRule="auto"/>
      <w:jc w:val="left"/>
    </w:pPr>
    <w:rPr>
      <w:rFonts w:eastAsia="Times New Roman" w:cs="Times New Roman"/>
      <w:szCs w:val="24"/>
      <w:lang w:eastAsia="en-GB"/>
    </w:rPr>
  </w:style>
  <w:style w:type="character" w:customStyle="1" w:styleId="whitespace-normal">
    <w:name w:val="whitespace-normal"/>
    <w:basedOn w:val="DefaultParagraphFont"/>
    <w:rsid w:val="00802108"/>
  </w:style>
  <w:style w:type="character" w:styleId="Emphasis">
    <w:name w:val="Emphasis"/>
    <w:basedOn w:val="DefaultParagraphFont"/>
    <w:uiPriority w:val="20"/>
    <w:qFormat/>
    <w:rsid w:val="00802108"/>
    <w:rPr>
      <w:i/>
      <w:iCs/>
    </w:rPr>
  </w:style>
  <w:style w:type="character" w:styleId="Hyperlink">
    <w:name w:val="Hyperlink"/>
    <w:basedOn w:val="DefaultParagraphFont"/>
    <w:uiPriority w:val="99"/>
    <w:unhideWhenUsed/>
    <w:rsid w:val="00802108"/>
    <w:rPr>
      <w:color w:val="0000FF"/>
      <w:u w:val="single"/>
    </w:rPr>
  </w:style>
  <w:style w:type="paragraph" w:styleId="TOCHeading">
    <w:name w:val="TOC Heading"/>
    <w:basedOn w:val="Heading1"/>
    <w:next w:val="Normal"/>
    <w:uiPriority w:val="39"/>
    <w:unhideWhenUsed/>
    <w:qFormat/>
    <w:rsid w:val="007A3F2C"/>
    <w:pPr>
      <w:numPr>
        <w:ilvl w:val="0"/>
        <w:numId w:val="0"/>
      </w:numPr>
      <w:spacing w:line="259" w:lineRule="auto"/>
      <w:jc w:val="left"/>
      <w:outlineLvl w:val="9"/>
    </w:pPr>
    <w:rPr>
      <w:rFonts w:asciiTheme="majorHAnsi" w:hAnsiTheme="majorHAnsi"/>
      <w:b w:val="0"/>
      <w:color w:val="2E74B5" w:themeColor="accent1" w:themeShade="BF"/>
      <w:sz w:val="32"/>
    </w:rPr>
  </w:style>
  <w:style w:type="paragraph" w:styleId="TOC2">
    <w:name w:val="toc 2"/>
    <w:basedOn w:val="Normal"/>
    <w:next w:val="Normal"/>
    <w:autoRedefine/>
    <w:uiPriority w:val="39"/>
    <w:unhideWhenUsed/>
    <w:rsid w:val="007A3F2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2589261">
      <w:bodyDiv w:val="1"/>
      <w:marLeft w:val="0"/>
      <w:marRight w:val="0"/>
      <w:marTop w:val="0"/>
      <w:marBottom w:val="0"/>
      <w:divBdr>
        <w:top w:val="none" w:sz="0" w:space="0" w:color="auto"/>
        <w:left w:val="none" w:sz="0" w:space="0" w:color="auto"/>
        <w:bottom w:val="none" w:sz="0" w:space="0" w:color="auto"/>
        <w:right w:val="none" w:sz="0" w:space="0" w:color="auto"/>
      </w:divBdr>
    </w:div>
    <w:div w:id="1002663148">
      <w:bodyDiv w:val="1"/>
      <w:marLeft w:val="0"/>
      <w:marRight w:val="0"/>
      <w:marTop w:val="0"/>
      <w:marBottom w:val="0"/>
      <w:divBdr>
        <w:top w:val="none" w:sz="0" w:space="0" w:color="auto"/>
        <w:left w:val="none" w:sz="0" w:space="0" w:color="auto"/>
        <w:bottom w:val="none" w:sz="0" w:space="0" w:color="auto"/>
        <w:right w:val="none" w:sz="0" w:space="0" w:color="auto"/>
      </w:divBdr>
    </w:div>
    <w:div w:id="1024673198">
      <w:bodyDiv w:val="1"/>
      <w:marLeft w:val="0"/>
      <w:marRight w:val="0"/>
      <w:marTop w:val="0"/>
      <w:marBottom w:val="0"/>
      <w:divBdr>
        <w:top w:val="none" w:sz="0" w:space="0" w:color="auto"/>
        <w:left w:val="none" w:sz="0" w:space="0" w:color="auto"/>
        <w:bottom w:val="none" w:sz="0" w:space="0" w:color="auto"/>
        <w:right w:val="none" w:sz="0" w:space="0" w:color="auto"/>
      </w:divBdr>
    </w:div>
    <w:div w:id="1239822962">
      <w:bodyDiv w:val="1"/>
      <w:marLeft w:val="0"/>
      <w:marRight w:val="0"/>
      <w:marTop w:val="0"/>
      <w:marBottom w:val="0"/>
      <w:divBdr>
        <w:top w:val="none" w:sz="0" w:space="0" w:color="auto"/>
        <w:left w:val="none" w:sz="0" w:space="0" w:color="auto"/>
        <w:bottom w:val="none" w:sz="0" w:space="0" w:color="auto"/>
        <w:right w:val="none" w:sz="0" w:space="0" w:color="auto"/>
      </w:divBdr>
    </w:div>
    <w:div w:id="1349671069">
      <w:bodyDiv w:val="1"/>
      <w:marLeft w:val="0"/>
      <w:marRight w:val="0"/>
      <w:marTop w:val="0"/>
      <w:marBottom w:val="0"/>
      <w:divBdr>
        <w:top w:val="none" w:sz="0" w:space="0" w:color="auto"/>
        <w:left w:val="none" w:sz="0" w:space="0" w:color="auto"/>
        <w:bottom w:val="none" w:sz="0" w:space="0" w:color="auto"/>
        <w:right w:val="none" w:sz="0" w:space="0" w:color="auto"/>
      </w:divBdr>
    </w:div>
    <w:div w:id="2018313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4D096DD-7847-4C27-ACBC-144ADA0994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2734</Words>
  <Characters>15584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Amreen Akhtar (2214675)</cp:lastModifiedBy>
  <cp:revision>12</cp:revision>
  <dcterms:created xsi:type="dcterms:W3CDTF">2026-03-15T20:33:00Z</dcterms:created>
  <dcterms:modified xsi:type="dcterms:W3CDTF">2026-03-15T20:44:00Z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8a8d8ef8-797f-4d18-89e9-c742f41c395b</vt:lpwstr>
  </property>
</Properties>
</file>