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299A6" w14:textId="77777777" w:rsidR="009D1678" w:rsidRDefault="009D1678" w:rsidP="009D1678">
      <w:pPr>
        <w:spacing w:after="0" w:line="360" w:lineRule="auto"/>
        <w:rPr>
          <w:rFonts w:ascii="Times New Roman" w:hAnsi="Times New Roman" w:cs="Times New Roman"/>
          <w:b/>
          <w:bCs/>
          <w:sz w:val="24"/>
          <w:szCs w:val="24"/>
        </w:rPr>
      </w:pPr>
    </w:p>
    <w:p w14:paraId="4D188679" w14:textId="77777777" w:rsidR="009D1678" w:rsidRDefault="009D1678" w:rsidP="009D1678">
      <w:pPr>
        <w:spacing w:after="0" w:line="360" w:lineRule="auto"/>
        <w:rPr>
          <w:rFonts w:ascii="Times New Roman" w:hAnsi="Times New Roman" w:cs="Times New Roman"/>
          <w:b/>
          <w:bCs/>
          <w:sz w:val="24"/>
          <w:szCs w:val="24"/>
        </w:rPr>
      </w:pPr>
    </w:p>
    <w:p w14:paraId="2B878CAA" w14:textId="77777777" w:rsidR="009D1678" w:rsidRDefault="009D1678" w:rsidP="009D1678">
      <w:pPr>
        <w:spacing w:after="0" w:line="360" w:lineRule="auto"/>
        <w:rPr>
          <w:rFonts w:ascii="Times New Roman" w:hAnsi="Times New Roman" w:cs="Times New Roman"/>
          <w:b/>
          <w:bCs/>
          <w:sz w:val="24"/>
          <w:szCs w:val="24"/>
        </w:rPr>
      </w:pPr>
    </w:p>
    <w:p w14:paraId="57A18680" w14:textId="77777777" w:rsidR="009D1678" w:rsidRDefault="009D1678" w:rsidP="009D1678">
      <w:pPr>
        <w:spacing w:after="0" w:line="360" w:lineRule="auto"/>
        <w:rPr>
          <w:rFonts w:ascii="Times New Roman" w:hAnsi="Times New Roman" w:cs="Times New Roman"/>
          <w:b/>
          <w:bCs/>
          <w:sz w:val="24"/>
          <w:szCs w:val="24"/>
        </w:rPr>
      </w:pPr>
    </w:p>
    <w:p w14:paraId="0EA096AC" w14:textId="250B9003" w:rsidR="009D1678" w:rsidRDefault="0023744C" w:rsidP="009D1678">
      <w:pPr>
        <w:spacing w:after="0" w:line="360" w:lineRule="auto"/>
        <w:jc w:val="center"/>
        <w:rPr>
          <w:rFonts w:ascii="Times New Roman" w:hAnsi="Times New Roman" w:cs="Times New Roman"/>
          <w:sz w:val="24"/>
          <w:szCs w:val="24"/>
        </w:rPr>
      </w:pPr>
      <w:r>
        <w:rPr>
          <w:noProof/>
        </w:rPr>
        <w:drawing>
          <wp:inline distT="0" distB="0" distL="0" distR="0" wp14:anchorId="47A0845A" wp14:editId="0B5A340F">
            <wp:extent cx="3384550" cy="1322798"/>
            <wp:effectExtent l="0" t="0" r="6350" b="0"/>
            <wp:docPr id="45300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02554" name="Picture 1"/>
                    <pic:cNvPicPr>
                      <a:picLocks noChangeAspect="1"/>
                    </pic:cNvPicPr>
                  </pic:nvPicPr>
                  <pic:blipFill>
                    <a:blip r:embed="rId8"/>
                    <a:stretch>
                      <a:fillRect/>
                    </a:stretch>
                  </pic:blipFill>
                  <pic:spPr>
                    <a:xfrm>
                      <a:off x="0" y="0"/>
                      <a:ext cx="3396564" cy="1327493"/>
                    </a:xfrm>
                    <a:prstGeom prst="rect">
                      <a:avLst/>
                    </a:prstGeom>
                  </pic:spPr>
                </pic:pic>
              </a:graphicData>
            </a:graphic>
          </wp:inline>
        </w:drawing>
      </w:r>
    </w:p>
    <w:p w14:paraId="25179178" w14:textId="77777777" w:rsidR="009D1678" w:rsidRDefault="009D1678" w:rsidP="009D1678">
      <w:pPr>
        <w:spacing w:after="0" w:line="360" w:lineRule="auto"/>
        <w:jc w:val="center"/>
        <w:rPr>
          <w:rFonts w:ascii="Times New Roman" w:hAnsi="Times New Roman" w:cs="Times New Roman"/>
          <w:sz w:val="24"/>
          <w:szCs w:val="24"/>
        </w:rPr>
      </w:pPr>
    </w:p>
    <w:p w14:paraId="3D02B9ED" w14:textId="77777777" w:rsidR="0023744C" w:rsidRDefault="0023744C" w:rsidP="0023744C">
      <w:pPr>
        <w:spacing w:after="0" w:line="360" w:lineRule="auto"/>
        <w:jc w:val="center"/>
        <w:rPr>
          <w:rFonts w:ascii="Times New Roman" w:hAnsi="Times New Roman" w:cs="Times New Roman"/>
          <w:b/>
          <w:bCs/>
          <w:sz w:val="24"/>
          <w:szCs w:val="24"/>
        </w:rPr>
      </w:pPr>
      <w:r w:rsidRPr="00F620A5">
        <w:rPr>
          <w:rFonts w:ascii="Times New Roman" w:hAnsi="Times New Roman" w:cs="Times New Roman"/>
          <w:b/>
          <w:bCs/>
          <w:sz w:val="24"/>
          <w:szCs w:val="24"/>
        </w:rPr>
        <w:t>Global Challenges: AI and Risk Management in the UK and EU</w:t>
      </w:r>
    </w:p>
    <w:p w14:paraId="3B0FC9EE" w14:textId="77777777" w:rsidR="009D1678" w:rsidRDefault="009D1678" w:rsidP="009D1678">
      <w:pPr>
        <w:spacing w:after="0" w:line="360" w:lineRule="auto"/>
        <w:jc w:val="center"/>
        <w:rPr>
          <w:rFonts w:ascii="Times New Roman" w:hAnsi="Times New Roman" w:cs="Times New Roman"/>
          <w:sz w:val="24"/>
          <w:szCs w:val="24"/>
        </w:rPr>
      </w:pPr>
    </w:p>
    <w:p w14:paraId="030671A1" w14:textId="77777777" w:rsidR="00F620A5" w:rsidRPr="00F620A5" w:rsidRDefault="00F620A5" w:rsidP="009D1678">
      <w:pPr>
        <w:spacing w:after="0" w:line="360" w:lineRule="auto"/>
        <w:ind w:firstLine="720"/>
        <w:rPr>
          <w:rFonts w:ascii="Times New Roman" w:hAnsi="Times New Roman" w:cs="Times New Roman"/>
          <w:sz w:val="24"/>
          <w:szCs w:val="24"/>
        </w:rPr>
      </w:pPr>
    </w:p>
    <w:p w14:paraId="7D5C4BB6" w14:textId="231F10D1" w:rsidR="0023744C" w:rsidRPr="0023744C" w:rsidRDefault="0023744C" w:rsidP="0023744C">
      <w:pPr>
        <w:spacing w:after="0" w:line="360" w:lineRule="auto"/>
        <w:jc w:val="center"/>
        <w:rPr>
          <w:rFonts w:ascii="Times New Roman" w:hAnsi="Times New Roman" w:cs="Times New Roman"/>
          <w:sz w:val="24"/>
          <w:szCs w:val="24"/>
        </w:rPr>
      </w:pPr>
      <w:r w:rsidRPr="009D1678">
        <w:rPr>
          <w:rFonts w:ascii="Times New Roman" w:hAnsi="Times New Roman" w:cs="Times New Roman"/>
          <w:sz w:val="24"/>
          <w:szCs w:val="24"/>
        </w:rPr>
        <w:t>Name</w:t>
      </w:r>
      <w:r>
        <w:rPr>
          <w:rFonts w:ascii="Times New Roman" w:hAnsi="Times New Roman" w:cs="Times New Roman"/>
          <w:sz w:val="24"/>
          <w:szCs w:val="24"/>
        </w:rPr>
        <w:t>: Siva Narendra Morla</w:t>
      </w:r>
    </w:p>
    <w:p w14:paraId="58D1822C" w14:textId="79D4DF5D" w:rsidR="0023744C" w:rsidRPr="0023744C" w:rsidRDefault="0023744C" w:rsidP="0023744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Student ID: 2513831</w:t>
      </w:r>
    </w:p>
    <w:p w14:paraId="787BB1F7" w14:textId="7689F0E3" w:rsidR="0023744C" w:rsidRPr="0023744C" w:rsidRDefault="0023744C" w:rsidP="0023744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Module Name: Global Business Challenges</w:t>
      </w:r>
    </w:p>
    <w:p w14:paraId="3C6744B8" w14:textId="24EB2948" w:rsidR="0023744C" w:rsidRDefault="0023744C" w:rsidP="0023744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Module Code: BMMB7006</w:t>
      </w:r>
    </w:p>
    <w:p w14:paraId="77E05B53" w14:textId="0154C919" w:rsidR="0035603E" w:rsidRPr="0023744C" w:rsidRDefault="0035603E" w:rsidP="0023744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Words: 5533</w:t>
      </w:r>
    </w:p>
    <w:p w14:paraId="60C42793" w14:textId="3FF2CF8E" w:rsidR="0023744C" w:rsidRPr="0023744C" w:rsidRDefault="0023744C" w:rsidP="0023744C">
      <w:pPr>
        <w:spacing w:after="0" w:line="360" w:lineRule="auto"/>
        <w:jc w:val="center"/>
        <w:rPr>
          <w:rFonts w:ascii="Times New Roman" w:hAnsi="Times New Roman" w:cs="Times New Roman"/>
          <w:sz w:val="24"/>
          <w:szCs w:val="24"/>
        </w:rPr>
      </w:pPr>
      <w:r w:rsidRPr="009D1678">
        <w:rPr>
          <w:rFonts w:ascii="Times New Roman" w:hAnsi="Times New Roman" w:cs="Times New Roman"/>
          <w:sz w:val="24"/>
          <w:szCs w:val="24"/>
        </w:rPr>
        <w:t>Date</w:t>
      </w:r>
      <w:r>
        <w:rPr>
          <w:rFonts w:ascii="Times New Roman" w:hAnsi="Times New Roman" w:cs="Times New Roman"/>
          <w:sz w:val="24"/>
          <w:szCs w:val="24"/>
        </w:rPr>
        <w:t>: 27/04/2026</w:t>
      </w:r>
    </w:p>
    <w:p w14:paraId="551C9551" w14:textId="153069EC" w:rsidR="0023744C" w:rsidRPr="00F620A5" w:rsidRDefault="009D1678" w:rsidP="0023744C">
      <w:pPr>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br w:type="page"/>
      </w:r>
    </w:p>
    <w:p w14:paraId="5BE6316F" w14:textId="44993139" w:rsidR="009D1678" w:rsidRDefault="009D1678" w:rsidP="009D1678">
      <w:pPr>
        <w:spacing w:after="0" w:line="360" w:lineRule="auto"/>
        <w:rPr>
          <w:rFonts w:ascii="Times New Roman" w:hAnsi="Times New Roman" w:cs="Times New Roman"/>
          <w:b/>
          <w:bCs/>
          <w:sz w:val="24"/>
          <w:szCs w:val="24"/>
        </w:rPr>
      </w:pPr>
    </w:p>
    <w:p w14:paraId="7BAC2334" w14:textId="723AFC19" w:rsidR="009D1678" w:rsidRPr="009D1678" w:rsidRDefault="009D1678" w:rsidP="009D1678">
      <w:pPr>
        <w:pStyle w:val="Heading1"/>
        <w:rPr>
          <w:rFonts w:ascii="Times New Roman" w:hAnsi="Times New Roman" w:cs="Times New Roman"/>
          <w:b/>
          <w:bCs/>
          <w:color w:val="auto"/>
          <w:sz w:val="24"/>
          <w:szCs w:val="24"/>
        </w:rPr>
      </w:pPr>
      <w:bookmarkStart w:id="0" w:name="_Toc228010736"/>
      <w:r w:rsidRPr="009D1678">
        <w:rPr>
          <w:rFonts w:ascii="Times New Roman" w:hAnsi="Times New Roman" w:cs="Times New Roman"/>
          <w:b/>
          <w:bCs/>
          <w:color w:val="auto"/>
          <w:sz w:val="24"/>
          <w:szCs w:val="24"/>
        </w:rPr>
        <w:t>Executive Summary</w:t>
      </w:r>
      <w:bookmarkEnd w:id="0"/>
      <w:r w:rsidRPr="009D1678">
        <w:rPr>
          <w:rFonts w:ascii="Times New Roman" w:hAnsi="Times New Roman" w:cs="Times New Roman"/>
          <w:b/>
          <w:bCs/>
          <w:color w:val="auto"/>
          <w:sz w:val="24"/>
          <w:szCs w:val="24"/>
        </w:rPr>
        <w:t> </w:t>
      </w:r>
    </w:p>
    <w:p w14:paraId="15CF87A4"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This report aims to assist Unilever PLC in managing the risks associated with artificial intelligence within its operations in the UK and the European Union. Unilever PLC has a considerable number of brands and consumers with whom it interacts daily. The company have to comply with data protection regulations from both the UK and the EU as well as with the ethical use of artificial intelligence within their operations.</w:t>
      </w:r>
    </w:p>
    <w:p w14:paraId="55935AE5"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There are significant differences between the data protection regulations required by the UK and the EU, as well as in the ethical requirements of artificial intelligence within their sectors. Additionally, there are also differences between the economic conditions in which both the UK and the European Union operate their AI technologies. Unilever’s reputation within the market relies on the trust that its customers have in the company, making the requirements of transparency and explainability within the use of AI a necessity for its operations.</w:t>
      </w:r>
    </w:p>
    <w:p w14:paraId="1112E580"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Unilever’s recruitment systems have been classified as those within the high-risk category by the EU’s AI Act, classifying their systems to be under closer scrutiny by the government of that region. However, the company’s other marketing AI systems are of the type that benefits from the lighter regulations of the UK. As such, Unilever can employ different strategies in the European Union compared with the United Kingdom.</w:t>
      </w:r>
    </w:p>
    <w:p w14:paraId="61832D45" w14:textId="5D52C2B9" w:rsidR="009D1678" w:rsidRPr="0023744C" w:rsidRDefault="009D1678" w:rsidP="0023744C">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implementation of the strategies proposed in this report will take place over a 24-month period in six different phases. During this time, the company will invest around £1.75 million in these initiatives. Additionally, there will be different key performance indicators that will allow Unilever to determine the success of these strategies, such as registering all AI systems within the EU as high-risk by month nine or having zero instances of enforcement actions taken by the Information Commissioner’s Office (ICO). The recommendations include the establishment of an ethical artificial intelligence system within Unilever PLC, the implementation of a dual-compliance strategy between the European Union and the United Kingdom, and the integration of the strategies with the financial risk management strategies within Unilever PLC. Furthermore, the strategies will be future-proofed through annual reviews of their effectiveness and the establishment of a permanent monitoring strategy for any changes to the regulations of artificial intelligence in both the European Union and the United Kingdom. Through these strategies, Unilever can effectively transform the challenges of complying with two sets of regulations into a strategic advantage for the company.</w:t>
      </w:r>
      <w:r>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996760541"/>
        <w:docPartObj>
          <w:docPartGallery w:val="Table of Contents"/>
          <w:docPartUnique/>
        </w:docPartObj>
      </w:sdtPr>
      <w:sdtEndPr>
        <w:rPr>
          <w:b/>
          <w:bCs/>
          <w:noProof/>
        </w:rPr>
      </w:sdtEndPr>
      <w:sdtContent>
        <w:p w14:paraId="3E41462D" w14:textId="07860534" w:rsidR="003F3E80" w:rsidRPr="003F3E80" w:rsidRDefault="003F3E80">
          <w:pPr>
            <w:pStyle w:val="TOCHeading"/>
            <w:rPr>
              <w:b/>
              <w:bCs/>
              <w:color w:val="auto"/>
            </w:rPr>
          </w:pPr>
          <w:r w:rsidRPr="003F3E80">
            <w:rPr>
              <w:b/>
              <w:bCs/>
              <w:color w:val="auto"/>
            </w:rPr>
            <w:t>Table of Contents</w:t>
          </w:r>
        </w:p>
        <w:p w14:paraId="41AABFB3" w14:textId="25BE3B97" w:rsidR="003F3E80" w:rsidRDefault="003F3E80">
          <w:pPr>
            <w:pStyle w:val="TOC1"/>
            <w:tabs>
              <w:tab w:val="right" w:leader="dot" w:pos="9016"/>
            </w:tabs>
            <w:rPr>
              <w:noProof/>
            </w:rPr>
          </w:pPr>
          <w:r>
            <w:fldChar w:fldCharType="begin"/>
          </w:r>
          <w:r>
            <w:instrText xml:space="preserve"> TOC \o "1-3" \h \z \u </w:instrText>
          </w:r>
          <w:r>
            <w:fldChar w:fldCharType="separate"/>
          </w:r>
          <w:hyperlink w:anchor="_Toc228010736" w:history="1">
            <w:r w:rsidRPr="00CF0927">
              <w:rPr>
                <w:rStyle w:val="Hyperlink"/>
                <w:rFonts w:ascii="Times New Roman" w:hAnsi="Times New Roman" w:cs="Times New Roman"/>
                <w:b/>
                <w:bCs/>
                <w:noProof/>
              </w:rPr>
              <w:t>Executive Summary</w:t>
            </w:r>
            <w:r>
              <w:rPr>
                <w:noProof/>
                <w:webHidden/>
              </w:rPr>
              <w:tab/>
            </w:r>
            <w:r>
              <w:rPr>
                <w:noProof/>
                <w:webHidden/>
              </w:rPr>
              <w:fldChar w:fldCharType="begin"/>
            </w:r>
            <w:r>
              <w:rPr>
                <w:noProof/>
                <w:webHidden/>
              </w:rPr>
              <w:instrText xml:space="preserve"> PAGEREF _Toc228010736 \h </w:instrText>
            </w:r>
            <w:r>
              <w:rPr>
                <w:noProof/>
                <w:webHidden/>
              </w:rPr>
            </w:r>
            <w:r>
              <w:rPr>
                <w:noProof/>
                <w:webHidden/>
              </w:rPr>
              <w:fldChar w:fldCharType="separate"/>
            </w:r>
            <w:r>
              <w:rPr>
                <w:noProof/>
                <w:webHidden/>
              </w:rPr>
              <w:t>2</w:t>
            </w:r>
            <w:r>
              <w:rPr>
                <w:noProof/>
                <w:webHidden/>
              </w:rPr>
              <w:fldChar w:fldCharType="end"/>
            </w:r>
          </w:hyperlink>
        </w:p>
        <w:p w14:paraId="4E890E4B" w14:textId="525D36FE" w:rsidR="003F3E80" w:rsidRDefault="003F3E80">
          <w:pPr>
            <w:pStyle w:val="TOC1"/>
            <w:tabs>
              <w:tab w:val="right" w:leader="dot" w:pos="9016"/>
            </w:tabs>
            <w:rPr>
              <w:noProof/>
            </w:rPr>
          </w:pPr>
          <w:hyperlink w:anchor="_Toc228010737" w:history="1">
            <w:r w:rsidRPr="00CF0927">
              <w:rPr>
                <w:rStyle w:val="Hyperlink"/>
                <w:rFonts w:ascii="Times New Roman" w:hAnsi="Times New Roman" w:cs="Times New Roman"/>
                <w:b/>
                <w:bCs/>
                <w:noProof/>
              </w:rPr>
              <w:t>2.0 Main Findings</w:t>
            </w:r>
            <w:r>
              <w:rPr>
                <w:noProof/>
                <w:webHidden/>
              </w:rPr>
              <w:tab/>
            </w:r>
            <w:r>
              <w:rPr>
                <w:noProof/>
                <w:webHidden/>
              </w:rPr>
              <w:fldChar w:fldCharType="begin"/>
            </w:r>
            <w:r>
              <w:rPr>
                <w:noProof/>
                <w:webHidden/>
              </w:rPr>
              <w:instrText xml:space="preserve"> PAGEREF _Toc228010737 \h </w:instrText>
            </w:r>
            <w:r>
              <w:rPr>
                <w:noProof/>
                <w:webHidden/>
              </w:rPr>
            </w:r>
            <w:r>
              <w:rPr>
                <w:noProof/>
                <w:webHidden/>
              </w:rPr>
              <w:fldChar w:fldCharType="separate"/>
            </w:r>
            <w:r>
              <w:rPr>
                <w:noProof/>
                <w:webHidden/>
              </w:rPr>
              <w:t>5</w:t>
            </w:r>
            <w:r>
              <w:rPr>
                <w:noProof/>
                <w:webHidden/>
              </w:rPr>
              <w:fldChar w:fldCharType="end"/>
            </w:r>
          </w:hyperlink>
        </w:p>
        <w:p w14:paraId="7AF62C08" w14:textId="532B3D41" w:rsidR="003F3E80" w:rsidRDefault="003F3E80">
          <w:pPr>
            <w:pStyle w:val="TOC2"/>
            <w:tabs>
              <w:tab w:val="right" w:leader="dot" w:pos="9016"/>
            </w:tabs>
            <w:rPr>
              <w:noProof/>
            </w:rPr>
          </w:pPr>
          <w:hyperlink w:anchor="_Toc228010738" w:history="1">
            <w:r w:rsidRPr="00CF0927">
              <w:rPr>
                <w:rStyle w:val="Hyperlink"/>
                <w:rFonts w:ascii="Times New Roman" w:hAnsi="Times New Roman" w:cs="Times New Roman"/>
                <w:b/>
                <w:bCs/>
                <w:noProof/>
              </w:rPr>
              <w:t>2.1 AI and Risk Management</w:t>
            </w:r>
            <w:r>
              <w:rPr>
                <w:noProof/>
                <w:webHidden/>
              </w:rPr>
              <w:tab/>
            </w:r>
            <w:r>
              <w:rPr>
                <w:noProof/>
                <w:webHidden/>
              </w:rPr>
              <w:fldChar w:fldCharType="begin"/>
            </w:r>
            <w:r>
              <w:rPr>
                <w:noProof/>
                <w:webHidden/>
              </w:rPr>
              <w:instrText xml:space="preserve"> PAGEREF _Toc228010738 \h </w:instrText>
            </w:r>
            <w:r>
              <w:rPr>
                <w:noProof/>
                <w:webHidden/>
              </w:rPr>
            </w:r>
            <w:r>
              <w:rPr>
                <w:noProof/>
                <w:webHidden/>
              </w:rPr>
              <w:fldChar w:fldCharType="separate"/>
            </w:r>
            <w:r>
              <w:rPr>
                <w:noProof/>
                <w:webHidden/>
              </w:rPr>
              <w:t>5</w:t>
            </w:r>
            <w:r>
              <w:rPr>
                <w:noProof/>
                <w:webHidden/>
              </w:rPr>
              <w:fldChar w:fldCharType="end"/>
            </w:r>
          </w:hyperlink>
        </w:p>
        <w:p w14:paraId="51043879" w14:textId="0C174D05" w:rsidR="003F3E80" w:rsidRPr="003F3E80" w:rsidRDefault="003F3E80">
          <w:pPr>
            <w:pStyle w:val="TOC3"/>
            <w:tabs>
              <w:tab w:val="right" w:leader="dot" w:pos="9016"/>
            </w:tabs>
            <w:rPr>
              <w:noProof/>
            </w:rPr>
          </w:pPr>
          <w:hyperlink w:anchor="_Toc228010739" w:history="1">
            <w:r w:rsidRPr="003F3E80">
              <w:rPr>
                <w:rStyle w:val="Hyperlink"/>
                <w:rFonts w:ascii="Times New Roman" w:hAnsi="Times New Roman" w:cs="Times New Roman"/>
                <w:noProof/>
              </w:rPr>
              <w:t>2.1.1 Data Governance</w:t>
            </w:r>
            <w:r w:rsidRPr="003F3E80">
              <w:rPr>
                <w:noProof/>
                <w:webHidden/>
              </w:rPr>
              <w:tab/>
            </w:r>
            <w:r w:rsidRPr="003F3E80">
              <w:rPr>
                <w:noProof/>
                <w:webHidden/>
              </w:rPr>
              <w:fldChar w:fldCharType="begin"/>
            </w:r>
            <w:r w:rsidRPr="003F3E80">
              <w:rPr>
                <w:noProof/>
                <w:webHidden/>
              </w:rPr>
              <w:instrText xml:space="preserve"> PAGEREF _Toc228010739 \h </w:instrText>
            </w:r>
            <w:r w:rsidRPr="003F3E80">
              <w:rPr>
                <w:noProof/>
                <w:webHidden/>
              </w:rPr>
            </w:r>
            <w:r w:rsidRPr="003F3E80">
              <w:rPr>
                <w:noProof/>
                <w:webHidden/>
              </w:rPr>
              <w:fldChar w:fldCharType="separate"/>
            </w:r>
            <w:r w:rsidRPr="003F3E80">
              <w:rPr>
                <w:noProof/>
                <w:webHidden/>
              </w:rPr>
              <w:t>5</w:t>
            </w:r>
            <w:r w:rsidRPr="003F3E80">
              <w:rPr>
                <w:noProof/>
                <w:webHidden/>
              </w:rPr>
              <w:fldChar w:fldCharType="end"/>
            </w:r>
          </w:hyperlink>
        </w:p>
        <w:p w14:paraId="29F766AE" w14:textId="11D29AB3" w:rsidR="003F3E80" w:rsidRPr="003F3E80" w:rsidRDefault="003F3E80">
          <w:pPr>
            <w:pStyle w:val="TOC3"/>
            <w:tabs>
              <w:tab w:val="right" w:leader="dot" w:pos="9016"/>
            </w:tabs>
            <w:rPr>
              <w:noProof/>
            </w:rPr>
          </w:pPr>
          <w:hyperlink w:anchor="_Toc228010740" w:history="1">
            <w:r w:rsidRPr="003F3E80">
              <w:rPr>
                <w:rStyle w:val="Hyperlink"/>
                <w:rFonts w:ascii="Times New Roman" w:hAnsi="Times New Roman" w:cs="Times New Roman"/>
                <w:noProof/>
              </w:rPr>
              <w:t>2.1.2 Ethical AI Use</w:t>
            </w:r>
            <w:r w:rsidRPr="003F3E80">
              <w:rPr>
                <w:noProof/>
                <w:webHidden/>
              </w:rPr>
              <w:tab/>
            </w:r>
            <w:r w:rsidRPr="003F3E80">
              <w:rPr>
                <w:noProof/>
                <w:webHidden/>
              </w:rPr>
              <w:fldChar w:fldCharType="begin"/>
            </w:r>
            <w:r w:rsidRPr="003F3E80">
              <w:rPr>
                <w:noProof/>
                <w:webHidden/>
              </w:rPr>
              <w:instrText xml:space="preserve"> PAGEREF _Toc228010740 \h </w:instrText>
            </w:r>
            <w:r w:rsidRPr="003F3E80">
              <w:rPr>
                <w:noProof/>
                <w:webHidden/>
              </w:rPr>
            </w:r>
            <w:r w:rsidRPr="003F3E80">
              <w:rPr>
                <w:noProof/>
                <w:webHidden/>
              </w:rPr>
              <w:fldChar w:fldCharType="separate"/>
            </w:r>
            <w:r w:rsidRPr="003F3E80">
              <w:rPr>
                <w:noProof/>
                <w:webHidden/>
              </w:rPr>
              <w:t>5</w:t>
            </w:r>
            <w:r w:rsidRPr="003F3E80">
              <w:rPr>
                <w:noProof/>
                <w:webHidden/>
              </w:rPr>
              <w:fldChar w:fldCharType="end"/>
            </w:r>
          </w:hyperlink>
        </w:p>
        <w:p w14:paraId="132AEA32" w14:textId="36F6B854" w:rsidR="003F3E80" w:rsidRPr="003F3E80" w:rsidRDefault="003F3E80">
          <w:pPr>
            <w:pStyle w:val="TOC3"/>
            <w:tabs>
              <w:tab w:val="right" w:leader="dot" w:pos="9016"/>
            </w:tabs>
            <w:rPr>
              <w:noProof/>
            </w:rPr>
          </w:pPr>
          <w:hyperlink w:anchor="_Toc228010741" w:history="1">
            <w:r w:rsidRPr="003F3E80">
              <w:rPr>
                <w:rStyle w:val="Hyperlink"/>
                <w:rFonts w:ascii="Times New Roman" w:hAnsi="Times New Roman" w:cs="Times New Roman"/>
                <w:noProof/>
              </w:rPr>
              <w:t>2.1.3 Regulatory Compliance</w:t>
            </w:r>
            <w:r w:rsidRPr="003F3E80">
              <w:rPr>
                <w:noProof/>
                <w:webHidden/>
              </w:rPr>
              <w:tab/>
            </w:r>
            <w:r w:rsidRPr="003F3E80">
              <w:rPr>
                <w:noProof/>
                <w:webHidden/>
              </w:rPr>
              <w:fldChar w:fldCharType="begin"/>
            </w:r>
            <w:r w:rsidRPr="003F3E80">
              <w:rPr>
                <w:noProof/>
                <w:webHidden/>
              </w:rPr>
              <w:instrText xml:space="preserve"> PAGEREF _Toc228010741 \h </w:instrText>
            </w:r>
            <w:r w:rsidRPr="003F3E80">
              <w:rPr>
                <w:noProof/>
                <w:webHidden/>
              </w:rPr>
            </w:r>
            <w:r w:rsidRPr="003F3E80">
              <w:rPr>
                <w:noProof/>
                <w:webHidden/>
              </w:rPr>
              <w:fldChar w:fldCharType="separate"/>
            </w:r>
            <w:r w:rsidRPr="003F3E80">
              <w:rPr>
                <w:noProof/>
                <w:webHidden/>
              </w:rPr>
              <w:t>6</w:t>
            </w:r>
            <w:r w:rsidRPr="003F3E80">
              <w:rPr>
                <w:noProof/>
                <w:webHidden/>
              </w:rPr>
              <w:fldChar w:fldCharType="end"/>
            </w:r>
          </w:hyperlink>
        </w:p>
        <w:p w14:paraId="7067307D" w14:textId="4E8F67DA" w:rsidR="003F3E80" w:rsidRPr="003F3E80" w:rsidRDefault="003F3E80">
          <w:pPr>
            <w:pStyle w:val="TOC3"/>
            <w:tabs>
              <w:tab w:val="right" w:leader="dot" w:pos="9016"/>
            </w:tabs>
            <w:rPr>
              <w:noProof/>
            </w:rPr>
          </w:pPr>
          <w:hyperlink w:anchor="_Toc228010742" w:history="1">
            <w:r w:rsidRPr="003F3E80">
              <w:rPr>
                <w:rStyle w:val="Hyperlink"/>
                <w:rFonts w:ascii="Times New Roman" w:hAnsi="Times New Roman" w:cs="Times New Roman"/>
                <w:noProof/>
              </w:rPr>
              <w:t>2.1.4 Customer Trust</w:t>
            </w:r>
            <w:r w:rsidRPr="003F3E80">
              <w:rPr>
                <w:noProof/>
                <w:webHidden/>
              </w:rPr>
              <w:tab/>
            </w:r>
            <w:r w:rsidRPr="003F3E80">
              <w:rPr>
                <w:noProof/>
                <w:webHidden/>
              </w:rPr>
              <w:fldChar w:fldCharType="begin"/>
            </w:r>
            <w:r w:rsidRPr="003F3E80">
              <w:rPr>
                <w:noProof/>
                <w:webHidden/>
              </w:rPr>
              <w:instrText xml:space="preserve"> PAGEREF _Toc228010742 \h </w:instrText>
            </w:r>
            <w:r w:rsidRPr="003F3E80">
              <w:rPr>
                <w:noProof/>
                <w:webHidden/>
              </w:rPr>
            </w:r>
            <w:r w:rsidRPr="003F3E80">
              <w:rPr>
                <w:noProof/>
                <w:webHidden/>
              </w:rPr>
              <w:fldChar w:fldCharType="separate"/>
            </w:r>
            <w:r w:rsidRPr="003F3E80">
              <w:rPr>
                <w:noProof/>
                <w:webHidden/>
              </w:rPr>
              <w:t>7</w:t>
            </w:r>
            <w:r w:rsidRPr="003F3E80">
              <w:rPr>
                <w:noProof/>
                <w:webHidden/>
              </w:rPr>
              <w:fldChar w:fldCharType="end"/>
            </w:r>
          </w:hyperlink>
        </w:p>
        <w:p w14:paraId="41BC31AF" w14:textId="2445CBF1" w:rsidR="003F3E80" w:rsidRPr="003F3E80" w:rsidRDefault="003F3E80">
          <w:pPr>
            <w:pStyle w:val="TOC3"/>
            <w:tabs>
              <w:tab w:val="right" w:leader="dot" w:pos="9016"/>
            </w:tabs>
            <w:rPr>
              <w:noProof/>
            </w:rPr>
          </w:pPr>
          <w:hyperlink w:anchor="_Toc228010743" w:history="1">
            <w:r w:rsidRPr="003F3E80">
              <w:rPr>
                <w:rStyle w:val="Hyperlink"/>
                <w:rFonts w:ascii="Times New Roman" w:hAnsi="Times New Roman" w:cs="Times New Roman"/>
                <w:noProof/>
              </w:rPr>
              <w:t>2.1.5 Comparison between UK and EU</w:t>
            </w:r>
            <w:r w:rsidRPr="003F3E80">
              <w:rPr>
                <w:noProof/>
                <w:webHidden/>
              </w:rPr>
              <w:tab/>
            </w:r>
            <w:r w:rsidRPr="003F3E80">
              <w:rPr>
                <w:noProof/>
                <w:webHidden/>
              </w:rPr>
              <w:fldChar w:fldCharType="begin"/>
            </w:r>
            <w:r w:rsidRPr="003F3E80">
              <w:rPr>
                <w:noProof/>
                <w:webHidden/>
              </w:rPr>
              <w:instrText xml:space="preserve"> PAGEREF _Toc228010743 \h </w:instrText>
            </w:r>
            <w:r w:rsidRPr="003F3E80">
              <w:rPr>
                <w:noProof/>
                <w:webHidden/>
              </w:rPr>
            </w:r>
            <w:r w:rsidRPr="003F3E80">
              <w:rPr>
                <w:noProof/>
                <w:webHidden/>
              </w:rPr>
              <w:fldChar w:fldCharType="separate"/>
            </w:r>
            <w:r w:rsidRPr="003F3E80">
              <w:rPr>
                <w:noProof/>
                <w:webHidden/>
              </w:rPr>
              <w:t>8</w:t>
            </w:r>
            <w:r w:rsidRPr="003F3E80">
              <w:rPr>
                <w:noProof/>
                <w:webHidden/>
              </w:rPr>
              <w:fldChar w:fldCharType="end"/>
            </w:r>
          </w:hyperlink>
        </w:p>
        <w:p w14:paraId="6BCACD3B" w14:textId="34890B0A" w:rsidR="003F3E80" w:rsidRDefault="003F3E80">
          <w:pPr>
            <w:pStyle w:val="TOC2"/>
            <w:tabs>
              <w:tab w:val="right" w:leader="dot" w:pos="9016"/>
            </w:tabs>
            <w:rPr>
              <w:noProof/>
            </w:rPr>
          </w:pPr>
          <w:hyperlink w:anchor="_Toc228010744" w:history="1">
            <w:r w:rsidRPr="00CF0927">
              <w:rPr>
                <w:rStyle w:val="Hyperlink"/>
                <w:rFonts w:ascii="Times New Roman" w:hAnsi="Times New Roman" w:cs="Times New Roman"/>
                <w:b/>
                <w:bCs/>
                <w:noProof/>
              </w:rPr>
              <w:t>2.2 Political, Technological, and Regulatory Change</w:t>
            </w:r>
            <w:r>
              <w:rPr>
                <w:noProof/>
                <w:webHidden/>
              </w:rPr>
              <w:tab/>
            </w:r>
            <w:r>
              <w:rPr>
                <w:noProof/>
                <w:webHidden/>
              </w:rPr>
              <w:fldChar w:fldCharType="begin"/>
            </w:r>
            <w:r>
              <w:rPr>
                <w:noProof/>
                <w:webHidden/>
              </w:rPr>
              <w:instrText xml:space="preserve"> PAGEREF _Toc228010744 \h </w:instrText>
            </w:r>
            <w:r>
              <w:rPr>
                <w:noProof/>
                <w:webHidden/>
              </w:rPr>
            </w:r>
            <w:r>
              <w:rPr>
                <w:noProof/>
                <w:webHidden/>
              </w:rPr>
              <w:fldChar w:fldCharType="separate"/>
            </w:r>
            <w:r>
              <w:rPr>
                <w:noProof/>
                <w:webHidden/>
              </w:rPr>
              <w:t>9</w:t>
            </w:r>
            <w:r>
              <w:rPr>
                <w:noProof/>
                <w:webHidden/>
              </w:rPr>
              <w:fldChar w:fldCharType="end"/>
            </w:r>
          </w:hyperlink>
        </w:p>
        <w:p w14:paraId="5E303549" w14:textId="30F0BAE4" w:rsidR="003F3E80" w:rsidRDefault="003F3E80">
          <w:pPr>
            <w:pStyle w:val="TOC2"/>
            <w:tabs>
              <w:tab w:val="right" w:leader="dot" w:pos="9016"/>
            </w:tabs>
            <w:rPr>
              <w:noProof/>
            </w:rPr>
          </w:pPr>
          <w:hyperlink w:anchor="_Toc228010745" w:history="1">
            <w:r w:rsidRPr="00CF0927">
              <w:rPr>
                <w:rStyle w:val="Hyperlink"/>
                <w:rFonts w:ascii="Times New Roman" w:hAnsi="Times New Roman" w:cs="Times New Roman"/>
                <w:b/>
                <w:bCs/>
                <w:noProof/>
              </w:rPr>
              <w:t>2.3 Macroeconomic Policy and International Economic Environment</w:t>
            </w:r>
            <w:r>
              <w:rPr>
                <w:noProof/>
                <w:webHidden/>
              </w:rPr>
              <w:tab/>
            </w:r>
            <w:r>
              <w:rPr>
                <w:noProof/>
                <w:webHidden/>
              </w:rPr>
              <w:fldChar w:fldCharType="begin"/>
            </w:r>
            <w:r>
              <w:rPr>
                <w:noProof/>
                <w:webHidden/>
              </w:rPr>
              <w:instrText xml:space="preserve"> PAGEREF _Toc228010745 \h </w:instrText>
            </w:r>
            <w:r>
              <w:rPr>
                <w:noProof/>
                <w:webHidden/>
              </w:rPr>
            </w:r>
            <w:r>
              <w:rPr>
                <w:noProof/>
                <w:webHidden/>
              </w:rPr>
              <w:fldChar w:fldCharType="separate"/>
            </w:r>
            <w:r>
              <w:rPr>
                <w:noProof/>
                <w:webHidden/>
              </w:rPr>
              <w:t>11</w:t>
            </w:r>
            <w:r>
              <w:rPr>
                <w:noProof/>
                <w:webHidden/>
              </w:rPr>
              <w:fldChar w:fldCharType="end"/>
            </w:r>
          </w:hyperlink>
        </w:p>
        <w:p w14:paraId="7A791E3D" w14:textId="60388609" w:rsidR="003F3E80" w:rsidRPr="003F3E80" w:rsidRDefault="003F3E80">
          <w:pPr>
            <w:pStyle w:val="TOC3"/>
            <w:tabs>
              <w:tab w:val="right" w:leader="dot" w:pos="9016"/>
            </w:tabs>
            <w:rPr>
              <w:noProof/>
            </w:rPr>
          </w:pPr>
          <w:hyperlink w:anchor="_Toc228010746" w:history="1">
            <w:r w:rsidRPr="003F3E80">
              <w:rPr>
                <w:rStyle w:val="Hyperlink"/>
                <w:rFonts w:ascii="Times New Roman" w:hAnsi="Times New Roman" w:cs="Times New Roman"/>
                <w:noProof/>
              </w:rPr>
              <w:t>2.3.1 EU Macroeconomic Conditions</w:t>
            </w:r>
            <w:r w:rsidRPr="003F3E80">
              <w:rPr>
                <w:noProof/>
                <w:webHidden/>
              </w:rPr>
              <w:tab/>
            </w:r>
            <w:r w:rsidRPr="003F3E80">
              <w:rPr>
                <w:noProof/>
                <w:webHidden/>
              </w:rPr>
              <w:fldChar w:fldCharType="begin"/>
            </w:r>
            <w:r w:rsidRPr="003F3E80">
              <w:rPr>
                <w:noProof/>
                <w:webHidden/>
              </w:rPr>
              <w:instrText xml:space="preserve"> PAGEREF _Toc228010746 \h </w:instrText>
            </w:r>
            <w:r w:rsidRPr="003F3E80">
              <w:rPr>
                <w:noProof/>
                <w:webHidden/>
              </w:rPr>
            </w:r>
            <w:r w:rsidRPr="003F3E80">
              <w:rPr>
                <w:noProof/>
                <w:webHidden/>
              </w:rPr>
              <w:fldChar w:fldCharType="separate"/>
            </w:r>
            <w:r w:rsidRPr="003F3E80">
              <w:rPr>
                <w:noProof/>
                <w:webHidden/>
              </w:rPr>
              <w:t>11</w:t>
            </w:r>
            <w:r w:rsidRPr="003F3E80">
              <w:rPr>
                <w:noProof/>
                <w:webHidden/>
              </w:rPr>
              <w:fldChar w:fldCharType="end"/>
            </w:r>
          </w:hyperlink>
        </w:p>
        <w:p w14:paraId="1389F982" w14:textId="4EC6E210" w:rsidR="003F3E80" w:rsidRPr="003F3E80" w:rsidRDefault="003F3E80">
          <w:pPr>
            <w:pStyle w:val="TOC3"/>
            <w:tabs>
              <w:tab w:val="right" w:leader="dot" w:pos="9016"/>
            </w:tabs>
            <w:rPr>
              <w:noProof/>
            </w:rPr>
          </w:pPr>
          <w:hyperlink w:anchor="_Toc228010747" w:history="1">
            <w:r w:rsidRPr="003F3E80">
              <w:rPr>
                <w:rStyle w:val="Hyperlink"/>
                <w:rFonts w:ascii="Times New Roman" w:hAnsi="Times New Roman" w:cs="Times New Roman"/>
                <w:noProof/>
              </w:rPr>
              <w:t>2.3.2 Comparative Analysis: UK Flexibility vs EU Stability</w:t>
            </w:r>
            <w:r w:rsidRPr="003F3E80">
              <w:rPr>
                <w:noProof/>
                <w:webHidden/>
              </w:rPr>
              <w:tab/>
            </w:r>
            <w:r w:rsidRPr="003F3E80">
              <w:rPr>
                <w:noProof/>
                <w:webHidden/>
              </w:rPr>
              <w:fldChar w:fldCharType="begin"/>
            </w:r>
            <w:r w:rsidRPr="003F3E80">
              <w:rPr>
                <w:noProof/>
                <w:webHidden/>
              </w:rPr>
              <w:instrText xml:space="preserve"> PAGEREF _Toc228010747 \h </w:instrText>
            </w:r>
            <w:r w:rsidRPr="003F3E80">
              <w:rPr>
                <w:noProof/>
                <w:webHidden/>
              </w:rPr>
            </w:r>
            <w:r w:rsidRPr="003F3E80">
              <w:rPr>
                <w:noProof/>
                <w:webHidden/>
              </w:rPr>
              <w:fldChar w:fldCharType="separate"/>
            </w:r>
            <w:r w:rsidRPr="003F3E80">
              <w:rPr>
                <w:noProof/>
                <w:webHidden/>
              </w:rPr>
              <w:t>12</w:t>
            </w:r>
            <w:r w:rsidRPr="003F3E80">
              <w:rPr>
                <w:noProof/>
                <w:webHidden/>
              </w:rPr>
              <w:fldChar w:fldCharType="end"/>
            </w:r>
          </w:hyperlink>
        </w:p>
        <w:p w14:paraId="2F35A0B5" w14:textId="02781169" w:rsidR="003F3E80" w:rsidRDefault="003F3E80">
          <w:pPr>
            <w:pStyle w:val="TOC2"/>
            <w:tabs>
              <w:tab w:val="right" w:leader="dot" w:pos="9016"/>
            </w:tabs>
            <w:rPr>
              <w:noProof/>
            </w:rPr>
          </w:pPr>
          <w:hyperlink w:anchor="_Toc228010748" w:history="1">
            <w:r w:rsidRPr="00CF0927">
              <w:rPr>
                <w:rStyle w:val="Hyperlink"/>
                <w:rFonts w:ascii="Times New Roman" w:hAnsi="Times New Roman" w:cs="Times New Roman"/>
                <w:b/>
                <w:bCs/>
                <w:noProof/>
              </w:rPr>
              <w:t>2.4 Recommendations</w:t>
            </w:r>
            <w:r>
              <w:rPr>
                <w:noProof/>
                <w:webHidden/>
              </w:rPr>
              <w:tab/>
            </w:r>
            <w:r>
              <w:rPr>
                <w:noProof/>
                <w:webHidden/>
              </w:rPr>
              <w:fldChar w:fldCharType="begin"/>
            </w:r>
            <w:r>
              <w:rPr>
                <w:noProof/>
                <w:webHidden/>
              </w:rPr>
              <w:instrText xml:space="preserve"> PAGEREF _Toc228010748 \h </w:instrText>
            </w:r>
            <w:r>
              <w:rPr>
                <w:noProof/>
                <w:webHidden/>
              </w:rPr>
            </w:r>
            <w:r>
              <w:rPr>
                <w:noProof/>
                <w:webHidden/>
              </w:rPr>
              <w:fldChar w:fldCharType="separate"/>
            </w:r>
            <w:r>
              <w:rPr>
                <w:noProof/>
                <w:webHidden/>
              </w:rPr>
              <w:t>13</w:t>
            </w:r>
            <w:r>
              <w:rPr>
                <w:noProof/>
                <w:webHidden/>
              </w:rPr>
              <w:fldChar w:fldCharType="end"/>
            </w:r>
          </w:hyperlink>
        </w:p>
        <w:p w14:paraId="3763073D" w14:textId="6F891FA9" w:rsidR="003F3E80" w:rsidRDefault="003F3E80">
          <w:pPr>
            <w:pStyle w:val="TOC2"/>
            <w:tabs>
              <w:tab w:val="right" w:leader="dot" w:pos="9016"/>
            </w:tabs>
            <w:rPr>
              <w:noProof/>
            </w:rPr>
          </w:pPr>
          <w:hyperlink w:anchor="_Toc228010749" w:history="1">
            <w:r w:rsidRPr="00CF0927">
              <w:rPr>
                <w:rStyle w:val="Hyperlink"/>
                <w:rFonts w:ascii="Times New Roman" w:hAnsi="Times New Roman" w:cs="Times New Roman"/>
                <w:b/>
                <w:bCs/>
                <w:noProof/>
              </w:rPr>
              <w:t>2.5 Implementation Plan</w:t>
            </w:r>
            <w:r>
              <w:rPr>
                <w:noProof/>
                <w:webHidden/>
              </w:rPr>
              <w:tab/>
            </w:r>
            <w:r>
              <w:rPr>
                <w:noProof/>
                <w:webHidden/>
              </w:rPr>
              <w:fldChar w:fldCharType="begin"/>
            </w:r>
            <w:r>
              <w:rPr>
                <w:noProof/>
                <w:webHidden/>
              </w:rPr>
              <w:instrText xml:space="preserve"> PAGEREF _Toc228010749 \h </w:instrText>
            </w:r>
            <w:r>
              <w:rPr>
                <w:noProof/>
                <w:webHidden/>
              </w:rPr>
            </w:r>
            <w:r>
              <w:rPr>
                <w:noProof/>
                <w:webHidden/>
              </w:rPr>
              <w:fldChar w:fldCharType="separate"/>
            </w:r>
            <w:r>
              <w:rPr>
                <w:noProof/>
                <w:webHidden/>
              </w:rPr>
              <w:t>14</w:t>
            </w:r>
            <w:r>
              <w:rPr>
                <w:noProof/>
                <w:webHidden/>
              </w:rPr>
              <w:fldChar w:fldCharType="end"/>
            </w:r>
          </w:hyperlink>
        </w:p>
        <w:p w14:paraId="6D196D93" w14:textId="148184DA" w:rsidR="003F3E80" w:rsidRDefault="003F3E80">
          <w:pPr>
            <w:pStyle w:val="TOC2"/>
            <w:tabs>
              <w:tab w:val="right" w:leader="dot" w:pos="9016"/>
            </w:tabs>
            <w:rPr>
              <w:noProof/>
            </w:rPr>
          </w:pPr>
          <w:hyperlink w:anchor="_Toc228010750" w:history="1">
            <w:r w:rsidRPr="00CF0927">
              <w:rPr>
                <w:rStyle w:val="Hyperlink"/>
                <w:rFonts w:ascii="Times New Roman" w:hAnsi="Times New Roman" w:cs="Times New Roman"/>
                <w:b/>
                <w:bCs/>
                <w:noProof/>
              </w:rPr>
              <w:t>2.6 Critical Dependencies &amp; Risk Mitigation</w:t>
            </w:r>
            <w:r>
              <w:rPr>
                <w:noProof/>
                <w:webHidden/>
              </w:rPr>
              <w:tab/>
            </w:r>
            <w:r>
              <w:rPr>
                <w:noProof/>
                <w:webHidden/>
              </w:rPr>
              <w:fldChar w:fldCharType="begin"/>
            </w:r>
            <w:r>
              <w:rPr>
                <w:noProof/>
                <w:webHidden/>
              </w:rPr>
              <w:instrText xml:space="preserve"> PAGEREF _Toc228010750 \h </w:instrText>
            </w:r>
            <w:r>
              <w:rPr>
                <w:noProof/>
                <w:webHidden/>
              </w:rPr>
            </w:r>
            <w:r>
              <w:rPr>
                <w:noProof/>
                <w:webHidden/>
              </w:rPr>
              <w:fldChar w:fldCharType="separate"/>
            </w:r>
            <w:r>
              <w:rPr>
                <w:noProof/>
                <w:webHidden/>
              </w:rPr>
              <w:t>15</w:t>
            </w:r>
            <w:r>
              <w:rPr>
                <w:noProof/>
                <w:webHidden/>
              </w:rPr>
              <w:fldChar w:fldCharType="end"/>
            </w:r>
          </w:hyperlink>
        </w:p>
        <w:p w14:paraId="038D8602" w14:textId="6B66DA65" w:rsidR="003F3E80" w:rsidRDefault="003F3E80">
          <w:pPr>
            <w:pStyle w:val="TOC1"/>
            <w:tabs>
              <w:tab w:val="right" w:leader="dot" w:pos="9016"/>
            </w:tabs>
            <w:rPr>
              <w:noProof/>
            </w:rPr>
          </w:pPr>
          <w:hyperlink w:anchor="_Toc228010751" w:history="1">
            <w:r w:rsidRPr="00CF0927">
              <w:rPr>
                <w:rStyle w:val="Hyperlink"/>
                <w:rFonts w:ascii="Times New Roman" w:hAnsi="Times New Roman" w:cs="Times New Roman"/>
                <w:b/>
                <w:bCs/>
                <w:noProof/>
              </w:rPr>
              <w:t>3.0 Conclusion</w:t>
            </w:r>
            <w:r>
              <w:rPr>
                <w:noProof/>
                <w:webHidden/>
              </w:rPr>
              <w:tab/>
            </w:r>
            <w:r>
              <w:rPr>
                <w:noProof/>
                <w:webHidden/>
              </w:rPr>
              <w:fldChar w:fldCharType="begin"/>
            </w:r>
            <w:r>
              <w:rPr>
                <w:noProof/>
                <w:webHidden/>
              </w:rPr>
              <w:instrText xml:space="preserve"> PAGEREF _Toc228010751 \h </w:instrText>
            </w:r>
            <w:r>
              <w:rPr>
                <w:noProof/>
                <w:webHidden/>
              </w:rPr>
            </w:r>
            <w:r>
              <w:rPr>
                <w:noProof/>
                <w:webHidden/>
              </w:rPr>
              <w:fldChar w:fldCharType="separate"/>
            </w:r>
            <w:r>
              <w:rPr>
                <w:noProof/>
                <w:webHidden/>
              </w:rPr>
              <w:t>16</w:t>
            </w:r>
            <w:r>
              <w:rPr>
                <w:noProof/>
                <w:webHidden/>
              </w:rPr>
              <w:fldChar w:fldCharType="end"/>
            </w:r>
          </w:hyperlink>
        </w:p>
        <w:p w14:paraId="692E1505" w14:textId="63D5435C" w:rsidR="003F3E80" w:rsidRDefault="003F3E80">
          <w:r>
            <w:rPr>
              <w:b/>
              <w:bCs/>
              <w:noProof/>
            </w:rPr>
            <w:fldChar w:fldCharType="end"/>
          </w:r>
        </w:p>
      </w:sdtContent>
    </w:sdt>
    <w:p w14:paraId="1B177EE6" w14:textId="77777777" w:rsidR="009D1678" w:rsidRDefault="009D1678" w:rsidP="009D1678">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6A8133AB" w14:textId="203BF19F" w:rsidR="009D1678" w:rsidRPr="009D1678" w:rsidRDefault="00740554" w:rsidP="009D1678">
      <w:pPr>
        <w:spacing w:after="0" w:line="36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1.0 </w:t>
      </w:r>
      <w:r w:rsidR="009D1678" w:rsidRPr="009D1678">
        <w:rPr>
          <w:rFonts w:ascii="Times New Roman" w:hAnsi="Times New Roman" w:cs="Times New Roman"/>
          <w:b/>
          <w:bCs/>
          <w:sz w:val="24"/>
          <w:szCs w:val="24"/>
        </w:rPr>
        <w:t>Introduction</w:t>
      </w:r>
    </w:p>
    <w:p w14:paraId="17231BDC"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Artificial intelligence is the most disruptive force driving business around the world today. It is changing the game for risk management, data governance, and trust in the customer. AI has the potential to create significant efficiencies and innovations within the corporate world. However, along with these benefits, there are risks to the reputations, legality, and finances of the companies that implement such technologies (Secundo et al., 2024). A challenge lies in the ability of multinationals to navigate these risks while also taking advantage of the power that AI can provide to their business in order to remain competitive (Teichmann, 2026). Risk management for these corporations should be taken to a strategic level to ensure their continued competitive advantage (Teichmann, 2026).</w:t>
      </w:r>
    </w:p>
    <w:p w14:paraId="38F081D1"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Consultancy firm RFD Global is tasked with assisting Unilever PLC with navigating the challenges of artificial intelligence in their multinational corporation. Unilever PLC is a multinational company with its headquarters in London, United Kingdom, and is present in the European Union in Rotterdam, Hamburg and Paris. Unilever is utilising artificial intelligence in the areas of its supply chain, marketing, human resources, and customer engagement (Hu, 2023). As a consultancy firm that sits at the crossroads of the economy, policy, politics, and regulation, RFD Global specialises in providing services to organisations that are experiencing challenges related to these areas and that are experiencing significant growth within these areas (Gikay, 2024). RFD Global’s offices are located in London and Brussels, with additional offices in Hong Kong and Singapore. The firm aims to be the go-to consultancy for organisations that are encountering the same challenges as Unilever PLC (Gikay, 2024).</w:t>
      </w:r>
    </w:p>
    <w:p w14:paraId="7DB0FFEB"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European Union and the United Kingdom are two of the major economies in Europe, which is where Unilever PLC is present in significant capacity. Within the European Union, there are similarities and differences in the regulations of AI within the region as compared to the United Kingdom. Following Brexit, the United Kingdom has implemented regulations regarding AI in a more gradual fashion, focusing on the innovations that could emerge from the development of AI in their nation (Roberts et al., 2023). In contrast, the European Union implemented the GDPR regulation and the upcoming EU AI Act, which creates different regulatory requirements for various sectors of AI use, with the EU focusing on the risks that can emerge from the use of these technologies (Beltrán, 2025). Overall, then, each of these regions presents an opportunity for the analysis of the impact of political, technological, and regulatory changes on the risk management practices of multinational corporations like Unilever PLC.</w:t>
      </w:r>
    </w:p>
    <w:p w14:paraId="39608D71" w14:textId="08AD033B" w:rsidR="009D1678" w:rsidRPr="00740554" w:rsidRDefault="00740554" w:rsidP="00740554">
      <w:pPr>
        <w:pStyle w:val="Heading1"/>
        <w:rPr>
          <w:rFonts w:ascii="Times New Roman" w:hAnsi="Times New Roman" w:cs="Times New Roman"/>
          <w:b/>
          <w:bCs/>
          <w:color w:val="auto"/>
          <w:sz w:val="24"/>
          <w:szCs w:val="24"/>
        </w:rPr>
      </w:pPr>
      <w:bookmarkStart w:id="1" w:name="_Toc228010737"/>
      <w:r>
        <w:rPr>
          <w:rFonts w:ascii="Times New Roman" w:hAnsi="Times New Roman" w:cs="Times New Roman"/>
          <w:b/>
          <w:bCs/>
          <w:color w:val="auto"/>
          <w:sz w:val="24"/>
          <w:szCs w:val="24"/>
        </w:rPr>
        <w:lastRenderedPageBreak/>
        <w:t xml:space="preserve">2.0 </w:t>
      </w:r>
      <w:r w:rsidR="009D1678" w:rsidRPr="00740554">
        <w:rPr>
          <w:rFonts w:ascii="Times New Roman" w:hAnsi="Times New Roman" w:cs="Times New Roman"/>
          <w:b/>
          <w:bCs/>
          <w:color w:val="auto"/>
          <w:sz w:val="24"/>
          <w:szCs w:val="24"/>
        </w:rPr>
        <w:t>Main Findings</w:t>
      </w:r>
      <w:bookmarkEnd w:id="1"/>
    </w:p>
    <w:p w14:paraId="481EF44A" w14:textId="2B234D56" w:rsidR="009D1678" w:rsidRPr="00740554" w:rsidRDefault="00740554" w:rsidP="00740554">
      <w:pPr>
        <w:pStyle w:val="Heading2"/>
        <w:rPr>
          <w:rFonts w:ascii="Times New Roman" w:hAnsi="Times New Roman" w:cs="Times New Roman"/>
          <w:b/>
          <w:bCs/>
          <w:color w:val="auto"/>
          <w:sz w:val="24"/>
          <w:szCs w:val="24"/>
        </w:rPr>
      </w:pPr>
      <w:bookmarkStart w:id="2" w:name="_Toc228010738"/>
      <w:r w:rsidRPr="00740554">
        <w:rPr>
          <w:rFonts w:ascii="Times New Roman" w:hAnsi="Times New Roman" w:cs="Times New Roman"/>
          <w:b/>
          <w:bCs/>
          <w:color w:val="auto"/>
          <w:sz w:val="24"/>
          <w:szCs w:val="24"/>
        </w:rPr>
        <w:t xml:space="preserve">2.1 </w:t>
      </w:r>
      <w:r w:rsidR="009D1678" w:rsidRPr="00740554">
        <w:rPr>
          <w:rFonts w:ascii="Times New Roman" w:hAnsi="Times New Roman" w:cs="Times New Roman"/>
          <w:b/>
          <w:bCs/>
          <w:color w:val="auto"/>
          <w:sz w:val="24"/>
          <w:szCs w:val="24"/>
        </w:rPr>
        <w:t>AI and Risk Management</w:t>
      </w:r>
      <w:bookmarkEnd w:id="2"/>
    </w:p>
    <w:p w14:paraId="668EA0EF" w14:textId="1C2A7111" w:rsidR="009D1678" w:rsidRPr="00740554" w:rsidRDefault="00740554" w:rsidP="00740554">
      <w:pPr>
        <w:pStyle w:val="Heading3"/>
        <w:rPr>
          <w:rFonts w:ascii="Times New Roman" w:hAnsi="Times New Roman" w:cs="Times New Roman"/>
          <w:b/>
          <w:bCs/>
          <w:color w:val="auto"/>
          <w:sz w:val="24"/>
          <w:szCs w:val="24"/>
        </w:rPr>
      </w:pPr>
      <w:bookmarkStart w:id="3" w:name="_Toc228010739"/>
      <w:r w:rsidRPr="00740554">
        <w:rPr>
          <w:rFonts w:ascii="Times New Roman" w:hAnsi="Times New Roman" w:cs="Times New Roman"/>
          <w:b/>
          <w:bCs/>
          <w:color w:val="auto"/>
          <w:sz w:val="24"/>
          <w:szCs w:val="24"/>
        </w:rPr>
        <w:t xml:space="preserve">2.1.1 </w:t>
      </w:r>
      <w:r w:rsidR="009D1678" w:rsidRPr="00740554">
        <w:rPr>
          <w:rFonts w:ascii="Times New Roman" w:hAnsi="Times New Roman" w:cs="Times New Roman"/>
          <w:b/>
          <w:bCs/>
          <w:color w:val="auto"/>
          <w:sz w:val="24"/>
          <w:szCs w:val="24"/>
        </w:rPr>
        <w:t>Data Governance</w:t>
      </w:r>
      <w:bookmarkEnd w:id="3"/>
    </w:p>
    <w:p w14:paraId="77430B69" w14:textId="5C17757F"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The UK's Data Protection Act 2018 and the 2026 Code of Practice for the use of AI and automated decision-making require all organisations to follow good practice in the processing of personal data (</w:t>
      </w:r>
      <w:hyperlink r:id="rId9" w:tgtFrame="_blank" w:history="1">
        <w:r w:rsidRPr="004F5E21">
          <w:rPr>
            <w:rFonts w:ascii="Times New Roman" w:hAnsi="Times New Roman" w:cs="Times New Roman"/>
            <w:sz w:val="24"/>
            <w:szCs w:val="24"/>
          </w:rPr>
          <w:t>Legislation.gov.uk</w:t>
        </w:r>
      </w:hyperlink>
      <w:r w:rsidRPr="004F5E21">
        <w:rPr>
          <w:rFonts w:ascii="Times New Roman" w:hAnsi="Times New Roman" w:cs="Times New Roman"/>
          <w:sz w:val="24"/>
          <w:szCs w:val="24"/>
        </w:rPr>
        <w:t>, 2018). Particular note is made of how the Act protects children’s data and makes decisions that are found to be fair. The ICO states that the Act encourages AI systems to be transparent, fair and accountable, allowing for innovation in the business sector (ICO, 2026). This gives businesses the ability to innovate in their products and services but also requires them to take responsibility for how they use their data in ethical ways.</w:t>
      </w:r>
    </w:p>
    <w:p w14:paraId="6219C071" w14:textId="70CE01C3"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The European Union utilises the GDPR and the EU AI Act to regulate AI systems within their borders. The GDPR outlines the standards of fairness, accuracy, minimisation of data and security of information (European Data Protection Supervisor, 2024). On top of this regulation, the EU AI Act adds new requirements to AI systems that are determined to be of high risk (Musch, Borrelli and Kerrigan, 2024). Additionally, the EDPS continues to publish articles that warn of the dangers of AI systems without proper controls, such as bias, overfitting and leakage of personal data (European Data Protection Supervisor, 22025). This act is an emblematic act of the European Union’s focus on the protection of consumers and their data.</w:t>
      </w:r>
    </w:p>
    <w:p w14:paraId="10F88E4A"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AI models and technologies must be built with the ability to comply with the UK and the European Union’s requirements for AI systems. By doing so, businesses will be able to remain compatible with European markets and to avoid any potential challenges to their reputations and businesses. Furthermore, the companies that are able to institute controls and governance over their AI models will not just remain compliant with the regulations but also enhance their reputation relative to other companies in the international market (Nookala, 2024). Unilever, which has access to the data of 400+ brands and products, including personal care and food and beverage products (Unilever, 2024), must comply with these regulations in their data flows from their headquarters in the UK to their distribution centres in the European Union.</w:t>
      </w:r>
    </w:p>
    <w:p w14:paraId="403CAE57" w14:textId="33A4DAED" w:rsidR="009D1678" w:rsidRPr="00740554" w:rsidRDefault="00740554" w:rsidP="00740554">
      <w:pPr>
        <w:pStyle w:val="Heading3"/>
        <w:rPr>
          <w:rFonts w:ascii="Times New Roman" w:hAnsi="Times New Roman" w:cs="Times New Roman"/>
          <w:b/>
          <w:bCs/>
          <w:color w:val="auto"/>
          <w:sz w:val="24"/>
          <w:szCs w:val="24"/>
        </w:rPr>
      </w:pPr>
      <w:bookmarkStart w:id="4" w:name="_Toc228010740"/>
      <w:r w:rsidRPr="00740554">
        <w:rPr>
          <w:rFonts w:ascii="Times New Roman" w:hAnsi="Times New Roman" w:cs="Times New Roman"/>
          <w:b/>
          <w:bCs/>
          <w:color w:val="auto"/>
          <w:sz w:val="24"/>
          <w:szCs w:val="24"/>
        </w:rPr>
        <w:t xml:space="preserve">2.1.2 </w:t>
      </w:r>
      <w:r w:rsidR="004F5E21" w:rsidRPr="00740554">
        <w:rPr>
          <w:rFonts w:ascii="Times New Roman" w:hAnsi="Times New Roman" w:cs="Times New Roman"/>
          <w:b/>
          <w:bCs/>
          <w:color w:val="auto"/>
          <w:sz w:val="24"/>
          <w:szCs w:val="24"/>
        </w:rPr>
        <w:t>Ethical AI Use</w:t>
      </w:r>
      <w:bookmarkEnd w:id="4"/>
    </w:p>
    <w:p w14:paraId="65CDB71B"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 xml:space="preserve">International standards, such as the OECD Principles on AI (2019) and UNESCO's Recommendation on the Ethics of AI (2021), already provide guidelines for organisations on </w:t>
      </w:r>
      <w:r w:rsidRPr="004F5E21">
        <w:rPr>
          <w:rFonts w:ascii="Times New Roman" w:hAnsi="Times New Roman" w:cs="Times New Roman"/>
          <w:sz w:val="24"/>
          <w:szCs w:val="24"/>
        </w:rPr>
        <w:lastRenderedPageBreak/>
        <w:t>how to address AI bias and ensure that their AI solutions are fair and transparent (OECD, 2019; UNESCO, 2021). The causes of bias in AI systems have already been analysed by numerous researchers, with most agreeing that bias in AI systems can be caused by poor quality of the data that is used to train those AI systems (Mehrabi et al., 2021). Despite these existing guidelines and analyses, there is still a need for companies to address these concerns regarding AI bias.</w:t>
      </w:r>
    </w:p>
    <w:p w14:paraId="1FF66E23"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Unilever, a manufacturer of 150,000+ products worldwide and a company that receives hundreds of thousands of hiring applicants for its positions, as well as companies like Dove and Persil that must tailor their marketing to individual customers, has faced the potential challenges of AI bias. If their hiring applications are discriminatory towards certain applicants, they could face lawsuits from those rejected applicants. Furthermore, if their companies do not provide transparency in their AI systems that create their marketing campaigns, customers who wish to understand how their data is used by these companies may create a backlash towards them (Unilever, 2024).</w:t>
      </w:r>
    </w:p>
    <w:p w14:paraId="4BEBFAB3" w14:textId="77777777" w:rsid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Furthermore, the ICO in the United Kingdom has published guidelines on how AI systems should be developed with fairness and accountability insurance companies against the challenges of AI bias (ICO, 2026). Similarly, the European Union has created the AI Act, which details the regulations for high-risk AI applications, such as those used in healthcare and employment (Council of the EU, 2024). These regulations ensure that the AI systems are transparent and provide oversight for those who are impacted by the AI. Thus, the use of ethical AI systems in companies is not optional but necessary for the maintenance of their reputations and compliance with the regulations of other countries around the world.</w:t>
      </w:r>
    </w:p>
    <w:p w14:paraId="4F0142B8" w14:textId="4BE9E6AF" w:rsidR="004F5E21" w:rsidRPr="00740554" w:rsidRDefault="00740554" w:rsidP="00740554">
      <w:pPr>
        <w:pStyle w:val="Heading3"/>
        <w:rPr>
          <w:rFonts w:ascii="Times New Roman" w:hAnsi="Times New Roman" w:cs="Times New Roman"/>
          <w:b/>
          <w:bCs/>
          <w:color w:val="auto"/>
          <w:sz w:val="24"/>
          <w:szCs w:val="24"/>
        </w:rPr>
      </w:pPr>
      <w:bookmarkStart w:id="5" w:name="_Toc228010741"/>
      <w:r w:rsidRPr="00740554">
        <w:rPr>
          <w:rFonts w:ascii="Times New Roman" w:hAnsi="Times New Roman" w:cs="Times New Roman"/>
          <w:b/>
          <w:bCs/>
          <w:color w:val="auto"/>
          <w:sz w:val="24"/>
          <w:szCs w:val="24"/>
        </w:rPr>
        <w:t xml:space="preserve">2.1.3 </w:t>
      </w:r>
      <w:r w:rsidR="004F5E21" w:rsidRPr="00740554">
        <w:rPr>
          <w:rFonts w:ascii="Times New Roman" w:hAnsi="Times New Roman" w:cs="Times New Roman"/>
          <w:b/>
          <w:bCs/>
          <w:color w:val="auto"/>
          <w:sz w:val="24"/>
          <w:szCs w:val="24"/>
        </w:rPr>
        <w:t>Regulatory Compliance</w:t>
      </w:r>
      <w:bookmarkEnd w:id="5"/>
    </w:p>
    <w:p w14:paraId="53C2BD8A"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While the United Kingdom’s regulation of AI systems is largely evolutionary and specific to each industry, recommendations from the Information Commissioner’s Office incorporate elements of fairness and accountability into the regulation of AI systems within the country (ICO, 2026). The regulation of the European Union (EU) is also specific to each industry; however, the EU has established the Artificial Intelligence Act (Regulation 2024/1689), which classifies AI systems according to the potential impact that they may have upon society within the EU (Council of the EU, 2024; Teichmann, 2026). AI systems are classified as:</w:t>
      </w:r>
    </w:p>
    <w:p w14:paraId="529B8FC5" w14:textId="77777777" w:rsidR="00FC257F" w:rsidRPr="00FC257F" w:rsidRDefault="00FC257F" w:rsidP="00FC257F">
      <w:pPr>
        <w:pStyle w:val="ListParagraph"/>
        <w:numPr>
          <w:ilvl w:val="0"/>
          <w:numId w:val="4"/>
        </w:numPr>
        <w:spacing w:after="0" w:line="360" w:lineRule="auto"/>
        <w:rPr>
          <w:rFonts w:ascii="Times New Roman" w:hAnsi="Times New Roman" w:cs="Times New Roman"/>
          <w:sz w:val="24"/>
          <w:szCs w:val="24"/>
        </w:rPr>
      </w:pPr>
      <w:r w:rsidRPr="00FC257F">
        <w:rPr>
          <w:rFonts w:ascii="Times New Roman" w:hAnsi="Times New Roman" w:cs="Times New Roman"/>
          <w:sz w:val="24"/>
          <w:szCs w:val="24"/>
        </w:rPr>
        <w:lastRenderedPageBreak/>
        <w:t>Prohibited AI systems include technologies like social and consumer scoring systems or the recognition of human emotions in the workplace (EU Artificial Intelligence Act, 2025).</w:t>
      </w:r>
    </w:p>
    <w:p w14:paraId="34E74E36" w14:textId="77777777" w:rsidR="00FC257F" w:rsidRPr="00FC257F" w:rsidRDefault="00FC257F" w:rsidP="00FC257F">
      <w:pPr>
        <w:pStyle w:val="ListParagraph"/>
        <w:numPr>
          <w:ilvl w:val="0"/>
          <w:numId w:val="4"/>
        </w:numPr>
        <w:spacing w:after="0" w:line="360" w:lineRule="auto"/>
        <w:rPr>
          <w:rFonts w:ascii="Times New Roman" w:hAnsi="Times New Roman" w:cs="Times New Roman"/>
          <w:sz w:val="24"/>
          <w:szCs w:val="24"/>
        </w:rPr>
      </w:pPr>
      <w:r w:rsidRPr="00FC257F">
        <w:rPr>
          <w:rFonts w:ascii="Times New Roman" w:hAnsi="Times New Roman" w:cs="Times New Roman"/>
          <w:sz w:val="24"/>
          <w:szCs w:val="24"/>
        </w:rPr>
        <w:t>High-risk AI systems would include AI systems that are used for medical diagnosis, hiring, or critical infrastructure.</w:t>
      </w:r>
    </w:p>
    <w:p w14:paraId="28B038B2" w14:textId="77777777" w:rsidR="00FC257F" w:rsidRPr="00FC257F" w:rsidRDefault="00FC257F" w:rsidP="00FC257F">
      <w:pPr>
        <w:pStyle w:val="ListParagraph"/>
        <w:numPr>
          <w:ilvl w:val="0"/>
          <w:numId w:val="4"/>
        </w:numPr>
        <w:spacing w:after="0" w:line="360" w:lineRule="auto"/>
        <w:rPr>
          <w:rFonts w:ascii="Times New Roman" w:hAnsi="Times New Roman" w:cs="Times New Roman"/>
          <w:sz w:val="24"/>
          <w:szCs w:val="24"/>
        </w:rPr>
      </w:pPr>
      <w:r w:rsidRPr="00FC257F">
        <w:rPr>
          <w:rFonts w:ascii="Times New Roman" w:hAnsi="Times New Roman" w:cs="Times New Roman"/>
          <w:sz w:val="24"/>
          <w:szCs w:val="24"/>
        </w:rPr>
        <w:t>Companies that manufacture AI systems of low risk must provide information regarding the use of AI systems within their company to the consumers of their products.</w:t>
      </w:r>
    </w:p>
    <w:p w14:paraId="0B7BDEA8" w14:textId="77777777" w:rsidR="00FC257F" w:rsidRPr="00FC257F" w:rsidRDefault="00FC257F" w:rsidP="00FC257F">
      <w:pPr>
        <w:pStyle w:val="ListParagraph"/>
        <w:numPr>
          <w:ilvl w:val="0"/>
          <w:numId w:val="4"/>
        </w:numPr>
        <w:spacing w:after="0" w:line="360" w:lineRule="auto"/>
        <w:rPr>
          <w:rFonts w:ascii="Times New Roman" w:hAnsi="Times New Roman" w:cs="Times New Roman"/>
          <w:sz w:val="24"/>
          <w:szCs w:val="24"/>
        </w:rPr>
      </w:pPr>
      <w:r w:rsidRPr="00FC257F">
        <w:rPr>
          <w:rFonts w:ascii="Times New Roman" w:hAnsi="Times New Roman" w:cs="Times New Roman"/>
          <w:sz w:val="24"/>
          <w:szCs w:val="24"/>
        </w:rPr>
        <w:t>Furthermore, AI systems of low risk, such as spam filters, are not regulated by the EU (Mbah, 2024).</w:t>
      </w:r>
    </w:p>
    <w:p w14:paraId="2924C5CB" w14:textId="77777777" w:rsidR="004F5E21" w:rsidRDefault="004F5E21" w:rsidP="004F5E21">
      <w:pPr>
        <w:spacing w:after="0" w:line="360" w:lineRule="auto"/>
        <w:ind w:firstLine="720"/>
        <w:rPr>
          <w:rFonts w:ascii="Times New Roman" w:hAnsi="Times New Roman" w:cs="Times New Roman"/>
          <w:sz w:val="24"/>
          <w:szCs w:val="24"/>
        </w:rPr>
      </w:pPr>
    </w:p>
    <w:p w14:paraId="55822B54" w14:textId="1CE21AA4"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Unilever’s hiring algorithms and other high-risk AI systems are covered by the EU’s Artificial Intelligence Act. Furthermore, Unilever must take steps to comply with the regulations of both the EU and the United Kingdom. As such, companies like Unilever will do well to adopt a two-front approach to regulatory compliance; they will embrace the innovation-centric regulation of the United Kingdom while also adhering to the strict regulatory practices of the EU. Through the ability of these companies to embrace both sets of regulations, they can minimise their risk of penalties and remain globally competitive (Latilo et al., 2024).</w:t>
      </w:r>
    </w:p>
    <w:p w14:paraId="567AC110" w14:textId="50A42B7A" w:rsidR="004F5E21" w:rsidRPr="00740554" w:rsidRDefault="00740554" w:rsidP="00740554">
      <w:pPr>
        <w:pStyle w:val="Heading3"/>
        <w:rPr>
          <w:rFonts w:ascii="Times New Roman" w:hAnsi="Times New Roman" w:cs="Times New Roman"/>
          <w:b/>
          <w:bCs/>
          <w:color w:val="auto"/>
          <w:sz w:val="24"/>
          <w:szCs w:val="24"/>
        </w:rPr>
      </w:pPr>
      <w:bookmarkStart w:id="6" w:name="_Toc228010742"/>
      <w:r w:rsidRPr="00740554">
        <w:rPr>
          <w:rFonts w:ascii="Times New Roman" w:hAnsi="Times New Roman" w:cs="Times New Roman"/>
          <w:b/>
          <w:bCs/>
          <w:color w:val="auto"/>
          <w:sz w:val="24"/>
          <w:szCs w:val="24"/>
        </w:rPr>
        <w:t xml:space="preserve">2.1.4 </w:t>
      </w:r>
      <w:r w:rsidR="004F5E21" w:rsidRPr="00740554">
        <w:rPr>
          <w:rFonts w:ascii="Times New Roman" w:hAnsi="Times New Roman" w:cs="Times New Roman"/>
          <w:b/>
          <w:bCs/>
          <w:color w:val="auto"/>
          <w:sz w:val="24"/>
          <w:szCs w:val="24"/>
        </w:rPr>
        <w:t>Customer Trust</w:t>
      </w:r>
      <w:bookmarkEnd w:id="6"/>
    </w:p>
    <w:p w14:paraId="1AE01059"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Trust plays a critical role in the adoption of AI, and companies need to understand that how customers perceive trust impacts the successful deployment of AI (Frank et al., 2023). A growing body of evidence highlights that transparency and explainability play a crucial role in user trust, with third-party trust indicators (e.g., certification badges and audits) further building confidence (Schmidt, Biessmann and Teubner, 2020). These signals provide tangible proof that AI is safe, fair and trustworthy.</w:t>
      </w:r>
    </w:p>
    <w:p w14:paraId="20DFED97"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Transparency disclosures are seen as an ethical imperative. A recent survey revealed 84% of experts favour mandatory disclosures to consumers about the use of AI, highlighting the need for users to be made aware when they interact with AI (Renieris, Kiron and Mills, 2024). Explainability tools, like model interpretability dashboards, explain AI decisions, minimising perceptions of black-box AI and bias.</w:t>
      </w:r>
    </w:p>
    <w:p w14:paraId="49AA89BB"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 xml:space="preserve">For brands like Unilever, which reaches 3.4 billion consumers every day using AI-driven recommendations, chatbots and targeted ads, trust equals loyalty, which equals market </w:t>
      </w:r>
      <w:r w:rsidRPr="004F5E21">
        <w:rPr>
          <w:rFonts w:ascii="Times New Roman" w:hAnsi="Times New Roman" w:cs="Times New Roman"/>
          <w:sz w:val="24"/>
          <w:szCs w:val="24"/>
        </w:rPr>
        <w:lastRenderedPageBreak/>
        <w:t>share. Unilever is the parent company of more than 400 brands, such as Dove, Persil, Ben &amp; Jerry's and Hellmann's – all with different consumer expectations around privacy and AI ethics. A misstep with AI, such as a biased recommendation system or a chatbot that delivers misleading answers, could harm the reputation of several brands at once (Unilever, 2024). In addition, Unilever's sustainability and ethical sourcing policies, which are promoted to consumers through its Unilever Sustainable Living Plan, raise the bar for consumer expectations regarding the fairness and transparency of Unilever's AI systems. For Unilever, unlike a technology company, trust in AI is linked to trust in the company.</w:t>
      </w:r>
    </w:p>
    <w:p w14:paraId="2E72968A"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Larsson and Heintz (2020) find that transparency reduces negative perceptions of AI and improves organisational accountability, increasing organisational resilience. Companies that openly communicate the use of AI and AI decision</w:t>
      </w:r>
      <w:r w:rsidRPr="004F5E21">
        <w:rPr>
          <w:rFonts w:ascii="Times New Roman" w:hAnsi="Times New Roman" w:cs="Times New Roman"/>
          <w:sz w:val="24"/>
          <w:szCs w:val="24"/>
        </w:rPr>
        <w:noBreakHyphen/>
        <w:t>making processes are seen as more trustworthy, thereby reducing reputational risk if a system goes wrong or is biased.</w:t>
      </w:r>
    </w:p>
    <w:p w14:paraId="7D05EA2C" w14:textId="77777777" w:rsidR="004F5E21" w:rsidRPr="004F5E21" w:rsidRDefault="004F5E21" w:rsidP="004F5E21">
      <w:pPr>
        <w:spacing w:after="0" w:line="360" w:lineRule="auto"/>
        <w:ind w:firstLine="720"/>
        <w:rPr>
          <w:rFonts w:ascii="Times New Roman" w:hAnsi="Times New Roman" w:cs="Times New Roman"/>
          <w:sz w:val="24"/>
          <w:szCs w:val="24"/>
        </w:rPr>
      </w:pPr>
      <w:r w:rsidRPr="004F5E21">
        <w:rPr>
          <w:rFonts w:ascii="Times New Roman" w:hAnsi="Times New Roman" w:cs="Times New Roman"/>
          <w:sz w:val="24"/>
          <w:szCs w:val="24"/>
        </w:rPr>
        <w:t>Communication is key to trust</w:t>
      </w:r>
      <w:r w:rsidRPr="004F5E21">
        <w:rPr>
          <w:rFonts w:ascii="Times New Roman" w:hAnsi="Times New Roman" w:cs="Times New Roman"/>
          <w:sz w:val="24"/>
          <w:szCs w:val="24"/>
        </w:rPr>
        <w:noBreakHyphen/>
        <w:t>building. Companies need to prioritise transparency in their customer communications, viewing disclosure as not just a regulatory obligation but a trust</w:t>
      </w:r>
      <w:r w:rsidRPr="004F5E21">
        <w:rPr>
          <w:rFonts w:ascii="Times New Roman" w:hAnsi="Times New Roman" w:cs="Times New Roman"/>
          <w:sz w:val="24"/>
          <w:szCs w:val="24"/>
        </w:rPr>
        <w:noBreakHyphen/>
        <w:t>building initiative (McCormack et al., 2025). This means having AI usage policies and engaging customers through interactive platforms and certification seals that demonstrate ethical practices. Organisations need to incorporate transparency, accountability, and communication into their AI governance practices. In doing so, they turn compliance into a differentiator, securing customer loyalty and long</w:t>
      </w:r>
      <w:r w:rsidRPr="004F5E21">
        <w:rPr>
          <w:rFonts w:ascii="Times New Roman" w:hAnsi="Times New Roman" w:cs="Times New Roman"/>
          <w:sz w:val="24"/>
          <w:szCs w:val="24"/>
        </w:rPr>
        <w:noBreakHyphen/>
        <w:t>term brand protection.</w:t>
      </w:r>
    </w:p>
    <w:p w14:paraId="5A8174F8" w14:textId="241123EB" w:rsidR="009D1678" w:rsidRPr="00740554" w:rsidRDefault="00740554" w:rsidP="00740554">
      <w:pPr>
        <w:pStyle w:val="Heading3"/>
        <w:rPr>
          <w:rFonts w:ascii="Times New Roman" w:hAnsi="Times New Roman" w:cs="Times New Roman"/>
          <w:b/>
          <w:bCs/>
          <w:color w:val="auto"/>
          <w:sz w:val="24"/>
          <w:szCs w:val="24"/>
        </w:rPr>
      </w:pPr>
      <w:bookmarkStart w:id="7" w:name="_Toc228010743"/>
      <w:r w:rsidRPr="00740554">
        <w:rPr>
          <w:rFonts w:ascii="Times New Roman" w:hAnsi="Times New Roman" w:cs="Times New Roman"/>
          <w:b/>
          <w:bCs/>
          <w:color w:val="auto"/>
          <w:sz w:val="24"/>
          <w:szCs w:val="24"/>
        </w:rPr>
        <w:t xml:space="preserve">2.1.5 </w:t>
      </w:r>
      <w:r w:rsidR="009D1678" w:rsidRPr="00740554">
        <w:rPr>
          <w:rFonts w:ascii="Times New Roman" w:hAnsi="Times New Roman" w:cs="Times New Roman"/>
          <w:b/>
          <w:bCs/>
          <w:color w:val="auto"/>
          <w:sz w:val="24"/>
          <w:szCs w:val="24"/>
        </w:rPr>
        <w:t>Comparison between UK and EU</w:t>
      </w:r>
      <w:bookmarkEnd w:id="7"/>
    </w:p>
    <w:p w14:paraId="3371417C"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In the UK fintech industry, companies like Atom Bank and ClearBank are using AI to automate credit risk assessment, fraud prevention and onboarding processes. These solutions prioritise transparency, fairness, and real</w:t>
      </w:r>
      <w:r w:rsidRPr="009D1678">
        <w:rPr>
          <w:rFonts w:ascii="Times New Roman" w:hAnsi="Times New Roman" w:cs="Times New Roman"/>
          <w:sz w:val="24"/>
          <w:szCs w:val="24"/>
        </w:rPr>
        <w:noBreakHyphen/>
        <w:t>time monitoring, reflecting the UK regulator's proactive approach to innovation (Thompsett, 2024). Fintechs use AI models to improve efficiency and minimise risks but are responsible for ensuring transparent and fair decisioning. The ICO guidance stresses the importance of avoiding biases and improving transparency, with fintechs expected to implement governance strategies that prioritise innovation while upholding ethical standards (Deliu and Moldovan, 2025). This approach illustrates how UK financial services use AI to achieve a competitive edge while remaining compliant through industry</w:t>
      </w:r>
      <w:r w:rsidRPr="009D1678">
        <w:rPr>
          <w:rFonts w:ascii="Times New Roman" w:hAnsi="Times New Roman" w:cs="Times New Roman"/>
          <w:sz w:val="24"/>
          <w:szCs w:val="24"/>
        </w:rPr>
        <w:noBreakHyphen/>
        <w:t>specific regulation.</w:t>
      </w:r>
    </w:p>
    <w:p w14:paraId="1AEA0166"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In comparison, European health services are subject to tighter regulation. The EU AI Act categorises AI systems used in diagnostic and clinical decision support as high</w:t>
      </w:r>
      <w:r w:rsidRPr="009D1678">
        <w:rPr>
          <w:rFonts w:ascii="Times New Roman" w:hAnsi="Times New Roman" w:cs="Times New Roman"/>
          <w:sz w:val="24"/>
          <w:szCs w:val="24"/>
        </w:rPr>
        <w:noBreakHyphen/>
        <w:t xml:space="preserve">risk, demanding thorough documentation, data management and human oversight (Council of the </w:t>
      </w:r>
      <w:r w:rsidRPr="009D1678">
        <w:rPr>
          <w:rFonts w:ascii="Times New Roman" w:hAnsi="Times New Roman" w:cs="Times New Roman"/>
          <w:sz w:val="24"/>
          <w:szCs w:val="24"/>
        </w:rPr>
        <w:lastRenderedPageBreak/>
        <w:t>EU, 2024). Examples show how healthcare facilities and research institutes must thoroughly document AI processes for safety and trustworthy patient care (Niemiec et al., 2025). While UK fintechs enjoy regulatory leniency, EU healthcare organisations face prescriptive regulatory requirements emphasising patient safety and human rights.</w:t>
      </w:r>
    </w:p>
    <w:p w14:paraId="1E44673F"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These examples demonstrate the need for sector-specific compliance approaches (financial services in the UK, healthcare in the EU) and highlight that multinational corporations need to align governance policies with sector-specific risks and regulatory requirements.</w:t>
      </w:r>
    </w:p>
    <w:p w14:paraId="41399069" w14:textId="301B56D3" w:rsidR="009D1678" w:rsidRPr="00740554" w:rsidRDefault="00740554" w:rsidP="00740554">
      <w:pPr>
        <w:pStyle w:val="Heading2"/>
        <w:rPr>
          <w:rFonts w:ascii="Times New Roman" w:hAnsi="Times New Roman" w:cs="Times New Roman"/>
          <w:b/>
          <w:bCs/>
          <w:color w:val="auto"/>
          <w:sz w:val="24"/>
          <w:szCs w:val="24"/>
        </w:rPr>
      </w:pPr>
      <w:bookmarkStart w:id="8" w:name="_Toc228010744"/>
      <w:r w:rsidRPr="00740554">
        <w:rPr>
          <w:rFonts w:ascii="Times New Roman" w:hAnsi="Times New Roman" w:cs="Times New Roman"/>
          <w:b/>
          <w:bCs/>
          <w:color w:val="auto"/>
          <w:sz w:val="24"/>
          <w:szCs w:val="24"/>
        </w:rPr>
        <w:t xml:space="preserve">2.2 </w:t>
      </w:r>
      <w:r w:rsidR="009D1678" w:rsidRPr="00740554">
        <w:rPr>
          <w:rFonts w:ascii="Times New Roman" w:hAnsi="Times New Roman" w:cs="Times New Roman"/>
          <w:b/>
          <w:bCs/>
          <w:color w:val="auto"/>
          <w:sz w:val="24"/>
          <w:szCs w:val="24"/>
        </w:rPr>
        <w:t>Political, Technological, and Regulatory Change</w:t>
      </w:r>
      <w:bookmarkEnd w:id="8"/>
    </w:p>
    <w:p w14:paraId="2021FBFB" w14:textId="77777777" w:rsidR="004F5E21"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 xml:space="preserve">The European Union and the United Kingdom have taken different approaches to the regulation of emerging technologies, such as AI. The United Kingdom has taken a pro-innovation approach to AI regulation, as described in its AI Regulation White Paper (2023). The country has decided against creating a dedicated AI Act, and, instead, the regulators will be in charge of creating specific regulations for each sector of the United Kingdom’s economy (FRANKI T, 2026). This approach allows for the same flexibility that the United Kingdom has taken in its decisions regarding the EU single market and trade, as it enables the country to deviate from the EU’s regulations (Wright, 2022). </w:t>
      </w:r>
    </w:p>
    <w:p w14:paraId="5865F2A5" w14:textId="644758AE"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In contrast, the European Union has chosen to create the AI Act (2024/1689), the world’s first stand-alone AI act, which will create a common set of regulations for all member countries within the EU (Smuha, 2025). The motivations for these differing approaches originate from the different strategies pursued by the two countries after Brexit. The United Kingdom aims to attract investments into the country by reducing the amount of red tape for foreign companies that invest in the UK. In contrast, the EU aims to create common standards and regulations throughout the continent, similar to the standards created by the GDPR.</w:t>
      </w:r>
    </w:p>
    <w:p w14:paraId="5A1A905D"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 xml:space="preserve">Artificial intelligence is contributing to the United Kingdom’s economy to the tune of billions of dollars, with projections that the country’s AI industry will reach $1 trillion in value by 2035 (Smuha, 2025). The country values innovation and has placed regulators specific to each of the sectors within the country. These regulators will create the specific principles that will apply to each of the sectors (Chiu, 2023). The drawback of this regulation is that the country may struggle with creating consistent regulations for all of the different sectors. The European Union has instead created a regulation that covers all aspects of AI, from data to governance (Zhao, 2023). Concerning both regions of Europe, there are similar </w:t>
      </w:r>
      <w:r w:rsidRPr="009D1678">
        <w:rPr>
          <w:rFonts w:ascii="Times New Roman" w:hAnsi="Times New Roman" w:cs="Times New Roman"/>
          <w:sz w:val="24"/>
          <w:szCs w:val="24"/>
        </w:rPr>
        <w:lastRenderedPageBreak/>
        <w:t>risks regarding the data and the cybersecurity of their AI applications. Both regions recognise the risk of data breaches, as well as other cybersecurity issues with their artificial intelligence systems (Basu, 2024). These technological advancements have contributed to the information and cyber risks of these companies. The speed of the technological innovations within these two regions means that the companies must adapt to these regulations and invest in their AI systems to limit any risks to their reputation or business. Thus, Unilever will need to regulate its use of AI in both its supply chain and marketing to comply with the technological regulatory frameworks established in the United Kingdom and the European Union.</w:t>
      </w:r>
    </w:p>
    <w:p w14:paraId="48211341"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According to the European AI Act, AI applications are divided into four categories according to the risk posed to the individual and society resulting from such developments. Systems posing an unacceptable risk to those categories are prohibited from existing within the EU. High-risk systems will be subject to stringent regulations, limited-risk systems will be required to be transparent in their operations and data use, and minimal-risk systems will not require any regulations to be established for their operation (Council of the EU, 2024). Violations of these regulations will result in fines of up to 7% of an organisation's annual turnover or €35 million (Klaw, 2025). These regulations are an extension of the GDPR, aiming to provide a common standard of data security and privacy throughout the EU. The United Kingdom, according to the UK AI Regulation White Paper, will have sector-specific regulators who will establish five principles that will apply to the different sectors in the country: safety, transparency, fairness, accountability, and contestability (FRANKI T, 2026). These principles will reduce the regulatory costs for different sectors of the economy. However, the UK government may struggle to effectively enforce these regulations.</w:t>
      </w:r>
    </w:p>
    <w:p w14:paraId="37EC8BCA"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risk of litigation will be higher for the companies in the European Union as a result of its approach to AI and data security, as the regulations will ensure that any violations of the AI Act will be met with penalties. In contrast, the United Kingdom’s less rigorous regulations will expose the companies to reputational risks if the sectoral regulations are not adequately established (Guinea et al., 2025). The cost of complying with the European AI Act will be higher than that of the United Kingdom. This is due to the increased documentation, monitoring, and auditing requirements of the EU’s act in comparison to the United Kingdom’s principles (English, Hammond and Yeung, 2016). The costs of complying with the European AI Act and the United Kingdom’s AI regulations will be lower for the multinationals, but the latter will have to implement governance regulations for each sector to minimise reputational risks. Any failure on the part of the companies to be transparent in their use of AI will result in reputational risks for the companies with their customers (Igwe-</w:t>
      </w:r>
      <w:r w:rsidRPr="009D1678">
        <w:rPr>
          <w:rFonts w:ascii="Times New Roman" w:hAnsi="Times New Roman" w:cs="Times New Roman"/>
          <w:sz w:val="24"/>
          <w:szCs w:val="24"/>
        </w:rPr>
        <w:lastRenderedPageBreak/>
        <w:t>Nmaju and Anadozie, 2022). Thus, the multinationals will have to implement a two-pronged strategy to minimise the risks to their organisations and maximise the benefits that their use of AI can provide to their supply chains and customers.</w:t>
      </w:r>
    </w:p>
    <w:p w14:paraId="08BBA2CC" w14:textId="11FFB1E4" w:rsidR="009D1678" w:rsidRPr="00740554" w:rsidRDefault="00740554" w:rsidP="00740554">
      <w:pPr>
        <w:pStyle w:val="Heading2"/>
        <w:rPr>
          <w:rFonts w:ascii="Times New Roman" w:hAnsi="Times New Roman" w:cs="Times New Roman"/>
          <w:b/>
          <w:bCs/>
          <w:color w:val="auto"/>
          <w:sz w:val="24"/>
          <w:szCs w:val="24"/>
        </w:rPr>
      </w:pPr>
      <w:bookmarkStart w:id="9" w:name="_Toc228010745"/>
      <w:r w:rsidRPr="00740554">
        <w:rPr>
          <w:rFonts w:ascii="Times New Roman" w:hAnsi="Times New Roman" w:cs="Times New Roman"/>
          <w:b/>
          <w:bCs/>
          <w:color w:val="auto"/>
          <w:sz w:val="24"/>
          <w:szCs w:val="24"/>
        </w:rPr>
        <w:t xml:space="preserve">2.3 </w:t>
      </w:r>
      <w:r w:rsidR="009D1678" w:rsidRPr="00740554">
        <w:rPr>
          <w:rFonts w:ascii="Times New Roman" w:hAnsi="Times New Roman" w:cs="Times New Roman"/>
          <w:b/>
          <w:bCs/>
          <w:color w:val="auto"/>
          <w:sz w:val="24"/>
          <w:szCs w:val="24"/>
        </w:rPr>
        <w:t>Macroeconomic Policy and International Economic Environment</w:t>
      </w:r>
      <w:bookmarkEnd w:id="9"/>
    </w:p>
    <w:p w14:paraId="21611A7E"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UK economy is moving from a period of high inflation towards a more stable phase of the business cycle. According to the Office for Budget Responsibility’s report in March 2026, inflation in the UK had slowed to 3.4% in December 2025 and was projected to reach the government’s inflation target of 2% by the midpoint of 2026. The Bank of England had also reduced the Bank Rate from the highs of over 5% that existed in 2024, with the rate standing at 3.75% as of March 2026 (Bank of England, 2026). The Bank of England’s actions were taken to find a balance between controlling inflation and maintaining economic activity, as inflation for wages and services was remaining high.</w:t>
      </w:r>
    </w:p>
    <w:p w14:paraId="254217F6"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government has also begun to implement austerity measures following the release of the November 2025 budget (Heald and Hodges, 2020). The government debt in the UK is currently at high levels; however, the government is undertaking fiscal consolidation as a means of signalling its financial health to domestic and international financial markets. For businesses, signals from the government are mixed. On the one hand, the reduced inflation and interest rates are positively impacting business decisions to invest in technologies like AI. On the other hand, the fiscal consolidation initiatives may continue to negatively impact procurement of goods and services from the government. For Unilever, specifically, the reduction in interest rates will make it cheaper for the company to finance its investments in AI technologies within its supply chain; however, fiscal consolidation may create some difficulties in increasing domestic purchasing of Unilever products.</w:t>
      </w:r>
    </w:p>
    <w:p w14:paraId="739DF714" w14:textId="5D0DF80C" w:rsidR="009D1678" w:rsidRPr="009D1678" w:rsidRDefault="009D1678" w:rsidP="009D1678">
      <w:pPr>
        <w:spacing w:after="0" w:line="360" w:lineRule="auto"/>
        <w:ind w:firstLine="720"/>
        <w:rPr>
          <w:rFonts w:ascii="Times New Roman" w:hAnsi="Times New Roman" w:cs="Times New Roman"/>
          <w:sz w:val="24"/>
          <w:szCs w:val="24"/>
        </w:rPr>
      </w:pPr>
    </w:p>
    <w:p w14:paraId="5F269696" w14:textId="77777777" w:rsidR="00740554" w:rsidRPr="00740554" w:rsidRDefault="00740554" w:rsidP="00740554">
      <w:pPr>
        <w:pStyle w:val="Heading3"/>
        <w:rPr>
          <w:rFonts w:ascii="Times New Roman" w:hAnsi="Times New Roman" w:cs="Times New Roman"/>
          <w:b/>
          <w:bCs/>
          <w:color w:val="auto"/>
          <w:sz w:val="24"/>
          <w:szCs w:val="24"/>
        </w:rPr>
      </w:pPr>
      <w:bookmarkStart w:id="10" w:name="_Toc228010746"/>
      <w:r w:rsidRPr="00740554">
        <w:rPr>
          <w:rFonts w:ascii="Times New Roman" w:hAnsi="Times New Roman" w:cs="Times New Roman"/>
          <w:b/>
          <w:bCs/>
          <w:color w:val="auto"/>
          <w:sz w:val="24"/>
          <w:szCs w:val="24"/>
        </w:rPr>
        <w:t xml:space="preserve">2.3.1 </w:t>
      </w:r>
      <w:r w:rsidR="009D1678" w:rsidRPr="00740554">
        <w:rPr>
          <w:rFonts w:ascii="Times New Roman" w:hAnsi="Times New Roman" w:cs="Times New Roman"/>
          <w:b/>
          <w:bCs/>
          <w:color w:val="auto"/>
          <w:sz w:val="24"/>
          <w:szCs w:val="24"/>
        </w:rPr>
        <w:t>EU Macroeconomic Conditions</w:t>
      </w:r>
      <w:bookmarkEnd w:id="10"/>
    </w:p>
    <w:p w14:paraId="7F5B3D10" w14:textId="776E57AE" w:rsidR="009D1678" w:rsidRPr="009D1678" w:rsidRDefault="009D1678" w:rsidP="00740554">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macroeconomic policies of the European Union differ from those of the United Kingdom mainly in that the European Central Bank implements more conservative monetary policies than the UK’s. For instance, the ECB has maintained interest rates at a level that ensures that inflation within the EU converges to its inflation target of 2% (European Central Bank, 2026). The ECB makes adjustments to monetary policy less frequently than the UK’s Bank of England to ensure that inflation remains consistent across all member states of the EU.</w:t>
      </w:r>
    </w:p>
    <w:p w14:paraId="6A42953B"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lastRenderedPageBreak/>
        <w:t>Another way in which the EU has ensured its economic stability is through its trade policy. The European Union continues to outcompete other trading partners through its various trade initiatives, such as its focus on digital and AI-related trade standards (European Commission, 2025). Furthermore, the EU incentivises AI-related research through initiatives like the Digital Europe Programme and Horizon Europe (VASILESCU, 2025). Companies are incentivised to take the high-risk path to invest in AI technologies in areas like healthcare or manufacturing (European Commission, 2025). These initiatives create both opportunities and challenges for multinational companies. While the EU offers various incentives for companies to invest in AI technologies, the regulatory demands of the EU add to the challenges of operating within the EU. For Unilever, which has several European facilities, such as food innovation centres in Rotterdam and ice cream facilities in Heilbronn, Horizon Europe programmes can be used to finance AI research initiatives. However, the company must also comply with the regulations of the European Union.</w:t>
      </w:r>
    </w:p>
    <w:p w14:paraId="1763F38B" w14:textId="6F3C0481" w:rsidR="009D1678" w:rsidRPr="00740554" w:rsidRDefault="00740554" w:rsidP="00740554">
      <w:pPr>
        <w:pStyle w:val="Heading3"/>
        <w:rPr>
          <w:rFonts w:ascii="Times New Roman" w:hAnsi="Times New Roman" w:cs="Times New Roman"/>
          <w:b/>
          <w:bCs/>
          <w:color w:val="auto"/>
          <w:sz w:val="24"/>
          <w:szCs w:val="24"/>
        </w:rPr>
      </w:pPr>
      <w:bookmarkStart w:id="11" w:name="_Toc228010747"/>
      <w:r w:rsidRPr="00740554">
        <w:rPr>
          <w:rFonts w:ascii="Times New Roman" w:hAnsi="Times New Roman" w:cs="Times New Roman"/>
          <w:b/>
          <w:bCs/>
          <w:color w:val="auto"/>
          <w:sz w:val="24"/>
          <w:szCs w:val="24"/>
        </w:rPr>
        <w:t xml:space="preserve">2.3.2 </w:t>
      </w:r>
      <w:r w:rsidR="009D1678" w:rsidRPr="00740554">
        <w:rPr>
          <w:rFonts w:ascii="Times New Roman" w:hAnsi="Times New Roman" w:cs="Times New Roman"/>
          <w:b/>
          <w:bCs/>
          <w:color w:val="auto"/>
          <w:sz w:val="24"/>
          <w:szCs w:val="24"/>
        </w:rPr>
        <w:t>Comparative Analysis: UK Flexibility vs EU Stability</w:t>
      </w:r>
      <w:bookmarkEnd w:id="11"/>
    </w:p>
    <w:p w14:paraId="7082DFAE"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UK’s economy is much more flexible than the EU. The regulatory environment in the UK encourages rapid experimentation with AI, with low costs of compliance and an experimental approach to regulating the AI services and fintech companies. In contrast, the EU offers stability through its regulation, but companies face higher costs of compliance and slower innovation cycles.</w:t>
      </w:r>
    </w:p>
    <w:p w14:paraId="67CBFB49"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Unilever will have to find a balance between the flexibility of the UK market and the need for EU companies to be stable and resilient over the long term. The company will need to adopt different approaches to AI in each of its markets according to the conditions of each economy. In the UK, Unilever will benefit from the macroeconomic flexibility that encourages rapid innovation in AI applications. However, it will also need to institute strong safeguards against reputational risks from the use of AI within its operations.</w:t>
      </w:r>
    </w:p>
    <w:p w14:paraId="17742113"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EU offers stability in its macroeconomic policies and encourages AI adoption over the long term, particularly in high-risk sectors (Videgaray, Aghion and Caputo, 2024). Although the costs of compliance are higher, Unilever will benefit from the regulatory environment of the EU. While the risk appetite of the companies in the EU will be somewhat limited by their regulatory environment, they will be more competitive in the single market that the EU has created for its companies.</w:t>
      </w:r>
    </w:p>
    <w:p w14:paraId="5D258B8D"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 xml:space="preserve">In the EU market, Unilever can afford to take a more structured and compliance-intensive approach to AI applications in its operations. It can adopt a strategy that is more </w:t>
      </w:r>
      <w:r w:rsidRPr="009D1678">
        <w:rPr>
          <w:rFonts w:ascii="Times New Roman" w:hAnsi="Times New Roman" w:cs="Times New Roman"/>
          <w:sz w:val="24"/>
          <w:szCs w:val="24"/>
        </w:rPr>
        <w:lastRenderedPageBreak/>
        <w:t>deliberate than in its UK market, where it can adopt a lighter-touch approach to AI implementation.</w:t>
      </w:r>
    </w:p>
    <w:p w14:paraId="04677C2A"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Multinationals will have to adopt different AI risk management strategies in the UK and the EU markets. They will need to take into account the costs of compliance with data and AI regulations, reputational risks of using AI in their operations, and the level of competitiveness that they can achieve in each of these markets.</w:t>
      </w:r>
    </w:p>
    <w:p w14:paraId="111305DE" w14:textId="28595FCF" w:rsidR="009D1678" w:rsidRPr="00740554" w:rsidRDefault="00740554" w:rsidP="00740554">
      <w:pPr>
        <w:pStyle w:val="Heading2"/>
        <w:rPr>
          <w:rFonts w:ascii="Times New Roman" w:hAnsi="Times New Roman" w:cs="Times New Roman"/>
          <w:b/>
          <w:bCs/>
          <w:color w:val="auto"/>
          <w:sz w:val="24"/>
          <w:szCs w:val="24"/>
        </w:rPr>
      </w:pPr>
      <w:bookmarkStart w:id="12" w:name="_Toc228010748"/>
      <w:r w:rsidRPr="00740554">
        <w:rPr>
          <w:rFonts w:ascii="Times New Roman" w:hAnsi="Times New Roman" w:cs="Times New Roman"/>
          <w:b/>
          <w:bCs/>
          <w:color w:val="auto"/>
          <w:sz w:val="24"/>
          <w:szCs w:val="24"/>
        </w:rPr>
        <w:t xml:space="preserve">2.4 </w:t>
      </w:r>
      <w:r w:rsidR="009D1678" w:rsidRPr="00740554">
        <w:rPr>
          <w:rFonts w:ascii="Times New Roman" w:hAnsi="Times New Roman" w:cs="Times New Roman"/>
          <w:b/>
          <w:bCs/>
          <w:color w:val="auto"/>
          <w:sz w:val="24"/>
          <w:szCs w:val="24"/>
        </w:rPr>
        <w:t>Recommendations</w:t>
      </w:r>
      <w:bookmarkEnd w:id="12"/>
    </w:p>
    <w:p w14:paraId="21D4C861"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The first priority for Unilever is to establish ethical AI governance in the company’s frameworks. A charter governing the use of AI within Unilever will ensure that ethical principles are applied to all AI initiatives the company undertakes (Ahmed, Gul and Shahzad, 2025). The charter will apply equally to all 150,000 employees working in the company’s UK and EU locations. Compliance audits will ensure that all locations adhere to the data protection regulations of the UK and EU. Furthermore, Unilever will publish an annual report detailing the use of AI in the company. This will be published in the same manner as Unilever’s sustainability reports. Finally, to increase the trust that consumers place in Unilever’s brands, such as Dove, Persil, and Ben &amp; Jerry's, the company will implement strategies to engage with its customers to explain its AI implementations (McCormack et al., 2025).</w:t>
      </w:r>
    </w:p>
    <w:p w14:paraId="7B17E396"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Unilever also has a second priority of adopting compliance frameworks to align the company’s operations between the UK and the EU. The company will create a compliance framework for the documentation of EU AI Act regulations that will apply to all locations of the business. Furthermore, lobbying efforts will be made with both the ICO and the European Commission to ensure that the regulations governing Unilever’s AI applications to consumers are minimised. Through the associations that Unilever has within the industry, the company will be able to influence the EU AI Act to better align with the regulations of Unilever’s fast-moving consumer goods products. Scenario planning can be used to both anticipate future regulations on AI in fast-moving consumer goods industries such as the EU AI Act and to anticipate any litigation that the company may face. These efforts will enable Unilever to manage the political and regulatory environments in which it operates to ensure competitiveness relative to companies like Procter &amp; Gamble and Nestlé.</w:t>
      </w:r>
    </w:p>
    <w:p w14:paraId="5E82F417" w14:textId="77777777" w:rsidR="009D1678" w:rsidRPr="009D1678" w:rsidRDefault="009D1678" w:rsidP="009D1678">
      <w:pPr>
        <w:spacing w:after="0" w:line="360" w:lineRule="auto"/>
        <w:ind w:firstLine="720"/>
        <w:rPr>
          <w:rFonts w:ascii="Times New Roman" w:hAnsi="Times New Roman" w:cs="Times New Roman"/>
          <w:sz w:val="24"/>
          <w:szCs w:val="24"/>
        </w:rPr>
      </w:pPr>
      <w:r w:rsidRPr="009D1678">
        <w:rPr>
          <w:rFonts w:ascii="Times New Roman" w:hAnsi="Times New Roman" w:cs="Times New Roman"/>
          <w:sz w:val="24"/>
          <w:szCs w:val="24"/>
        </w:rPr>
        <w:t xml:space="preserve">Unilever also has a third priority of integrating financial and risk management strategies into its AI plans for the company. Through hedging the company can protect itself against currency and interest rate fluctuations that may impact the cost of its investments in </w:t>
      </w:r>
      <w:r w:rsidRPr="009D1678">
        <w:rPr>
          <w:rFonts w:ascii="Times New Roman" w:hAnsi="Times New Roman" w:cs="Times New Roman"/>
          <w:sz w:val="24"/>
          <w:szCs w:val="24"/>
        </w:rPr>
        <w:lastRenderedPageBreak/>
        <w:t>AI technologies. Furthermore, diversification of investments in AI technologies within the UK and the EU will allow the company to minimise the risks that it faces from regulatory changes in either region. For instance, the UK can implement AI innovations in marketing rapidly, while Unilever can compete for funding within the EU’s Horizon Europe funding for sustainable agriculture AI innovations (Heald and Hodges, 2020). The company’s risk management frameworks will allow it to take risks in the implementation of AI in its UK locations but will have zero tolerance for noncompliance with the EU AI Act in recruitment and workforce management AI, as these are classified as high risks.</w:t>
      </w:r>
    </w:p>
    <w:p w14:paraId="059E8ABE" w14:textId="7F5F1112" w:rsidR="004F5E21" w:rsidRPr="00740554" w:rsidRDefault="00740554" w:rsidP="00740554">
      <w:pPr>
        <w:pStyle w:val="Heading2"/>
        <w:rPr>
          <w:rFonts w:ascii="Times New Roman" w:hAnsi="Times New Roman" w:cs="Times New Roman"/>
          <w:b/>
          <w:bCs/>
          <w:color w:val="auto"/>
          <w:sz w:val="24"/>
          <w:szCs w:val="24"/>
        </w:rPr>
      </w:pPr>
      <w:bookmarkStart w:id="13" w:name="_Toc228010749"/>
      <w:r w:rsidRPr="00740554">
        <w:rPr>
          <w:rFonts w:ascii="Times New Roman" w:hAnsi="Times New Roman" w:cs="Times New Roman"/>
          <w:b/>
          <w:bCs/>
          <w:color w:val="auto"/>
          <w:sz w:val="24"/>
          <w:szCs w:val="24"/>
        </w:rPr>
        <w:t>2.5 Implementation Plan</w:t>
      </w:r>
      <w:bookmarkEnd w:id="13"/>
    </w:p>
    <w:p w14:paraId="7C084D8E" w14:textId="3F387E9D" w:rsidR="004F5E21" w:rsidRPr="004F5E21" w:rsidRDefault="004F5E21" w:rsidP="004F5E21">
      <w:pPr>
        <w:spacing w:after="0" w:line="360" w:lineRule="auto"/>
        <w:rPr>
          <w:rFonts w:ascii="Times New Roman" w:hAnsi="Times New Roman" w:cs="Times New Roman"/>
          <w:b/>
          <w:bCs/>
          <w:sz w:val="24"/>
          <w:szCs w:val="24"/>
        </w:rPr>
      </w:pPr>
      <w:r w:rsidRPr="004F5E21">
        <w:rPr>
          <w:rFonts w:ascii="Times New Roman" w:hAnsi="Times New Roman" w:cs="Times New Roman"/>
          <w:b/>
          <w:bCs/>
          <w:sz w:val="24"/>
          <w:szCs w:val="24"/>
        </w:rPr>
        <w:t xml:space="preserve"> </w:t>
      </w:r>
    </w:p>
    <w:p w14:paraId="0DB94B7C" w14:textId="77777777" w:rsidR="004F5E21" w:rsidRPr="009D1678" w:rsidRDefault="004F5E21" w:rsidP="004F5E21">
      <w:pPr>
        <w:spacing w:after="0" w:line="360" w:lineRule="auto"/>
        <w:rPr>
          <w:rFonts w:ascii="Times New Roman" w:hAnsi="Times New Roman" w:cs="Times New Roman"/>
          <w:sz w:val="24"/>
          <w:szCs w:val="24"/>
        </w:rPr>
      </w:pPr>
    </w:p>
    <w:tbl>
      <w:tblPr>
        <w:tblStyle w:val="TableGrid"/>
        <w:tblpPr w:leftFromText="180" w:rightFromText="180" w:vertAnchor="page" w:horzAnchor="margin" w:tblpY="2261"/>
        <w:tblW w:w="0" w:type="auto"/>
        <w:tblLook w:val="04A0" w:firstRow="1" w:lastRow="0" w:firstColumn="1" w:lastColumn="0" w:noHBand="0" w:noVBand="1"/>
      </w:tblPr>
      <w:tblGrid>
        <w:gridCol w:w="928"/>
        <w:gridCol w:w="1057"/>
        <w:gridCol w:w="2477"/>
        <w:gridCol w:w="1483"/>
        <w:gridCol w:w="1807"/>
        <w:gridCol w:w="1264"/>
      </w:tblGrid>
      <w:tr w:rsidR="00740554" w:rsidRPr="004F5E21" w14:paraId="4BB56382" w14:textId="77777777" w:rsidTr="00740554">
        <w:trPr>
          <w:trHeight w:val="290"/>
        </w:trPr>
        <w:tc>
          <w:tcPr>
            <w:tcW w:w="950" w:type="dxa"/>
            <w:noWrap/>
            <w:hideMark/>
          </w:tcPr>
          <w:p w14:paraId="1DC41796"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lastRenderedPageBreak/>
              <w:t>Phase</w:t>
            </w:r>
          </w:p>
        </w:tc>
        <w:tc>
          <w:tcPr>
            <w:tcW w:w="1041" w:type="dxa"/>
            <w:noWrap/>
            <w:hideMark/>
          </w:tcPr>
          <w:p w14:paraId="06C9902A"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Timeline</w:t>
            </w:r>
          </w:p>
        </w:tc>
        <w:tc>
          <w:tcPr>
            <w:tcW w:w="2546" w:type="dxa"/>
            <w:noWrap/>
            <w:hideMark/>
          </w:tcPr>
          <w:p w14:paraId="7DAC5759"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Priority Action</w:t>
            </w:r>
          </w:p>
        </w:tc>
        <w:tc>
          <w:tcPr>
            <w:tcW w:w="1459" w:type="dxa"/>
            <w:noWrap/>
            <w:hideMark/>
          </w:tcPr>
          <w:p w14:paraId="579FE518"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Key Deliverable</w:t>
            </w:r>
          </w:p>
        </w:tc>
        <w:tc>
          <w:tcPr>
            <w:tcW w:w="1776" w:type="dxa"/>
            <w:noWrap/>
            <w:hideMark/>
          </w:tcPr>
          <w:p w14:paraId="2C24BBFC"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Responsible</w:t>
            </w:r>
          </w:p>
        </w:tc>
        <w:tc>
          <w:tcPr>
            <w:tcW w:w="1244" w:type="dxa"/>
            <w:noWrap/>
            <w:hideMark/>
          </w:tcPr>
          <w:p w14:paraId="184C8C77"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Cost</w:t>
            </w:r>
          </w:p>
        </w:tc>
      </w:tr>
      <w:tr w:rsidR="00740554" w:rsidRPr="004F5E21" w14:paraId="306A7C7C" w14:textId="77777777" w:rsidTr="00740554">
        <w:trPr>
          <w:trHeight w:val="290"/>
        </w:trPr>
        <w:tc>
          <w:tcPr>
            <w:tcW w:w="950" w:type="dxa"/>
            <w:noWrap/>
            <w:hideMark/>
          </w:tcPr>
          <w:p w14:paraId="08B74780"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1</w:t>
            </w:r>
          </w:p>
        </w:tc>
        <w:tc>
          <w:tcPr>
            <w:tcW w:w="1041" w:type="dxa"/>
            <w:noWrap/>
            <w:hideMark/>
          </w:tcPr>
          <w:p w14:paraId="7A3EA1BC"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Months 0–3</w:t>
            </w:r>
          </w:p>
        </w:tc>
        <w:tc>
          <w:tcPr>
            <w:tcW w:w="2546" w:type="dxa"/>
            <w:noWrap/>
            <w:hideMark/>
          </w:tcPr>
          <w:p w14:paraId="4FCF97E4"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Set up governance: create AI Charter, hire AI Ethics Officer, list all AI systems by risk level</w:t>
            </w:r>
          </w:p>
        </w:tc>
        <w:tc>
          <w:tcPr>
            <w:tcW w:w="1459" w:type="dxa"/>
            <w:noWrap/>
            <w:hideMark/>
          </w:tcPr>
          <w:p w14:paraId="6A02E390"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Charter approved; inventory done</w:t>
            </w:r>
          </w:p>
        </w:tc>
        <w:tc>
          <w:tcPr>
            <w:tcW w:w="1776" w:type="dxa"/>
            <w:noWrap/>
            <w:hideMark/>
          </w:tcPr>
          <w:p w14:paraId="0BE0EE12"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Board, CTO</w:t>
            </w:r>
          </w:p>
        </w:tc>
        <w:tc>
          <w:tcPr>
            <w:tcW w:w="1244" w:type="dxa"/>
            <w:noWrap/>
            <w:hideMark/>
          </w:tcPr>
          <w:p w14:paraId="4F19EB73"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£200k</w:t>
            </w:r>
          </w:p>
        </w:tc>
      </w:tr>
      <w:tr w:rsidR="00740554" w:rsidRPr="004F5E21" w14:paraId="0C529461" w14:textId="77777777" w:rsidTr="00740554">
        <w:trPr>
          <w:trHeight w:val="290"/>
        </w:trPr>
        <w:tc>
          <w:tcPr>
            <w:tcW w:w="950" w:type="dxa"/>
            <w:noWrap/>
            <w:hideMark/>
          </w:tcPr>
          <w:p w14:paraId="0036757F"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2</w:t>
            </w:r>
          </w:p>
        </w:tc>
        <w:tc>
          <w:tcPr>
            <w:tcW w:w="1041" w:type="dxa"/>
            <w:noWrap/>
            <w:hideMark/>
          </w:tcPr>
          <w:p w14:paraId="44463173"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Months 3–6</w:t>
            </w:r>
          </w:p>
        </w:tc>
        <w:tc>
          <w:tcPr>
            <w:tcW w:w="2546" w:type="dxa"/>
            <w:noWrap/>
            <w:hideMark/>
          </w:tcPr>
          <w:p w14:paraId="53E3D7FA"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Meet UK ICO rules: check marketing and supply chain AI, fix consent for ads (Dove, Persil), add bias tools for hiring</w:t>
            </w:r>
          </w:p>
        </w:tc>
        <w:tc>
          <w:tcPr>
            <w:tcW w:w="1459" w:type="dxa"/>
            <w:noWrap/>
            <w:hideMark/>
          </w:tcPr>
          <w:p w14:paraId="66E179D2"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ICO readiness report</w:t>
            </w:r>
          </w:p>
        </w:tc>
        <w:tc>
          <w:tcPr>
            <w:tcW w:w="1776" w:type="dxa"/>
            <w:noWrap/>
            <w:hideMark/>
          </w:tcPr>
          <w:p w14:paraId="730B4B9F"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UK Legal Head</w:t>
            </w:r>
          </w:p>
        </w:tc>
        <w:tc>
          <w:tcPr>
            <w:tcW w:w="1244" w:type="dxa"/>
            <w:noWrap/>
            <w:hideMark/>
          </w:tcPr>
          <w:p w14:paraId="136106E7"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£300k</w:t>
            </w:r>
          </w:p>
        </w:tc>
      </w:tr>
      <w:tr w:rsidR="00740554" w:rsidRPr="004F5E21" w14:paraId="4AA9EE29" w14:textId="77777777" w:rsidTr="00740554">
        <w:trPr>
          <w:trHeight w:val="290"/>
        </w:trPr>
        <w:tc>
          <w:tcPr>
            <w:tcW w:w="950" w:type="dxa"/>
            <w:noWrap/>
            <w:hideMark/>
          </w:tcPr>
          <w:p w14:paraId="5712F327"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3</w:t>
            </w:r>
          </w:p>
        </w:tc>
        <w:tc>
          <w:tcPr>
            <w:tcW w:w="1041" w:type="dxa"/>
            <w:noWrap/>
            <w:hideMark/>
          </w:tcPr>
          <w:p w14:paraId="0D06F590"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Months 3–9</w:t>
            </w:r>
          </w:p>
        </w:tc>
        <w:tc>
          <w:tcPr>
            <w:tcW w:w="2546" w:type="dxa"/>
            <w:noWrap/>
            <w:hideMark/>
          </w:tcPr>
          <w:p w14:paraId="5F075959"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Meet EU AI Act: set up Rotterdam hub for high-risk AI (hiring, staff tools), register systems with authorities</w:t>
            </w:r>
          </w:p>
        </w:tc>
        <w:tc>
          <w:tcPr>
            <w:tcW w:w="1459" w:type="dxa"/>
            <w:noWrap/>
            <w:hideMark/>
          </w:tcPr>
          <w:p w14:paraId="37FB8279"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EU compliance dossier</w:t>
            </w:r>
          </w:p>
        </w:tc>
        <w:tc>
          <w:tcPr>
            <w:tcW w:w="1776" w:type="dxa"/>
            <w:noWrap/>
            <w:hideMark/>
          </w:tcPr>
          <w:p w14:paraId="46C93F50"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EU Compliance Director</w:t>
            </w:r>
          </w:p>
        </w:tc>
        <w:tc>
          <w:tcPr>
            <w:tcW w:w="1244" w:type="dxa"/>
            <w:noWrap/>
            <w:hideMark/>
          </w:tcPr>
          <w:p w14:paraId="318EB45C"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£500k</w:t>
            </w:r>
          </w:p>
        </w:tc>
      </w:tr>
      <w:tr w:rsidR="00740554" w:rsidRPr="004F5E21" w14:paraId="7EEBAC54" w14:textId="77777777" w:rsidTr="00740554">
        <w:trPr>
          <w:trHeight w:val="290"/>
        </w:trPr>
        <w:tc>
          <w:tcPr>
            <w:tcW w:w="950" w:type="dxa"/>
            <w:noWrap/>
            <w:hideMark/>
          </w:tcPr>
          <w:p w14:paraId="74227255"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4</w:t>
            </w:r>
          </w:p>
        </w:tc>
        <w:tc>
          <w:tcPr>
            <w:tcW w:w="1041" w:type="dxa"/>
            <w:noWrap/>
            <w:hideMark/>
          </w:tcPr>
          <w:p w14:paraId="6889261B"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Months 6–12</w:t>
            </w:r>
          </w:p>
        </w:tc>
        <w:tc>
          <w:tcPr>
            <w:tcW w:w="2546" w:type="dxa"/>
            <w:noWrap/>
            <w:hideMark/>
          </w:tcPr>
          <w:p w14:paraId="7087C421"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Build customer trust: publish AI Transparency Report, get trust seals for Ben &amp; Jerry's and Hellmann's, launch explainability tool</w:t>
            </w:r>
          </w:p>
        </w:tc>
        <w:tc>
          <w:tcPr>
            <w:tcW w:w="1459" w:type="dxa"/>
            <w:noWrap/>
            <w:hideMark/>
          </w:tcPr>
          <w:p w14:paraId="237C1C87"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Transparency report; three brands certified</w:t>
            </w:r>
          </w:p>
        </w:tc>
        <w:tc>
          <w:tcPr>
            <w:tcW w:w="1776" w:type="dxa"/>
            <w:noWrap/>
            <w:hideMark/>
          </w:tcPr>
          <w:p w14:paraId="6B5F284E"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Chief Communications Officer</w:t>
            </w:r>
          </w:p>
        </w:tc>
        <w:tc>
          <w:tcPr>
            <w:tcW w:w="1244" w:type="dxa"/>
            <w:noWrap/>
            <w:hideMark/>
          </w:tcPr>
          <w:p w14:paraId="3C9A1A31"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£250k</w:t>
            </w:r>
          </w:p>
        </w:tc>
      </w:tr>
      <w:tr w:rsidR="00740554" w:rsidRPr="004F5E21" w14:paraId="12F180A5" w14:textId="77777777" w:rsidTr="00740554">
        <w:trPr>
          <w:trHeight w:val="290"/>
        </w:trPr>
        <w:tc>
          <w:tcPr>
            <w:tcW w:w="950" w:type="dxa"/>
            <w:noWrap/>
            <w:hideMark/>
          </w:tcPr>
          <w:p w14:paraId="323F0D40"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5</w:t>
            </w:r>
          </w:p>
        </w:tc>
        <w:tc>
          <w:tcPr>
            <w:tcW w:w="1041" w:type="dxa"/>
            <w:noWrap/>
            <w:hideMark/>
          </w:tcPr>
          <w:p w14:paraId="37EC181B"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Months 12–18</w:t>
            </w:r>
          </w:p>
        </w:tc>
        <w:tc>
          <w:tcPr>
            <w:tcW w:w="2546" w:type="dxa"/>
            <w:noWrap/>
            <w:hideMark/>
          </w:tcPr>
          <w:p w14:paraId="7765A510"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Join UK and EU systems into one flexible framework, train all data and HR staff, add AI risk to main risk system</w:t>
            </w:r>
          </w:p>
        </w:tc>
        <w:tc>
          <w:tcPr>
            <w:tcW w:w="1459" w:type="dxa"/>
            <w:noWrap/>
            <w:hideMark/>
          </w:tcPr>
          <w:p w14:paraId="117A4E2D"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Unified risk register</w:t>
            </w:r>
          </w:p>
        </w:tc>
        <w:tc>
          <w:tcPr>
            <w:tcW w:w="1776" w:type="dxa"/>
            <w:noWrap/>
            <w:hideMark/>
          </w:tcPr>
          <w:p w14:paraId="1C15D576"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Chief Risk Officer</w:t>
            </w:r>
          </w:p>
        </w:tc>
        <w:tc>
          <w:tcPr>
            <w:tcW w:w="1244" w:type="dxa"/>
            <w:noWrap/>
            <w:hideMark/>
          </w:tcPr>
          <w:p w14:paraId="0CAAE3CA"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£350k</w:t>
            </w:r>
          </w:p>
        </w:tc>
      </w:tr>
      <w:tr w:rsidR="00740554" w:rsidRPr="004F5E21" w14:paraId="40FA8D4E" w14:textId="77777777" w:rsidTr="00740554">
        <w:trPr>
          <w:trHeight w:val="290"/>
        </w:trPr>
        <w:tc>
          <w:tcPr>
            <w:tcW w:w="950" w:type="dxa"/>
            <w:noWrap/>
            <w:hideMark/>
          </w:tcPr>
          <w:p w14:paraId="55E0FFA0"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6</w:t>
            </w:r>
          </w:p>
        </w:tc>
        <w:tc>
          <w:tcPr>
            <w:tcW w:w="1041" w:type="dxa"/>
            <w:noWrap/>
            <w:hideMark/>
          </w:tcPr>
          <w:p w14:paraId="33BB741E"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Months 18–24+</w:t>
            </w:r>
          </w:p>
        </w:tc>
        <w:tc>
          <w:tcPr>
            <w:tcW w:w="2546" w:type="dxa"/>
            <w:noWrap/>
            <w:hideMark/>
          </w:tcPr>
          <w:p w14:paraId="39627851"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Watch for rule changes: track UK and EU AI laws, report every 3 months, update plans, do yearly AI ethics check</w:t>
            </w:r>
          </w:p>
        </w:tc>
        <w:tc>
          <w:tcPr>
            <w:tcW w:w="1459" w:type="dxa"/>
            <w:noWrap/>
            <w:hideMark/>
          </w:tcPr>
          <w:p w14:paraId="11AE97F7"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Quarterly reports; yearly audit</w:t>
            </w:r>
          </w:p>
        </w:tc>
        <w:tc>
          <w:tcPr>
            <w:tcW w:w="1776" w:type="dxa"/>
            <w:noWrap/>
            <w:hideMark/>
          </w:tcPr>
          <w:p w14:paraId="72089EB7"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Public Affairs; Internal Audit</w:t>
            </w:r>
          </w:p>
        </w:tc>
        <w:tc>
          <w:tcPr>
            <w:tcW w:w="1244" w:type="dxa"/>
            <w:noWrap/>
            <w:hideMark/>
          </w:tcPr>
          <w:p w14:paraId="4FBDD754" w14:textId="77777777" w:rsidR="004F5E21" w:rsidRPr="004F5E21" w:rsidRDefault="004F5E21" w:rsidP="00740554">
            <w:pPr>
              <w:rPr>
                <w:rFonts w:ascii="Times New Roman" w:hAnsi="Times New Roman" w:cs="Times New Roman"/>
                <w:sz w:val="24"/>
                <w:szCs w:val="24"/>
              </w:rPr>
            </w:pPr>
            <w:r w:rsidRPr="004F5E21">
              <w:rPr>
                <w:rFonts w:ascii="Times New Roman" w:hAnsi="Times New Roman" w:cs="Times New Roman"/>
                <w:sz w:val="24"/>
                <w:szCs w:val="24"/>
              </w:rPr>
              <w:t>£150k/year</w:t>
            </w:r>
          </w:p>
        </w:tc>
      </w:tr>
    </w:tbl>
    <w:p w14:paraId="0C18472A" w14:textId="77777777" w:rsidR="00740554" w:rsidRDefault="00F620A5" w:rsidP="00740554">
      <w:pPr>
        <w:spacing w:after="0" w:line="360" w:lineRule="auto"/>
        <w:ind w:firstLine="720"/>
        <w:rPr>
          <w:rFonts w:ascii="Times New Roman" w:hAnsi="Times New Roman" w:cs="Times New Roman"/>
          <w:b/>
          <w:bCs/>
          <w:sz w:val="24"/>
          <w:szCs w:val="24"/>
        </w:rPr>
      </w:pPr>
      <w:r w:rsidRPr="009D1678">
        <w:rPr>
          <w:rFonts w:ascii="Times New Roman" w:hAnsi="Times New Roman" w:cs="Times New Roman"/>
          <w:sz w:val="24"/>
          <w:szCs w:val="24"/>
        </w:rPr>
        <w:br/>
      </w:r>
      <w:r w:rsidRPr="009D1678">
        <w:rPr>
          <w:rFonts w:ascii="Times New Roman" w:hAnsi="Times New Roman" w:cs="Times New Roman"/>
          <w:sz w:val="24"/>
          <w:szCs w:val="24"/>
        </w:rPr>
        <w:br/>
      </w:r>
    </w:p>
    <w:p w14:paraId="77C9ECFF" w14:textId="0027A602" w:rsidR="00740554" w:rsidRPr="00740554" w:rsidRDefault="00740554" w:rsidP="00740554">
      <w:pPr>
        <w:pStyle w:val="Heading2"/>
        <w:rPr>
          <w:rFonts w:ascii="Times New Roman" w:hAnsi="Times New Roman" w:cs="Times New Roman"/>
          <w:b/>
          <w:bCs/>
          <w:color w:val="auto"/>
          <w:sz w:val="24"/>
          <w:szCs w:val="24"/>
        </w:rPr>
      </w:pPr>
      <w:bookmarkStart w:id="14" w:name="_Toc228010750"/>
      <w:r w:rsidRPr="00740554">
        <w:rPr>
          <w:rFonts w:ascii="Times New Roman" w:hAnsi="Times New Roman" w:cs="Times New Roman"/>
          <w:b/>
          <w:bCs/>
          <w:color w:val="auto"/>
          <w:sz w:val="24"/>
          <w:szCs w:val="24"/>
        </w:rPr>
        <w:t>2.6 Critical Dependencies &amp; Risk Mitigation</w:t>
      </w:r>
      <w:bookmarkEnd w:id="14"/>
    </w:p>
    <w:p w14:paraId="1895F17E" w14:textId="77777777" w:rsidR="00740554" w:rsidRPr="00740554" w:rsidRDefault="00740554" w:rsidP="00740554">
      <w:pPr>
        <w:spacing w:after="0" w:line="360" w:lineRule="auto"/>
        <w:ind w:firstLine="720"/>
        <w:rPr>
          <w:rFonts w:ascii="Times New Roman" w:hAnsi="Times New Roman" w:cs="Times New Roman"/>
          <w:sz w:val="24"/>
          <w:szCs w:val="24"/>
        </w:rPr>
      </w:pPr>
      <w:r w:rsidRPr="00740554">
        <w:rPr>
          <w:rFonts w:ascii="Times New Roman" w:hAnsi="Times New Roman" w:cs="Times New Roman"/>
          <w:sz w:val="24"/>
          <w:szCs w:val="24"/>
        </w:rPr>
        <w:t xml:space="preserve">The success of this plan relies upon several critical dependencies. First, board approval of the Ethical AI Charter is required before any other phases of the plan can take place. In the event that the approval for the charter is delayed or diluted, the 400 brands that Unilever manages will be unable to establish a solid foundation for the implementation of the </w:t>
      </w:r>
      <w:r w:rsidRPr="00740554">
        <w:rPr>
          <w:rFonts w:ascii="Times New Roman" w:hAnsi="Times New Roman" w:cs="Times New Roman"/>
          <w:sz w:val="24"/>
          <w:szCs w:val="24"/>
        </w:rPr>
        <w:lastRenderedPageBreak/>
        <w:t>charter. To mitigate this threat to the project, the charter will be pre-socialised with the Non-Executive Directors of Unilever prior to submission to the board.</w:t>
      </w:r>
    </w:p>
    <w:p w14:paraId="4B5E362E" w14:textId="77777777" w:rsidR="00740554" w:rsidRPr="00740554" w:rsidRDefault="00740554" w:rsidP="00740554">
      <w:pPr>
        <w:spacing w:after="0" w:line="360" w:lineRule="auto"/>
        <w:ind w:firstLine="720"/>
        <w:rPr>
          <w:rFonts w:ascii="Times New Roman" w:hAnsi="Times New Roman" w:cs="Times New Roman"/>
          <w:sz w:val="24"/>
          <w:szCs w:val="24"/>
        </w:rPr>
      </w:pPr>
      <w:r w:rsidRPr="00740554">
        <w:rPr>
          <w:rFonts w:ascii="Times New Roman" w:hAnsi="Times New Roman" w:cs="Times New Roman"/>
          <w:sz w:val="24"/>
          <w:szCs w:val="24"/>
        </w:rPr>
        <w:t>Second, the implementation timeline for the charter is contingent upon the transitional provisions of the EU AI Act remaining stable. Should the EU AI Act experience any slippage in the enforcement of its provisions, Unilever may either over-invest in the technology or fail to invest at all in the implementation of these provisions. However, the modular nature of the framework allows for the individual components of the framework to be implemented at different rates to accommodate for this risk.</w:t>
      </w:r>
    </w:p>
    <w:p w14:paraId="78516085" w14:textId="77777777" w:rsidR="00740554" w:rsidRPr="00740554" w:rsidRDefault="00740554" w:rsidP="00740554">
      <w:pPr>
        <w:spacing w:after="0" w:line="360" w:lineRule="auto"/>
        <w:ind w:firstLine="720"/>
        <w:rPr>
          <w:rFonts w:ascii="Times New Roman" w:hAnsi="Times New Roman" w:cs="Times New Roman"/>
          <w:sz w:val="24"/>
          <w:szCs w:val="24"/>
        </w:rPr>
      </w:pPr>
      <w:r w:rsidRPr="00740554">
        <w:rPr>
          <w:rFonts w:ascii="Times New Roman" w:hAnsi="Times New Roman" w:cs="Times New Roman"/>
          <w:sz w:val="24"/>
          <w:szCs w:val="24"/>
        </w:rPr>
        <w:t>Third, the difference in regulatory demands between the UK and the EU are a critical risk for Unilever. Should the UK continue to liberalise its regulations for AI applications while the EU enforces AI regulations that are more stringent than those in place today, Unilever would be forced to create and maintain two separate compliance systems for the EU and the UK. However, phase 5 of the implementation plan will address this threat by creating a unified framework for the UK and the EU that ensures that both regions are covered by a single modular framework.</w:t>
      </w:r>
    </w:p>
    <w:p w14:paraId="64F0B80A" w14:textId="77777777" w:rsidR="00740554" w:rsidRPr="00740554" w:rsidRDefault="00740554" w:rsidP="00740554">
      <w:pPr>
        <w:spacing w:after="0" w:line="360" w:lineRule="auto"/>
        <w:ind w:firstLine="720"/>
        <w:rPr>
          <w:rFonts w:ascii="Times New Roman" w:hAnsi="Times New Roman" w:cs="Times New Roman"/>
          <w:sz w:val="24"/>
          <w:szCs w:val="24"/>
        </w:rPr>
      </w:pPr>
      <w:r w:rsidRPr="00740554">
        <w:rPr>
          <w:rFonts w:ascii="Times New Roman" w:hAnsi="Times New Roman" w:cs="Times New Roman"/>
          <w:sz w:val="24"/>
          <w:szCs w:val="24"/>
        </w:rPr>
        <w:t>Fourth, some employees of Unilever may be resistant towards participating in the training and implementing the changes to the compliance processes that will be introduced. However, the implementation of a certification that is linked to the Unilever’s Chief Human Resources Officer will address this dependency and ensure that all affected staff members are compelled to attend and participate in the training program.</w:t>
      </w:r>
    </w:p>
    <w:p w14:paraId="3B272124" w14:textId="599EF763" w:rsidR="00740554" w:rsidRPr="00740554" w:rsidRDefault="00740554" w:rsidP="00740554">
      <w:pPr>
        <w:pStyle w:val="Heading1"/>
        <w:rPr>
          <w:rFonts w:ascii="Times New Roman" w:hAnsi="Times New Roman" w:cs="Times New Roman"/>
          <w:b/>
          <w:bCs/>
          <w:color w:val="auto"/>
          <w:sz w:val="24"/>
          <w:szCs w:val="24"/>
        </w:rPr>
      </w:pPr>
      <w:bookmarkStart w:id="15" w:name="_Toc228010751"/>
      <w:r w:rsidRPr="00740554">
        <w:rPr>
          <w:rFonts w:ascii="Times New Roman" w:hAnsi="Times New Roman" w:cs="Times New Roman"/>
          <w:b/>
          <w:bCs/>
          <w:color w:val="auto"/>
          <w:sz w:val="24"/>
          <w:szCs w:val="24"/>
        </w:rPr>
        <w:t>3.0 Conclusion</w:t>
      </w:r>
      <w:bookmarkEnd w:id="15"/>
    </w:p>
    <w:p w14:paraId="38FBC5C4" w14:textId="77777777" w:rsidR="00740554" w:rsidRPr="00740554" w:rsidRDefault="00740554" w:rsidP="007E1388">
      <w:pPr>
        <w:spacing w:after="0" w:line="360" w:lineRule="auto"/>
        <w:ind w:firstLine="720"/>
        <w:rPr>
          <w:rFonts w:ascii="Times New Roman" w:hAnsi="Times New Roman" w:cs="Times New Roman"/>
          <w:sz w:val="24"/>
          <w:szCs w:val="24"/>
        </w:rPr>
      </w:pPr>
      <w:r w:rsidRPr="00740554">
        <w:rPr>
          <w:rFonts w:ascii="Times New Roman" w:hAnsi="Times New Roman" w:cs="Times New Roman"/>
          <w:sz w:val="24"/>
          <w:szCs w:val="24"/>
        </w:rPr>
        <w:t>This report has examined how Unilever PLC can manage the risks of AI in its operations in the UK and the EU. Through analysing the regulatory, customer and macroeconomic aspects of the two regions, Unilever PLC can find ways to best handle AI in a way that benefits the business and allows it to maintain its competitive advantage. The findings of this report are as follows:</w:t>
      </w:r>
    </w:p>
    <w:p w14:paraId="2DDECFBE" w14:textId="6287C02E" w:rsidR="00740554" w:rsidRPr="00740554" w:rsidRDefault="007E1388" w:rsidP="007E1388">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740554" w:rsidRPr="00740554">
        <w:rPr>
          <w:rFonts w:ascii="Times New Roman" w:hAnsi="Times New Roman" w:cs="Times New Roman"/>
          <w:sz w:val="24"/>
          <w:szCs w:val="24"/>
        </w:rPr>
        <w:t xml:space="preserve">here is a divergence of regulations in both the UK and the EU that poses challenges for Unilever PLC as it operates in two different countries. The ICO in the UK allows for more flexibility in the use of AI, while the EU AI Act creates regulations that must be met by any companies that use AI in their business processes, especially high-risk processes. Secondly, customer trust in Unilever PLC is tied to its reputation, especially as the company caters to 3.4 billion customers across 400 different brands. Thirdly, the macroeconomic conditions in the two regions also pose challenges to Unilever PLC. While the UK has been </w:t>
      </w:r>
      <w:r w:rsidR="00740554" w:rsidRPr="00740554">
        <w:rPr>
          <w:rFonts w:ascii="Times New Roman" w:hAnsi="Times New Roman" w:cs="Times New Roman"/>
          <w:sz w:val="24"/>
          <w:szCs w:val="24"/>
        </w:rPr>
        <w:lastRenderedPageBreak/>
        <w:t>experiencing easing inflation and lowering interest rates, the EU has stable interest rates but with more restrictive monetary policy.</w:t>
      </w:r>
    </w:p>
    <w:p w14:paraId="12B2F317" w14:textId="76246E1A" w:rsidR="007E1388" w:rsidRDefault="00740554" w:rsidP="007E1388">
      <w:pPr>
        <w:spacing w:after="0" w:line="360" w:lineRule="auto"/>
        <w:ind w:firstLine="720"/>
        <w:rPr>
          <w:rFonts w:ascii="Times New Roman" w:hAnsi="Times New Roman" w:cs="Times New Roman"/>
          <w:sz w:val="24"/>
          <w:szCs w:val="24"/>
        </w:rPr>
      </w:pPr>
      <w:r w:rsidRPr="00740554">
        <w:rPr>
          <w:rFonts w:ascii="Times New Roman" w:hAnsi="Times New Roman" w:cs="Times New Roman"/>
          <w:sz w:val="24"/>
          <w:szCs w:val="24"/>
        </w:rPr>
        <w:t>The implementation of the strategies suggested in this report will allow Unilever PLC to create a 24-month implementation schedule that introduces AI in different stages of the company, each with specific KPIs and costs, amounting to £1.75 million in total costs. Furthermore, the recommendations and implementation plan are future-proofed through the suggestions to review the company’s charter each year and to continuously monitor regulations in the region in which its UK and EU operations will be implemented. Overall, Unilever PLC can take advantage of the existing challenges of AI to become a more competitive and flexible company. If the company does not act, however, it may suffer from increasing competition from other companies in the same industry as Unilever PLC, such as Procter &amp; Gamble and Nestlé.</w:t>
      </w:r>
    </w:p>
    <w:p w14:paraId="11626715" w14:textId="77777777" w:rsidR="007E1388" w:rsidRDefault="007E1388" w:rsidP="007E1388">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265B1E3" w14:textId="58D8D4A3" w:rsidR="007E1388" w:rsidRPr="007E1388" w:rsidRDefault="007E1388" w:rsidP="007E1388">
      <w:pPr>
        <w:spacing w:after="0" w:line="360" w:lineRule="auto"/>
        <w:rPr>
          <w:rFonts w:ascii="Times New Roman" w:hAnsi="Times New Roman" w:cs="Times New Roman"/>
          <w:b/>
          <w:bCs/>
          <w:sz w:val="24"/>
          <w:szCs w:val="24"/>
        </w:rPr>
      </w:pPr>
      <w:r w:rsidRPr="007E1388">
        <w:rPr>
          <w:rFonts w:ascii="Times New Roman" w:hAnsi="Times New Roman" w:cs="Times New Roman"/>
          <w:b/>
          <w:bCs/>
          <w:sz w:val="24"/>
          <w:szCs w:val="24"/>
        </w:rPr>
        <w:lastRenderedPageBreak/>
        <w:t>Reference list</w:t>
      </w:r>
    </w:p>
    <w:p w14:paraId="52663040" w14:textId="22C85950"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Ahmed, F.A., Gul, S. and Shahzad, S. (2025). Ensuring Accountability </w:t>
      </w:r>
      <w:r>
        <w:rPr>
          <w:rFonts w:ascii="Times New Roman" w:hAnsi="Times New Roman" w:cs="Times New Roman"/>
          <w:sz w:val="24"/>
          <w:szCs w:val="24"/>
        </w:rPr>
        <w:t>a</w:t>
      </w:r>
      <w:r w:rsidRPr="007E1388">
        <w:rPr>
          <w:rFonts w:ascii="Times New Roman" w:hAnsi="Times New Roman" w:cs="Times New Roman"/>
          <w:sz w:val="24"/>
          <w:szCs w:val="24"/>
        </w:rPr>
        <w:t xml:space="preserve">nd Transparency </w:t>
      </w:r>
      <w:r>
        <w:rPr>
          <w:rFonts w:ascii="Times New Roman" w:hAnsi="Times New Roman" w:cs="Times New Roman"/>
          <w:sz w:val="24"/>
          <w:szCs w:val="24"/>
        </w:rPr>
        <w:t>i</w:t>
      </w:r>
      <w:r w:rsidRPr="007E1388">
        <w:rPr>
          <w:rFonts w:ascii="Times New Roman" w:hAnsi="Times New Roman" w:cs="Times New Roman"/>
          <w:sz w:val="24"/>
          <w:szCs w:val="24"/>
        </w:rPr>
        <w:t xml:space="preserve">n Ai-Driven Corporate Governance. </w:t>
      </w:r>
      <w:r w:rsidRPr="007E1388">
        <w:rPr>
          <w:rFonts w:ascii="Times New Roman" w:hAnsi="Times New Roman" w:cs="Times New Roman"/>
          <w:i/>
          <w:iCs/>
          <w:sz w:val="24"/>
          <w:szCs w:val="24"/>
        </w:rPr>
        <w:t>International Journal of Social Sciences Bulletin</w:t>
      </w:r>
      <w:r w:rsidRPr="007E1388">
        <w:rPr>
          <w:rFonts w:ascii="Times New Roman" w:hAnsi="Times New Roman" w:cs="Times New Roman"/>
          <w:sz w:val="24"/>
          <w:szCs w:val="24"/>
        </w:rPr>
        <w:t xml:space="preserve">, 3(5), pp. 330–341. </w:t>
      </w:r>
      <w:hyperlink r:id="rId10" w:tgtFrame="_blank" w:history="1">
        <w:r w:rsidRPr="007E1388">
          <w:rPr>
            <w:rStyle w:val="Hyperlink"/>
            <w:rFonts w:ascii="Times New Roman" w:hAnsi="Times New Roman" w:cs="Times New Roman"/>
            <w:sz w:val="24"/>
            <w:szCs w:val="24"/>
          </w:rPr>
          <w:t>https://socialsciencesbulletin.com/index.php/IJSSB/article/view/661</w:t>
        </w:r>
      </w:hyperlink>
      <w:r w:rsidRPr="007E1388">
        <w:rPr>
          <w:rFonts w:ascii="Times New Roman" w:hAnsi="Times New Roman" w:cs="Times New Roman"/>
          <w:sz w:val="24"/>
          <w:szCs w:val="24"/>
        </w:rPr>
        <w:t>.</w:t>
      </w:r>
    </w:p>
    <w:p w14:paraId="3555D879" w14:textId="4FD367B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Bank of England (2026). </w:t>
      </w:r>
      <w:r w:rsidRPr="007E1388">
        <w:rPr>
          <w:rFonts w:ascii="Times New Roman" w:hAnsi="Times New Roman" w:cs="Times New Roman"/>
          <w:i/>
          <w:iCs/>
          <w:sz w:val="24"/>
          <w:szCs w:val="24"/>
        </w:rPr>
        <w:t>Monetary Policy Report</w:t>
      </w:r>
      <w:r w:rsidRPr="007E1388">
        <w:rPr>
          <w:rFonts w:ascii="Times New Roman" w:hAnsi="Times New Roman" w:cs="Times New Roman"/>
          <w:sz w:val="24"/>
          <w:szCs w:val="24"/>
        </w:rPr>
        <w:t xml:space="preserve">. </w:t>
      </w:r>
      <w:hyperlink r:id="rId11" w:tgtFrame="_blank" w:history="1">
        <w:r w:rsidRPr="007E1388">
          <w:rPr>
            <w:rStyle w:val="Hyperlink"/>
            <w:rFonts w:ascii="Times New Roman" w:hAnsi="Times New Roman" w:cs="Times New Roman"/>
            <w:sz w:val="24"/>
            <w:szCs w:val="24"/>
          </w:rPr>
          <w:t>https://www.bankofengland.co.uk/-/media/boe/files/monetary-policy-report/2026/february/monetary-policy-report-february-2026.pdf</w:t>
        </w:r>
      </w:hyperlink>
      <w:r w:rsidRPr="007E1388">
        <w:rPr>
          <w:rFonts w:ascii="Times New Roman" w:hAnsi="Times New Roman" w:cs="Times New Roman"/>
          <w:sz w:val="24"/>
          <w:szCs w:val="24"/>
        </w:rPr>
        <w:t>.</w:t>
      </w:r>
    </w:p>
    <w:p w14:paraId="395E6FE7" w14:textId="06FFEB5C"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Basu, A. (2024). The Impact of Artificial Intelligence on Cybersecurity. doi:</w:t>
      </w:r>
      <w:hyperlink r:id="rId12" w:tgtFrame="_blank" w:history="1">
        <w:r w:rsidRPr="007E1388">
          <w:rPr>
            <w:rStyle w:val="Hyperlink"/>
            <w:rFonts w:ascii="Times New Roman" w:hAnsi="Times New Roman" w:cs="Times New Roman"/>
            <w:sz w:val="24"/>
            <w:szCs w:val="24"/>
          </w:rPr>
          <w:t>https://doi.org/10.2118/222493-ms</w:t>
        </w:r>
      </w:hyperlink>
      <w:r w:rsidRPr="007E1388">
        <w:rPr>
          <w:rFonts w:ascii="Times New Roman" w:hAnsi="Times New Roman" w:cs="Times New Roman"/>
          <w:sz w:val="24"/>
          <w:szCs w:val="24"/>
        </w:rPr>
        <w:t>.</w:t>
      </w:r>
    </w:p>
    <w:p w14:paraId="76F7B181" w14:textId="41CA3FD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Beltrán, M. (2025). AI algorithms under scrutiny: GDPR, DSA, AI Act and CRA as pillars for algorithmic security and privacy in the European Union. </w:t>
      </w:r>
      <w:r w:rsidRPr="007E1388">
        <w:rPr>
          <w:rFonts w:ascii="Times New Roman" w:hAnsi="Times New Roman" w:cs="Times New Roman"/>
          <w:i/>
          <w:iCs/>
          <w:sz w:val="24"/>
          <w:szCs w:val="24"/>
        </w:rPr>
        <w:t>Computers &amp; Security</w:t>
      </w:r>
      <w:r w:rsidRPr="007E1388">
        <w:rPr>
          <w:rFonts w:ascii="Times New Roman" w:hAnsi="Times New Roman" w:cs="Times New Roman"/>
          <w:sz w:val="24"/>
          <w:szCs w:val="24"/>
        </w:rPr>
        <w:t>, 158, p.104628. doi:</w:t>
      </w:r>
      <w:hyperlink r:id="rId13" w:tgtFrame="_blank" w:history="1">
        <w:r w:rsidRPr="007E1388">
          <w:rPr>
            <w:rStyle w:val="Hyperlink"/>
            <w:rFonts w:ascii="Times New Roman" w:hAnsi="Times New Roman" w:cs="Times New Roman"/>
            <w:sz w:val="24"/>
            <w:szCs w:val="24"/>
          </w:rPr>
          <w:t>https://doi.org/10.1016/j.cose.2025.104628</w:t>
        </w:r>
      </w:hyperlink>
      <w:r w:rsidRPr="007E1388">
        <w:rPr>
          <w:rFonts w:ascii="Times New Roman" w:hAnsi="Times New Roman" w:cs="Times New Roman"/>
          <w:sz w:val="24"/>
          <w:szCs w:val="24"/>
        </w:rPr>
        <w:t>.</w:t>
      </w:r>
    </w:p>
    <w:p w14:paraId="176191BC"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Chiu, I.H. (2023). An institutional account of responsiveness in financial regulation: Examining the fallacy and limits of ‘same activity, same risks, same rules’ as the answer to financial innovation and regulatory arbitrage. </w:t>
      </w:r>
      <w:r w:rsidRPr="007E1388">
        <w:rPr>
          <w:rFonts w:ascii="Times New Roman" w:hAnsi="Times New Roman" w:cs="Times New Roman"/>
          <w:i/>
          <w:iCs/>
          <w:sz w:val="24"/>
          <w:szCs w:val="24"/>
        </w:rPr>
        <w:t>Computer Law &amp; Security Review</w:t>
      </w:r>
      <w:r w:rsidRPr="007E1388">
        <w:rPr>
          <w:rFonts w:ascii="Times New Roman" w:hAnsi="Times New Roman" w:cs="Times New Roman"/>
          <w:sz w:val="24"/>
          <w:szCs w:val="24"/>
        </w:rPr>
        <w:t>, 51, pp. 105868–105868. doi:</w:t>
      </w:r>
      <w:hyperlink r:id="rId14" w:tgtFrame="_blank" w:history="1">
        <w:r w:rsidRPr="007E1388">
          <w:rPr>
            <w:rStyle w:val="Hyperlink"/>
            <w:rFonts w:ascii="Times New Roman" w:hAnsi="Times New Roman" w:cs="Times New Roman"/>
            <w:sz w:val="24"/>
            <w:szCs w:val="24"/>
          </w:rPr>
          <w:t>https://doi.org/10.1016/j.clsr.2023.105868</w:t>
        </w:r>
      </w:hyperlink>
      <w:r w:rsidRPr="007E1388">
        <w:rPr>
          <w:rFonts w:ascii="Times New Roman" w:hAnsi="Times New Roman" w:cs="Times New Roman"/>
          <w:sz w:val="24"/>
          <w:szCs w:val="24"/>
        </w:rPr>
        <w:t>.</w:t>
      </w:r>
    </w:p>
    <w:p w14:paraId="1520941E" w14:textId="1E33BC44"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Council of the European Union (2024). </w:t>
      </w:r>
      <w:r w:rsidRPr="007E1388">
        <w:rPr>
          <w:rFonts w:ascii="Times New Roman" w:hAnsi="Times New Roman" w:cs="Times New Roman"/>
          <w:i/>
          <w:iCs/>
          <w:sz w:val="24"/>
          <w:szCs w:val="24"/>
        </w:rPr>
        <w:t xml:space="preserve">EU Artificial Intelligence Act – Final Text. Brussels: </w:t>
      </w:r>
      <w:hyperlink r:id="rId15" w:tgtFrame="_blank" w:history="1">
        <w:r w:rsidRPr="007E1388">
          <w:rPr>
            <w:rStyle w:val="Hyperlink"/>
            <w:rFonts w:ascii="Times New Roman" w:hAnsi="Times New Roman" w:cs="Times New Roman"/>
            <w:sz w:val="24"/>
            <w:szCs w:val="24"/>
          </w:rPr>
          <w:t>https://data.consilium.europa.eu/doc/document/ST-7322-2026-INIT/en/pdf</w:t>
        </w:r>
      </w:hyperlink>
      <w:r w:rsidRPr="007E1388">
        <w:rPr>
          <w:rFonts w:ascii="Times New Roman" w:hAnsi="Times New Roman" w:cs="Times New Roman"/>
          <w:sz w:val="24"/>
          <w:szCs w:val="24"/>
        </w:rPr>
        <w:t>.</w:t>
      </w:r>
    </w:p>
    <w:p w14:paraId="1DDF0CEE"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Deliu, D. and Moldovan, A. (2025). Fintech 5.0: From Shadows to Clarity—The Future of Transparency in Financial Organisations. </w:t>
      </w:r>
      <w:r w:rsidRPr="007E1388">
        <w:rPr>
          <w:rFonts w:ascii="Times New Roman" w:hAnsi="Times New Roman" w:cs="Times New Roman"/>
          <w:i/>
          <w:iCs/>
          <w:sz w:val="24"/>
          <w:szCs w:val="24"/>
        </w:rPr>
        <w:t>Palgrave Studies in Financial Services Technology,</w:t>
      </w:r>
      <w:r w:rsidRPr="007E1388">
        <w:rPr>
          <w:rFonts w:ascii="Times New Roman" w:hAnsi="Times New Roman" w:cs="Times New Roman"/>
          <w:sz w:val="24"/>
          <w:szCs w:val="24"/>
        </w:rPr>
        <w:t xml:space="preserve"> pp. 285–347. doi:</w:t>
      </w:r>
      <w:hyperlink r:id="rId16" w:tgtFrame="_blank" w:history="1">
        <w:r w:rsidRPr="007E1388">
          <w:rPr>
            <w:rStyle w:val="Hyperlink"/>
            <w:rFonts w:ascii="Times New Roman" w:hAnsi="Times New Roman" w:cs="Times New Roman"/>
            <w:sz w:val="24"/>
            <w:szCs w:val="24"/>
          </w:rPr>
          <w:t>https://doi.org/10.1007/978-3-032-03523-3_12</w:t>
        </w:r>
      </w:hyperlink>
      <w:r w:rsidRPr="007E1388">
        <w:rPr>
          <w:rFonts w:ascii="Times New Roman" w:hAnsi="Times New Roman" w:cs="Times New Roman"/>
          <w:sz w:val="24"/>
          <w:szCs w:val="24"/>
        </w:rPr>
        <w:t>.</w:t>
      </w:r>
    </w:p>
    <w:p w14:paraId="10FFCB9F" w14:textId="48B3363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English, S., Hammond, S. and Yeung, P. (2016). </w:t>
      </w:r>
      <w:r w:rsidRPr="007E1388">
        <w:rPr>
          <w:rFonts w:ascii="Times New Roman" w:hAnsi="Times New Roman" w:cs="Times New Roman"/>
          <w:i/>
          <w:iCs/>
          <w:sz w:val="24"/>
          <w:szCs w:val="24"/>
        </w:rPr>
        <w:t>COST OF COMPLIANCE 2016</w:t>
      </w:r>
      <w:r w:rsidRPr="007E1388">
        <w:rPr>
          <w:rFonts w:ascii="Times New Roman" w:hAnsi="Times New Roman" w:cs="Times New Roman"/>
          <w:sz w:val="24"/>
          <w:szCs w:val="24"/>
        </w:rPr>
        <w:t xml:space="preserve">. </w:t>
      </w:r>
      <w:hyperlink r:id="rId17" w:tgtFrame="_blank" w:history="1">
        <w:r w:rsidRPr="007E1388">
          <w:rPr>
            <w:rStyle w:val="Hyperlink"/>
            <w:rFonts w:ascii="Times New Roman" w:hAnsi="Times New Roman" w:cs="Times New Roman"/>
            <w:sz w:val="24"/>
            <w:szCs w:val="24"/>
          </w:rPr>
          <w:t>https://archive.comsuregroup.com/wp-content/uploads/2016/07/CostofCompliance_2016.compressed.pdf</w:t>
        </w:r>
      </w:hyperlink>
      <w:r w:rsidRPr="007E1388">
        <w:rPr>
          <w:rFonts w:ascii="Times New Roman" w:hAnsi="Times New Roman" w:cs="Times New Roman"/>
          <w:sz w:val="24"/>
          <w:szCs w:val="24"/>
        </w:rPr>
        <w:t>.</w:t>
      </w:r>
    </w:p>
    <w:p w14:paraId="40335F57" w14:textId="6747CDE8"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EU Artificial Intelligence Act (2025). </w:t>
      </w:r>
      <w:r w:rsidRPr="007E1388">
        <w:rPr>
          <w:rFonts w:ascii="Times New Roman" w:hAnsi="Times New Roman" w:cs="Times New Roman"/>
          <w:i/>
          <w:iCs/>
          <w:sz w:val="24"/>
          <w:szCs w:val="24"/>
        </w:rPr>
        <w:t>Article 5: Prohibited Artificial Intelligence Practices | EU Artificial Intelligence Act</w:t>
      </w:r>
      <w:r w:rsidRPr="007E1388">
        <w:rPr>
          <w:rFonts w:ascii="Times New Roman" w:hAnsi="Times New Roman" w:cs="Times New Roman"/>
          <w:sz w:val="24"/>
          <w:szCs w:val="24"/>
        </w:rPr>
        <w:t>.</w:t>
      </w:r>
      <w:hyperlink r:id="rId18" w:tgtFrame="_blank" w:history="1">
        <w:r w:rsidRPr="007E1388">
          <w:rPr>
            <w:rStyle w:val="Hyperlink"/>
            <w:rFonts w:ascii="Times New Roman" w:hAnsi="Times New Roman" w:cs="Times New Roman"/>
            <w:sz w:val="24"/>
            <w:szCs w:val="24"/>
          </w:rPr>
          <w:t>https://artificialintelligenceact.eu/article/5/</w:t>
        </w:r>
      </w:hyperlink>
      <w:r w:rsidRPr="007E1388">
        <w:rPr>
          <w:rFonts w:ascii="Times New Roman" w:hAnsi="Times New Roman" w:cs="Times New Roman"/>
          <w:sz w:val="24"/>
          <w:szCs w:val="24"/>
        </w:rPr>
        <w:t>.</w:t>
      </w:r>
    </w:p>
    <w:p w14:paraId="0DDD5883" w14:textId="58E86A6D"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European Central Bank (2026). </w:t>
      </w:r>
      <w:r w:rsidRPr="007E1388">
        <w:rPr>
          <w:rFonts w:ascii="Times New Roman" w:hAnsi="Times New Roman" w:cs="Times New Roman"/>
          <w:i/>
          <w:iCs/>
          <w:sz w:val="24"/>
          <w:szCs w:val="24"/>
        </w:rPr>
        <w:t>Monetary policy decisions</w:t>
      </w:r>
      <w:r w:rsidRPr="007E1388">
        <w:rPr>
          <w:rFonts w:ascii="Times New Roman" w:hAnsi="Times New Roman" w:cs="Times New Roman"/>
          <w:sz w:val="24"/>
          <w:szCs w:val="24"/>
        </w:rPr>
        <w:t xml:space="preserve">. </w:t>
      </w:r>
      <w:hyperlink r:id="rId19" w:tgtFrame="_blank" w:history="1">
        <w:r w:rsidRPr="007E1388">
          <w:rPr>
            <w:rStyle w:val="Hyperlink"/>
            <w:rFonts w:ascii="Times New Roman" w:hAnsi="Times New Roman" w:cs="Times New Roman"/>
            <w:sz w:val="24"/>
            <w:szCs w:val="24"/>
          </w:rPr>
          <w:t>https://www.ecb.europa.eu/press/pr/date/2026/html/ecb.mp260319~3057739775.en.html</w:t>
        </w:r>
      </w:hyperlink>
      <w:r w:rsidRPr="007E1388">
        <w:rPr>
          <w:rFonts w:ascii="Times New Roman" w:hAnsi="Times New Roman" w:cs="Times New Roman"/>
          <w:sz w:val="24"/>
          <w:szCs w:val="24"/>
        </w:rPr>
        <w:t>.</w:t>
      </w:r>
    </w:p>
    <w:p w14:paraId="7F994D23" w14:textId="1FE6160B"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European Commission (2025). </w:t>
      </w:r>
      <w:r w:rsidRPr="007E1388">
        <w:rPr>
          <w:rFonts w:ascii="Times New Roman" w:hAnsi="Times New Roman" w:cs="Times New Roman"/>
          <w:i/>
          <w:iCs/>
          <w:sz w:val="24"/>
          <w:szCs w:val="24"/>
        </w:rPr>
        <w:t>Digital Europe Programme (DIGITAL)</w:t>
      </w:r>
      <w:r w:rsidRPr="007E1388">
        <w:rPr>
          <w:rFonts w:ascii="Times New Roman" w:hAnsi="Times New Roman" w:cs="Times New Roman"/>
          <w:sz w:val="24"/>
          <w:szCs w:val="24"/>
        </w:rPr>
        <w:t xml:space="preserve">. </w:t>
      </w:r>
      <w:hyperlink r:id="rId20" w:tgtFrame="_blank" w:history="1">
        <w:r w:rsidRPr="007E1388">
          <w:rPr>
            <w:rStyle w:val="Hyperlink"/>
            <w:rFonts w:ascii="Times New Roman" w:hAnsi="Times New Roman" w:cs="Times New Roman"/>
            <w:sz w:val="24"/>
            <w:szCs w:val="24"/>
          </w:rPr>
          <w:t>https://ec.europa.eu/info/funding-tenders/opportunities/portal/screen/programmes/digital</w:t>
        </w:r>
      </w:hyperlink>
      <w:r w:rsidRPr="007E1388">
        <w:rPr>
          <w:rFonts w:ascii="Times New Roman" w:hAnsi="Times New Roman" w:cs="Times New Roman"/>
          <w:sz w:val="24"/>
          <w:szCs w:val="24"/>
        </w:rPr>
        <w:t>.</w:t>
      </w:r>
    </w:p>
    <w:p w14:paraId="373136B8" w14:textId="580055BD"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lastRenderedPageBreak/>
        <w:t xml:space="preserve">European Data Protection Supervisor (2024). </w:t>
      </w:r>
      <w:r w:rsidRPr="007E1388">
        <w:rPr>
          <w:rFonts w:ascii="Times New Roman" w:hAnsi="Times New Roman" w:cs="Times New Roman"/>
          <w:i/>
          <w:iCs/>
          <w:sz w:val="24"/>
          <w:szCs w:val="24"/>
        </w:rPr>
        <w:t>EDPB opinion on AI models: GDPR principles support responsible AI | European Data Protection Board</w:t>
      </w:r>
      <w:r w:rsidRPr="007E1388">
        <w:rPr>
          <w:rFonts w:ascii="Times New Roman" w:hAnsi="Times New Roman" w:cs="Times New Roman"/>
          <w:sz w:val="24"/>
          <w:szCs w:val="24"/>
        </w:rPr>
        <w:t xml:space="preserve">. </w:t>
      </w:r>
      <w:hyperlink r:id="rId21" w:tgtFrame="_blank" w:history="1">
        <w:r w:rsidRPr="007E1388">
          <w:rPr>
            <w:rStyle w:val="Hyperlink"/>
            <w:rFonts w:ascii="Times New Roman" w:hAnsi="Times New Roman" w:cs="Times New Roman"/>
            <w:sz w:val="24"/>
            <w:szCs w:val="24"/>
          </w:rPr>
          <w:t>https://www.edpb.europa.eu/news/news/2024/edpb-opinion-ai-models-gdpr-principles-support-responsible-ai_en</w:t>
        </w:r>
      </w:hyperlink>
      <w:r w:rsidRPr="007E1388">
        <w:rPr>
          <w:rFonts w:ascii="Times New Roman" w:hAnsi="Times New Roman" w:cs="Times New Roman"/>
          <w:sz w:val="24"/>
          <w:szCs w:val="24"/>
        </w:rPr>
        <w:t>.</w:t>
      </w:r>
    </w:p>
    <w:p w14:paraId="760D062F" w14:textId="458AD6C3"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European Data Protection Supervisor (2025). </w:t>
      </w:r>
      <w:r w:rsidRPr="007E1388">
        <w:rPr>
          <w:rFonts w:ascii="Times New Roman" w:hAnsi="Times New Roman" w:cs="Times New Roman"/>
          <w:i/>
          <w:iCs/>
          <w:sz w:val="24"/>
          <w:szCs w:val="24"/>
        </w:rPr>
        <w:t>TechDispatch #2/2025 - Human Oversight of Automated Decision-Making</w:t>
      </w:r>
      <w:r w:rsidRPr="007E1388">
        <w:rPr>
          <w:rFonts w:ascii="Times New Roman" w:hAnsi="Times New Roman" w:cs="Times New Roman"/>
          <w:sz w:val="24"/>
          <w:szCs w:val="24"/>
        </w:rPr>
        <w:t xml:space="preserve">. European Data Protection Supervisor. </w:t>
      </w:r>
      <w:hyperlink r:id="rId22" w:tgtFrame="_blank" w:history="1">
        <w:r w:rsidRPr="007E1388">
          <w:rPr>
            <w:rStyle w:val="Hyperlink"/>
            <w:rFonts w:ascii="Times New Roman" w:hAnsi="Times New Roman" w:cs="Times New Roman"/>
            <w:sz w:val="24"/>
            <w:szCs w:val="24"/>
          </w:rPr>
          <w:t>https://www.edps.europa.eu/data-protection/our-work/publications/techdispatch/2025-09-23-techdispatch-22025-human-oversight-automated-making_en</w:t>
        </w:r>
      </w:hyperlink>
      <w:r w:rsidRPr="007E1388">
        <w:rPr>
          <w:rFonts w:ascii="Times New Roman" w:hAnsi="Times New Roman" w:cs="Times New Roman"/>
          <w:sz w:val="24"/>
          <w:szCs w:val="24"/>
        </w:rPr>
        <w:t>.</w:t>
      </w:r>
    </w:p>
    <w:p w14:paraId="6CB33501" w14:textId="2C98490C"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Frank, D.-A., Jacobsen, L.F., Søndergaard, H.A. and Otterbring, T. (2023). In Companies We Trust: Consumer Adoption of Artificial Intelligence Services and the Role of Trust in Companies and AI Autonomy. </w:t>
      </w:r>
      <w:r w:rsidRPr="007E1388">
        <w:rPr>
          <w:rFonts w:ascii="Times New Roman" w:hAnsi="Times New Roman" w:cs="Times New Roman"/>
          <w:i/>
          <w:iCs/>
          <w:sz w:val="24"/>
          <w:szCs w:val="24"/>
        </w:rPr>
        <w:t>Information Technology &amp; People</w:t>
      </w:r>
      <w:r w:rsidRPr="007E1388">
        <w:rPr>
          <w:rFonts w:ascii="Times New Roman" w:hAnsi="Times New Roman" w:cs="Times New Roman"/>
          <w:sz w:val="24"/>
          <w:szCs w:val="24"/>
        </w:rPr>
        <w:t>, 36(8), pp. 155–173. doi:</w:t>
      </w:r>
      <w:hyperlink r:id="rId23" w:tgtFrame="_blank" w:history="1">
        <w:r w:rsidRPr="007E1388">
          <w:rPr>
            <w:rStyle w:val="Hyperlink"/>
            <w:rFonts w:ascii="Times New Roman" w:hAnsi="Times New Roman" w:cs="Times New Roman"/>
            <w:sz w:val="24"/>
            <w:szCs w:val="24"/>
          </w:rPr>
          <w:t>https://doi.org/10.1108/itp-09-2022-0721</w:t>
        </w:r>
      </w:hyperlink>
      <w:r w:rsidRPr="007E1388">
        <w:rPr>
          <w:rFonts w:ascii="Times New Roman" w:hAnsi="Times New Roman" w:cs="Times New Roman"/>
          <w:sz w:val="24"/>
          <w:szCs w:val="24"/>
        </w:rPr>
        <w:t>.</w:t>
      </w:r>
    </w:p>
    <w:p w14:paraId="38301428" w14:textId="278226F0" w:rsid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FRANKI T (2026). </w:t>
      </w:r>
      <w:r w:rsidRPr="007E1388">
        <w:rPr>
          <w:rFonts w:ascii="Times New Roman" w:hAnsi="Times New Roman" w:cs="Times New Roman"/>
          <w:i/>
          <w:iCs/>
          <w:sz w:val="24"/>
          <w:szCs w:val="24"/>
        </w:rPr>
        <w:t>AI Regulation in the UK and EU: Frameworks, Implementation, Enforcement and Comparative Outcomes.</w:t>
      </w:r>
      <w:r w:rsidRPr="007E1388">
        <w:rPr>
          <w:rFonts w:ascii="Times New Roman" w:hAnsi="Times New Roman" w:cs="Times New Roman"/>
          <w:sz w:val="24"/>
          <w:szCs w:val="24"/>
        </w:rPr>
        <w:t xml:space="preserve"> </w:t>
      </w:r>
      <w:hyperlink r:id="rId24" w:tgtFrame="_blank" w:history="1">
        <w:r w:rsidRPr="007E1388">
          <w:rPr>
            <w:rStyle w:val="Hyperlink"/>
            <w:rFonts w:ascii="Times New Roman" w:hAnsi="Times New Roman" w:cs="Times New Roman"/>
            <w:sz w:val="24"/>
            <w:szCs w:val="24"/>
          </w:rPr>
          <w:t>https://www.francescatabor.com/articles/2026/2/4/ai-regulation-in-the-uk-and-eu-frameworks-implementation-enforcement-and-comparative-outcomes</w:t>
        </w:r>
      </w:hyperlink>
      <w:r w:rsidRPr="007E1388">
        <w:rPr>
          <w:rFonts w:ascii="Times New Roman" w:hAnsi="Times New Roman" w:cs="Times New Roman"/>
          <w:sz w:val="24"/>
          <w:szCs w:val="24"/>
        </w:rPr>
        <w:t xml:space="preserve"> </w:t>
      </w:r>
    </w:p>
    <w:p w14:paraId="11271CAC" w14:textId="273505E6"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Gikay, A.A. (2024). Risks, innovation, and adaptability in the UK’s incrementalism versus the European Union’s comprehensive artificial intelligence regulation. </w:t>
      </w:r>
      <w:r w:rsidRPr="007E1388">
        <w:rPr>
          <w:rFonts w:ascii="Times New Roman" w:hAnsi="Times New Roman" w:cs="Times New Roman"/>
          <w:i/>
          <w:iCs/>
          <w:sz w:val="24"/>
          <w:szCs w:val="24"/>
        </w:rPr>
        <w:t>International journal of law and information technology/International journal of law and information technology</w:t>
      </w:r>
      <w:r>
        <w:rPr>
          <w:rFonts w:ascii="Times New Roman" w:hAnsi="Times New Roman" w:cs="Times New Roman"/>
          <w:i/>
          <w:iCs/>
          <w:sz w:val="24"/>
          <w:szCs w:val="24"/>
        </w:rPr>
        <w:t>,</w:t>
      </w:r>
      <w:r w:rsidRPr="007E1388">
        <w:rPr>
          <w:rFonts w:ascii="Times New Roman" w:hAnsi="Times New Roman" w:cs="Times New Roman"/>
          <w:sz w:val="24"/>
          <w:szCs w:val="24"/>
        </w:rPr>
        <w:t xml:space="preserve"> 32(1). doi:</w:t>
      </w:r>
      <w:hyperlink r:id="rId25" w:tgtFrame="_blank" w:history="1">
        <w:r w:rsidRPr="007E1388">
          <w:rPr>
            <w:rStyle w:val="Hyperlink"/>
            <w:rFonts w:ascii="Times New Roman" w:hAnsi="Times New Roman" w:cs="Times New Roman"/>
            <w:sz w:val="24"/>
            <w:szCs w:val="24"/>
          </w:rPr>
          <w:t>https://doi.org/10.1093/ijlit/eaae013</w:t>
        </w:r>
      </w:hyperlink>
      <w:r w:rsidRPr="007E1388">
        <w:rPr>
          <w:rFonts w:ascii="Times New Roman" w:hAnsi="Times New Roman" w:cs="Times New Roman"/>
          <w:sz w:val="24"/>
          <w:szCs w:val="24"/>
        </w:rPr>
        <w:t>.</w:t>
      </w:r>
    </w:p>
    <w:p w14:paraId="704B7314" w14:textId="188EE247" w:rsid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Guinea, O., Pandya, D., Sharma, V. and Zilli, R. (2025). </w:t>
      </w:r>
      <w:r w:rsidRPr="007E1388">
        <w:rPr>
          <w:rFonts w:ascii="Times New Roman" w:hAnsi="Times New Roman" w:cs="Times New Roman"/>
          <w:i/>
          <w:iCs/>
          <w:sz w:val="24"/>
          <w:szCs w:val="24"/>
        </w:rPr>
        <w:t>The impact of increased mass litigation in the UK</w:t>
      </w:r>
      <w:r w:rsidRPr="007E1388">
        <w:rPr>
          <w:rFonts w:ascii="Times New Roman" w:hAnsi="Times New Roman" w:cs="Times New Roman"/>
          <w:sz w:val="24"/>
          <w:szCs w:val="24"/>
        </w:rPr>
        <w:t xml:space="preserve">. </w:t>
      </w:r>
      <w:hyperlink r:id="rId26" w:tgtFrame="_blank" w:history="1">
        <w:r w:rsidRPr="007E1388">
          <w:rPr>
            <w:rStyle w:val="Hyperlink"/>
            <w:rFonts w:ascii="Times New Roman" w:hAnsi="Times New Roman" w:cs="Times New Roman"/>
            <w:sz w:val="24"/>
            <w:szCs w:val="24"/>
          </w:rPr>
          <w:t>https://www.econstor.eu/bitstream/10419/322203/1/1928652867.pdf</w:t>
        </w:r>
      </w:hyperlink>
      <w:r w:rsidRPr="007E1388">
        <w:rPr>
          <w:rFonts w:ascii="Times New Roman" w:hAnsi="Times New Roman" w:cs="Times New Roman"/>
          <w:sz w:val="24"/>
          <w:szCs w:val="24"/>
        </w:rPr>
        <w:t xml:space="preserve"> </w:t>
      </w:r>
    </w:p>
    <w:p w14:paraId="6A20B8ED" w14:textId="3B9578E3"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Heald, D. and Hodges, R. (2020). The accounting, budgeting and fiscal impact of COVID-19 on the United Kingdom. </w:t>
      </w:r>
      <w:r w:rsidRPr="007E1388">
        <w:rPr>
          <w:rFonts w:ascii="Times New Roman" w:hAnsi="Times New Roman" w:cs="Times New Roman"/>
          <w:i/>
          <w:iCs/>
          <w:sz w:val="24"/>
          <w:szCs w:val="24"/>
        </w:rPr>
        <w:t>Journal of Public Budgeting, Accounting &amp; Financial Management</w:t>
      </w:r>
      <w:r w:rsidRPr="007E1388">
        <w:rPr>
          <w:rFonts w:ascii="Times New Roman" w:hAnsi="Times New Roman" w:cs="Times New Roman"/>
          <w:sz w:val="24"/>
          <w:szCs w:val="24"/>
        </w:rPr>
        <w:t>, 32(5), pp. 785–795. doi:</w:t>
      </w:r>
      <w:hyperlink r:id="rId27" w:tgtFrame="_blank" w:history="1">
        <w:r w:rsidRPr="007E1388">
          <w:rPr>
            <w:rStyle w:val="Hyperlink"/>
            <w:rFonts w:ascii="Times New Roman" w:hAnsi="Times New Roman" w:cs="Times New Roman"/>
            <w:sz w:val="24"/>
            <w:szCs w:val="24"/>
          </w:rPr>
          <w:t>https://doi.org/10.1108/jpbafm-07-2020-0121</w:t>
        </w:r>
      </w:hyperlink>
      <w:r w:rsidRPr="007E1388">
        <w:rPr>
          <w:rFonts w:ascii="Times New Roman" w:hAnsi="Times New Roman" w:cs="Times New Roman"/>
          <w:sz w:val="24"/>
          <w:szCs w:val="24"/>
        </w:rPr>
        <w:t>.</w:t>
      </w:r>
    </w:p>
    <w:p w14:paraId="04633903"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Hu, Q. (2023). Unilever‘s Practice on AI-based Recruitment. </w:t>
      </w:r>
      <w:r w:rsidRPr="007E1388">
        <w:rPr>
          <w:rFonts w:ascii="Times New Roman" w:hAnsi="Times New Roman" w:cs="Times New Roman"/>
          <w:i/>
          <w:iCs/>
          <w:sz w:val="24"/>
          <w:szCs w:val="24"/>
        </w:rPr>
        <w:t>Highlights in Business, Economics and Management</w:t>
      </w:r>
      <w:r w:rsidRPr="007E1388">
        <w:rPr>
          <w:rFonts w:ascii="Times New Roman" w:hAnsi="Times New Roman" w:cs="Times New Roman"/>
          <w:sz w:val="24"/>
          <w:szCs w:val="24"/>
        </w:rPr>
        <w:t>, 16(2), pp. 256–263. doi:</w:t>
      </w:r>
      <w:hyperlink r:id="rId28" w:tgtFrame="_blank" w:history="1">
        <w:r w:rsidRPr="007E1388">
          <w:rPr>
            <w:rStyle w:val="Hyperlink"/>
            <w:rFonts w:ascii="Times New Roman" w:hAnsi="Times New Roman" w:cs="Times New Roman"/>
            <w:sz w:val="24"/>
            <w:szCs w:val="24"/>
          </w:rPr>
          <w:t>http://dx.doi.org/10.54097/hbem.v16i.10565</w:t>
        </w:r>
      </w:hyperlink>
      <w:r w:rsidRPr="007E1388">
        <w:rPr>
          <w:rFonts w:ascii="Times New Roman" w:hAnsi="Times New Roman" w:cs="Times New Roman"/>
          <w:sz w:val="24"/>
          <w:szCs w:val="24"/>
        </w:rPr>
        <w:t>.</w:t>
      </w:r>
    </w:p>
    <w:p w14:paraId="6A9E3525" w14:textId="77777777" w:rsid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ICO (2026). </w:t>
      </w:r>
      <w:r w:rsidRPr="007E1388">
        <w:rPr>
          <w:rFonts w:ascii="Times New Roman" w:hAnsi="Times New Roman" w:cs="Times New Roman"/>
          <w:i/>
          <w:iCs/>
          <w:sz w:val="24"/>
          <w:szCs w:val="24"/>
        </w:rPr>
        <w:t>Automated decision-making, including profiling</w:t>
      </w:r>
      <w:r w:rsidRPr="007E1388">
        <w:rPr>
          <w:rFonts w:ascii="Times New Roman" w:hAnsi="Times New Roman" w:cs="Times New Roman"/>
          <w:sz w:val="24"/>
          <w:szCs w:val="24"/>
        </w:rPr>
        <w:t xml:space="preserve">. [online] </w:t>
      </w:r>
      <w:hyperlink r:id="rId29" w:tgtFrame="_blank" w:history="1">
        <w:r w:rsidRPr="007E1388">
          <w:rPr>
            <w:rStyle w:val="Hyperlink"/>
            <w:rFonts w:ascii="Times New Roman" w:hAnsi="Times New Roman" w:cs="Times New Roman"/>
            <w:sz w:val="24"/>
            <w:szCs w:val="24"/>
          </w:rPr>
          <w:t>Ico.org.uk</w:t>
        </w:r>
      </w:hyperlink>
      <w:r w:rsidRPr="007E1388">
        <w:rPr>
          <w:rFonts w:ascii="Times New Roman" w:hAnsi="Times New Roman" w:cs="Times New Roman"/>
          <w:sz w:val="24"/>
          <w:szCs w:val="24"/>
        </w:rPr>
        <w:t xml:space="preserve">. Available at: </w:t>
      </w:r>
      <w:hyperlink r:id="rId30" w:tgtFrame="_blank" w:history="1">
        <w:r w:rsidRPr="007E1388">
          <w:rPr>
            <w:rStyle w:val="Hyperlink"/>
            <w:rFonts w:ascii="Times New Roman" w:hAnsi="Times New Roman" w:cs="Times New Roman"/>
            <w:sz w:val="24"/>
            <w:szCs w:val="24"/>
          </w:rPr>
          <w:t>http://ico.org.uk/for-organisations/uk-gdpr-guidance-and-resources/individual-rights/automated-decision-making/</w:t>
        </w:r>
      </w:hyperlink>
      <w:r w:rsidRPr="007E1388">
        <w:rPr>
          <w:rFonts w:ascii="Times New Roman" w:hAnsi="Times New Roman" w:cs="Times New Roman"/>
          <w:sz w:val="24"/>
          <w:szCs w:val="24"/>
        </w:rPr>
        <w:t xml:space="preserve"> </w:t>
      </w:r>
    </w:p>
    <w:p w14:paraId="1DE30BD5" w14:textId="22CE97B1"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Igwe-Nmaju, C. and Anadozie, C. (2022). Digital trust and communication in tech-critical industries: Frameworks for managing stakeholder confidence at scale or commanding </w:t>
      </w:r>
      <w:r w:rsidRPr="007E1388">
        <w:rPr>
          <w:rFonts w:ascii="Times New Roman" w:hAnsi="Times New Roman" w:cs="Times New Roman"/>
          <w:sz w:val="24"/>
          <w:szCs w:val="24"/>
        </w:rPr>
        <w:lastRenderedPageBreak/>
        <w:t xml:space="preserve">digital trust in high-stakes sectors: Communication strategies for sustaining stakeholder confidence amid technological risk. </w:t>
      </w:r>
      <w:r w:rsidRPr="007E1388">
        <w:rPr>
          <w:rFonts w:ascii="Times New Roman" w:hAnsi="Times New Roman" w:cs="Times New Roman"/>
          <w:i/>
          <w:iCs/>
          <w:sz w:val="24"/>
          <w:szCs w:val="24"/>
        </w:rPr>
        <w:t>World Journal of Advanced Research and Reviews</w:t>
      </w:r>
      <w:r w:rsidRPr="007E1388">
        <w:rPr>
          <w:rFonts w:ascii="Times New Roman" w:hAnsi="Times New Roman" w:cs="Times New Roman"/>
          <w:sz w:val="24"/>
          <w:szCs w:val="24"/>
        </w:rPr>
        <w:t>,</w:t>
      </w:r>
      <w:r>
        <w:rPr>
          <w:rFonts w:ascii="Times New Roman" w:hAnsi="Times New Roman" w:cs="Times New Roman"/>
          <w:sz w:val="24"/>
          <w:szCs w:val="24"/>
        </w:rPr>
        <w:t xml:space="preserve"> </w:t>
      </w:r>
      <w:r w:rsidRPr="007E1388">
        <w:rPr>
          <w:rFonts w:ascii="Times New Roman" w:hAnsi="Times New Roman" w:cs="Times New Roman"/>
          <w:sz w:val="24"/>
          <w:szCs w:val="24"/>
        </w:rPr>
        <w:t>15(3), pp. 609–630. doi:</w:t>
      </w:r>
      <w:hyperlink r:id="rId31" w:tgtFrame="_blank" w:history="1">
        <w:r w:rsidRPr="007E1388">
          <w:rPr>
            <w:rStyle w:val="Hyperlink"/>
            <w:rFonts w:ascii="Times New Roman" w:hAnsi="Times New Roman" w:cs="Times New Roman"/>
            <w:sz w:val="24"/>
            <w:szCs w:val="24"/>
          </w:rPr>
          <w:t>https://doi.org/10.30574/wjarr.2022.15.3.0920</w:t>
        </w:r>
      </w:hyperlink>
      <w:r w:rsidRPr="007E1388">
        <w:rPr>
          <w:rFonts w:ascii="Times New Roman" w:hAnsi="Times New Roman" w:cs="Times New Roman"/>
          <w:sz w:val="24"/>
          <w:szCs w:val="24"/>
        </w:rPr>
        <w:t>.</w:t>
      </w:r>
    </w:p>
    <w:p w14:paraId="2F804AE2" w14:textId="77777777" w:rsid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klaw (2025). </w:t>
      </w:r>
      <w:r w:rsidRPr="007E1388">
        <w:rPr>
          <w:rFonts w:ascii="Times New Roman" w:hAnsi="Times New Roman" w:cs="Times New Roman"/>
          <w:i/>
          <w:iCs/>
          <w:sz w:val="24"/>
          <w:szCs w:val="24"/>
        </w:rPr>
        <w:t>AI Regulation in the UK and EU: Diverging Paths, Shared Challenges - Kubiack Law</w:t>
      </w:r>
      <w:r w:rsidRPr="007E1388">
        <w:rPr>
          <w:rFonts w:ascii="Times New Roman" w:hAnsi="Times New Roman" w:cs="Times New Roman"/>
          <w:sz w:val="24"/>
          <w:szCs w:val="24"/>
        </w:rPr>
        <w:t xml:space="preserve">. [online] Kubiack Law. Available at: </w:t>
      </w:r>
      <w:hyperlink r:id="rId32" w:tgtFrame="_blank" w:history="1">
        <w:r w:rsidRPr="007E1388">
          <w:rPr>
            <w:rStyle w:val="Hyperlink"/>
            <w:rFonts w:ascii="Times New Roman" w:hAnsi="Times New Roman" w:cs="Times New Roman"/>
            <w:sz w:val="24"/>
            <w:szCs w:val="24"/>
          </w:rPr>
          <w:t>https://www.kubiack.com/ai-regulation-in-the-uk-and-eu-diverging-paths-shared-challenges/</w:t>
        </w:r>
      </w:hyperlink>
      <w:r w:rsidRPr="007E1388">
        <w:rPr>
          <w:rFonts w:ascii="Times New Roman" w:hAnsi="Times New Roman" w:cs="Times New Roman"/>
          <w:sz w:val="24"/>
          <w:szCs w:val="24"/>
        </w:rPr>
        <w:t xml:space="preserve"> </w:t>
      </w:r>
    </w:p>
    <w:p w14:paraId="65CF2581" w14:textId="0EF6DCC6"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Larsson, S. and Heintz, F. (2020). Transparency in artificial intelligence. </w:t>
      </w:r>
      <w:r w:rsidRPr="007E1388">
        <w:rPr>
          <w:rFonts w:ascii="Times New Roman" w:hAnsi="Times New Roman" w:cs="Times New Roman"/>
          <w:i/>
          <w:iCs/>
          <w:sz w:val="24"/>
          <w:szCs w:val="24"/>
        </w:rPr>
        <w:t>Internet Policy Review</w:t>
      </w:r>
      <w:r w:rsidRPr="007E1388">
        <w:rPr>
          <w:rFonts w:ascii="Times New Roman" w:hAnsi="Times New Roman" w:cs="Times New Roman"/>
          <w:sz w:val="24"/>
          <w:szCs w:val="24"/>
        </w:rPr>
        <w:t>, 9(2). doi:</w:t>
      </w:r>
      <w:hyperlink r:id="rId33" w:tgtFrame="_blank" w:history="1">
        <w:r w:rsidRPr="007E1388">
          <w:rPr>
            <w:rStyle w:val="Hyperlink"/>
            <w:rFonts w:ascii="Times New Roman" w:hAnsi="Times New Roman" w:cs="Times New Roman"/>
            <w:sz w:val="24"/>
            <w:szCs w:val="24"/>
          </w:rPr>
          <w:t>https://doi.org/10.14763/2020.2.1469</w:t>
        </w:r>
      </w:hyperlink>
      <w:r w:rsidRPr="007E1388">
        <w:rPr>
          <w:rFonts w:ascii="Times New Roman" w:hAnsi="Times New Roman" w:cs="Times New Roman"/>
          <w:sz w:val="24"/>
          <w:szCs w:val="24"/>
        </w:rPr>
        <w:t>.</w:t>
      </w:r>
    </w:p>
    <w:p w14:paraId="56DEAF23" w14:textId="3162B902"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Latilo, A., Uzougbo, S., Ugwu, C. and Oduro, P. (2024). Strategies for corporate compliance and litigation avoidance in multinational enterprises. </w:t>
      </w:r>
      <w:r w:rsidRPr="007E1388">
        <w:rPr>
          <w:rFonts w:ascii="Times New Roman" w:hAnsi="Times New Roman" w:cs="Times New Roman"/>
          <w:i/>
          <w:iCs/>
          <w:sz w:val="24"/>
          <w:szCs w:val="24"/>
        </w:rPr>
        <w:t>World Journal of Advanced Science and Technology</w:t>
      </w:r>
      <w:r w:rsidRPr="007E1388">
        <w:rPr>
          <w:rFonts w:ascii="Times New Roman" w:hAnsi="Times New Roman" w:cs="Times New Roman"/>
          <w:sz w:val="24"/>
          <w:szCs w:val="24"/>
        </w:rPr>
        <w:t>, 6(1), pp. 073–087. doi:</w:t>
      </w:r>
      <w:hyperlink r:id="rId34" w:tgtFrame="_blank" w:history="1">
        <w:r w:rsidRPr="007E1388">
          <w:rPr>
            <w:rStyle w:val="Hyperlink"/>
            <w:rFonts w:ascii="Times New Roman" w:hAnsi="Times New Roman" w:cs="Times New Roman"/>
            <w:sz w:val="24"/>
            <w:szCs w:val="24"/>
          </w:rPr>
          <w:t>https://doi.org/10.53346/wjast.2024.6.1.0048</w:t>
        </w:r>
      </w:hyperlink>
      <w:r w:rsidRPr="007E1388">
        <w:rPr>
          <w:rFonts w:ascii="Times New Roman" w:hAnsi="Times New Roman" w:cs="Times New Roman"/>
          <w:sz w:val="24"/>
          <w:szCs w:val="24"/>
        </w:rPr>
        <w:t>.</w:t>
      </w:r>
    </w:p>
    <w:p w14:paraId="37F1B36C" w14:textId="7A229620" w:rsidR="007E1388" w:rsidRPr="007E1388" w:rsidRDefault="007E1388" w:rsidP="007E1388">
      <w:pPr>
        <w:spacing w:after="0" w:line="360" w:lineRule="auto"/>
        <w:ind w:left="720" w:hanging="720"/>
        <w:rPr>
          <w:rFonts w:ascii="Times New Roman" w:hAnsi="Times New Roman" w:cs="Times New Roman"/>
          <w:sz w:val="24"/>
          <w:szCs w:val="24"/>
        </w:rPr>
      </w:pPr>
      <w:hyperlink r:id="rId35" w:tgtFrame="_blank" w:history="1">
        <w:r w:rsidRPr="007E1388">
          <w:rPr>
            <w:rStyle w:val="Hyperlink"/>
            <w:rFonts w:ascii="Times New Roman" w:hAnsi="Times New Roman" w:cs="Times New Roman"/>
            <w:sz w:val="24"/>
            <w:szCs w:val="24"/>
          </w:rPr>
          <w:t>Legislation.gov.uk</w:t>
        </w:r>
      </w:hyperlink>
      <w:r w:rsidRPr="007E1388">
        <w:rPr>
          <w:rFonts w:ascii="Times New Roman" w:hAnsi="Times New Roman" w:cs="Times New Roman"/>
          <w:sz w:val="24"/>
          <w:szCs w:val="24"/>
        </w:rPr>
        <w:t xml:space="preserve"> (2018). </w:t>
      </w:r>
      <w:r w:rsidRPr="007E1388">
        <w:rPr>
          <w:rFonts w:ascii="Times New Roman" w:hAnsi="Times New Roman" w:cs="Times New Roman"/>
          <w:i/>
          <w:iCs/>
          <w:sz w:val="24"/>
          <w:szCs w:val="24"/>
        </w:rPr>
        <w:t>Data Protection Act 2018</w:t>
      </w:r>
      <w:r w:rsidRPr="007E1388">
        <w:rPr>
          <w:rFonts w:ascii="Times New Roman" w:hAnsi="Times New Roman" w:cs="Times New Roman"/>
          <w:sz w:val="24"/>
          <w:szCs w:val="24"/>
        </w:rPr>
        <w:t>.</w:t>
      </w:r>
      <w:r>
        <w:rPr>
          <w:rFonts w:ascii="Times New Roman" w:hAnsi="Times New Roman" w:cs="Times New Roman"/>
          <w:sz w:val="24"/>
          <w:szCs w:val="24"/>
        </w:rPr>
        <w:t xml:space="preserve"> </w:t>
      </w:r>
      <w:hyperlink r:id="rId36" w:tgtFrame="_blank" w:history="1">
        <w:r w:rsidRPr="007E1388">
          <w:rPr>
            <w:rStyle w:val="Hyperlink"/>
            <w:rFonts w:ascii="Times New Roman" w:hAnsi="Times New Roman" w:cs="Times New Roman"/>
            <w:sz w:val="24"/>
            <w:szCs w:val="24"/>
          </w:rPr>
          <w:t>https://www.legislation.gov.uk/ukpga/2018/12/section/3/2018-05-23?view=plain</w:t>
        </w:r>
      </w:hyperlink>
      <w:r w:rsidRPr="007E1388">
        <w:rPr>
          <w:rFonts w:ascii="Times New Roman" w:hAnsi="Times New Roman" w:cs="Times New Roman"/>
          <w:sz w:val="24"/>
          <w:szCs w:val="24"/>
        </w:rPr>
        <w:t xml:space="preserve"> </w:t>
      </w:r>
    </w:p>
    <w:p w14:paraId="4E7D0AAE"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Mbah, G.O. (2024). Data privacy in the era of AI: Navigating regulatory landscapes for global businesses. </w:t>
      </w:r>
      <w:r w:rsidRPr="007E1388">
        <w:rPr>
          <w:rFonts w:ascii="Times New Roman" w:hAnsi="Times New Roman" w:cs="Times New Roman"/>
          <w:i/>
          <w:iCs/>
          <w:sz w:val="24"/>
          <w:szCs w:val="24"/>
        </w:rPr>
        <w:t>International Journal of Science and Research Archive</w:t>
      </w:r>
      <w:r w:rsidRPr="007E1388">
        <w:rPr>
          <w:rFonts w:ascii="Times New Roman" w:hAnsi="Times New Roman" w:cs="Times New Roman"/>
          <w:sz w:val="24"/>
          <w:szCs w:val="24"/>
        </w:rPr>
        <w:t>, 13(2), pp. 2040–2058. doi:</w:t>
      </w:r>
      <w:hyperlink r:id="rId37" w:tgtFrame="_blank" w:history="1">
        <w:r w:rsidRPr="007E1388">
          <w:rPr>
            <w:rStyle w:val="Hyperlink"/>
            <w:rFonts w:ascii="Times New Roman" w:hAnsi="Times New Roman" w:cs="Times New Roman"/>
            <w:sz w:val="24"/>
            <w:szCs w:val="24"/>
          </w:rPr>
          <w:t>https://doi.org/10.30574/ijsra.2024.13.2.2396</w:t>
        </w:r>
      </w:hyperlink>
      <w:r w:rsidRPr="007E1388">
        <w:rPr>
          <w:rFonts w:ascii="Times New Roman" w:hAnsi="Times New Roman" w:cs="Times New Roman"/>
          <w:sz w:val="24"/>
          <w:szCs w:val="24"/>
        </w:rPr>
        <w:t>.</w:t>
      </w:r>
    </w:p>
    <w:p w14:paraId="2E0F83E3"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McCormack, L., Bendechache, M., Lewis, D. and Huyskes, D. (2025). Trust and transparency in AI: industry voices on data, ethics, and compliance. </w:t>
      </w:r>
      <w:r w:rsidRPr="007E1388">
        <w:rPr>
          <w:rFonts w:ascii="Times New Roman" w:hAnsi="Times New Roman" w:cs="Times New Roman"/>
          <w:i/>
          <w:iCs/>
          <w:sz w:val="24"/>
          <w:szCs w:val="24"/>
        </w:rPr>
        <w:t>AI &amp; SOCIETY</w:t>
      </w:r>
      <w:r w:rsidRPr="007E1388">
        <w:rPr>
          <w:rFonts w:ascii="Times New Roman" w:hAnsi="Times New Roman" w:cs="Times New Roman"/>
          <w:sz w:val="24"/>
          <w:szCs w:val="24"/>
        </w:rPr>
        <w:t>. doi:</w:t>
      </w:r>
      <w:hyperlink r:id="rId38" w:tgtFrame="_blank" w:history="1">
        <w:r w:rsidRPr="007E1388">
          <w:rPr>
            <w:rStyle w:val="Hyperlink"/>
            <w:rFonts w:ascii="Times New Roman" w:hAnsi="Times New Roman" w:cs="Times New Roman"/>
            <w:sz w:val="24"/>
            <w:szCs w:val="24"/>
          </w:rPr>
          <w:t>https://doi.org/10.1007/s00146-025-02654-7</w:t>
        </w:r>
      </w:hyperlink>
      <w:r w:rsidRPr="007E1388">
        <w:rPr>
          <w:rFonts w:ascii="Times New Roman" w:hAnsi="Times New Roman" w:cs="Times New Roman"/>
          <w:sz w:val="24"/>
          <w:szCs w:val="24"/>
        </w:rPr>
        <w:t>.</w:t>
      </w:r>
    </w:p>
    <w:p w14:paraId="24436AAB" w14:textId="409055B0"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Mehrabi, N., Morstatter, F., Saxena, N., Lerman, K. and Galstyan, A. (2021). A Survey on Bias and Fairness in Machine Learning. </w:t>
      </w:r>
      <w:r w:rsidRPr="007E1388">
        <w:rPr>
          <w:rFonts w:ascii="Times New Roman" w:hAnsi="Times New Roman" w:cs="Times New Roman"/>
          <w:i/>
          <w:iCs/>
          <w:sz w:val="24"/>
          <w:szCs w:val="24"/>
        </w:rPr>
        <w:t>ACM Computing Surveys</w:t>
      </w:r>
      <w:r w:rsidRPr="007E1388">
        <w:rPr>
          <w:rFonts w:ascii="Times New Roman" w:hAnsi="Times New Roman" w:cs="Times New Roman"/>
          <w:sz w:val="24"/>
          <w:szCs w:val="24"/>
        </w:rPr>
        <w:t>, 54(6), pp. 1–35. doi:</w:t>
      </w:r>
      <w:hyperlink r:id="rId39" w:tgtFrame="_blank" w:history="1">
        <w:r w:rsidRPr="007E1388">
          <w:rPr>
            <w:rStyle w:val="Hyperlink"/>
            <w:rFonts w:ascii="Times New Roman" w:hAnsi="Times New Roman" w:cs="Times New Roman"/>
            <w:sz w:val="24"/>
            <w:szCs w:val="24"/>
          </w:rPr>
          <w:t>https://doi.org/10.1145/3457607</w:t>
        </w:r>
      </w:hyperlink>
      <w:r w:rsidRPr="007E1388">
        <w:rPr>
          <w:rFonts w:ascii="Times New Roman" w:hAnsi="Times New Roman" w:cs="Times New Roman"/>
          <w:sz w:val="24"/>
          <w:szCs w:val="24"/>
        </w:rPr>
        <w:t>.</w:t>
      </w:r>
    </w:p>
    <w:p w14:paraId="495FD55F"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Musch, S., Borrelli, M.C. and Kerrigan, C. (2024). Bridging compliance and innovation: A comparative analysis of the EU AI Act and GDPR for enhanced organisational strategy. </w:t>
      </w:r>
      <w:r w:rsidRPr="007E1388">
        <w:rPr>
          <w:rFonts w:ascii="Times New Roman" w:hAnsi="Times New Roman" w:cs="Times New Roman"/>
          <w:i/>
          <w:iCs/>
          <w:sz w:val="24"/>
          <w:szCs w:val="24"/>
        </w:rPr>
        <w:t>Journal of data protection &amp; privacy,</w:t>
      </w:r>
      <w:r w:rsidRPr="007E1388">
        <w:rPr>
          <w:rFonts w:ascii="Times New Roman" w:hAnsi="Times New Roman" w:cs="Times New Roman"/>
          <w:sz w:val="24"/>
          <w:szCs w:val="24"/>
        </w:rPr>
        <w:t xml:space="preserve"> 7(1), pp. 14–14. doi: https://doi.org/10.69554/fwhu3837.</w:t>
      </w:r>
    </w:p>
    <w:p w14:paraId="7C8980A3"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Niemiec, E., Minssen, T., Boland, P.A., McEntee, P.D. and Cahill, R.A. (2025). Legal and regulatory challenges in multi-country data-driven projects developing and validating medical AI systems in the EU. </w:t>
      </w:r>
      <w:r w:rsidRPr="007E1388">
        <w:rPr>
          <w:rFonts w:ascii="Times New Roman" w:hAnsi="Times New Roman" w:cs="Times New Roman"/>
          <w:i/>
          <w:iCs/>
          <w:sz w:val="24"/>
          <w:szCs w:val="24"/>
        </w:rPr>
        <w:t>Expert Review of Medical Devices</w:t>
      </w:r>
      <w:r w:rsidRPr="007E1388">
        <w:rPr>
          <w:rFonts w:ascii="Times New Roman" w:hAnsi="Times New Roman" w:cs="Times New Roman"/>
          <w:sz w:val="24"/>
          <w:szCs w:val="24"/>
        </w:rPr>
        <w:t>. doi:</w:t>
      </w:r>
      <w:hyperlink r:id="rId40" w:tgtFrame="_blank" w:history="1">
        <w:r w:rsidRPr="007E1388">
          <w:rPr>
            <w:rStyle w:val="Hyperlink"/>
            <w:rFonts w:ascii="Times New Roman" w:hAnsi="Times New Roman" w:cs="Times New Roman"/>
            <w:sz w:val="24"/>
            <w:szCs w:val="24"/>
          </w:rPr>
          <w:t>https://doi.org/10.1080/17434440.2025.2531295</w:t>
        </w:r>
      </w:hyperlink>
      <w:r w:rsidRPr="007E1388">
        <w:rPr>
          <w:rFonts w:ascii="Times New Roman" w:hAnsi="Times New Roman" w:cs="Times New Roman"/>
          <w:sz w:val="24"/>
          <w:szCs w:val="24"/>
        </w:rPr>
        <w:t>.</w:t>
      </w:r>
    </w:p>
    <w:p w14:paraId="4218F955" w14:textId="4A0FBE82"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Nookala, G. (2024). Adaptive Data Governance Frameworks for Data-Driven Digital Transformations. </w:t>
      </w:r>
      <w:r w:rsidRPr="007E1388">
        <w:rPr>
          <w:rFonts w:ascii="Times New Roman" w:hAnsi="Times New Roman" w:cs="Times New Roman"/>
          <w:i/>
          <w:iCs/>
          <w:sz w:val="24"/>
          <w:szCs w:val="24"/>
        </w:rPr>
        <w:t>Journal of Computational Innovation</w:t>
      </w:r>
      <w:r w:rsidRPr="007E1388">
        <w:rPr>
          <w:rFonts w:ascii="Times New Roman" w:hAnsi="Times New Roman" w:cs="Times New Roman"/>
          <w:sz w:val="24"/>
          <w:szCs w:val="24"/>
        </w:rPr>
        <w:t xml:space="preserve">, </w:t>
      </w:r>
      <w:hyperlink r:id="rId41" w:tgtFrame="_blank" w:history="1">
        <w:r w:rsidRPr="007E1388">
          <w:rPr>
            <w:rStyle w:val="Hyperlink"/>
            <w:rFonts w:ascii="Times New Roman" w:hAnsi="Times New Roman" w:cs="Times New Roman"/>
            <w:sz w:val="24"/>
            <w:szCs w:val="24"/>
          </w:rPr>
          <w:t>https://researchworkx.com/index.php/jci/article/view/16</w:t>
        </w:r>
      </w:hyperlink>
      <w:r w:rsidRPr="007E1388">
        <w:rPr>
          <w:rFonts w:ascii="Times New Roman" w:hAnsi="Times New Roman" w:cs="Times New Roman"/>
          <w:sz w:val="24"/>
          <w:szCs w:val="24"/>
        </w:rPr>
        <w:t>.</w:t>
      </w:r>
    </w:p>
    <w:p w14:paraId="5321FF21"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lastRenderedPageBreak/>
        <w:t xml:space="preserve">OECD (2019). </w:t>
      </w:r>
      <w:r w:rsidRPr="007E1388">
        <w:rPr>
          <w:rFonts w:ascii="Times New Roman" w:hAnsi="Times New Roman" w:cs="Times New Roman"/>
          <w:i/>
          <w:iCs/>
          <w:sz w:val="24"/>
          <w:szCs w:val="24"/>
        </w:rPr>
        <w:t>Recommendation of the Council on Artificial Intelligence</w:t>
      </w:r>
      <w:r w:rsidRPr="007E1388">
        <w:rPr>
          <w:rFonts w:ascii="Times New Roman" w:hAnsi="Times New Roman" w:cs="Times New Roman"/>
          <w:sz w:val="24"/>
          <w:szCs w:val="24"/>
        </w:rPr>
        <w:t xml:space="preserve">. [online] </w:t>
      </w:r>
      <w:hyperlink r:id="rId42" w:tgtFrame="_blank" w:history="1">
        <w:r w:rsidRPr="007E1388">
          <w:rPr>
            <w:rStyle w:val="Hyperlink"/>
            <w:rFonts w:ascii="Times New Roman" w:hAnsi="Times New Roman" w:cs="Times New Roman"/>
            <w:sz w:val="24"/>
            <w:szCs w:val="24"/>
          </w:rPr>
          <w:t>Oecd.org</w:t>
        </w:r>
      </w:hyperlink>
      <w:r w:rsidRPr="007E1388">
        <w:rPr>
          <w:rFonts w:ascii="Times New Roman" w:hAnsi="Times New Roman" w:cs="Times New Roman"/>
          <w:sz w:val="24"/>
          <w:szCs w:val="24"/>
        </w:rPr>
        <w:t xml:space="preserve">. Available at: </w:t>
      </w:r>
      <w:hyperlink r:id="rId43" w:tgtFrame="_blank" w:history="1">
        <w:r w:rsidRPr="007E1388">
          <w:rPr>
            <w:rStyle w:val="Hyperlink"/>
            <w:rFonts w:ascii="Times New Roman" w:hAnsi="Times New Roman" w:cs="Times New Roman"/>
            <w:sz w:val="24"/>
            <w:szCs w:val="24"/>
          </w:rPr>
          <w:t>https://legalinstruments.oecd.org/en/instruments/OECD-LEGAL-0449</w:t>
        </w:r>
      </w:hyperlink>
      <w:r w:rsidRPr="007E1388">
        <w:rPr>
          <w:rFonts w:ascii="Times New Roman" w:hAnsi="Times New Roman" w:cs="Times New Roman"/>
          <w:sz w:val="24"/>
          <w:szCs w:val="24"/>
        </w:rPr>
        <w:t>.</w:t>
      </w:r>
    </w:p>
    <w:p w14:paraId="5A45793E" w14:textId="357AFB84"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Office for Budget Responsibility (2026). </w:t>
      </w:r>
      <w:r w:rsidRPr="007E1388">
        <w:rPr>
          <w:rFonts w:ascii="Times New Roman" w:hAnsi="Times New Roman" w:cs="Times New Roman"/>
          <w:i/>
          <w:iCs/>
          <w:sz w:val="24"/>
          <w:szCs w:val="24"/>
        </w:rPr>
        <w:t>Economic and fiscal outlook</w:t>
      </w:r>
      <w:r w:rsidRPr="007E1388">
        <w:rPr>
          <w:rFonts w:ascii="Times New Roman" w:hAnsi="Times New Roman" w:cs="Times New Roman"/>
          <w:sz w:val="24"/>
          <w:szCs w:val="24"/>
        </w:rPr>
        <w:t xml:space="preserve">. </w:t>
      </w:r>
      <w:hyperlink r:id="rId44" w:tgtFrame="_blank" w:history="1">
        <w:r w:rsidRPr="007E1388">
          <w:rPr>
            <w:rStyle w:val="Hyperlink"/>
            <w:rFonts w:ascii="Times New Roman" w:hAnsi="Times New Roman" w:cs="Times New Roman"/>
            <w:sz w:val="24"/>
            <w:szCs w:val="24"/>
          </w:rPr>
          <w:t>https://assets.publishing.service.gov.uk/media/69a6d7b62e1f4fbda4252208/economic-and-fiscal-outlook-march-2026-web-accessible.pdf</w:t>
        </w:r>
      </w:hyperlink>
      <w:r w:rsidRPr="007E1388">
        <w:rPr>
          <w:rFonts w:ascii="Times New Roman" w:hAnsi="Times New Roman" w:cs="Times New Roman"/>
          <w:sz w:val="24"/>
          <w:szCs w:val="24"/>
        </w:rPr>
        <w:t>.</w:t>
      </w:r>
    </w:p>
    <w:p w14:paraId="36491AB6" w14:textId="61B54D68"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Perals, P.O., Maturo, F., Cruz Rambaud, S. and Sánchez García, J. (2025). The moderating role of government intervention in the relationship between investment in artificial intelligence and the development of financial markets. </w:t>
      </w:r>
      <w:r w:rsidRPr="007E1388">
        <w:rPr>
          <w:rFonts w:ascii="Times New Roman" w:hAnsi="Times New Roman" w:cs="Times New Roman"/>
          <w:i/>
          <w:iCs/>
          <w:sz w:val="24"/>
          <w:szCs w:val="24"/>
        </w:rPr>
        <w:t>International Review of Economics &amp; Finance</w:t>
      </w:r>
      <w:r w:rsidRPr="007E1388">
        <w:rPr>
          <w:rFonts w:ascii="Times New Roman" w:hAnsi="Times New Roman" w:cs="Times New Roman"/>
          <w:sz w:val="24"/>
          <w:szCs w:val="24"/>
        </w:rPr>
        <w:t>, 103, p. 104452. doi:</w:t>
      </w:r>
      <w:hyperlink r:id="rId45" w:tgtFrame="_blank" w:history="1">
        <w:r w:rsidRPr="007E1388">
          <w:rPr>
            <w:rStyle w:val="Hyperlink"/>
            <w:rFonts w:ascii="Times New Roman" w:hAnsi="Times New Roman" w:cs="Times New Roman"/>
            <w:sz w:val="24"/>
            <w:szCs w:val="24"/>
          </w:rPr>
          <w:t>https://doi.org/10.1016/j.iref.2025.104452</w:t>
        </w:r>
      </w:hyperlink>
      <w:r w:rsidRPr="007E1388">
        <w:rPr>
          <w:rFonts w:ascii="Times New Roman" w:hAnsi="Times New Roman" w:cs="Times New Roman"/>
          <w:sz w:val="24"/>
          <w:szCs w:val="24"/>
        </w:rPr>
        <w:t>.</w:t>
      </w:r>
    </w:p>
    <w:p w14:paraId="2D929421"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Rane, N., Choudhary, S.P. and Rane, J. (2024). Acceptance of artificial intelligence: key factors, challenges, and implementation strategies. </w:t>
      </w:r>
      <w:r w:rsidRPr="007E1388">
        <w:rPr>
          <w:rFonts w:ascii="Times New Roman" w:hAnsi="Times New Roman" w:cs="Times New Roman"/>
          <w:i/>
          <w:iCs/>
          <w:sz w:val="24"/>
          <w:szCs w:val="24"/>
        </w:rPr>
        <w:t>Journal of Applied Artificial Intelligence</w:t>
      </w:r>
      <w:r w:rsidRPr="007E1388">
        <w:rPr>
          <w:rFonts w:ascii="Times New Roman" w:hAnsi="Times New Roman" w:cs="Times New Roman"/>
          <w:sz w:val="24"/>
          <w:szCs w:val="24"/>
        </w:rPr>
        <w:t>, 5(2), pp. 50–70. doi:</w:t>
      </w:r>
      <w:hyperlink r:id="rId46" w:tgtFrame="_blank" w:history="1">
        <w:r w:rsidRPr="007E1388">
          <w:rPr>
            <w:rStyle w:val="Hyperlink"/>
            <w:rFonts w:ascii="Times New Roman" w:hAnsi="Times New Roman" w:cs="Times New Roman"/>
            <w:sz w:val="24"/>
            <w:szCs w:val="24"/>
          </w:rPr>
          <w:t>https://doi.org/10.48185/jaai.v5i2.1017</w:t>
        </w:r>
      </w:hyperlink>
      <w:r w:rsidRPr="007E1388">
        <w:rPr>
          <w:rFonts w:ascii="Times New Roman" w:hAnsi="Times New Roman" w:cs="Times New Roman"/>
          <w:sz w:val="24"/>
          <w:szCs w:val="24"/>
        </w:rPr>
        <w:t>.</w:t>
      </w:r>
    </w:p>
    <w:p w14:paraId="6B4991EC" w14:textId="1E84A4DC"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Renieris, E.M., Kiron, D. and Mills, S. (2024). </w:t>
      </w:r>
      <w:r w:rsidRPr="007E1388">
        <w:rPr>
          <w:rFonts w:ascii="Times New Roman" w:hAnsi="Times New Roman" w:cs="Times New Roman"/>
          <w:i/>
          <w:iCs/>
          <w:sz w:val="24"/>
          <w:szCs w:val="24"/>
        </w:rPr>
        <w:t>Artificial Intelligence Disclosures Are Key to Customer Trust</w:t>
      </w:r>
      <w:r w:rsidRPr="007E1388">
        <w:rPr>
          <w:rFonts w:ascii="Times New Roman" w:hAnsi="Times New Roman" w:cs="Times New Roman"/>
          <w:sz w:val="24"/>
          <w:szCs w:val="24"/>
        </w:rPr>
        <w:t xml:space="preserve">. </w:t>
      </w:r>
      <w:hyperlink r:id="rId47" w:tgtFrame="_blank" w:history="1">
        <w:r w:rsidRPr="007E1388">
          <w:rPr>
            <w:rStyle w:val="Hyperlink"/>
            <w:rFonts w:ascii="Times New Roman" w:hAnsi="Times New Roman" w:cs="Times New Roman"/>
            <w:sz w:val="24"/>
            <w:szCs w:val="24"/>
          </w:rPr>
          <w:t>https://sloanreview.mit.edu/article/artificial-intelligence-disclosures-are-key-to-customer-trust/</w:t>
        </w:r>
      </w:hyperlink>
      <w:r w:rsidRPr="007E1388">
        <w:rPr>
          <w:rFonts w:ascii="Times New Roman" w:hAnsi="Times New Roman" w:cs="Times New Roman"/>
          <w:sz w:val="24"/>
          <w:szCs w:val="24"/>
        </w:rPr>
        <w:t>.</w:t>
      </w:r>
    </w:p>
    <w:p w14:paraId="00700612"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Roberts, H., Babuta, A., Morley, J., Thomas, C., Taddeo, M. and Floridi, L. (2023). Artificial Intelligence Regulation in the United Kingdom: A Path to Good Governance and Global Leadership? </w:t>
      </w:r>
      <w:r w:rsidRPr="007E1388">
        <w:rPr>
          <w:rFonts w:ascii="Times New Roman" w:hAnsi="Times New Roman" w:cs="Times New Roman"/>
          <w:i/>
          <w:iCs/>
          <w:sz w:val="24"/>
          <w:szCs w:val="24"/>
        </w:rPr>
        <w:t>Internet Policy Review</w:t>
      </w:r>
      <w:r w:rsidRPr="007E1388">
        <w:rPr>
          <w:rFonts w:ascii="Times New Roman" w:hAnsi="Times New Roman" w:cs="Times New Roman"/>
          <w:sz w:val="24"/>
          <w:szCs w:val="24"/>
        </w:rPr>
        <w:t>, 12(2). doi:</w:t>
      </w:r>
      <w:hyperlink r:id="rId48" w:tgtFrame="_blank" w:history="1">
        <w:r w:rsidRPr="007E1388">
          <w:rPr>
            <w:rStyle w:val="Hyperlink"/>
            <w:rFonts w:ascii="Times New Roman" w:hAnsi="Times New Roman" w:cs="Times New Roman"/>
            <w:sz w:val="24"/>
            <w:szCs w:val="24"/>
          </w:rPr>
          <w:t>https://doi.org/10.14763/2023.2.1709</w:t>
        </w:r>
      </w:hyperlink>
      <w:r w:rsidRPr="007E1388">
        <w:rPr>
          <w:rFonts w:ascii="Times New Roman" w:hAnsi="Times New Roman" w:cs="Times New Roman"/>
          <w:sz w:val="24"/>
          <w:szCs w:val="24"/>
        </w:rPr>
        <w:t>.</w:t>
      </w:r>
    </w:p>
    <w:p w14:paraId="64A5936A"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Schmidt, P., Biessmann, F. and Teubner, T. (2020). Transparency and trust in artificial intelligence systems. </w:t>
      </w:r>
      <w:r w:rsidRPr="007E1388">
        <w:rPr>
          <w:rFonts w:ascii="Times New Roman" w:hAnsi="Times New Roman" w:cs="Times New Roman"/>
          <w:i/>
          <w:iCs/>
          <w:sz w:val="24"/>
          <w:szCs w:val="24"/>
        </w:rPr>
        <w:t>Journal of Decision Systems</w:t>
      </w:r>
      <w:r w:rsidRPr="007E1388">
        <w:rPr>
          <w:rFonts w:ascii="Times New Roman" w:hAnsi="Times New Roman" w:cs="Times New Roman"/>
          <w:sz w:val="24"/>
          <w:szCs w:val="24"/>
        </w:rPr>
        <w:t>, 29(4), pp. 260–278. doi:</w:t>
      </w:r>
      <w:hyperlink r:id="rId49" w:tgtFrame="_blank" w:history="1">
        <w:r w:rsidRPr="007E1388">
          <w:rPr>
            <w:rStyle w:val="Hyperlink"/>
            <w:rFonts w:ascii="Times New Roman" w:hAnsi="Times New Roman" w:cs="Times New Roman"/>
            <w:sz w:val="24"/>
            <w:szCs w:val="24"/>
          </w:rPr>
          <w:t>https://doi.org/10.1080/12460125.2020.1819094</w:t>
        </w:r>
      </w:hyperlink>
      <w:r w:rsidRPr="007E1388">
        <w:rPr>
          <w:rFonts w:ascii="Times New Roman" w:hAnsi="Times New Roman" w:cs="Times New Roman"/>
          <w:sz w:val="24"/>
          <w:szCs w:val="24"/>
        </w:rPr>
        <w:t>.</w:t>
      </w:r>
    </w:p>
    <w:p w14:paraId="3F153029"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Secundo, G., Spilotro, C., Gast, J. and Corvello, V. (2024). The transformative power of artificial intelligence within innovation ecosystems: a review and a conceptual framework. </w:t>
      </w:r>
      <w:r w:rsidRPr="007E1388">
        <w:rPr>
          <w:rFonts w:ascii="Times New Roman" w:hAnsi="Times New Roman" w:cs="Times New Roman"/>
          <w:i/>
          <w:iCs/>
          <w:sz w:val="24"/>
          <w:szCs w:val="24"/>
        </w:rPr>
        <w:t>Review of Managerial Science</w:t>
      </w:r>
      <w:r w:rsidRPr="007E1388">
        <w:rPr>
          <w:rFonts w:ascii="Times New Roman" w:hAnsi="Times New Roman" w:cs="Times New Roman"/>
          <w:sz w:val="24"/>
          <w:szCs w:val="24"/>
        </w:rPr>
        <w:t>. doi:</w:t>
      </w:r>
      <w:hyperlink r:id="rId50" w:tgtFrame="_blank" w:history="1">
        <w:r w:rsidRPr="007E1388">
          <w:rPr>
            <w:rStyle w:val="Hyperlink"/>
            <w:rFonts w:ascii="Times New Roman" w:hAnsi="Times New Roman" w:cs="Times New Roman"/>
            <w:sz w:val="24"/>
            <w:szCs w:val="24"/>
          </w:rPr>
          <w:t>https://doi.org/10.1007/s11846-024-00828-z</w:t>
        </w:r>
      </w:hyperlink>
      <w:r w:rsidRPr="007E1388">
        <w:rPr>
          <w:rFonts w:ascii="Times New Roman" w:hAnsi="Times New Roman" w:cs="Times New Roman"/>
          <w:sz w:val="24"/>
          <w:szCs w:val="24"/>
        </w:rPr>
        <w:t>.</w:t>
      </w:r>
    </w:p>
    <w:p w14:paraId="2AE5745B"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Smuha, N.A. (2025). Regulation 2024/1689 of the Eur. Parl. &amp; Council of June 13, 2024 (EU Artificial Intelligence Act). </w:t>
      </w:r>
      <w:r w:rsidRPr="007E1388">
        <w:rPr>
          <w:rFonts w:ascii="Times New Roman" w:hAnsi="Times New Roman" w:cs="Times New Roman"/>
          <w:i/>
          <w:iCs/>
          <w:sz w:val="24"/>
          <w:szCs w:val="24"/>
        </w:rPr>
        <w:t>International Legal Materials</w:t>
      </w:r>
      <w:r w:rsidRPr="007E1388">
        <w:rPr>
          <w:rFonts w:ascii="Times New Roman" w:hAnsi="Times New Roman" w:cs="Times New Roman"/>
          <w:sz w:val="24"/>
          <w:szCs w:val="24"/>
        </w:rPr>
        <w:t>, pp. 1–148. doi:</w:t>
      </w:r>
      <w:hyperlink r:id="rId51" w:tgtFrame="_blank" w:history="1">
        <w:r w:rsidRPr="007E1388">
          <w:rPr>
            <w:rStyle w:val="Hyperlink"/>
            <w:rFonts w:ascii="Times New Roman" w:hAnsi="Times New Roman" w:cs="Times New Roman"/>
            <w:sz w:val="24"/>
            <w:szCs w:val="24"/>
          </w:rPr>
          <w:t>https://doi.org/10.1017/ilm.2024.46</w:t>
        </w:r>
      </w:hyperlink>
      <w:r w:rsidRPr="007E1388">
        <w:rPr>
          <w:rFonts w:ascii="Times New Roman" w:hAnsi="Times New Roman" w:cs="Times New Roman"/>
          <w:sz w:val="24"/>
          <w:szCs w:val="24"/>
        </w:rPr>
        <w:t>.</w:t>
      </w:r>
    </w:p>
    <w:p w14:paraId="3FAD8A45"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Teichmann, F. (2026). Risk, Reasonableness and Residual Harm under the EU AI Act: A Conceptual Framework for Proportional Ex-Ante Controls. </w:t>
      </w:r>
      <w:r w:rsidRPr="007E1388">
        <w:rPr>
          <w:rFonts w:ascii="Times New Roman" w:hAnsi="Times New Roman" w:cs="Times New Roman"/>
          <w:i/>
          <w:iCs/>
          <w:sz w:val="24"/>
          <w:szCs w:val="24"/>
        </w:rPr>
        <w:t>European Journal of Risk Regulation</w:t>
      </w:r>
      <w:r w:rsidRPr="007E1388">
        <w:rPr>
          <w:rFonts w:ascii="Times New Roman" w:hAnsi="Times New Roman" w:cs="Times New Roman"/>
          <w:sz w:val="24"/>
          <w:szCs w:val="24"/>
        </w:rPr>
        <w:t>, pp. 1–25. doi:</w:t>
      </w:r>
      <w:hyperlink r:id="rId52" w:tgtFrame="_blank" w:history="1">
        <w:r w:rsidRPr="007E1388">
          <w:rPr>
            <w:rStyle w:val="Hyperlink"/>
            <w:rFonts w:ascii="Times New Roman" w:hAnsi="Times New Roman" w:cs="Times New Roman"/>
            <w:sz w:val="24"/>
            <w:szCs w:val="24"/>
          </w:rPr>
          <w:t>https://doi.org/10.1017/err.2025.10077</w:t>
        </w:r>
      </w:hyperlink>
      <w:r w:rsidRPr="007E1388">
        <w:rPr>
          <w:rFonts w:ascii="Times New Roman" w:hAnsi="Times New Roman" w:cs="Times New Roman"/>
          <w:sz w:val="24"/>
          <w:szCs w:val="24"/>
        </w:rPr>
        <w:t>.</w:t>
      </w:r>
    </w:p>
    <w:p w14:paraId="7F9E5048" w14:textId="1EEA5326"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Thompsett, L. (2024). </w:t>
      </w:r>
      <w:r w:rsidRPr="007E1388">
        <w:rPr>
          <w:rFonts w:ascii="Times New Roman" w:hAnsi="Times New Roman" w:cs="Times New Roman"/>
          <w:i/>
          <w:iCs/>
          <w:sz w:val="24"/>
          <w:szCs w:val="24"/>
        </w:rPr>
        <w:t>AI in Banking: Driving Efficiency and Innovation</w:t>
      </w:r>
      <w:r w:rsidRPr="007E1388">
        <w:rPr>
          <w:rFonts w:ascii="Times New Roman" w:hAnsi="Times New Roman" w:cs="Times New Roman"/>
          <w:sz w:val="24"/>
          <w:szCs w:val="24"/>
        </w:rPr>
        <w:t xml:space="preserve">. </w:t>
      </w:r>
      <w:hyperlink r:id="rId53" w:tgtFrame="_blank" w:history="1">
        <w:r w:rsidRPr="007E1388">
          <w:rPr>
            <w:rStyle w:val="Hyperlink"/>
            <w:rFonts w:ascii="Times New Roman" w:hAnsi="Times New Roman" w:cs="Times New Roman"/>
            <w:sz w:val="24"/>
            <w:szCs w:val="24"/>
          </w:rPr>
          <w:t>https://fintechmagazine.com/articles/ai-in-banking-driving-efficiency-and-innovation</w:t>
        </w:r>
      </w:hyperlink>
      <w:r w:rsidRPr="007E1388">
        <w:rPr>
          <w:rFonts w:ascii="Times New Roman" w:hAnsi="Times New Roman" w:cs="Times New Roman"/>
          <w:sz w:val="24"/>
          <w:szCs w:val="24"/>
        </w:rPr>
        <w:t>.</w:t>
      </w:r>
    </w:p>
    <w:p w14:paraId="777AC47A" w14:textId="52D3B59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lastRenderedPageBreak/>
        <w:t xml:space="preserve">UNESCO (2021). </w:t>
      </w:r>
      <w:r w:rsidRPr="007E1388">
        <w:rPr>
          <w:rFonts w:ascii="Times New Roman" w:hAnsi="Times New Roman" w:cs="Times New Roman"/>
          <w:i/>
          <w:iCs/>
          <w:sz w:val="24"/>
          <w:szCs w:val="24"/>
        </w:rPr>
        <w:t>Ethics of Artificial Intelligence</w:t>
      </w:r>
      <w:r w:rsidRPr="007E1388">
        <w:rPr>
          <w:rFonts w:ascii="Times New Roman" w:hAnsi="Times New Roman" w:cs="Times New Roman"/>
          <w:sz w:val="24"/>
          <w:szCs w:val="24"/>
        </w:rPr>
        <w:t xml:space="preserve">. [online] UNESCO.  </w:t>
      </w:r>
      <w:hyperlink r:id="rId54" w:tgtFrame="_blank" w:history="1">
        <w:r w:rsidRPr="007E1388">
          <w:rPr>
            <w:rStyle w:val="Hyperlink"/>
            <w:rFonts w:ascii="Times New Roman" w:hAnsi="Times New Roman" w:cs="Times New Roman"/>
            <w:sz w:val="24"/>
            <w:szCs w:val="24"/>
          </w:rPr>
          <w:t>https://www.unesco.org/en/artificial-intelligence/recommendation-ethics</w:t>
        </w:r>
      </w:hyperlink>
      <w:r w:rsidRPr="007E1388">
        <w:rPr>
          <w:rFonts w:ascii="Times New Roman" w:hAnsi="Times New Roman" w:cs="Times New Roman"/>
          <w:sz w:val="24"/>
          <w:szCs w:val="24"/>
        </w:rPr>
        <w:t>.</w:t>
      </w:r>
    </w:p>
    <w:p w14:paraId="3BD072EF"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Unilever (2024). </w:t>
      </w:r>
      <w:r w:rsidRPr="007E1388">
        <w:rPr>
          <w:rFonts w:ascii="Times New Roman" w:hAnsi="Times New Roman" w:cs="Times New Roman"/>
          <w:i/>
          <w:iCs/>
          <w:sz w:val="24"/>
          <w:szCs w:val="24"/>
        </w:rPr>
        <w:t>Unilever Annual Report and Accounts 2024</w:t>
      </w:r>
      <w:r w:rsidRPr="007E1388">
        <w:rPr>
          <w:rFonts w:ascii="Times New Roman" w:hAnsi="Times New Roman" w:cs="Times New Roman"/>
          <w:sz w:val="24"/>
          <w:szCs w:val="24"/>
        </w:rPr>
        <w:t>.</w:t>
      </w:r>
    </w:p>
    <w:p w14:paraId="46D602FB" w14:textId="47B78EA5"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VASILESCU, A.-C.B. (2025). PERFORMANCE IN ACCESSING FUNDING THROUGH DIGITAL EUROPE PROGRAMME. </w:t>
      </w:r>
      <w:r w:rsidRPr="007E1388">
        <w:rPr>
          <w:rFonts w:ascii="Times New Roman" w:hAnsi="Times New Roman" w:cs="Times New Roman"/>
          <w:i/>
          <w:iCs/>
          <w:sz w:val="24"/>
          <w:szCs w:val="24"/>
        </w:rPr>
        <w:t>Eastern European Journal for Regional Studies (EEJRS)</w:t>
      </w:r>
      <w:r w:rsidRPr="007E1388">
        <w:rPr>
          <w:rFonts w:ascii="Times New Roman" w:hAnsi="Times New Roman" w:cs="Times New Roman"/>
          <w:sz w:val="24"/>
          <w:szCs w:val="24"/>
        </w:rPr>
        <w:t xml:space="preserve">,11(1), pp. 45–62. Available at: </w:t>
      </w:r>
      <w:hyperlink r:id="rId55" w:tgtFrame="_blank" w:history="1">
        <w:r w:rsidRPr="007E1388">
          <w:rPr>
            <w:rStyle w:val="Hyperlink"/>
            <w:rFonts w:ascii="Times New Roman" w:hAnsi="Times New Roman" w:cs="Times New Roman"/>
            <w:sz w:val="24"/>
            <w:szCs w:val="24"/>
          </w:rPr>
          <w:t>https://www.ceeol.com/search/article-detail?id=1352786</w:t>
        </w:r>
      </w:hyperlink>
      <w:r w:rsidRPr="007E1388">
        <w:rPr>
          <w:rFonts w:ascii="Times New Roman" w:hAnsi="Times New Roman" w:cs="Times New Roman"/>
          <w:sz w:val="24"/>
          <w:szCs w:val="24"/>
        </w:rPr>
        <w:t xml:space="preserve"> [Accessed 24 Apr. 2026].</w:t>
      </w:r>
    </w:p>
    <w:p w14:paraId="1B3D2DF4" w14:textId="1EF8BEAC"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Videgaray, Aghion and Caputo (2024). </w:t>
      </w:r>
      <w:r w:rsidRPr="007E1388">
        <w:rPr>
          <w:rFonts w:ascii="Times New Roman" w:hAnsi="Times New Roman" w:cs="Times New Roman"/>
          <w:i/>
          <w:iCs/>
          <w:sz w:val="24"/>
          <w:szCs w:val="24"/>
        </w:rPr>
        <w:t>Artificial intelligence and economic and financial policymaking.</w:t>
      </w:r>
      <w:r w:rsidRPr="007E1388">
        <w:rPr>
          <w:rFonts w:ascii="Times New Roman" w:hAnsi="Times New Roman" w:cs="Times New Roman"/>
          <w:sz w:val="24"/>
          <w:szCs w:val="24"/>
        </w:rPr>
        <w:t xml:space="preserve"> </w:t>
      </w:r>
      <w:hyperlink r:id="rId56" w:tgtFrame="_blank" w:history="1">
        <w:r w:rsidRPr="007E1388">
          <w:rPr>
            <w:rStyle w:val="Hyperlink"/>
            <w:rFonts w:ascii="Times New Roman" w:hAnsi="Times New Roman" w:cs="Times New Roman"/>
            <w:sz w:val="24"/>
            <w:szCs w:val="24"/>
          </w:rPr>
          <w:t>https://www.dt.mef.gov.it/export/sites/sitodt/modules/documenti_it/HLPE-Report-on-AI.pdf</w:t>
        </w:r>
      </w:hyperlink>
      <w:r w:rsidRPr="007E1388">
        <w:rPr>
          <w:rFonts w:ascii="Times New Roman" w:hAnsi="Times New Roman" w:cs="Times New Roman"/>
          <w:sz w:val="24"/>
          <w:szCs w:val="24"/>
        </w:rPr>
        <w:t>.</w:t>
      </w:r>
    </w:p>
    <w:p w14:paraId="1518AA28" w14:textId="24990F9D"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Wright, K. (2022). ‘Architecture of regulation and regulatory agencies’ in UK Regulation after Brexit revisited. UK in a Changing Europe – White Rose Research Online. doi:</w:t>
      </w:r>
      <w:hyperlink r:id="rId57" w:tgtFrame="_blank" w:history="1">
        <w:r w:rsidRPr="007E1388">
          <w:rPr>
            <w:rStyle w:val="Hyperlink"/>
            <w:rFonts w:ascii="Times New Roman" w:hAnsi="Times New Roman" w:cs="Times New Roman"/>
            <w:sz w:val="24"/>
            <w:szCs w:val="24"/>
          </w:rPr>
          <w:t>https://eprints.whiterose.ac.uk/id/eprint/193249/1/UK_Regulation_After_Brexit_Revisited.pdf</w:t>
        </w:r>
      </w:hyperlink>
      <w:r w:rsidRPr="007E1388">
        <w:rPr>
          <w:rFonts w:ascii="Times New Roman" w:hAnsi="Times New Roman" w:cs="Times New Roman"/>
          <w:sz w:val="24"/>
          <w:szCs w:val="24"/>
        </w:rPr>
        <w:t>.</w:t>
      </w:r>
    </w:p>
    <w:p w14:paraId="6E448311" w14:textId="77777777" w:rsidR="007E1388" w:rsidRPr="007E1388" w:rsidRDefault="007E1388" w:rsidP="007E1388">
      <w:pPr>
        <w:spacing w:after="0" w:line="360" w:lineRule="auto"/>
        <w:ind w:left="720" w:hanging="720"/>
        <w:rPr>
          <w:rFonts w:ascii="Times New Roman" w:hAnsi="Times New Roman" w:cs="Times New Roman"/>
          <w:sz w:val="24"/>
          <w:szCs w:val="24"/>
        </w:rPr>
      </w:pPr>
      <w:r w:rsidRPr="007E1388">
        <w:rPr>
          <w:rFonts w:ascii="Times New Roman" w:hAnsi="Times New Roman" w:cs="Times New Roman"/>
          <w:sz w:val="24"/>
          <w:szCs w:val="24"/>
        </w:rPr>
        <w:t xml:space="preserve">Zhao, L. (2023). Artificial intelligence and law: emerging divergent national regulatory approaches in a changing landscape of fast-evolving AI technologies. </w:t>
      </w:r>
      <w:r w:rsidRPr="007E1388">
        <w:rPr>
          <w:rFonts w:ascii="Times New Roman" w:hAnsi="Times New Roman" w:cs="Times New Roman"/>
          <w:i/>
          <w:iCs/>
          <w:sz w:val="24"/>
          <w:szCs w:val="24"/>
        </w:rPr>
        <w:t>Edward Elgar Publishing eBooks</w:t>
      </w:r>
      <w:r w:rsidRPr="007E1388">
        <w:rPr>
          <w:rFonts w:ascii="Times New Roman" w:hAnsi="Times New Roman" w:cs="Times New Roman"/>
          <w:sz w:val="24"/>
          <w:szCs w:val="24"/>
        </w:rPr>
        <w:t>, pp.369–399. doi:</w:t>
      </w:r>
      <w:hyperlink r:id="rId58" w:tgtFrame="_blank" w:history="1">
        <w:r w:rsidRPr="007E1388">
          <w:rPr>
            <w:rStyle w:val="Hyperlink"/>
            <w:rFonts w:ascii="Times New Roman" w:hAnsi="Times New Roman" w:cs="Times New Roman"/>
            <w:sz w:val="24"/>
            <w:szCs w:val="24"/>
          </w:rPr>
          <w:t>https://doi.org/10.4337/9781800884953.00033</w:t>
        </w:r>
      </w:hyperlink>
      <w:r w:rsidRPr="007E1388">
        <w:rPr>
          <w:rFonts w:ascii="Times New Roman" w:hAnsi="Times New Roman" w:cs="Times New Roman"/>
          <w:sz w:val="24"/>
          <w:szCs w:val="24"/>
        </w:rPr>
        <w:t>.</w:t>
      </w:r>
    </w:p>
    <w:p w14:paraId="2B5F4954" w14:textId="77777777" w:rsidR="007E1388" w:rsidRPr="00740554" w:rsidRDefault="007E1388" w:rsidP="007E1388">
      <w:pPr>
        <w:spacing w:after="0" w:line="360" w:lineRule="auto"/>
        <w:ind w:firstLine="720"/>
        <w:rPr>
          <w:rFonts w:ascii="Times New Roman" w:hAnsi="Times New Roman" w:cs="Times New Roman"/>
          <w:sz w:val="24"/>
          <w:szCs w:val="24"/>
        </w:rPr>
      </w:pPr>
    </w:p>
    <w:p w14:paraId="14E78922" w14:textId="7F2B4C9D" w:rsidR="00D709F7" w:rsidRPr="009D1678" w:rsidRDefault="00F620A5" w:rsidP="00740554">
      <w:pPr>
        <w:spacing w:after="0" w:line="360" w:lineRule="auto"/>
        <w:rPr>
          <w:rFonts w:ascii="Times New Roman" w:hAnsi="Times New Roman" w:cs="Times New Roman"/>
          <w:sz w:val="24"/>
          <w:szCs w:val="24"/>
        </w:rPr>
      </w:pPr>
      <w:r w:rsidRPr="009D1678">
        <w:rPr>
          <w:rFonts w:ascii="Times New Roman" w:hAnsi="Times New Roman" w:cs="Times New Roman"/>
          <w:sz w:val="24"/>
          <w:szCs w:val="24"/>
        </w:rPr>
        <w:br/>
      </w:r>
      <w:r w:rsidRPr="009D1678">
        <w:rPr>
          <w:rFonts w:ascii="Times New Roman" w:hAnsi="Times New Roman" w:cs="Times New Roman"/>
          <w:sz w:val="24"/>
          <w:szCs w:val="24"/>
        </w:rPr>
        <w:br/>
      </w:r>
      <w:r w:rsidRPr="009D1678">
        <w:rPr>
          <w:rFonts w:ascii="Times New Roman" w:hAnsi="Times New Roman" w:cs="Times New Roman"/>
          <w:sz w:val="24"/>
          <w:szCs w:val="24"/>
        </w:rPr>
        <w:br/>
      </w:r>
      <w:r w:rsidRPr="009D1678">
        <w:rPr>
          <w:rFonts w:ascii="Times New Roman" w:hAnsi="Times New Roman" w:cs="Times New Roman"/>
          <w:sz w:val="24"/>
          <w:szCs w:val="24"/>
        </w:rPr>
        <w:br/>
      </w:r>
      <w:r w:rsidRPr="009D1678">
        <w:rPr>
          <w:rFonts w:ascii="Times New Roman" w:hAnsi="Times New Roman" w:cs="Times New Roman"/>
          <w:sz w:val="24"/>
          <w:szCs w:val="24"/>
        </w:rPr>
        <w:br/>
      </w:r>
      <w:r w:rsidRPr="009D1678">
        <w:rPr>
          <w:rFonts w:ascii="Times New Roman" w:hAnsi="Times New Roman" w:cs="Times New Roman"/>
          <w:sz w:val="24"/>
          <w:szCs w:val="24"/>
        </w:rPr>
        <w:br/>
      </w:r>
      <w:r w:rsidRPr="009D1678">
        <w:rPr>
          <w:rFonts w:ascii="Times New Roman" w:hAnsi="Times New Roman" w:cs="Times New Roman"/>
          <w:sz w:val="24"/>
          <w:szCs w:val="24"/>
        </w:rPr>
        <w:br/>
      </w:r>
      <w:r w:rsidRPr="009D1678">
        <w:rPr>
          <w:rFonts w:ascii="Times New Roman" w:hAnsi="Times New Roman" w:cs="Times New Roman"/>
          <w:sz w:val="24"/>
          <w:szCs w:val="24"/>
        </w:rPr>
        <w:br/>
      </w:r>
      <w:r w:rsidRPr="009D1678">
        <w:rPr>
          <w:rFonts w:ascii="Times New Roman" w:hAnsi="Times New Roman" w:cs="Times New Roman"/>
          <w:sz w:val="24"/>
          <w:szCs w:val="24"/>
        </w:rPr>
        <w:br/>
      </w:r>
    </w:p>
    <w:sectPr w:rsidR="00D709F7" w:rsidRPr="009D167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E9E6D" w14:textId="77777777" w:rsidR="00E851AC" w:rsidRDefault="00E851AC" w:rsidP="003F3E80">
      <w:pPr>
        <w:spacing w:after="0" w:line="240" w:lineRule="auto"/>
      </w:pPr>
      <w:r>
        <w:separator/>
      </w:r>
    </w:p>
  </w:endnote>
  <w:endnote w:type="continuationSeparator" w:id="0">
    <w:p w14:paraId="6FF7FBCE" w14:textId="77777777" w:rsidR="00E851AC" w:rsidRDefault="00E851AC" w:rsidP="003F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77416930"/>
      <w:docPartObj>
        <w:docPartGallery w:val="Page Numbers (Bottom of Page)"/>
        <w:docPartUnique/>
      </w:docPartObj>
    </w:sdtPr>
    <w:sdtEndPr>
      <w:rPr>
        <w:noProof/>
      </w:rPr>
    </w:sdtEndPr>
    <w:sdtContent>
      <w:p w14:paraId="5D2008B6" w14:textId="596C9B49" w:rsidR="003F3E80" w:rsidRPr="003F3E80" w:rsidRDefault="003F3E80">
        <w:pPr>
          <w:pStyle w:val="Footer"/>
          <w:jc w:val="center"/>
          <w:rPr>
            <w:rFonts w:ascii="Times New Roman" w:hAnsi="Times New Roman" w:cs="Times New Roman"/>
            <w:sz w:val="24"/>
            <w:szCs w:val="24"/>
          </w:rPr>
        </w:pPr>
        <w:r w:rsidRPr="003F3E80">
          <w:rPr>
            <w:rFonts w:ascii="Times New Roman" w:hAnsi="Times New Roman" w:cs="Times New Roman"/>
            <w:sz w:val="24"/>
            <w:szCs w:val="24"/>
          </w:rPr>
          <w:fldChar w:fldCharType="begin"/>
        </w:r>
        <w:r w:rsidRPr="003F3E80">
          <w:rPr>
            <w:rFonts w:ascii="Times New Roman" w:hAnsi="Times New Roman" w:cs="Times New Roman"/>
            <w:sz w:val="24"/>
            <w:szCs w:val="24"/>
          </w:rPr>
          <w:instrText xml:space="preserve"> PAGE   \* MERGEFORMAT </w:instrText>
        </w:r>
        <w:r w:rsidRPr="003F3E80">
          <w:rPr>
            <w:rFonts w:ascii="Times New Roman" w:hAnsi="Times New Roman" w:cs="Times New Roman"/>
            <w:sz w:val="24"/>
            <w:szCs w:val="24"/>
          </w:rPr>
          <w:fldChar w:fldCharType="separate"/>
        </w:r>
        <w:r w:rsidRPr="003F3E80">
          <w:rPr>
            <w:rFonts w:ascii="Times New Roman" w:hAnsi="Times New Roman" w:cs="Times New Roman"/>
            <w:noProof/>
            <w:sz w:val="24"/>
            <w:szCs w:val="24"/>
          </w:rPr>
          <w:t>2</w:t>
        </w:r>
        <w:r w:rsidRPr="003F3E80">
          <w:rPr>
            <w:rFonts w:ascii="Times New Roman" w:hAnsi="Times New Roman" w:cs="Times New Roman"/>
            <w:noProof/>
            <w:sz w:val="24"/>
            <w:szCs w:val="24"/>
          </w:rPr>
          <w:fldChar w:fldCharType="end"/>
        </w:r>
      </w:p>
    </w:sdtContent>
  </w:sdt>
  <w:p w14:paraId="33CF7F50" w14:textId="77777777" w:rsidR="003F3E80" w:rsidRPr="003F3E80" w:rsidRDefault="003F3E80" w:rsidP="003F3E80">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47200" w14:textId="77777777" w:rsidR="00E851AC" w:rsidRDefault="00E851AC" w:rsidP="003F3E80">
      <w:pPr>
        <w:spacing w:after="0" w:line="240" w:lineRule="auto"/>
      </w:pPr>
      <w:r>
        <w:separator/>
      </w:r>
    </w:p>
  </w:footnote>
  <w:footnote w:type="continuationSeparator" w:id="0">
    <w:p w14:paraId="2B2CCD78" w14:textId="77777777" w:rsidR="00E851AC" w:rsidRDefault="00E851AC" w:rsidP="003F3E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A280F"/>
    <w:multiLevelType w:val="multilevel"/>
    <w:tmpl w:val="F1F8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6F45FB"/>
    <w:multiLevelType w:val="hybridMultilevel"/>
    <w:tmpl w:val="F5F426BA"/>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4DC54726"/>
    <w:multiLevelType w:val="multilevel"/>
    <w:tmpl w:val="6F58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EF0F8A"/>
    <w:multiLevelType w:val="hybridMultilevel"/>
    <w:tmpl w:val="936C176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2065134438">
    <w:abstractNumId w:val="2"/>
  </w:num>
  <w:num w:numId="2" w16cid:durableId="1846245910">
    <w:abstractNumId w:val="0"/>
  </w:num>
  <w:num w:numId="3" w16cid:durableId="564878477">
    <w:abstractNumId w:val="1"/>
  </w:num>
  <w:num w:numId="4" w16cid:durableId="11879094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0A5"/>
    <w:rsid w:val="000D3022"/>
    <w:rsid w:val="00217C08"/>
    <w:rsid w:val="0023744C"/>
    <w:rsid w:val="0035603E"/>
    <w:rsid w:val="003F3E80"/>
    <w:rsid w:val="004F5E21"/>
    <w:rsid w:val="005A6FA5"/>
    <w:rsid w:val="006B4672"/>
    <w:rsid w:val="006E6CAC"/>
    <w:rsid w:val="007016FA"/>
    <w:rsid w:val="00740554"/>
    <w:rsid w:val="007760E2"/>
    <w:rsid w:val="007E1388"/>
    <w:rsid w:val="00804D30"/>
    <w:rsid w:val="009D1678"/>
    <w:rsid w:val="00CA51D2"/>
    <w:rsid w:val="00D709F7"/>
    <w:rsid w:val="00E851AC"/>
    <w:rsid w:val="00F620A5"/>
    <w:rsid w:val="00FB5E61"/>
    <w:rsid w:val="00FC257F"/>
    <w:rsid w:val="00FC3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E88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0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620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620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20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20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20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0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0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0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0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620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620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20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20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20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0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0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0A5"/>
    <w:rPr>
      <w:rFonts w:eastAsiaTheme="majorEastAsia" w:cstheme="majorBidi"/>
      <w:color w:val="272727" w:themeColor="text1" w:themeTint="D8"/>
    </w:rPr>
  </w:style>
  <w:style w:type="paragraph" w:styleId="Title">
    <w:name w:val="Title"/>
    <w:basedOn w:val="Normal"/>
    <w:next w:val="Normal"/>
    <w:link w:val="TitleChar"/>
    <w:uiPriority w:val="10"/>
    <w:qFormat/>
    <w:rsid w:val="00F62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0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0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0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0A5"/>
    <w:pPr>
      <w:spacing w:before="160"/>
      <w:jc w:val="center"/>
    </w:pPr>
    <w:rPr>
      <w:i/>
      <w:iCs/>
      <w:color w:val="404040" w:themeColor="text1" w:themeTint="BF"/>
    </w:rPr>
  </w:style>
  <w:style w:type="character" w:customStyle="1" w:styleId="QuoteChar">
    <w:name w:val="Quote Char"/>
    <w:basedOn w:val="DefaultParagraphFont"/>
    <w:link w:val="Quote"/>
    <w:uiPriority w:val="29"/>
    <w:rsid w:val="00F620A5"/>
    <w:rPr>
      <w:i/>
      <w:iCs/>
      <w:color w:val="404040" w:themeColor="text1" w:themeTint="BF"/>
    </w:rPr>
  </w:style>
  <w:style w:type="paragraph" w:styleId="ListParagraph">
    <w:name w:val="List Paragraph"/>
    <w:basedOn w:val="Normal"/>
    <w:uiPriority w:val="34"/>
    <w:qFormat/>
    <w:rsid w:val="00F620A5"/>
    <w:pPr>
      <w:ind w:left="720"/>
      <w:contextualSpacing/>
    </w:pPr>
  </w:style>
  <w:style w:type="character" w:styleId="IntenseEmphasis">
    <w:name w:val="Intense Emphasis"/>
    <w:basedOn w:val="DefaultParagraphFont"/>
    <w:uiPriority w:val="21"/>
    <w:qFormat/>
    <w:rsid w:val="00F620A5"/>
    <w:rPr>
      <w:i/>
      <w:iCs/>
      <w:color w:val="2F5496" w:themeColor="accent1" w:themeShade="BF"/>
    </w:rPr>
  </w:style>
  <w:style w:type="paragraph" w:styleId="IntenseQuote">
    <w:name w:val="Intense Quote"/>
    <w:basedOn w:val="Normal"/>
    <w:next w:val="Normal"/>
    <w:link w:val="IntenseQuoteChar"/>
    <w:uiPriority w:val="30"/>
    <w:qFormat/>
    <w:rsid w:val="00F620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20A5"/>
    <w:rPr>
      <w:i/>
      <w:iCs/>
      <w:color w:val="2F5496" w:themeColor="accent1" w:themeShade="BF"/>
    </w:rPr>
  </w:style>
  <w:style w:type="character" w:styleId="IntenseReference">
    <w:name w:val="Intense Reference"/>
    <w:basedOn w:val="DefaultParagraphFont"/>
    <w:uiPriority w:val="32"/>
    <w:qFormat/>
    <w:rsid w:val="00F620A5"/>
    <w:rPr>
      <w:b/>
      <w:bCs/>
      <w:smallCaps/>
      <w:color w:val="2F5496" w:themeColor="accent1" w:themeShade="BF"/>
      <w:spacing w:val="5"/>
    </w:rPr>
  </w:style>
  <w:style w:type="character" w:styleId="Hyperlink">
    <w:name w:val="Hyperlink"/>
    <w:basedOn w:val="DefaultParagraphFont"/>
    <w:uiPriority w:val="99"/>
    <w:unhideWhenUsed/>
    <w:rsid w:val="00F620A5"/>
    <w:rPr>
      <w:color w:val="0563C1" w:themeColor="hyperlink"/>
      <w:u w:val="single"/>
    </w:rPr>
  </w:style>
  <w:style w:type="character" w:styleId="UnresolvedMention">
    <w:name w:val="Unresolved Mention"/>
    <w:basedOn w:val="DefaultParagraphFont"/>
    <w:uiPriority w:val="99"/>
    <w:semiHidden/>
    <w:unhideWhenUsed/>
    <w:rsid w:val="00F620A5"/>
    <w:rPr>
      <w:color w:val="605E5C"/>
      <w:shd w:val="clear" w:color="auto" w:fill="E1DFDD"/>
    </w:rPr>
  </w:style>
  <w:style w:type="table" w:styleId="TableGrid">
    <w:name w:val="Table Grid"/>
    <w:basedOn w:val="TableNormal"/>
    <w:uiPriority w:val="39"/>
    <w:rsid w:val="004F5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E80"/>
  </w:style>
  <w:style w:type="paragraph" w:styleId="Footer">
    <w:name w:val="footer"/>
    <w:basedOn w:val="Normal"/>
    <w:link w:val="FooterChar"/>
    <w:uiPriority w:val="99"/>
    <w:unhideWhenUsed/>
    <w:rsid w:val="003F3E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E80"/>
  </w:style>
  <w:style w:type="paragraph" w:styleId="TOCHeading">
    <w:name w:val="TOC Heading"/>
    <w:basedOn w:val="Heading1"/>
    <w:next w:val="Normal"/>
    <w:uiPriority w:val="39"/>
    <w:unhideWhenUsed/>
    <w:qFormat/>
    <w:rsid w:val="003F3E80"/>
    <w:pPr>
      <w:spacing w:before="240" w:after="0"/>
      <w:outlineLvl w:val="9"/>
    </w:pPr>
    <w:rPr>
      <w:sz w:val="32"/>
      <w:szCs w:val="32"/>
    </w:rPr>
  </w:style>
  <w:style w:type="paragraph" w:styleId="TOC1">
    <w:name w:val="toc 1"/>
    <w:basedOn w:val="Normal"/>
    <w:next w:val="Normal"/>
    <w:autoRedefine/>
    <w:uiPriority w:val="39"/>
    <w:unhideWhenUsed/>
    <w:rsid w:val="003F3E80"/>
    <w:pPr>
      <w:spacing w:after="100"/>
    </w:pPr>
  </w:style>
  <w:style w:type="paragraph" w:styleId="TOC2">
    <w:name w:val="toc 2"/>
    <w:basedOn w:val="Normal"/>
    <w:next w:val="Normal"/>
    <w:autoRedefine/>
    <w:uiPriority w:val="39"/>
    <w:unhideWhenUsed/>
    <w:rsid w:val="003F3E80"/>
    <w:pPr>
      <w:spacing w:after="100"/>
      <w:ind w:left="220"/>
    </w:pPr>
  </w:style>
  <w:style w:type="paragraph" w:styleId="TOC3">
    <w:name w:val="toc 3"/>
    <w:basedOn w:val="Normal"/>
    <w:next w:val="Normal"/>
    <w:autoRedefine/>
    <w:uiPriority w:val="39"/>
    <w:unhideWhenUsed/>
    <w:rsid w:val="003F3E8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ose.2025.104628" TargetMode="External"/><Relationship Id="rId18" Type="http://schemas.openxmlformats.org/officeDocument/2006/relationships/hyperlink" Target="https://artificialintelligenceact.eu/article/5/" TargetMode="External"/><Relationship Id="rId26" Type="http://schemas.openxmlformats.org/officeDocument/2006/relationships/hyperlink" Target="https://www.econstor.eu/bitstream/10419/322203/1/1928652867.pdf" TargetMode="External"/><Relationship Id="rId39" Type="http://schemas.openxmlformats.org/officeDocument/2006/relationships/hyperlink" Target="https://doi.org/10.1145/3457607" TargetMode="External"/><Relationship Id="rId21" Type="http://schemas.openxmlformats.org/officeDocument/2006/relationships/hyperlink" Target="https://www.edpb.europa.eu/news/news/2024/edpb-opinion-ai-models-gdpr-principles-support-responsible-ai_en" TargetMode="External"/><Relationship Id="rId34" Type="http://schemas.openxmlformats.org/officeDocument/2006/relationships/hyperlink" Target="https://doi.org/10.53346/wjast.2024.6.1.0048" TargetMode="External"/><Relationship Id="rId42" Type="http://schemas.openxmlformats.org/officeDocument/2006/relationships/hyperlink" Target="http://Oecd.org" TargetMode="External"/><Relationship Id="rId47" Type="http://schemas.openxmlformats.org/officeDocument/2006/relationships/hyperlink" Target="https://sloanreview.mit.edu/article/artificial-intelligence-disclosures-are-key-to-customer-trust/" TargetMode="External"/><Relationship Id="rId50" Type="http://schemas.openxmlformats.org/officeDocument/2006/relationships/hyperlink" Target="https://doi.org/10.1007/s11846-024-00828-z" TargetMode="External"/><Relationship Id="rId55" Type="http://schemas.openxmlformats.org/officeDocument/2006/relationships/hyperlink" Target="https://www.ceeol.com/search/article-detail?id=135278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978-3-032-03523-3_12" TargetMode="External"/><Relationship Id="rId29" Type="http://schemas.openxmlformats.org/officeDocument/2006/relationships/hyperlink" Target="http://Ico.org.uk" TargetMode="External"/><Relationship Id="rId11" Type="http://schemas.openxmlformats.org/officeDocument/2006/relationships/hyperlink" Target="https://www.bankofengland.co.uk/-/media/boe/files/monetary-policy-report/2026/february/monetary-policy-report-february-2026.pdf" TargetMode="External"/><Relationship Id="rId24" Type="http://schemas.openxmlformats.org/officeDocument/2006/relationships/hyperlink" Target="https://www.francescatabor.com/articles/2026/2/4/ai-regulation-in-the-uk-and-eu-frameworks-implementation-enforcement-and-comparative-outcomes" TargetMode="External"/><Relationship Id="rId32" Type="http://schemas.openxmlformats.org/officeDocument/2006/relationships/hyperlink" Target="https://www.kubiack.com/ai-regulation-in-the-uk-and-eu-diverging-paths-shared-challenges/" TargetMode="External"/><Relationship Id="rId37" Type="http://schemas.openxmlformats.org/officeDocument/2006/relationships/hyperlink" Target="https://doi.org/10.30574/ijsra.2024.13.2.2396" TargetMode="External"/><Relationship Id="rId40" Type="http://schemas.openxmlformats.org/officeDocument/2006/relationships/hyperlink" Target="https://doi.org/10.1080/17434440.2025.2531295" TargetMode="External"/><Relationship Id="rId45" Type="http://schemas.openxmlformats.org/officeDocument/2006/relationships/hyperlink" Target="https://doi.org/10.1016/j.iref.2025.104452" TargetMode="External"/><Relationship Id="rId53" Type="http://schemas.openxmlformats.org/officeDocument/2006/relationships/hyperlink" Target="https://fintechmagazine.com/articles/ai-in-banking-driving-efficiency-and-innovation" TargetMode="External"/><Relationship Id="rId58" Type="http://schemas.openxmlformats.org/officeDocument/2006/relationships/hyperlink" Target="https://doi.org/10.4337/9781800884953.00033"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ecb.europa.eu/press/pr/date/2026/html/ecb.mp260319~3057739775.en.html" TargetMode="External"/><Relationship Id="rId14" Type="http://schemas.openxmlformats.org/officeDocument/2006/relationships/hyperlink" Target="https://doi.org/10.1016/j.clsr.2023.105868" TargetMode="External"/><Relationship Id="rId22" Type="http://schemas.openxmlformats.org/officeDocument/2006/relationships/hyperlink" Target="https://www.edps.europa.eu/data-protection/our-work/publications/techdispatch/2025-09-23-techdispatch-22025-human-oversight-automated-making_en" TargetMode="External"/><Relationship Id="rId27" Type="http://schemas.openxmlformats.org/officeDocument/2006/relationships/hyperlink" Target="https://doi.org/10.1108/jpbafm-07-2020-0121" TargetMode="External"/><Relationship Id="rId30" Type="http://schemas.openxmlformats.org/officeDocument/2006/relationships/hyperlink" Target="http://ico.org.uk/for-organisations/uk-gdpr-guidance-and-resources/individual-rights/automated-decision-making/" TargetMode="External"/><Relationship Id="rId35" Type="http://schemas.openxmlformats.org/officeDocument/2006/relationships/hyperlink" Target="http://Legislation.gov.uk" TargetMode="External"/><Relationship Id="rId43" Type="http://schemas.openxmlformats.org/officeDocument/2006/relationships/hyperlink" Target="https://legalinstruments.oecd.org/en/instruments/OECD-LEGAL-0449" TargetMode="External"/><Relationship Id="rId48" Type="http://schemas.openxmlformats.org/officeDocument/2006/relationships/hyperlink" Target="https://doi.org/10.14763/2023.2.1709" TargetMode="External"/><Relationship Id="rId56" Type="http://schemas.openxmlformats.org/officeDocument/2006/relationships/hyperlink" Target="https://www.dt.mef.gov.it/export/sites/sitodt/modules/documenti_it/HLPE-Report-on-AI.pdf" TargetMode="External"/><Relationship Id="rId8" Type="http://schemas.openxmlformats.org/officeDocument/2006/relationships/image" Target="media/image1.png"/><Relationship Id="rId51" Type="http://schemas.openxmlformats.org/officeDocument/2006/relationships/hyperlink" Target="https://doi.org/10.1017/ilm.2024.46" TargetMode="External"/><Relationship Id="rId3" Type="http://schemas.openxmlformats.org/officeDocument/2006/relationships/styles" Target="styles.xml"/><Relationship Id="rId12" Type="http://schemas.openxmlformats.org/officeDocument/2006/relationships/hyperlink" Target="https://doi.org/10.2118/222493-ms" TargetMode="External"/><Relationship Id="rId17" Type="http://schemas.openxmlformats.org/officeDocument/2006/relationships/hyperlink" Target="https://archive.comsuregroup.com/wp-content/uploads/2016/07/CostofCompliance_2016.compressed.pdf" TargetMode="External"/><Relationship Id="rId25" Type="http://schemas.openxmlformats.org/officeDocument/2006/relationships/hyperlink" Target="https://doi.org/10.1093/ijlit/eaae013" TargetMode="External"/><Relationship Id="rId33" Type="http://schemas.openxmlformats.org/officeDocument/2006/relationships/hyperlink" Target="https://doi.org/10.14763/2020.2.1469" TargetMode="External"/><Relationship Id="rId38" Type="http://schemas.openxmlformats.org/officeDocument/2006/relationships/hyperlink" Target="https://doi.org/10.1007/s00146-025-02654-7" TargetMode="External"/><Relationship Id="rId46" Type="http://schemas.openxmlformats.org/officeDocument/2006/relationships/hyperlink" Target="https://doi.org/10.48185/jaai.v5i2.1017" TargetMode="External"/><Relationship Id="rId59" Type="http://schemas.openxmlformats.org/officeDocument/2006/relationships/footer" Target="footer1.xml"/><Relationship Id="rId20" Type="http://schemas.openxmlformats.org/officeDocument/2006/relationships/hyperlink" Target="https://ec.europa.eu/info/funding-tenders/opportunities/portal/screen/programmes/digital" TargetMode="External"/><Relationship Id="rId41" Type="http://schemas.openxmlformats.org/officeDocument/2006/relationships/hyperlink" Target="https://researchworkx.com/index.php/jci/article/view/16" TargetMode="External"/><Relationship Id="rId54" Type="http://schemas.openxmlformats.org/officeDocument/2006/relationships/hyperlink" Target="https://www.unesco.org/en/artificial-intelligence/recommendation-ethic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ata.consilium.europa.eu/doc/document/ST-7322-2026-INIT/en/pdf" TargetMode="External"/><Relationship Id="rId23" Type="http://schemas.openxmlformats.org/officeDocument/2006/relationships/hyperlink" Target="https://doi.org/10.1108/itp-09-2022-0721" TargetMode="External"/><Relationship Id="rId28" Type="http://schemas.openxmlformats.org/officeDocument/2006/relationships/hyperlink" Target="http://dx.doi.org/10.54097/hbem.v16i.10565" TargetMode="External"/><Relationship Id="rId36" Type="http://schemas.openxmlformats.org/officeDocument/2006/relationships/hyperlink" Target="https://www.legislation.gov.uk/ukpga/2018/12/section/3/2018-05-23?view=plain" TargetMode="External"/><Relationship Id="rId49" Type="http://schemas.openxmlformats.org/officeDocument/2006/relationships/hyperlink" Target="https://doi.org/10.1080/12460125.2020.1819094" TargetMode="External"/><Relationship Id="rId57" Type="http://schemas.openxmlformats.org/officeDocument/2006/relationships/hyperlink" Target="https://eprints.whiterose.ac.uk/id/eprint/193249/1/UK_Regulation_After_Brexit_Revisited.pdf" TargetMode="External"/><Relationship Id="rId10" Type="http://schemas.openxmlformats.org/officeDocument/2006/relationships/hyperlink" Target="https://socialsciencesbulletin.com/index.php/IJSSB/article/view/661" TargetMode="External"/><Relationship Id="rId31" Type="http://schemas.openxmlformats.org/officeDocument/2006/relationships/hyperlink" Target="https://doi.org/10.30574/wjarr.2022.15.3.0920" TargetMode="External"/><Relationship Id="rId44" Type="http://schemas.openxmlformats.org/officeDocument/2006/relationships/hyperlink" Target="https://assets.publishing.service.gov.uk/media/69a6d7b62e1f4fbda4252208/economic-and-fiscal-outlook-march-2026-web-accessible.pdf" TargetMode="External"/><Relationship Id="rId52" Type="http://schemas.openxmlformats.org/officeDocument/2006/relationships/hyperlink" Target="https://doi.org/10.1017/err.2025.10077"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FDE48-9AA7-4738-B358-29EA291B4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7787</Words>
  <Characters>44392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2026-04-26T23:46:00Z</dcterms:created>
  <dcterms:modified xsi:type="dcterms:W3CDTF">2026-04-27T10:37:00Z</dcterms:modified>
</cp:coreProperties>
</file>