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E8664" w14:textId="77777777" w:rsidR="00636D3C" w:rsidRPr="00184516" w:rsidRDefault="00636D3C" w:rsidP="00636D3C">
      <w:pPr>
        <w:rPr>
          <w:rFonts w:cs="Times New Roman"/>
          <w:b/>
          <w:bCs/>
          <w:szCs w:val="24"/>
        </w:rPr>
      </w:pPr>
      <w:r w:rsidRPr="00184516">
        <w:rPr>
          <w:rFonts w:cs="Times New Roman"/>
          <w:b/>
          <w:bCs/>
          <w:noProof/>
          <w:szCs w:val="24"/>
        </w:rPr>
        <w:drawing>
          <wp:inline distT="0" distB="0" distL="0" distR="0" wp14:anchorId="123ECB39" wp14:editId="0E06F505">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07F68F56" w14:textId="77777777" w:rsidR="00636D3C" w:rsidRDefault="00636D3C" w:rsidP="00636D3C">
      <w:pPr>
        <w:rPr>
          <w:rFonts w:cs="Times New Roman"/>
          <w:szCs w:val="24"/>
        </w:rPr>
      </w:pPr>
    </w:p>
    <w:p w14:paraId="18E58407" w14:textId="77777777" w:rsidR="00636D3C" w:rsidRDefault="00636D3C" w:rsidP="00636D3C">
      <w:pPr>
        <w:rPr>
          <w:rFonts w:cs="Times New Roman"/>
          <w:szCs w:val="24"/>
        </w:rPr>
      </w:pPr>
    </w:p>
    <w:p w14:paraId="3806B358" w14:textId="77777777" w:rsidR="00636D3C" w:rsidRPr="00FC3657" w:rsidRDefault="00636D3C" w:rsidP="00636D3C">
      <w:pPr>
        <w:rPr>
          <w:rFonts w:cs="Times New Roman"/>
          <w:b/>
          <w:bCs/>
          <w:sz w:val="36"/>
          <w:szCs w:val="36"/>
        </w:rPr>
      </w:pPr>
      <w:r w:rsidRPr="00FC3657">
        <w:rPr>
          <w:rFonts w:cs="Times New Roman"/>
          <w:sz w:val="28"/>
          <w:szCs w:val="28"/>
        </w:rPr>
        <w:t xml:space="preserve">           </w:t>
      </w:r>
      <w:r w:rsidRPr="00FC3657">
        <w:rPr>
          <w:rFonts w:cs="Times New Roman"/>
          <w:b/>
          <w:bCs/>
          <w:sz w:val="36"/>
          <w:szCs w:val="36"/>
        </w:rPr>
        <w:t xml:space="preserve">      BA BUSINESS MANAGEMENT </w:t>
      </w:r>
    </w:p>
    <w:p w14:paraId="741B16A6" w14:textId="77777777" w:rsidR="00636D3C" w:rsidRPr="00FC3657" w:rsidRDefault="00636D3C" w:rsidP="00636D3C">
      <w:pPr>
        <w:rPr>
          <w:rFonts w:cs="Times New Roman"/>
          <w:b/>
          <w:bCs/>
          <w:sz w:val="36"/>
          <w:szCs w:val="36"/>
        </w:rPr>
      </w:pP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t xml:space="preserve">Assignment </w:t>
      </w:r>
    </w:p>
    <w:p w14:paraId="4E40DCC8" w14:textId="77777777" w:rsidR="00636D3C" w:rsidRPr="00FC3657" w:rsidRDefault="00636D3C" w:rsidP="00636D3C">
      <w:pPr>
        <w:rPr>
          <w:rFonts w:cs="Times New Roman"/>
          <w:b/>
          <w:bCs/>
          <w:sz w:val="36"/>
          <w:szCs w:val="36"/>
        </w:rPr>
      </w:pPr>
    </w:p>
    <w:p w14:paraId="2962D5E0" w14:textId="77777777" w:rsidR="00636D3C" w:rsidRDefault="00636D3C" w:rsidP="00636D3C">
      <w:pPr>
        <w:rPr>
          <w:rFonts w:cs="Times New Roman"/>
          <w:sz w:val="36"/>
          <w:szCs w:val="36"/>
        </w:rPr>
      </w:pPr>
      <w:r w:rsidRPr="00FC3657">
        <w:rPr>
          <w:rFonts w:cs="Times New Roman"/>
          <w:sz w:val="36"/>
          <w:szCs w:val="36"/>
        </w:rPr>
        <w:t>Module:</w:t>
      </w:r>
      <w:r>
        <w:rPr>
          <w:rFonts w:cs="Times New Roman"/>
          <w:sz w:val="36"/>
          <w:szCs w:val="36"/>
        </w:rPr>
        <w:t xml:space="preserve"> Community Engagement</w:t>
      </w:r>
    </w:p>
    <w:p w14:paraId="4FB3B775" w14:textId="77777777" w:rsidR="00636D3C" w:rsidRPr="00FC3657" w:rsidRDefault="00636D3C" w:rsidP="00636D3C">
      <w:pPr>
        <w:rPr>
          <w:rFonts w:cs="Times New Roman"/>
          <w:sz w:val="36"/>
          <w:szCs w:val="36"/>
        </w:rPr>
      </w:pPr>
      <w:r w:rsidRPr="00FC3657">
        <w:rPr>
          <w:rFonts w:cs="Times New Roman"/>
          <w:sz w:val="36"/>
          <w:szCs w:val="36"/>
        </w:rPr>
        <w:t>Code: LCBB400</w:t>
      </w:r>
      <w:r>
        <w:rPr>
          <w:rFonts w:cs="Times New Roman"/>
          <w:sz w:val="36"/>
          <w:szCs w:val="36"/>
        </w:rPr>
        <w:t>2</w:t>
      </w:r>
      <w:r w:rsidRPr="00FC3657">
        <w:rPr>
          <w:rFonts w:cs="Times New Roman"/>
          <w:sz w:val="36"/>
          <w:szCs w:val="36"/>
        </w:rPr>
        <w:t xml:space="preserve"> </w:t>
      </w:r>
    </w:p>
    <w:p w14:paraId="3C91EF7A" w14:textId="77777777" w:rsidR="00636D3C" w:rsidRPr="00FC3657" w:rsidRDefault="00636D3C" w:rsidP="00636D3C">
      <w:pPr>
        <w:rPr>
          <w:rFonts w:cs="Times New Roman"/>
          <w:sz w:val="36"/>
          <w:szCs w:val="36"/>
        </w:rPr>
      </w:pPr>
      <w:r w:rsidRPr="00FC3657">
        <w:rPr>
          <w:rFonts w:cs="Times New Roman"/>
          <w:sz w:val="36"/>
          <w:szCs w:val="36"/>
        </w:rPr>
        <w:t xml:space="preserve">Lecturer: Dr </w:t>
      </w:r>
      <w:r>
        <w:rPr>
          <w:rFonts w:cs="Times New Roman"/>
          <w:sz w:val="36"/>
          <w:szCs w:val="36"/>
        </w:rPr>
        <w:t>Anita Nan</w:t>
      </w:r>
    </w:p>
    <w:p w14:paraId="459CEB58" w14:textId="77777777" w:rsidR="00636D3C" w:rsidRPr="00FC3657" w:rsidRDefault="00636D3C" w:rsidP="00636D3C">
      <w:pPr>
        <w:rPr>
          <w:rFonts w:cs="Times New Roman"/>
          <w:sz w:val="36"/>
          <w:szCs w:val="36"/>
        </w:rPr>
      </w:pPr>
      <w:r w:rsidRPr="00FC3657">
        <w:rPr>
          <w:rFonts w:cs="Times New Roman"/>
          <w:sz w:val="36"/>
          <w:szCs w:val="36"/>
        </w:rPr>
        <w:t xml:space="preserve">Name: Silvia </w:t>
      </w:r>
      <w:proofErr w:type="spellStart"/>
      <w:r w:rsidRPr="00FC3657">
        <w:rPr>
          <w:rFonts w:cs="Times New Roman"/>
          <w:sz w:val="36"/>
          <w:szCs w:val="36"/>
        </w:rPr>
        <w:t>Bounegru</w:t>
      </w:r>
      <w:proofErr w:type="spellEnd"/>
    </w:p>
    <w:p w14:paraId="2FFD6882" w14:textId="77777777" w:rsidR="00636D3C" w:rsidRPr="00FC3657" w:rsidRDefault="00636D3C" w:rsidP="00636D3C">
      <w:pPr>
        <w:rPr>
          <w:rFonts w:cs="Times New Roman"/>
          <w:sz w:val="36"/>
          <w:szCs w:val="36"/>
        </w:rPr>
      </w:pPr>
      <w:r w:rsidRPr="00FC3657">
        <w:rPr>
          <w:rFonts w:cs="Times New Roman"/>
          <w:sz w:val="36"/>
          <w:szCs w:val="36"/>
        </w:rPr>
        <w:t>Student ID:</w:t>
      </w:r>
      <w:r>
        <w:rPr>
          <w:rFonts w:cs="Times New Roman"/>
          <w:sz w:val="36"/>
          <w:szCs w:val="36"/>
        </w:rPr>
        <w:t xml:space="preserve"> </w:t>
      </w:r>
      <w:r w:rsidRPr="00FC3657">
        <w:rPr>
          <w:rFonts w:cs="Times New Roman"/>
          <w:sz w:val="36"/>
          <w:szCs w:val="36"/>
        </w:rPr>
        <w:t>2132530</w:t>
      </w:r>
    </w:p>
    <w:p w14:paraId="279F1F64" w14:textId="77777777" w:rsidR="00636D3C" w:rsidRPr="00FC3657" w:rsidRDefault="00636D3C" w:rsidP="00636D3C">
      <w:pPr>
        <w:rPr>
          <w:rFonts w:cs="Times New Roman"/>
          <w:b/>
          <w:bCs/>
          <w:sz w:val="36"/>
          <w:szCs w:val="36"/>
        </w:rPr>
      </w:pPr>
    </w:p>
    <w:p w14:paraId="1E8402D7" w14:textId="77777777" w:rsidR="00636D3C" w:rsidRPr="00FC3657" w:rsidRDefault="00636D3C" w:rsidP="00636D3C">
      <w:pPr>
        <w:rPr>
          <w:rFonts w:cs="Times New Roman"/>
          <w:b/>
          <w:bCs/>
          <w:sz w:val="36"/>
          <w:szCs w:val="36"/>
        </w:rPr>
      </w:pPr>
    </w:p>
    <w:p w14:paraId="496DBED5" w14:textId="213EADF5" w:rsidR="00636D3C" w:rsidRPr="00FC3657" w:rsidRDefault="00636D3C" w:rsidP="00636D3C">
      <w:pPr>
        <w:rPr>
          <w:rFonts w:cs="Times New Roman"/>
          <w:b/>
          <w:bCs/>
          <w:sz w:val="32"/>
          <w:szCs w:val="32"/>
        </w:rPr>
      </w:pPr>
      <w:r w:rsidRPr="00FC3657">
        <w:rPr>
          <w:rFonts w:cs="Times New Roman"/>
          <w:b/>
          <w:bCs/>
          <w:sz w:val="36"/>
          <w:szCs w:val="36"/>
        </w:rPr>
        <w:tab/>
        <w:t xml:space="preserve">                        </w:t>
      </w:r>
      <w:r w:rsidRPr="00FC3657">
        <w:rPr>
          <w:rFonts w:cs="Times New Roman"/>
          <w:b/>
          <w:bCs/>
          <w:sz w:val="32"/>
          <w:szCs w:val="32"/>
        </w:rPr>
        <w:t xml:space="preserve">SUBMITTED ON THE </w:t>
      </w:r>
      <w:proofErr w:type="gramStart"/>
      <w:r>
        <w:rPr>
          <w:rFonts w:cs="Times New Roman"/>
          <w:b/>
          <w:bCs/>
          <w:sz w:val="32"/>
          <w:szCs w:val="32"/>
        </w:rPr>
        <w:t>9</w:t>
      </w:r>
      <w:r w:rsidRPr="00636D3C">
        <w:rPr>
          <w:rFonts w:cs="Times New Roman"/>
          <w:b/>
          <w:bCs/>
          <w:sz w:val="32"/>
          <w:szCs w:val="32"/>
          <w:vertAlign w:val="superscript"/>
        </w:rPr>
        <w:t>th</w:t>
      </w:r>
      <w:proofErr w:type="gramEnd"/>
      <w:r>
        <w:rPr>
          <w:rFonts w:cs="Times New Roman"/>
          <w:b/>
          <w:bCs/>
          <w:sz w:val="32"/>
          <w:szCs w:val="32"/>
        </w:rPr>
        <w:t xml:space="preserve"> </w:t>
      </w:r>
      <w:r w:rsidRPr="00652EEB">
        <w:rPr>
          <w:rFonts w:cs="Times New Roman"/>
          <w:b/>
          <w:bCs/>
          <w:sz w:val="32"/>
          <w:szCs w:val="32"/>
          <w:vertAlign w:val="superscript"/>
        </w:rPr>
        <w:t xml:space="preserve"> </w:t>
      </w:r>
      <w:r>
        <w:rPr>
          <w:rFonts w:cs="Times New Roman"/>
          <w:b/>
          <w:bCs/>
          <w:sz w:val="32"/>
          <w:szCs w:val="32"/>
          <w:vertAlign w:val="superscript"/>
        </w:rPr>
        <w:t xml:space="preserve"> </w:t>
      </w:r>
      <w:r>
        <w:rPr>
          <w:rFonts w:cs="Times New Roman"/>
          <w:b/>
          <w:bCs/>
          <w:sz w:val="32"/>
          <w:szCs w:val="32"/>
        </w:rPr>
        <w:t>January 2023</w:t>
      </w:r>
    </w:p>
    <w:p w14:paraId="29361AA6" w14:textId="2D7023FD" w:rsidR="00E23008" w:rsidRDefault="00000000"/>
    <w:p w14:paraId="42216E16" w14:textId="17891F48" w:rsidR="00CA35C7" w:rsidRDefault="00CA35C7"/>
    <w:p w14:paraId="0281C61B" w14:textId="4799AF15" w:rsidR="00CA35C7" w:rsidRDefault="00CA35C7"/>
    <w:p w14:paraId="6DDE9816" w14:textId="0F7D8493" w:rsidR="00CA35C7" w:rsidRDefault="00CA35C7"/>
    <w:p w14:paraId="5D53A330" w14:textId="6CA85395" w:rsidR="00CA35C7" w:rsidRDefault="00CA35C7"/>
    <w:p w14:paraId="109B7198" w14:textId="36618E70" w:rsidR="00CA35C7" w:rsidRDefault="00CA35C7"/>
    <w:p w14:paraId="57A23DB2" w14:textId="0625BBCC" w:rsidR="00CA35C7" w:rsidRDefault="00CA35C7"/>
    <w:p w14:paraId="2C6056C6" w14:textId="77777777" w:rsidR="00636D3C" w:rsidRDefault="00636D3C" w:rsidP="00636D3C"/>
    <w:p w14:paraId="06EDB7EF" w14:textId="77777777" w:rsidR="00636D3C" w:rsidRPr="00636D3C" w:rsidRDefault="00636D3C" w:rsidP="00636D3C">
      <w:pPr>
        <w:jc w:val="center"/>
        <w:rPr>
          <w:rFonts w:ascii="Times New Roman" w:hAnsi="Times New Roman" w:cs="Times New Roman"/>
          <w:noProof/>
          <w:sz w:val="52"/>
          <w:szCs w:val="52"/>
        </w:rPr>
      </w:pPr>
      <w:r w:rsidRPr="00636D3C">
        <w:rPr>
          <w:rFonts w:ascii="Times New Roman" w:hAnsi="Times New Roman" w:cs="Times New Roman"/>
          <w:noProof/>
          <w:sz w:val="52"/>
          <w:szCs w:val="52"/>
        </w:rPr>
        <w:t>Assignment Title:</w:t>
      </w:r>
    </w:p>
    <w:p w14:paraId="37FEE8DE" w14:textId="150B2C36" w:rsidR="00636D3C" w:rsidRPr="00636D3C" w:rsidRDefault="00636D3C" w:rsidP="00636D3C">
      <w:pPr>
        <w:jc w:val="center"/>
        <w:rPr>
          <w:rFonts w:ascii="Times New Roman" w:hAnsi="Times New Roman" w:cs="Times New Roman"/>
          <w:noProof/>
          <w:sz w:val="52"/>
          <w:szCs w:val="52"/>
        </w:rPr>
      </w:pPr>
      <w:r w:rsidRPr="00636D3C">
        <w:rPr>
          <w:rFonts w:ascii="Times New Roman" w:hAnsi="Times New Roman" w:cs="Times New Roman"/>
          <w:noProof/>
          <w:sz w:val="52"/>
          <w:szCs w:val="52"/>
        </w:rPr>
        <w:t>Community Engagement</w:t>
      </w:r>
    </w:p>
    <w:p w14:paraId="496FF36C" w14:textId="49386F1B" w:rsidR="003B1A92" w:rsidRPr="00636D3C" w:rsidRDefault="00636D3C" w:rsidP="00636D3C">
      <w:pPr>
        <w:jc w:val="center"/>
        <w:rPr>
          <w:rFonts w:ascii="Times New Roman" w:hAnsi="Times New Roman" w:cs="Times New Roman"/>
        </w:rPr>
      </w:pPr>
      <w:r w:rsidRPr="00636D3C">
        <w:rPr>
          <w:rFonts w:ascii="Times New Roman" w:hAnsi="Times New Roman" w:cs="Times New Roman"/>
          <w:noProof/>
          <w:sz w:val="52"/>
          <w:szCs w:val="52"/>
        </w:rPr>
        <w:t>Assessment</w:t>
      </w:r>
      <w:r w:rsidRPr="00636D3C">
        <w:rPr>
          <w:rFonts w:ascii="Times New Roman" w:hAnsi="Times New Roman" w:cs="Times New Roman"/>
          <w:noProof/>
          <w:sz w:val="52"/>
          <w:szCs w:val="52"/>
        </w:rPr>
        <w:t>2</w:t>
      </w:r>
    </w:p>
    <w:p w14:paraId="6241436C" w14:textId="7CC47D38" w:rsidR="003B1A92" w:rsidRDefault="003B1A92"/>
    <w:p w14:paraId="1904B845" w14:textId="651DEA55" w:rsidR="003B1A92" w:rsidRDefault="003B1A92"/>
    <w:p w14:paraId="47B3B2B8" w14:textId="43C0A9EB" w:rsidR="003B1A92" w:rsidRDefault="003B1A92"/>
    <w:p w14:paraId="5143681F" w14:textId="21FE5F9B" w:rsidR="00567444" w:rsidRDefault="00567444"/>
    <w:p w14:paraId="36A677D4" w14:textId="2B4FD489" w:rsidR="00567444" w:rsidRDefault="00567444"/>
    <w:p w14:paraId="3099616A" w14:textId="073AEA97" w:rsidR="00567444" w:rsidRDefault="00567444"/>
    <w:p w14:paraId="7A46567A" w14:textId="77708C4A" w:rsidR="00567444" w:rsidRDefault="00567444"/>
    <w:p w14:paraId="33C2EA65" w14:textId="57A6F3BD" w:rsidR="00567444" w:rsidRDefault="00567444"/>
    <w:p w14:paraId="3AE18BB4" w14:textId="79B93D65" w:rsidR="00567444" w:rsidRDefault="00567444"/>
    <w:p w14:paraId="5275570F" w14:textId="7A99AE97" w:rsidR="00567444" w:rsidRDefault="00567444"/>
    <w:p w14:paraId="24F4D481" w14:textId="5F89218B" w:rsidR="00567444" w:rsidRDefault="00567444"/>
    <w:p w14:paraId="3C50D567" w14:textId="0417AD8F" w:rsidR="003B1A92" w:rsidRDefault="003B1A92"/>
    <w:sdt>
      <w:sdtPr>
        <w:rPr>
          <w:rFonts w:ascii="Arial" w:eastAsiaTheme="minorHAnsi" w:hAnsi="Arial" w:cs="Arial"/>
          <w:b/>
          <w:color w:val="auto"/>
          <w:sz w:val="28"/>
          <w:szCs w:val="24"/>
        </w:rPr>
        <w:id w:val="-1058077829"/>
        <w:docPartObj>
          <w:docPartGallery w:val="Table of Contents"/>
          <w:docPartUnique/>
        </w:docPartObj>
      </w:sdtPr>
      <w:sdtEndPr>
        <w:rPr>
          <w:bCs/>
          <w:noProof/>
          <w:sz w:val="24"/>
        </w:rPr>
      </w:sdtEndPr>
      <w:sdtContent>
        <w:p w14:paraId="4D45EC1C" w14:textId="77777777" w:rsidR="00567444" w:rsidRPr="00567444" w:rsidRDefault="00567444" w:rsidP="00567444">
          <w:pPr>
            <w:pStyle w:val="TOCHeading"/>
            <w:jc w:val="center"/>
            <w:rPr>
              <w:rFonts w:ascii="Arial" w:hAnsi="Arial" w:cs="Arial"/>
              <w:b/>
              <w:sz w:val="28"/>
              <w:szCs w:val="24"/>
            </w:rPr>
          </w:pPr>
          <w:r w:rsidRPr="00567444">
            <w:rPr>
              <w:rFonts w:ascii="Arial" w:hAnsi="Arial" w:cs="Arial"/>
              <w:b/>
              <w:sz w:val="28"/>
              <w:szCs w:val="24"/>
            </w:rPr>
            <w:t>Table of Contents</w:t>
          </w:r>
        </w:p>
        <w:p w14:paraId="72BDC7DB" w14:textId="6AAAD4A8" w:rsidR="00CF5DBA" w:rsidRDefault="00567444">
          <w:pPr>
            <w:pStyle w:val="TOC1"/>
            <w:tabs>
              <w:tab w:val="right" w:leader="dot" w:pos="9350"/>
            </w:tabs>
            <w:rPr>
              <w:rFonts w:asciiTheme="minorHAnsi" w:eastAsiaTheme="minorEastAsia" w:hAnsiTheme="minorHAnsi"/>
              <w:noProof/>
              <w:sz w:val="22"/>
              <w:lang w:val="en-US"/>
            </w:rPr>
          </w:pPr>
          <w:r w:rsidRPr="00567444">
            <w:rPr>
              <w:rFonts w:ascii="Arial" w:hAnsi="Arial" w:cs="Arial"/>
              <w:szCs w:val="24"/>
            </w:rPr>
            <w:fldChar w:fldCharType="begin"/>
          </w:r>
          <w:r w:rsidRPr="00567444">
            <w:rPr>
              <w:rFonts w:ascii="Arial" w:hAnsi="Arial" w:cs="Arial"/>
              <w:szCs w:val="24"/>
            </w:rPr>
            <w:instrText xml:space="preserve"> TOC \o "1-3" \h \z \u </w:instrText>
          </w:r>
          <w:r w:rsidRPr="00567444">
            <w:rPr>
              <w:rFonts w:ascii="Arial" w:hAnsi="Arial" w:cs="Arial"/>
              <w:szCs w:val="24"/>
            </w:rPr>
            <w:fldChar w:fldCharType="separate"/>
          </w:r>
          <w:hyperlink w:anchor="_Toc121765928" w:history="1">
            <w:r w:rsidR="00CF5DBA" w:rsidRPr="00363986">
              <w:rPr>
                <w:rStyle w:val="Hyperlink"/>
                <w:noProof/>
              </w:rPr>
              <w:t>Introduction</w:t>
            </w:r>
            <w:r w:rsidR="00CF5DBA">
              <w:rPr>
                <w:noProof/>
                <w:webHidden/>
              </w:rPr>
              <w:tab/>
            </w:r>
            <w:r w:rsidR="00CF5DBA">
              <w:rPr>
                <w:noProof/>
                <w:webHidden/>
              </w:rPr>
              <w:fldChar w:fldCharType="begin"/>
            </w:r>
            <w:r w:rsidR="00CF5DBA">
              <w:rPr>
                <w:noProof/>
                <w:webHidden/>
              </w:rPr>
              <w:instrText xml:space="preserve"> PAGEREF _Toc121765928 \h </w:instrText>
            </w:r>
            <w:r w:rsidR="00CF5DBA">
              <w:rPr>
                <w:noProof/>
                <w:webHidden/>
              </w:rPr>
            </w:r>
            <w:r w:rsidR="00CF5DBA">
              <w:rPr>
                <w:noProof/>
                <w:webHidden/>
              </w:rPr>
              <w:fldChar w:fldCharType="separate"/>
            </w:r>
            <w:r w:rsidR="00CF5DBA">
              <w:rPr>
                <w:noProof/>
                <w:webHidden/>
              </w:rPr>
              <w:t>3</w:t>
            </w:r>
            <w:r w:rsidR="00CF5DBA">
              <w:rPr>
                <w:noProof/>
                <w:webHidden/>
              </w:rPr>
              <w:fldChar w:fldCharType="end"/>
            </w:r>
          </w:hyperlink>
        </w:p>
        <w:p w14:paraId="75A92440" w14:textId="7769ABEB" w:rsidR="00CF5DBA" w:rsidRDefault="00000000">
          <w:pPr>
            <w:pStyle w:val="TOC1"/>
            <w:tabs>
              <w:tab w:val="right" w:leader="dot" w:pos="9350"/>
            </w:tabs>
            <w:rPr>
              <w:rFonts w:asciiTheme="minorHAnsi" w:eastAsiaTheme="minorEastAsia" w:hAnsiTheme="minorHAnsi"/>
              <w:noProof/>
              <w:sz w:val="22"/>
              <w:lang w:val="en-US"/>
            </w:rPr>
          </w:pPr>
          <w:hyperlink w:anchor="_Toc121765929" w:history="1">
            <w:r w:rsidR="00CF5DBA" w:rsidRPr="00363986">
              <w:rPr>
                <w:rStyle w:val="Hyperlink"/>
                <w:noProof/>
              </w:rPr>
              <w:t>The Commonwealth Games projects</w:t>
            </w:r>
            <w:r w:rsidR="00CF5DBA">
              <w:rPr>
                <w:noProof/>
                <w:webHidden/>
              </w:rPr>
              <w:tab/>
            </w:r>
            <w:r w:rsidR="00CF5DBA">
              <w:rPr>
                <w:noProof/>
                <w:webHidden/>
              </w:rPr>
              <w:fldChar w:fldCharType="begin"/>
            </w:r>
            <w:r w:rsidR="00CF5DBA">
              <w:rPr>
                <w:noProof/>
                <w:webHidden/>
              </w:rPr>
              <w:instrText xml:space="preserve"> PAGEREF _Toc121765929 \h </w:instrText>
            </w:r>
            <w:r w:rsidR="00CF5DBA">
              <w:rPr>
                <w:noProof/>
                <w:webHidden/>
              </w:rPr>
            </w:r>
            <w:r w:rsidR="00CF5DBA">
              <w:rPr>
                <w:noProof/>
                <w:webHidden/>
              </w:rPr>
              <w:fldChar w:fldCharType="separate"/>
            </w:r>
            <w:r w:rsidR="00CF5DBA">
              <w:rPr>
                <w:noProof/>
                <w:webHidden/>
              </w:rPr>
              <w:t>4</w:t>
            </w:r>
            <w:r w:rsidR="00CF5DBA">
              <w:rPr>
                <w:noProof/>
                <w:webHidden/>
              </w:rPr>
              <w:fldChar w:fldCharType="end"/>
            </w:r>
          </w:hyperlink>
        </w:p>
        <w:p w14:paraId="74E0A9A7" w14:textId="53EABF13" w:rsidR="00CF5DBA" w:rsidRDefault="00000000">
          <w:pPr>
            <w:pStyle w:val="TOC1"/>
            <w:tabs>
              <w:tab w:val="right" w:leader="dot" w:pos="9350"/>
            </w:tabs>
            <w:rPr>
              <w:rFonts w:asciiTheme="minorHAnsi" w:eastAsiaTheme="minorEastAsia" w:hAnsiTheme="minorHAnsi"/>
              <w:noProof/>
              <w:sz w:val="22"/>
              <w:lang w:val="en-US"/>
            </w:rPr>
          </w:pPr>
          <w:hyperlink w:anchor="_Toc121765930" w:history="1">
            <w:r w:rsidR="00CF5DBA" w:rsidRPr="00363986">
              <w:rPr>
                <w:rStyle w:val="Hyperlink"/>
                <w:noProof/>
              </w:rPr>
              <w:t>Comparison between both projects</w:t>
            </w:r>
            <w:r w:rsidR="00CF5DBA">
              <w:rPr>
                <w:noProof/>
                <w:webHidden/>
              </w:rPr>
              <w:tab/>
            </w:r>
            <w:r w:rsidR="00CF5DBA">
              <w:rPr>
                <w:noProof/>
                <w:webHidden/>
              </w:rPr>
              <w:fldChar w:fldCharType="begin"/>
            </w:r>
            <w:r w:rsidR="00CF5DBA">
              <w:rPr>
                <w:noProof/>
                <w:webHidden/>
              </w:rPr>
              <w:instrText xml:space="preserve"> PAGEREF _Toc121765930 \h </w:instrText>
            </w:r>
            <w:r w:rsidR="00CF5DBA">
              <w:rPr>
                <w:noProof/>
                <w:webHidden/>
              </w:rPr>
            </w:r>
            <w:r w:rsidR="00CF5DBA">
              <w:rPr>
                <w:noProof/>
                <w:webHidden/>
              </w:rPr>
              <w:fldChar w:fldCharType="separate"/>
            </w:r>
            <w:r w:rsidR="00CF5DBA">
              <w:rPr>
                <w:noProof/>
                <w:webHidden/>
              </w:rPr>
              <w:t>7</w:t>
            </w:r>
            <w:r w:rsidR="00CF5DBA">
              <w:rPr>
                <w:noProof/>
                <w:webHidden/>
              </w:rPr>
              <w:fldChar w:fldCharType="end"/>
            </w:r>
          </w:hyperlink>
        </w:p>
        <w:p w14:paraId="69D955FD" w14:textId="16C4EABD" w:rsidR="00CF5DBA" w:rsidRDefault="00000000">
          <w:pPr>
            <w:pStyle w:val="TOC1"/>
            <w:tabs>
              <w:tab w:val="right" w:leader="dot" w:pos="9350"/>
            </w:tabs>
            <w:rPr>
              <w:rFonts w:asciiTheme="minorHAnsi" w:eastAsiaTheme="minorEastAsia" w:hAnsiTheme="minorHAnsi"/>
              <w:noProof/>
              <w:sz w:val="22"/>
              <w:lang w:val="en-US"/>
            </w:rPr>
          </w:pPr>
          <w:hyperlink w:anchor="_Toc121765931" w:history="1">
            <w:r w:rsidR="00CF5DBA" w:rsidRPr="00363986">
              <w:rPr>
                <w:rStyle w:val="Hyperlink"/>
                <w:noProof/>
                <w:lang w:val="en-US"/>
              </w:rPr>
              <w:t>Evaluate best practices of both projects based on community engagement approaches</w:t>
            </w:r>
            <w:r w:rsidR="00CF5DBA">
              <w:rPr>
                <w:noProof/>
                <w:webHidden/>
              </w:rPr>
              <w:tab/>
            </w:r>
            <w:r w:rsidR="00CF5DBA">
              <w:rPr>
                <w:noProof/>
                <w:webHidden/>
              </w:rPr>
              <w:fldChar w:fldCharType="begin"/>
            </w:r>
            <w:r w:rsidR="00CF5DBA">
              <w:rPr>
                <w:noProof/>
                <w:webHidden/>
              </w:rPr>
              <w:instrText xml:space="preserve"> PAGEREF _Toc121765931 \h </w:instrText>
            </w:r>
            <w:r w:rsidR="00CF5DBA">
              <w:rPr>
                <w:noProof/>
                <w:webHidden/>
              </w:rPr>
            </w:r>
            <w:r w:rsidR="00CF5DBA">
              <w:rPr>
                <w:noProof/>
                <w:webHidden/>
              </w:rPr>
              <w:fldChar w:fldCharType="separate"/>
            </w:r>
            <w:r w:rsidR="00CF5DBA">
              <w:rPr>
                <w:noProof/>
                <w:webHidden/>
              </w:rPr>
              <w:t>8</w:t>
            </w:r>
            <w:r w:rsidR="00CF5DBA">
              <w:rPr>
                <w:noProof/>
                <w:webHidden/>
              </w:rPr>
              <w:fldChar w:fldCharType="end"/>
            </w:r>
          </w:hyperlink>
        </w:p>
        <w:p w14:paraId="51C4C185" w14:textId="36E31937" w:rsidR="00CF5DBA" w:rsidRDefault="00000000">
          <w:pPr>
            <w:pStyle w:val="TOC2"/>
            <w:tabs>
              <w:tab w:val="right" w:leader="dot" w:pos="9350"/>
            </w:tabs>
            <w:rPr>
              <w:rFonts w:asciiTheme="minorHAnsi" w:eastAsiaTheme="minorEastAsia" w:hAnsiTheme="minorHAnsi"/>
              <w:noProof/>
              <w:sz w:val="22"/>
              <w:lang w:val="en-US"/>
            </w:rPr>
          </w:pPr>
          <w:hyperlink w:anchor="_Toc121765932" w:history="1">
            <w:r w:rsidR="00CF5DBA" w:rsidRPr="00363986">
              <w:rPr>
                <w:rStyle w:val="Hyperlink"/>
                <w:noProof/>
                <w:lang w:val="en-US"/>
              </w:rPr>
              <w:t>Focus group for project ‘Cycling for Everyone’</w:t>
            </w:r>
            <w:r w:rsidR="00CF5DBA">
              <w:rPr>
                <w:noProof/>
                <w:webHidden/>
              </w:rPr>
              <w:tab/>
            </w:r>
            <w:r w:rsidR="00CF5DBA">
              <w:rPr>
                <w:noProof/>
                <w:webHidden/>
              </w:rPr>
              <w:fldChar w:fldCharType="begin"/>
            </w:r>
            <w:r w:rsidR="00CF5DBA">
              <w:rPr>
                <w:noProof/>
                <w:webHidden/>
              </w:rPr>
              <w:instrText xml:space="preserve"> PAGEREF _Toc121765932 \h </w:instrText>
            </w:r>
            <w:r w:rsidR="00CF5DBA">
              <w:rPr>
                <w:noProof/>
                <w:webHidden/>
              </w:rPr>
            </w:r>
            <w:r w:rsidR="00CF5DBA">
              <w:rPr>
                <w:noProof/>
                <w:webHidden/>
              </w:rPr>
              <w:fldChar w:fldCharType="separate"/>
            </w:r>
            <w:r w:rsidR="00CF5DBA">
              <w:rPr>
                <w:noProof/>
                <w:webHidden/>
              </w:rPr>
              <w:t>8</w:t>
            </w:r>
            <w:r w:rsidR="00CF5DBA">
              <w:rPr>
                <w:noProof/>
                <w:webHidden/>
              </w:rPr>
              <w:fldChar w:fldCharType="end"/>
            </w:r>
          </w:hyperlink>
        </w:p>
        <w:p w14:paraId="0440F9C4" w14:textId="542E60AD" w:rsidR="00CF5DBA" w:rsidRDefault="00000000">
          <w:pPr>
            <w:pStyle w:val="TOC2"/>
            <w:tabs>
              <w:tab w:val="right" w:leader="dot" w:pos="9350"/>
            </w:tabs>
            <w:rPr>
              <w:rFonts w:asciiTheme="minorHAnsi" w:eastAsiaTheme="minorEastAsia" w:hAnsiTheme="minorHAnsi"/>
              <w:noProof/>
              <w:sz w:val="22"/>
              <w:lang w:val="en-US"/>
            </w:rPr>
          </w:pPr>
          <w:hyperlink w:anchor="_Toc121765933" w:history="1">
            <w:r w:rsidR="00CF5DBA" w:rsidRPr="00363986">
              <w:rPr>
                <w:rStyle w:val="Hyperlink"/>
                <w:noProof/>
                <w:lang w:val="en-US"/>
              </w:rPr>
              <w:t>Web-based engagement for ‘Fight for all the Feels’</w:t>
            </w:r>
            <w:r w:rsidR="00CF5DBA">
              <w:rPr>
                <w:noProof/>
                <w:webHidden/>
              </w:rPr>
              <w:tab/>
            </w:r>
            <w:r w:rsidR="00CF5DBA">
              <w:rPr>
                <w:noProof/>
                <w:webHidden/>
              </w:rPr>
              <w:fldChar w:fldCharType="begin"/>
            </w:r>
            <w:r w:rsidR="00CF5DBA">
              <w:rPr>
                <w:noProof/>
                <w:webHidden/>
              </w:rPr>
              <w:instrText xml:space="preserve"> PAGEREF _Toc121765933 \h </w:instrText>
            </w:r>
            <w:r w:rsidR="00CF5DBA">
              <w:rPr>
                <w:noProof/>
                <w:webHidden/>
              </w:rPr>
            </w:r>
            <w:r w:rsidR="00CF5DBA">
              <w:rPr>
                <w:noProof/>
                <w:webHidden/>
              </w:rPr>
              <w:fldChar w:fldCharType="separate"/>
            </w:r>
            <w:r w:rsidR="00CF5DBA">
              <w:rPr>
                <w:noProof/>
                <w:webHidden/>
              </w:rPr>
              <w:t>9</w:t>
            </w:r>
            <w:r w:rsidR="00CF5DBA">
              <w:rPr>
                <w:noProof/>
                <w:webHidden/>
              </w:rPr>
              <w:fldChar w:fldCharType="end"/>
            </w:r>
          </w:hyperlink>
        </w:p>
        <w:p w14:paraId="4BBA7DA3" w14:textId="521F61FE" w:rsidR="00CF5DBA" w:rsidRDefault="00000000">
          <w:pPr>
            <w:pStyle w:val="TOC1"/>
            <w:tabs>
              <w:tab w:val="right" w:leader="dot" w:pos="9350"/>
            </w:tabs>
            <w:rPr>
              <w:rFonts w:asciiTheme="minorHAnsi" w:eastAsiaTheme="minorEastAsia" w:hAnsiTheme="minorHAnsi"/>
              <w:noProof/>
              <w:sz w:val="22"/>
              <w:lang w:val="en-US"/>
            </w:rPr>
          </w:pPr>
          <w:hyperlink w:anchor="_Toc121765934" w:history="1">
            <w:r w:rsidR="00CF5DBA" w:rsidRPr="00363986">
              <w:rPr>
                <w:rStyle w:val="Hyperlink"/>
                <w:noProof/>
              </w:rPr>
              <w:t>The impact of active consultation</w:t>
            </w:r>
            <w:r w:rsidR="00CF5DBA">
              <w:rPr>
                <w:noProof/>
                <w:webHidden/>
              </w:rPr>
              <w:tab/>
            </w:r>
            <w:r w:rsidR="00CF5DBA">
              <w:rPr>
                <w:noProof/>
                <w:webHidden/>
              </w:rPr>
              <w:fldChar w:fldCharType="begin"/>
            </w:r>
            <w:r w:rsidR="00CF5DBA">
              <w:rPr>
                <w:noProof/>
                <w:webHidden/>
              </w:rPr>
              <w:instrText xml:space="preserve"> PAGEREF _Toc121765934 \h </w:instrText>
            </w:r>
            <w:r w:rsidR="00CF5DBA">
              <w:rPr>
                <w:noProof/>
                <w:webHidden/>
              </w:rPr>
            </w:r>
            <w:r w:rsidR="00CF5DBA">
              <w:rPr>
                <w:noProof/>
                <w:webHidden/>
              </w:rPr>
              <w:fldChar w:fldCharType="separate"/>
            </w:r>
            <w:r w:rsidR="00CF5DBA">
              <w:rPr>
                <w:noProof/>
                <w:webHidden/>
              </w:rPr>
              <w:t>10</w:t>
            </w:r>
            <w:r w:rsidR="00CF5DBA">
              <w:rPr>
                <w:noProof/>
                <w:webHidden/>
              </w:rPr>
              <w:fldChar w:fldCharType="end"/>
            </w:r>
          </w:hyperlink>
        </w:p>
        <w:p w14:paraId="4C72C136" w14:textId="3EEC86E9" w:rsidR="00CF5DBA" w:rsidRDefault="00000000">
          <w:pPr>
            <w:pStyle w:val="TOC1"/>
            <w:tabs>
              <w:tab w:val="right" w:leader="dot" w:pos="9350"/>
            </w:tabs>
            <w:rPr>
              <w:rFonts w:asciiTheme="minorHAnsi" w:eastAsiaTheme="minorEastAsia" w:hAnsiTheme="minorHAnsi"/>
              <w:noProof/>
              <w:sz w:val="22"/>
              <w:lang w:val="en-US"/>
            </w:rPr>
          </w:pPr>
          <w:hyperlink w:anchor="_Toc121765935" w:history="1">
            <w:r w:rsidR="00CF5DBA" w:rsidRPr="00363986">
              <w:rPr>
                <w:rStyle w:val="Hyperlink"/>
                <w:noProof/>
              </w:rPr>
              <w:t>The impact of communication</w:t>
            </w:r>
            <w:r w:rsidR="00CF5DBA">
              <w:rPr>
                <w:noProof/>
                <w:webHidden/>
              </w:rPr>
              <w:tab/>
            </w:r>
            <w:r w:rsidR="00CF5DBA">
              <w:rPr>
                <w:noProof/>
                <w:webHidden/>
              </w:rPr>
              <w:fldChar w:fldCharType="begin"/>
            </w:r>
            <w:r w:rsidR="00CF5DBA">
              <w:rPr>
                <w:noProof/>
                <w:webHidden/>
              </w:rPr>
              <w:instrText xml:space="preserve"> PAGEREF _Toc121765935 \h </w:instrText>
            </w:r>
            <w:r w:rsidR="00CF5DBA">
              <w:rPr>
                <w:noProof/>
                <w:webHidden/>
              </w:rPr>
            </w:r>
            <w:r w:rsidR="00CF5DBA">
              <w:rPr>
                <w:noProof/>
                <w:webHidden/>
              </w:rPr>
              <w:fldChar w:fldCharType="separate"/>
            </w:r>
            <w:r w:rsidR="00CF5DBA">
              <w:rPr>
                <w:noProof/>
                <w:webHidden/>
              </w:rPr>
              <w:t>11</w:t>
            </w:r>
            <w:r w:rsidR="00CF5DBA">
              <w:rPr>
                <w:noProof/>
                <w:webHidden/>
              </w:rPr>
              <w:fldChar w:fldCharType="end"/>
            </w:r>
          </w:hyperlink>
        </w:p>
        <w:p w14:paraId="696B1D24" w14:textId="020F4FB6" w:rsidR="00CF5DBA" w:rsidRDefault="00000000">
          <w:pPr>
            <w:pStyle w:val="TOC1"/>
            <w:tabs>
              <w:tab w:val="right" w:leader="dot" w:pos="9350"/>
            </w:tabs>
            <w:rPr>
              <w:rFonts w:asciiTheme="minorHAnsi" w:eastAsiaTheme="minorEastAsia" w:hAnsiTheme="minorHAnsi"/>
              <w:noProof/>
              <w:sz w:val="22"/>
              <w:lang w:val="en-US"/>
            </w:rPr>
          </w:pPr>
          <w:hyperlink w:anchor="_Toc121765936" w:history="1">
            <w:r w:rsidR="00CF5DBA" w:rsidRPr="00363986">
              <w:rPr>
                <w:rStyle w:val="Hyperlink"/>
                <w:noProof/>
              </w:rPr>
              <w:t>The impact of stakeholder participation</w:t>
            </w:r>
            <w:r w:rsidR="00CF5DBA">
              <w:rPr>
                <w:noProof/>
                <w:webHidden/>
              </w:rPr>
              <w:tab/>
            </w:r>
            <w:r w:rsidR="00CF5DBA">
              <w:rPr>
                <w:noProof/>
                <w:webHidden/>
              </w:rPr>
              <w:fldChar w:fldCharType="begin"/>
            </w:r>
            <w:r w:rsidR="00CF5DBA">
              <w:rPr>
                <w:noProof/>
                <w:webHidden/>
              </w:rPr>
              <w:instrText xml:space="preserve"> PAGEREF _Toc121765936 \h </w:instrText>
            </w:r>
            <w:r w:rsidR="00CF5DBA">
              <w:rPr>
                <w:noProof/>
                <w:webHidden/>
              </w:rPr>
            </w:r>
            <w:r w:rsidR="00CF5DBA">
              <w:rPr>
                <w:noProof/>
                <w:webHidden/>
              </w:rPr>
              <w:fldChar w:fldCharType="separate"/>
            </w:r>
            <w:r w:rsidR="00CF5DBA">
              <w:rPr>
                <w:noProof/>
                <w:webHidden/>
              </w:rPr>
              <w:t>11</w:t>
            </w:r>
            <w:r w:rsidR="00CF5DBA">
              <w:rPr>
                <w:noProof/>
                <w:webHidden/>
              </w:rPr>
              <w:fldChar w:fldCharType="end"/>
            </w:r>
          </w:hyperlink>
        </w:p>
        <w:p w14:paraId="4D49D6D4" w14:textId="30B05A50" w:rsidR="00CF5DBA" w:rsidRDefault="00000000">
          <w:pPr>
            <w:pStyle w:val="TOC1"/>
            <w:tabs>
              <w:tab w:val="right" w:leader="dot" w:pos="9350"/>
            </w:tabs>
            <w:rPr>
              <w:rFonts w:asciiTheme="minorHAnsi" w:eastAsiaTheme="minorEastAsia" w:hAnsiTheme="minorHAnsi"/>
              <w:noProof/>
              <w:sz w:val="22"/>
              <w:lang w:val="en-US"/>
            </w:rPr>
          </w:pPr>
          <w:hyperlink w:anchor="_Toc121765937" w:history="1">
            <w:r w:rsidR="00CF5DBA" w:rsidRPr="00363986">
              <w:rPr>
                <w:rStyle w:val="Hyperlink"/>
                <w:noProof/>
              </w:rPr>
              <w:t>The impact of inclusion</w:t>
            </w:r>
            <w:r w:rsidR="00CF5DBA">
              <w:rPr>
                <w:noProof/>
                <w:webHidden/>
              </w:rPr>
              <w:tab/>
            </w:r>
            <w:r w:rsidR="00CF5DBA">
              <w:rPr>
                <w:noProof/>
                <w:webHidden/>
              </w:rPr>
              <w:fldChar w:fldCharType="begin"/>
            </w:r>
            <w:r w:rsidR="00CF5DBA">
              <w:rPr>
                <w:noProof/>
                <w:webHidden/>
              </w:rPr>
              <w:instrText xml:space="preserve"> PAGEREF _Toc121765937 \h </w:instrText>
            </w:r>
            <w:r w:rsidR="00CF5DBA">
              <w:rPr>
                <w:noProof/>
                <w:webHidden/>
              </w:rPr>
            </w:r>
            <w:r w:rsidR="00CF5DBA">
              <w:rPr>
                <w:noProof/>
                <w:webHidden/>
              </w:rPr>
              <w:fldChar w:fldCharType="separate"/>
            </w:r>
            <w:r w:rsidR="00CF5DBA">
              <w:rPr>
                <w:noProof/>
                <w:webHidden/>
              </w:rPr>
              <w:t>12</w:t>
            </w:r>
            <w:r w:rsidR="00CF5DBA">
              <w:rPr>
                <w:noProof/>
                <w:webHidden/>
              </w:rPr>
              <w:fldChar w:fldCharType="end"/>
            </w:r>
          </w:hyperlink>
        </w:p>
        <w:p w14:paraId="24C35A4F" w14:textId="1BA4E08B" w:rsidR="00CF5DBA" w:rsidRDefault="00000000">
          <w:pPr>
            <w:pStyle w:val="TOC1"/>
            <w:tabs>
              <w:tab w:val="right" w:leader="dot" w:pos="9350"/>
            </w:tabs>
            <w:rPr>
              <w:rFonts w:asciiTheme="minorHAnsi" w:eastAsiaTheme="minorEastAsia" w:hAnsiTheme="minorHAnsi"/>
              <w:noProof/>
              <w:sz w:val="22"/>
              <w:lang w:val="en-US"/>
            </w:rPr>
          </w:pPr>
          <w:hyperlink w:anchor="_Toc121765938" w:history="1">
            <w:r w:rsidR="00CF5DBA" w:rsidRPr="00363986">
              <w:rPr>
                <w:rStyle w:val="Hyperlink"/>
                <w:noProof/>
                <w:lang w:val="en-US"/>
              </w:rPr>
              <w:t>Conclusion</w:t>
            </w:r>
            <w:r w:rsidR="00CF5DBA">
              <w:rPr>
                <w:noProof/>
                <w:webHidden/>
              </w:rPr>
              <w:tab/>
            </w:r>
            <w:r w:rsidR="00CF5DBA">
              <w:rPr>
                <w:noProof/>
                <w:webHidden/>
              </w:rPr>
              <w:fldChar w:fldCharType="begin"/>
            </w:r>
            <w:r w:rsidR="00CF5DBA">
              <w:rPr>
                <w:noProof/>
                <w:webHidden/>
              </w:rPr>
              <w:instrText xml:space="preserve"> PAGEREF _Toc121765938 \h </w:instrText>
            </w:r>
            <w:r w:rsidR="00CF5DBA">
              <w:rPr>
                <w:noProof/>
                <w:webHidden/>
              </w:rPr>
            </w:r>
            <w:r w:rsidR="00CF5DBA">
              <w:rPr>
                <w:noProof/>
                <w:webHidden/>
              </w:rPr>
              <w:fldChar w:fldCharType="separate"/>
            </w:r>
            <w:r w:rsidR="00CF5DBA">
              <w:rPr>
                <w:noProof/>
                <w:webHidden/>
              </w:rPr>
              <w:t>13</w:t>
            </w:r>
            <w:r w:rsidR="00CF5DBA">
              <w:rPr>
                <w:noProof/>
                <w:webHidden/>
              </w:rPr>
              <w:fldChar w:fldCharType="end"/>
            </w:r>
          </w:hyperlink>
        </w:p>
        <w:p w14:paraId="756C53A0" w14:textId="3876049E" w:rsidR="00CF5DBA" w:rsidRDefault="00000000">
          <w:pPr>
            <w:pStyle w:val="TOC1"/>
            <w:tabs>
              <w:tab w:val="right" w:leader="dot" w:pos="9350"/>
            </w:tabs>
            <w:rPr>
              <w:rFonts w:asciiTheme="minorHAnsi" w:eastAsiaTheme="minorEastAsia" w:hAnsiTheme="minorHAnsi"/>
              <w:noProof/>
              <w:sz w:val="22"/>
              <w:lang w:val="en-US"/>
            </w:rPr>
          </w:pPr>
          <w:hyperlink w:anchor="_Toc121765939" w:history="1">
            <w:r w:rsidR="00CF5DBA" w:rsidRPr="00363986">
              <w:rPr>
                <w:rStyle w:val="Hyperlink"/>
                <w:noProof/>
              </w:rPr>
              <w:t>References</w:t>
            </w:r>
            <w:r w:rsidR="00CF5DBA">
              <w:rPr>
                <w:noProof/>
                <w:webHidden/>
              </w:rPr>
              <w:tab/>
            </w:r>
            <w:r w:rsidR="00CF5DBA">
              <w:rPr>
                <w:noProof/>
                <w:webHidden/>
              </w:rPr>
              <w:fldChar w:fldCharType="begin"/>
            </w:r>
            <w:r w:rsidR="00CF5DBA">
              <w:rPr>
                <w:noProof/>
                <w:webHidden/>
              </w:rPr>
              <w:instrText xml:space="preserve"> PAGEREF _Toc121765939 \h </w:instrText>
            </w:r>
            <w:r w:rsidR="00CF5DBA">
              <w:rPr>
                <w:noProof/>
                <w:webHidden/>
              </w:rPr>
            </w:r>
            <w:r w:rsidR="00CF5DBA">
              <w:rPr>
                <w:noProof/>
                <w:webHidden/>
              </w:rPr>
              <w:fldChar w:fldCharType="separate"/>
            </w:r>
            <w:r w:rsidR="00CF5DBA">
              <w:rPr>
                <w:noProof/>
                <w:webHidden/>
              </w:rPr>
              <w:t>14</w:t>
            </w:r>
            <w:r w:rsidR="00CF5DBA">
              <w:rPr>
                <w:noProof/>
                <w:webHidden/>
              </w:rPr>
              <w:fldChar w:fldCharType="end"/>
            </w:r>
          </w:hyperlink>
        </w:p>
        <w:p w14:paraId="6C062B86" w14:textId="3070CEE4" w:rsidR="00567444" w:rsidRDefault="00567444" w:rsidP="00567444">
          <w:pPr>
            <w:spacing w:after="0"/>
            <w:rPr>
              <w:rFonts w:cs="Arial"/>
              <w:b/>
              <w:bCs/>
              <w:noProof/>
              <w:szCs w:val="24"/>
            </w:rPr>
          </w:pPr>
          <w:r w:rsidRPr="00567444">
            <w:rPr>
              <w:rFonts w:cs="Arial"/>
              <w:b/>
              <w:bCs/>
              <w:noProof/>
              <w:szCs w:val="24"/>
            </w:rPr>
            <w:fldChar w:fldCharType="end"/>
          </w:r>
        </w:p>
      </w:sdtContent>
    </w:sdt>
    <w:p w14:paraId="1B69F1F6" w14:textId="4A7427E2" w:rsidR="003B1A92" w:rsidRDefault="003B1A92"/>
    <w:p w14:paraId="652AE7CF" w14:textId="3A0BE0D1" w:rsidR="003B1A92" w:rsidRDefault="003B1A92"/>
    <w:p w14:paraId="74BC8BFD" w14:textId="00534F7E" w:rsidR="003B1A92" w:rsidRDefault="003B1A92"/>
    <w:p w14:paraId="171D3B84" w14:textId="5780E6E8" w:rsidR="003B1A92" w:rsidRDefault="003B1A92"/>
    <w:p w14:paraId="07274415" w14:textId="086B919B" w:rsidR="003B1A92" w:rsidRDefault="003B1A92"/>
    <w:p w14:paraId="21BD8EB9" w14:textId="00191784" w:rsidR="003B1A92" w:rsidRDefault="003B1A92"/>
    <w:p w14:paraId="5DA7E14B" w14:textId="0C7AD8E3" w:rsidR="003B1A92" w:rsidRDefault="003B1A92"/>
    <w:p w14:paraId="5FDF2706" w14:textId="0EE8F19E" w:rsidR="003B1A92" w:rsidRDefault="003B1A92"/>
    <w:p w14:paraId="1989E51C" w14:textId="5A272B2D" w:rsidR="003B1A92" w:rsidRDefault="003B1A92"/>
    <w:p w14:paraId="2B4E50FD" w14:textId="7685C5CF" w:rsidR="0077016E" w:rsidRDefault="0077016E"/>
    <w:p w14:paraId="0502967B" w14:textId="0F972827" w:rsidR="0077016E" w:rsidRPr="008F41AA" w:rsidRDefault="0077016E" w:rsidP="00901440">
      <w:pPr>
        <w:pStyle w:val="Heading1"/>
      </w:pPr>
      <w:bookmarkStart w:id="0" w:name="_Toc121765928"/>
      <w:r w:rsidRPr="008F41AA">
        <w:t>Intro</w:t>
      </w:r>
      <w:r w:rsidR="008F41AA" w:rsidRPr="008F41AA">
        <w:t>duction</w:t>
      </w:r>
      <w:bookmarkEnd w:id="0"/>
    </w:p>
    <w:p w14:paraId="5F27D935" w14:textId="003E180F" w:rsidR="008F41AA" w:rsidRDefault="00435428" w:rsidP="00435428">
      <w:r>
        <w:t>Birmingham already boasts a plethora of current sports arenas, stadiums, and conference centres that are excellent for conducting sporting events during the games. Birmingham 2022 is both conservative and inventive, with 95 per cent of the competitive sites that are now in position</w:t>
      </w:r>
      <w:r w:rsidR="00567444">
        <w:t xml:space="preserve"> </w:t>
      </w:r>
      <w:r w:rsidR="00567444" w:rsidRPr="00567444">
        <w:t>(Birmingham, 2022)</w:t>
      </w:r>
      <w:r>
        <w:t>. These Commonwealth Games would be renowned for certain spectacular sports achievements, but their true impact is likely to be found outside of the athletic arenas. The Commonwealth Games 2022 was organized in Birmingham, England for the 3rd time (1934, 2002, 2022).</w:t>
      </w:r>
    </w:p>
    <w:p w14:paraId="45288A53" w14:textId="05FE6318" w:rsidR="00435428" w:rsidRDefault="00435428" w:rsidP="00435428">
      <w:r>
        <w:t xml:space="preserve">This report has gone through the comparison of two different projects that were held by the </w:t>
      </w:r>
      <w:r w:rsidRPr="00435428">
        <w:t>Birmingham</w:t>
      </w:r>
      <w:r>
        <w:t xml:space="preserve"> </w:t>
      </w:r>
      <w:r w:rsidRPr="00435428">
        <w:t>Commonwealth Games</w:t>
      </w:r>
      <w:r>
        <w:t xml:space="preserve">, which are ‘Cycling for Everyone’ and ‘Fight for all the Feels’. It has discussed its research evidence </w:t>
      </w:r>
      <w:proofErr w:type="gramStart"/>
      <w:r>
        <w:t>and also</w:t>
      </w:r>
      <w:proofErr w:type="gramEnd"/>
      <w:r>
        <w:t xml:space="preserve"> used community engagement approaches to </w:t>
      </w:r>
      <w:r w:rsidR="007D0406">
        <w:t xml:space="preserve">evaluate the best practices of both of these projects. Lastly, it has discussed the impact of community consultation, stakeholders’ participation, </w:t>
      </w:r>
      <w:proofErr w:type="gramStart"/>
      <w:r w:rsidR="007D0406">
        <w:t>inclusion</w:t>
      </w:r>
      <w:proofErr w:type="gramEnd"/>
      <w:r w:rsidR="007D0406">
        <w:t xml:space="preserve"> and communication on locals. </w:t>
      </w:r>
    </w:p>
    <w:p w14:paraId="12ED8B7C" w14:textId="3E0CD396" w:rsidR="008F41AA" w:rsidRDefault="008F41AA" w:rsidP="0077016E"/>
    <w:p w14:paraId="0D1DFC89" w14:textId="02B06A9C" w:rsidR="008F41AA" w:rsidRDefault="008F41AA" w:rsidP="0077016E"/>
    <w:p w14:paraId="44F69446" w14:textId="42A324B6" w:rsidR="003B1A92" w:rsidRDefault="003B1A92" w:rsidP="0077016E"/>
    <w:p w14:paraId="07C43E73" w14:textId="0E9C7D93" w:rsidR="003B1A92" w:rsidRDefault="003B1A92" w:rsidP="0077016E"/>
    <w:p w14:paraId="248A21EF" w14:textId="624483C5" w:rsidR="003B1A92" w:rsidRDefault="003B1A92" w:rsidP="0077016E"/>
    <w:p w14:paraId="79801460" w14:textId="419A91B9" w:rsidR="003B1A92" w:rsidRDefault="003B1A92" w:rsidP="0077016E"/>
    <w:p w14:paraId="61D540F2" w14:textId="4D295C7B" w:rsidR="003B1A92" w:rsidRDefault="003B1A92" w:rsidP="0077016E"/>
    <w:p w14:paraId="46CDA8FC" w14:textId="5AD89E44" w:rsidR="003B1A92" w:rsidRDefault="003B1A92" w:rsidP="0077016E"/>
    <w:p w14:paraId="433C84EC" w14:textId="03C432FF" w:rsidR="003B1A92" w:rsidRDefault="003B1A92" w:rsidP="0077016E"/>
    <w:p w14:paraId="18E50B46" w14:textId="25EE3D78" w:rsidR="003B1A92" w:rsidRDefault="003B1A92" w:rsidP="0077016E"/>
    <w:p w14:paraId="3FB8F18C" w14:textId="3517503E" w:rsidR="003B1A92" w:rsidRDefault="003B1A92" w:rsidP="0077016E"/>
    <w:p w14:paraId="5A6E1FD5" w14:textId="77777777" w:rsidR="003B1A92" w:rsidRDefault="003B1A92" w:rsidP="0077016E"/>
    <w:p w14:paraId="56BE41DD" w14:textId="09DE5828" w:rsidR="008F41AA" w:rsidRPr="008F41AA" w:rsidRDefault="003B1A92" w:rsidP="00901440">
      <w:pPr>
        <w:pStyle w:val="Heading1"/>
      </w:pPr>
      <w:bookmarkStart w:id="1" w:name="_Toc121765929"/>
      <w:r>
        <w:t>The Commonwealth Games projects</w:t>
      </w:r>
      <w:bookmarkEnd w:id="1"/>
    </w:p>
    <w:p w14:paraId="0A965AEC" w14:textId="606191AE" w:rsidR="008F41AA" w:rsidRDefault="008F41AA" w:rsidP="008F41AA">
      <w:r w:rsidRPr="008F41AA">
        <w:t>Commonwealth, Birmingham is in a good stance to entice people to attend the Events and to assure that the advantages of organizing are spread throughout the town and the area, as well as the United Kingdom and the Commonwealth as a whole.</w:t>
      </w:r>
      <w:r>
        <w:t xml:space="preserve"> </w:t>
      </w:r>
      <w:r w:rsidRPr="008F41AA">
        <w:t>Champions in a wide variety of Commonwealth activities, ranging from running and gymnastics, basketball to badminton and are frequently held in Birmingham</w:t>
      </w:r>
      <w:r w:rsidR="00567444">
        <w:t xml:space="preserve"> </w:t>
      </w:r>
      <w:r w:rsidR="00567444" w:rsidRPr="00567444">
        <w:t>(Butterfield, 2018)</w:t>
      </w:r>
      <w:r w:rsidRPr="008F41AA">
        <w:t>.</w:t>
      </w:r>
      <w:r>
        <w:t xml:space="preserve"> In recognition of Birmingham's successful hosting of the most historic Commonwealth Games, the "Cycling for Everyone" initiative was launched. Everyone who took part in the initiative was considered a stakeholder, such as those who participated, those who organized it, those who sponsored it, and others. The organization possesses a wide variety of qualities, some of which include association, the maintenance of shared infrastructure, and the documentation of stakeholder governance. </w:t>
      </w:r>
    </w:p>
    <w:p w14:paraId="699D9946" w14:textId="1AE0E5C3" w:rsidR="00B02A95" w:rsidRDefault="00B02A95" w:rsidP="00B02A95">
      <w:pPr>
        <w:jc w:val="center"/>
      </w:pPr>
      <w:r>
        <w:rPr>
          <w:noProof/>
        </w:rPr>
        <w:drawing>
          <wp:inline distT="0" distB="0" distL="0" distR="0" wp14:anchorId="2FD016E0" wp14:editId="14EBD796">
            <wp:extent cx="3456081" cy="2593907"/>
            <wp:effectExtent l="0" t="0" r="0" b="0"/>
            <wp:docPr id="1" name="Picture 1" descr="United by Birmingham 2022 Community Project Cycling for Every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by Birmingham 2022 Community Project Cycling for Every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7271" cy="2609810"/>
                    </a:xfrm>
                    <a:prstGeom prst="rect">
                      <a:avLst/>
                    </a:prstGeom>
                    <a:noFill/>
                    <a:ln>
                      <a:noFill/>
                    </a:ln>
                  </pic:spPr>
                </pic:pic>
              </a:graphicData>
            </a:graphic>
          </wp:inline>
        </w:drawing>
      </w:r>
    </w:p>
    <w:p w14:paraId="17BA5BD2" w14:textId="05786923" w:rsidR="008F41AA" w:rsidRDefault="00B02A95" w:rsidP="00B02A95">
      <w:pPr>
        <w:jc w:val="center"/>
      </w:pPr>
      <w:r w:rsidRPr="00B02A95">
        <w:rPr>
          <w:b/>
        </w:rPr>
        <w:t>Figure</w:t>
      </w:r>
      <w:r w:rsidR="00901440">
        <w:rPr>
          <w:b/>
        </w:rPr>
        <w:t xml:space="preserve"> 1</w:t>
      </w:r>
      <w:r w:rsidRPr="00B02A95">
        <w:rPr>
          <w:b/>
        </w:rPr>
        <w:t>:</w:t>
      </w:r>
      <w:r>
        <w:t xml:space="preserve"> Cycling for Everyone project</w:t>
      </w:r>
      <w:r w:rsidR="00567444">
        <w:t xml:space="preserve"> </w:t>
      </w:r>
      <w:r w:rsidR="00567444" w:rsidRPr="00567444">
        <w:t>(Birmingham, 2022)</w:t>
      </w:r>
    </w:p>
    <w:p w14:paraId="27EF5106" w14:textId="62AD0CA8" w:rsidR="00B02A95" w:rsidRDefault="00B02A95" w:rsidP="008F41AA">
      <w:r w:rsidRPr="00B02A95">
        <w:t>To close this gap, Cycling for Everyone would offer specialized programs to females, persons with impairments, individuals of colour, and individuals living in the 20% of the West Midlands that comprise the most financially deprived, as well as encourage their involvement in cycling.</w:t>
      </w:r>
    </w:p>
    <w:p w14:paraId="281794D6" w14:textId="166E4C17" w:rsidR="008F41AA" w:rsidRDefault="00B02A95" w:rsidP="008F41AA">
      <w:r>
        <w:lastRenderedPageBreak/>
        <w:t>For the project ‘Fight for thee Feels’, t</w:t>
      </w:r>
      <w:r w:rsidR="008F41AA" w:rsidRPr="008F41AA">
        <w:t xml:space="preserve">he Peer Support Programme seeks to appoint a maximum of 20 full-time </w:t>
      </w:r>
      <w:r>
        <w:t>equivalents</w:t>
      </w:r>
      <w:r w:rsidR="008F41AA" w:rsidRPr="008F41AA">
        <w:t xml:space="preserve"> (FTE) 'lived journey' Peer Support Workers (PSWs), and there will be both comprehensive and part-time spots obtainable for these stances. </w:t>
      </w:r>
      <w:r w:rsidR="00AB361C" w:rsidRPr="00B02A95">
        <w:t>These Peer Support Workers will work along with the diagnostic team to assist in supporting the recovery process</w:t>
      </w:r>
      <w:r w:rsidR="00567444">
        <w:t xml:space="preserve"> </w:t>
      </w:r>
      <w:r w:rsidR="00567444" w:rsidRPr="00567444">
        <w:t>(Butterfield, 2018)</w:t>
      </w:r>
      <w:r w:rsidR="00AB361C" w:rsidRPr="00B02A95">
        <w:t xml:space="preserve">. Operating inside communities, PSWs would then link youth individuals and their households to available materials while also supplying them with a feeling of empathy and expect that may only arrive from a peer that has been in their position and discovered to flourish. This is something that may hardly come from a person who has experienced what they are going through </w:t>
      </w:r>
      <w:r w:rsidR="00AB361C" w:rsidRPr="00AB361C">
        <w:t>first-hand</w:t>
      </w:r>
      <w:r w:rsidR="00AB361C" w:rsidRPr="00B02A95">
        <w:t xml:space="preserve"> and found a way to succeed.</w:t>
      </w:r>
    </w:p>
    <w:p w14:paraId="283CD43A" w14:textId="22472AAB" w:rsidR="00B02A95" w:rsidRDefault="00B02A95" w:rsidP="00B02A95">
      <w:pPr>
        <w:jc w:val="center"/>
      </w:pPr>
      <w:r w:rsidRPr="00B02A95">
        <w:rPr>
          <w:noProof/>
        </w:rPr>
        <w:drawing>
          <wp:inline distT="0" distB="0" distL="0" distR="0" wp14:anchorId="07EB299A" wp14:editId="134FCA14">
            <wp:extent cx="3498287" cy="2838621"/>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13923" cy="2851309"/>
                    </a:xfrm>
                    <a:prstGeom prst="rect">
                      <a:avLst/>
                    </a:prstGeom>
                  </pic:spPr>
                </pic:pic>
              </a:graphicData>
            </a:graphic>
          </wp:inline>
        </w:drawing>
      </w:r>
    </w:p>
    <w:p w14:paraId="1F3C972C" w14:textId="1E24D126" w:rsidR="00B02A95" w:rsidRDefault="00B02A95" w:rsidP="00B02A95">
      <w:pPr>
        <w:jc w:val="center"/>
      </w:pPr>
      <w:r w:rsidRPr="00B02A95">
        <w:rPr>
          <w:b/>
        </w:rPr>
        <w:t>Figure</w:t>
      </w:r>
      <w:r w:rsidR="00901440">
        <w:rPr>
          <w:b/>
        </w:rPr>
        <w:t xml:space="preserve"> 2</w:t>
      </w:r>
      <w:r w:rsidRPr="00B02A95">
        <w:rPr>
          <w:b/>
        </w:rPr>
        <w:t>:</w:t>
      </w:r>
      <w:r>
        <w:t xml:space="preserve"> Fight for the Feels project</w:t>
      </w:r>
      <w:r w:rsidR="00567444">
        <w:t xml:space="preserve"> </w:t>
      </w:r>
      <w:r w:rsidR="00567444" w:rsidRPr="00567444">
        <w:t>(Birmingham, 2022)</w:t>
      </w:r>
    </w:p>
    <w:p w14:paraId="71322762" w14:textId="29CFA620" w:rsidR="00B02A95" w:rsidRDefault="00AB361C" w:rsidP="00AB361C">
      <w:r>
        <w:t>This project focuses on bringing individuals together through an increased understanding of mental health issues, working to reduce the stigma associated with such issues, and building and maintaining ties within the community</w:t>
      </w:r>
      <w:r w:rsidR="00567444">
        <w:t xml:space="preserve"> </w:t>
      </w:r>
      <w:r w:rsidR="00567444" w:rsidRPr="00567444">
        <w:t>(Birmingham, 2022)</w:t>
      </w:r>
      <w:r>
        <w:t>. It ensures that efforts should be made to enhance the physical and mental well-being of kids, adolescents, and households. It helps to aid in the expansion and progress of the area, new work opportunities should be established for people who suffer from mental disorders.</w:t>
      </w:r>
    </w:p>
    <w:p w14:paraId="1C8E47DF" w14:textId="77081BEE" w:rsidR="00567444" w:rsidRDefault="00916A63" w:rsidP="00AB361C">
      <w:r w:rsidRPr="00916A63">
        <w:lastRenderedPageBreak/>
        <w:t xml:space="preserve">Diversity is one of the wonderful features that Birmingham possesses. Many people living in the West Midlands were raised in countries that are not part of the Commonwealth, and the city alone is home to more than 180 distinct ethnicities. As an aspect of this, and </w:t>
      </w:r>
      <w:proofErr w:type="gramStart"/>
      <w:r w:rsidRPr="00916A63">
        <w:t>in order to</w:t>
      </w:r>
      <w:proofErr w:type="gramEnd"/>
      <w:r w:rsidRPr="00916A63">
        <w:t xml:space="preserve"> make sure that such initiatives might be accessed by everyone, the Birmingham City Council collaborated with over 425 organizations in order to prepare and convey these initiatives in order to make sure that they would be indicative of the societies that they are directed at</w:t>
      </w:r>
      <w:r w:rsidR="00567444">
        <w:t xml:space="preserve"> </w:t>
      </w:r>
      <w:r w:rsidR="00567444" w:rsidRPr="00567444">
        <w:t>(Shane, 2016)</w:t>
      </w:r>
      <w:r w:rsidRPr="00916A63">
        <w:t>. The entirety of the city has seen the commissioning of 493 different projects thanks to this initiative.</w:t>
      </w:r>
    </w:p>
    <w:p w14:paraId="0AD571E3" w14:textId="6896DA14" w:rsidR="00901440" w:rsidRPr="00901440" w:rsidRDefault="00901440" w:rsidP="00901440">
      <w:pPr>
        <w:pStyle w:val="Heading1"/>
        <w:rPr>
          <w:lang w:val="en-US"/>
        </w:rPr>
      </w:pPr>
      <w:bookmarkStart w:id="2" w:name="_Toc121765931"/>
      <w:r w:rsidRPr="00901440">
        <w:rPr>
          <w:lang w:val="en-US"/>
        </w:rPr>
        <w:t>Evaluate best practices of both projects based on community engagement approaches</w:t>
      </w:r>
      <w:bookmarkEnd w:id="2"/>
    </w:p>
    <w:p w14:paraId="397ECE75" w14:textId="77777777" w:rsidR="00901440" w:rsidRPr="00901440" w:rsidRDefault="00901440" w:rsidP="00901440">
      <w:pPr>
        <w:rPr>
          <w:lang w:val="en-US"/>
        </w:rPr>
      </w:pPr>
      <w:r w:rsidRPr="00901440">
        <w:rPr>
          <w:lang w:val="en-US"/>
        </w:rPr>
        <w:t>There are different methods for evaluating community engagement. Two of them are discussed down below –</w:t>
      </w:r>
    </w:p>
    <w:p w14:paraId="50C332CC" w14:textId="74ECC6E4" w:rsidR="00901440" w:rsidRPr="00901440" w:rsidRDefault="00901440" w:rsidP="00901440">
      <w:pPr>
        <w:pStyle w:val="Heading2"/>
        <w:rPr>
          <w:lang w:val="en-US"/>
        </w:rPr>
      </w:pPr>
      <w:bookmarkStart w:id="3" w:name="_Toc121765932"/>
      <w:r w:rsidRPr="00901440">
        <w:rPr>
          <w:lang w:val="en-US"/>
        </w:rPr>
        <w:t xml:space="preserve">Focus group </w:t>
      </w:r>
      <w:r>
        <w:rPr>
          <w:lang w:val="en-US"/>
        </w:rPr>
        <w:t>for project ‘Cycling for Everyone’</w:t>
      </w:r>
      <w:bookmarkEnd w:id="3"/>
      <w:r>
        <w:rPr>
          <w:lang w:val="en-US"/>
        </w:rPr>
        <w:t xml:space="preserve"> </w:t>
      </w:r>
    </w:p>
    <w:p w14:paraId="6B80A335" w14:textId="0F2B755F" w:rsidR="00901440" w:rsidRPr="00901440" w:rsidRDefault="00901440" w:rsidP="00901440">
      <w:pPr>
        <w:rPr>
          <w:lang w:val="en-US"/>
        </w:rPr>
      </w:pPr>
      <w:r w:rsidRPr="00901440">
        <w:rPr>
          <w:lang w:val="en-US"/>
        </w:rPr>
        <w:t>Focus groups to be selected for the cycling project promote dialogue and are particularly effective when connecting to fewer or underrepresented stakeholder communities</w:t>
      </w:r>
      <w:r w:rsidR="00567444">
        <w:rPr>
          <w:lang w:val="en-US"/>
        </w:rPr>
        <w:t xml:space="preserve"> </w:t>
      </w:r>
      <w:r w:rsidR="00567444" w:rsidRPr="00567444">
        <w:t>(Butterfield, 2018)</w:t>
      </w:r>
      <w:r w:rsidRPr="00901440">
        <w:rPr>
          <w:lang w:val="en-US"/>
        </w:rPr>
        <w:t>. When individuals are given targeted concerns, the dynamic communication between them is improved, and a convenient atmosphere is produced.</w:t>
      </w:r>
    </w:p>
    <w:p w14:paraId="4102260F" w14:textId="77777777" w:rsidR="00901440" w:rsidRPr="00901440" w:rsidRDefault="00901440" w:rsidP="00901440">
      <w:pPr>
        <w:rPr>
          <w:b/>
          <w:lang w:val="en-US"/>
        </w:rPr>
      </w:pPr>
      <w:r w:rsidRPr="00901440">
        <w:rPr>
          <w:b/>
          <w:lang w:val="en-US"/>
        </w:rPr>
        <w:t>Pros -</w:t>
      </w:r>
    </w:p>
    <w:p w14:paraId="0A7AE665" w14:textId="77777777" w:rsidR="00901440" w:rsidRPr="00901440" w:rsidRDefault="00901440" w:rsidP="00901440">
      <w:pPr>
        <w:numPr>
          <w:ilvl w:val="0"/>
          <w:numId w:val="3"/>
        </w:numPr>
        <w:rPr>
          <w:lang w:val="en-US"/>
        </w:rPr>
      </w:pPr>
      <w:r w:rsidRPr="00901440">
        <w:rPr>
          <w:lang w:val="en-US"/>
        </w:rPr>
        <w:t>A small community format is an effective approach to allocating services and discovering critical challenges in cycling activity.</w:t>
      </w:r>
    </w:p>
    <w:p w14:paraId="27E5551C" w14:textId="77777777" w:rsidR="00901440" w:rsidRPr="00901440" w:rsidRDefault="00901440" w:rsidP="00901440">
      <w:pPr>
        <w:numPr>
          <w:ilvl w:val="0"/>
          <w:numId w:val="3"/>
        </w:numPr>
        <w:rPr>
          <w:lang w:val="en-US"/>
        </w:rPr>
      </w:pPr>
      <w:r w:rsidRPr="00901440">
        <w:rPr>
          <w:lang w:val="en-US"/>
        </w:rPr>
        <w:t>Qualitative methods can be established and arranged for reaching out to a specified set of participants for cycling or to grow around a certain issue.</w:t>
      </w:r>
    </w:p>
    <w:p w14:paraId="23FED14A" w14:textId="47C16950" w:rsidR="00901440" w:rsidRPr="00901440" w:rsidRDefault="00901440" w:rsidP="00901440">
      <w:pPr>
        <w:numPr>
          <w:ilvl w:val="0"/>
          <w:numId w:val="3"/>
        </w:numPr>
        <w:rPr>
          <w:lang w:val="en-US"/>
        </w:rPr>
      </w:pPr>
      <w:r w:rsidRPr="00901440">
        <w:rPr>
          <w:lang w:val="en-US"/>
        </w:rPr>
        <w:t>If there is a dispute, it is easier to resolve in a participants’ group activity</w:t>
      </w:r>
      <w:r w:rsidR="00567444">
        <w:rPr>
          <w:lang w:val="en-US"/>
        </w:rPr>
        <w:t xml:space="preserve"> </w:t>
      </w:r>
      <w:r w:rsidR="00567444" w:rsidRPr="00567444">
        <w:t>(Butterfield, 2018)</w:t>
      </w:r>
      <w:r w:rsidRPr="00901440">
        <w:rPr>
          <w:lang w:val="en-US"/>
        </w:rPr>
        <w:t>.</w:t>
      </w:r>
    </w:p>
    <w:p w14:paraId="01AFCD9E" w14:textId="77777777" w:rsidR="00901440" w:rsidRPr="00901440" w:rsidRDefault="00901440" w:rsidP="00901440">
      <w:pPr>
        <w:rPr>
          <w:b/>
          <w:lang w:val="en-US"/>
        </w:rPr>
      </w:pPr>
      <w:r w:rsidRPr="00901440">
        <w:rPr>
          <w:b/>
          <w:lang w:val="en-US"/>
        </w:rPr>
        <w:t>Cons –</w:t>
      </w:r>
    </w:p>
    <w:p w14:paraId="506FCFAF" w14:textId="77777777" w:rsidR="00901440" w:rsidRPr="00901440" w:rsidRDefault="00901440" w:rsidP="00901440">
      <w:pPr>
        <w:numPr>
          <w:ilvl w:val="0"/>
          <w:numId w:val="4"/>
        </w:numPr>
        <w:rPr>
          <w:lang w:val="en-US"/>
        </w:rPr>
      </w:pPr>
      <w:r w:rsidRPr="00901440">
        <w:rPr>
          <w:lang w:val="en-US"/>
        </w:rPr>
        <w:t>To enable the event proceeds successfully, a skilled moderator should be involved.</w:t>
      </w:r>
    </w:p>
    <w:p w14:paraId="6C7F49A3" w14:textId="77777777" w:rsidR="00901440" w:rsidRPr="00901440" w:rsidRDefault="00901440" w:rsidP="00901440">
      <w:pPr>
        <w:numPr>
          <w:ilvl w:val="0"/>
          <w:numId w:val="4"/>
        </w:numPr>
        <w:rPr>
          <w:lang w:val="en-US"/>
        </w:rPr>
      </w:pPr>
      <w:r w:rsidRPr="00901440">
        <w:rPr>
          <w:lang w:val="en-US"/>
        </w:rPr>
        <w:lastRenderedPageBreak/>
        <w:t>Focus groups of the participants of the cycling activity are ineffective in ensuring that all parties and opinions are addressed.</w:t>
      </w:r>
    </w:p>
    <w:p w14:paraId="6A38D39F" w14:textId="77777777" w:rsidR="00901440" w:rsidRPr="00901440" w:rsidRDefault="00901440" w:rsidP="00901440">
      <w:pPr>
        <w:rPr>
          <w:lang w:val="en-US"/>
        </w:rPr>
      </w:pPr>
    </w:p>
    <w:p w14:paraId="409D059E" w14:textId="77777777" w:rsidR="00094131" w:rsidRPr="00094131" w:rsidRDefault="00094131" w:rsidP="00094131">
      <w:pPr>
        <w:keepNext/>
        <w:keepLines/>
        <w:spacing w:before="120" w:after="0"/>
        <w:outlineLvl w:val="0"/>
        <w:rPr>
          <w:rFonts w:eastAsiaTheme="majorEastAsia" w:cstheme="majorBidi"/>
          <w:b/>
          <w:color w:val="000000" w:themeColor="text1"/>
          <w:sz w:val="28"/>
          <w:szCs w:val="32"/>
        </w:rPr>
      </w:pPr>
      <w:bookmarkStart w:id="4" w:name="_Toc121765933"/>
      <w:bookmarkStart w:id="5" w:name="_Toc121765930"/>
      <w:r w:rsidRPr="00094131">
        <w:rPr>
          <w:rFonts w:eastAsiaTheme="majorEastAsia" w:cstheme="majorBidi"/>
          <w:b/>
          <w:color w:val="000000" w:themeColor="text1"/>
          <w:sz w:val="28"/>
          <w:szCs w:val="32"/>
        </w:rPr>
        <w:t>Comparison between both projects</w:t>
      </w:r>
      <w:bookmarkEnd w:id="5"/>
    </w:p>
    <w:p w14:paraId="62ED5217" w14:textId="77777777" w:rsidR="00094131" w:rsidRPr="00094131" w:rsidRDefault="00094131" w:rsidP="00094131">
      <w:r w:rsidRPr="00094131">
        <w:t xml:space="preserve">Even though both projects have high potential and are significantly effective in the commonwealth games, they have a few differences in between. The first project is aimed to increase equality, whereas the second one emphasizes bringing people together by creating awareness of mental health. </w:t>
      </w:r>
    </w:p>
    <w:p w14:paraId="45733870" w14:textId="77777777" w:rsidR="00094131" w:rsidRPr="00094131" w:rsidRDefault="00094131" w:rsidP="00094131">
      <w:pPr>
        <w:jc w:val="center"/>
      </w:pPr>
      <w:r w:rsidRPr="00094131">
        <w:rPr>
          <w:noProof/>
        </w:rPr>
        <w:drawing>
          <wp:inline distT="0" distB="0" distL="0" distR="0" wp14:anchorId="104A7D52" wp14:editId="14B67A20">
            <wp:extent cx="3712223" cy="2474816"/>
            <wp:effectExtent l="0" t="0" r="2540" b="1905"/>
            <wp:docPr id="6" name="Picture 6" descr="https://assets.publishing.service.gov.uk/government/uploads/system/uploads/image_data/file/160755/3_women_volunte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assets.publishing.service.gov.uk/government/uploads/system/uploads/image_data/file/160755/3_women_volunteers.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9878" cy="2486586"/>
                    </a:xfrm>
                    <a:prstGeom prst="rect">
                      <a:avLst/>
                    </a:prstGeom>
                    <a:noFill/>
                    <a:ln>
                      <a:noFill/>
                    </a:ln>
                  </pic:spPr>
                </pic:pic>
              </a:graphicData>
            </a:graphic>
          </wp:inline>
        </w:drawing>
      </w:r>
    </w:p>
    <w:p w14:paraId="7048F2BB" w14:textId="77777777" w:rsidR="00094131" w:rsidRPr="00094131" w:rsidRDefault="00094131" w:rsidP="00094131">
      <w:pPr>
        <w:jc w:val="center"/>
      </w:pPr>
      <w:r w:rsidRPr="00094131">
        <w:rPr>
          <w:b/>
        </w:rPr>
        <w:t>Figure 3:</w:t>
      </w:r>
      <w:r w:rsidRPr="00094131">
        <w:t xml:space="preserve"> Participating in the Birmingham </w:t>
      </w:r>
      <w:r w:rsidRPr="00094131">
        <w:rPr>
          <w:lang w:val="en-US"/>
        </w:rPr>
        <w:t xml:space="preserve">Commonwealth Games </w:t>
      </w:r>
      <w:r w:rsidRPr="00094131">
        <w:t>(Birmingham, 2022)</w:t>
      </w:r>
    </w:p>
    <w:p w14:paraId="3994EC2A" w14:textId="77777777" w:rsidR="00094131" w:rsidRPr="00094131" w:rsidRDefault="00094131" w:rsidP="00094131">
      <w:pPr>
        <w:rPr>
          <w:lang w:val="en-US"/>
        </w:rPr>
      </w:pPr>
      <w:r w:rsidRPr="00094131">
        <w:t xml:space="preserve">The first project ‘Cycling for Everyone’ aims to alleviate inequities in cycling and accessibility to cycling. The initiative would include events such as kid and adult cycle lessons, improved accessibility to bicycles and incorporated bicycles, multiple transportation events, and much more (McIntyre, 2021). </w:t>
      </w:r>
    </w:p>
    <w:p w14:paraId="2134E765" w14:textId="77777777" w:rsidR="00094131" w:rsidRPr="00094131" w:rsidRDefault="00094131" w:rsidP="00094131">
      <w:pPr>
        <w:rPr>
          <w:lang w:val="en-US"/>
        </w:rPr>
      </w:pPr>
      <w:r w:rsidRPr="00094131">
        <w:rPr>
          <w:lang w:val="en-US"/>
        </w:rPr>
        <w:t xml:space="preserve">Again, from the second project research done by Birmingham Children’s Hospital Charity, it has been discovered that a mental health problem has been encountered by nearly 1 in 6 young individuals between the ranges of 16 and 24 ages </w:t>
      </w:r>
      <w:r w:rsidRPr="00094131">
        <w:t>(Shane, 2016)</w:t>
      </w:r>
      <w:r w:rsidRPr="00094131">
        <w:rPr>
          <w:lang w:val="en-US"/>
        </w:rPr>
        <w:t xml:space="preserve">. And the worries of a worldwide epidemic imply that it is much more difficult to live in a world that is unpredictable and constantly changing. Fight for the Feels is taking a direct approach to the problem of the psychological health of young people. Through the forward-thinking </w:t>
      </w:r>
      <w:r w:rsidRPr="00094131">
        <w:rPr>
          <w:lang w:val="en-US"/>
        </w:rPr>
        <w:lastRenderedPageBreak/>
        <w:t xml:space="preserve">Birmingham (FTB) program that this project provides at the Midlands Women's and Children's NHS Foundation Trust, it has been able to offer a variety of psychological healthcare treatments to young people in the area who are between the ages of 0 and 25 who have the greatest necessity for them </w:t>
      </w:r>
      <w:r w:rsidRPr="00094131">
        <w:t>(</w:t>
      </w:r>
      <w:proofErr w:type="spellStart"/>
      <w:r w:rsidRPr="00094131">
        <w:t>Bham_Childrens</w:t>
      </w:r>
      <w:proofErr w:type="spellEnd"/>
      <w:r w:rsidRPr="00094131">
        <w:t>, 2019)</w:t>
      </w:r>
      <w:r w:rsidRPr="00094131">
        <w:rPr>
          <w:lang w:val="en-US"/>
        </w:rPr>
        <w:t xml:space="preserve">. </w:t>
      </w:r>
    </w:p>
    <w:p w14:paraId="059DC2E5" w14:textId="5A84EC2C" w:rsidR="00094131" w:rsidRDefault="00094131" w:rsidP="00094131">
      <w:pPr>
        <w:rPr>
          <w:lang w:val="en-US"/>
        </w:rPr>
      </w:pPr>
      <w:r w:rsidRPr="00094131">
        <w:rPr>
          <w:lang w:val="en-US"/>
        </w:rPr>
        <w:t xml:space="preserve">Even if both projects contribute to the purpose of the commonwealth, </w:t>
      </w:r>
      <w:proofErr w:type="gramStart"/>
      <w:r w:rsidRPr="00094131">
        <w:rPr>
          <w:lang w:val="en-US"/>
        </w:rPr>
        <w:t>each and every</w:t>
      </w:r>
      <w:proofErr w:type="gramEnd"/>
      <w:r w:rsidRPr="00094131">
        <w:rPr>
          <w:lang w:val="en-US"/>
        </w:rPr>
        <w:t xml:space="preserve"> activity is different in various aspects. The cycling project more focuses on different age groups participating in social events regardless of any discrimination of race, </w:t>
      </w:r>
      <w:proofErr w:type="gramStart"/>
      <w:r w:rsidRPr="00094131">
        <w:rPr>
          <w:lang w:val="en-US"/>
        </w:rPr>
        <w:t>ethnicity</w:t>
      </w:r>
      <w:proofErr w:type="gramEnd"/>
      <w:r w:rsidRPr="00094131">
        <w:rPr>
          <w:lang w:val="en-US"/>
        </w:rPr>
        <w:t xml:space="preserve"> or class. </w:t>
      </w:r>
      <w:proofErr w:type="gramStart"/>
      <w:r w:rsidRPr="00094131">
        <w:rPr>
          <w:lang w:val="en-US"/>
        </w:rPr>
        <w:t>Whereas,</w:t>
      </w:r>
      <w:proofErr w:type="gramEnd"/>
      <w:r w:rsidRPr="00094131">
        <w:rPr>
          <w:lang w:val="en-US"/>
        </w:rPr>
        <w:t xml:space="preserve"> the second project emphasizes the mental health of different social groups. </w:t>
      </w:r>
    </w:p>
    <w:p w14:paraId="386535D7" w14:textId="77777777" w:rsidR="00094131" w:rsidRPr="00094131" w:rsidRDefault="00094131" w:rsidP="00094131">
      <w:pPr>
        <w:rPr>
          <w:lang w:val="en-US"/>
        </w:rPr>
      </w:pPr>
    </w:p>
    <w:p w14:paraId="3BE5C2A0" w14:textId="77777777" w:rsidR="00094131" w:rsidRDefault="00094131">
      <w:pPr>
        <w:spacing w:line="259" w:lineRule="auto"/>
        <w:jc w:val="left"/>
        <w:rPr>
          <w:lang w:val="en-US"/>
        </w:rPr>
      </w:pPr>
    </w:p>
    <w:p w14:paraId="51C0AE37" w14:textId="77777777" w:rsidR="00094131" w:rsidRDefault="00094131">
      <w:pPr>
        <w:spacing w:line="259" w:lineRule="auto"/>
        <w:jc w:val="left"/>
        <w:rPr>
          <w:lang w:val="en-US"/>
        </w:rPr>
      </w:pPr>
    </w:p>
    <w:p w14:paraId="79F87CFB" w14:textId="77777777" w:rsidR="00094131" w:rsidRDefault="00094131">
      <w:pPr>
        <w:spacing w:line="259" w:lineRule="auto"/>
        <w:jc w:val="left"/>
        <w:rPr>
          <w:lang w:val="en-US"/>
        </w:rPr>
      </w:pPr>
    </w:p>
    <w:p w14:paraId="3824F2BC" w14:textId="77777777" w:rsidR="00094131" w:rsidRDefault="00094131">
      <w:pPr>
        <w:spacing w:line="259" w:lineRule="auto"/>
        <w:jc w:val="left"/>
        <w:rPr>
          <w:lang w:val="en-US"/>
        </w:rPr>
      </w:pPr>
    </w:p>
    <w:p w14:paraId="781C30CF" w14:textId="77777777" w:rsidR="00094131" w:rsidRDefault="00094131">
      <w:pPr>
        <w:spacing w:line="259" w:lineRule="auto"/>
        <w:jc w:val="left"/>
        <w:rPr>
          <w:lang w:val="en-US"/>
        </w:rPr>
      </w:pPr>
    </w:p>
    <w:p w14:paraId="6E4D5A7A" w14:textId="77777777" w:rsidR="00094131" w:rsidRDefault="00094131">
      <w:pPr>
        <w:spacing w:line="259" w:lineRule="auto"/>
        <w:jc w:val="left"/>
        <w:rPr>
          <w:lang w:val="en-US"/>
        </w:rPr>
      </w:pPr>
    </w:p>
    <w:p w14:paraId="72B86253" w14:textId="77777777" w:rsidR="00094131" w:rsidRDefault="00094131">
      <w:pPr>
        <w:spacing w:line="259" w:lineRule="auto"/>
        <w:jc w:val="left"/>
        <w:rPr>
          <w:lang w:val="en-US"/>
        </w:rPr>
      </w:pPr>
    </w:p>
    <w:p w14:paraId="328A205B" w14:textId="0F911996" w:rsidR="00237383" w:rsidRDefault="00237383">
      <w:pPr>
        <w:spacing w:line="259" w:lineRule="auto"/>
        <w:jc w:val="left"/>
        <w:rPr>
          <w:rFonts w:eastAsiaTheme="majorEastAsia" w:cstheme="majorBidi"/>
          <w:b/>
          <w:color w:val="000000" w:themeColor="text1"/>
          <w:szCs w:val="26"/>
          <w:lang w:val="en-US"/>
        </w:rPr>
      </w:pPr>
      <w:r>
        <w:rPr>
          <w:lang w:val="en-US"/>
        </w:rPr>
        <w:br w:type="page"/>
      </w:r>
    </w:p>
    <w:p w14:paraId="211B59B3" w14:textId="2D1D6BE2" w:rsidR="00901440" w:rsidRPr="00901440" w:rsidRDefault="00901440" w:rsidP="00901440">
      <w:pPr>
        <w:pStyle w:val="Heading2"/>
        <w:rPr>
          <w:lang w:val="en-US"/>
        </w:rPr>
      </w:pPr>
      <w:bookmarkStart w:id="6" w:name="_Hlk124164535"/>
      <w:r w:rsidRPr="00901440">
        <w:rPr>
          <w:lang w:val="en-US"/>
        </w:rPr>
        <w:lastRenderedPageBreak/>
        <w:t xml:space="preserve">Web-based engagement </w:t>
      </w:r>
      <w:r>
        <w:rPr>
          <w:lang w:val="en-US"/>
        </w:rPr>
        <w:t>for ‘</w:t>
      </w:r>
      <w:r w:rsidRPr="00901440">
        <w:rPr>
          <w:lang w:val="en-US"/>
        </w:rPr>
        <w:t>Fight for all the Feels’</w:t>
      </w:r>
      <w:bookmarkEnd w:id="4"/>
    </w:p>
    <w:p w14:paraId="314CE0D3" w14:textId="27B64396" w:rsidR="00901440" w:rsidRDefault="00901440" w:rsidP="00901440">
      <w:pPr>
        <w:rPr>
          <w:lang w:val="en-US"/>
        </w:rPr>
      </w:pPr>
      <w:r w:rsidRPr="00901440">
        <w:rPr>
          <w:lang w:val="en-US"/>
        </w:rPr>
        <w:t xml:space="preserve">Interactive digital involvement in the project ‘Fight for all the Feels’ may let individuals interact with </w:t>
      </w:r>
      <w:proofErr w:type="gramStart"/>
      <w:r w:rsidRPr="00901440">
        <w:rPr>
          <w:lang w:val="en-US"/>
        </w:rPr>
        <w:t>a large number of</w:t>
      </w:r>
      <w:proofErr w:type="gramEnd"/>
      <w:r w:rsidRPr="00901440">
        <w:rPr>
          <w:lang w:val="en-US"/>
        </w:rPr>
        <w:t xml:space="preserve"> stakeholders</w:t>
      </w:r>
      <w:r w:rsidR="00567444">
        <w:rPr>
          <w:lang w:val="en-US"/>
        </w:rPr>
        <w:t xml:space="preserve"> </w:t>
      </w:r>
      <w:r w:rsidR="00567444" w:rsidRPr="00567444">
        <w:t>(Council, 2017)</w:t>
      </w:r>
      <w:r w:rsidRPr="00901440">
        <w:rPr>
          <w:lang w:val="en-US"/>
        </w:rPr>
        <w:t xml:space="preserve">. Digital communication methods involve social networking sites, online or cloud-based research tools, and discussion boards. </w:t>
      </w:r>
    </w:p>
    <w:p w14:paraId="6D59CC5A" w14:textId="77777777" w:rsidR="00901440" w:rsidRPr="00901440" w:rsidRDefault="00901440" w:rsidP="00901440">
      <w:pPr>
        <w:rPr>
          <w:b/>
          <w:lang w:val="en-US"/>
        </w:rPr>
      </w:pPr>
      <w:r w:rsidRPr="00901440">
        <w:rPr>
          <w:b/>
          <w:lang w:val="en-US"/>
        </w:rPr>
        <w:t>Pros –</w:t>
      </w:r>
    </w:p>
    <w:p w14:paraId="29018066" w14:textId="77777777" w:rsidR="00901440" w:rsidRPr="00901440" w:rsidRDefault="00901440" w:rsidP="00901440">
      <w:pPr>
        <w:numPr>
          <w:ilvl w:val="0"/>
          <w:numId w:val="1"/>
        </w:numPr>
        <w:rPr>
          <w:lang w:val="en-US"/>
        </w:rPr>
      </w:pPr>
      <w:r w:rsidRPr="00901440">
        <w:rPr>
          <w:lang w:val="en-US"/>
        </w:rPr>
        <w:t xml:space="preserve">This commonwealth game </w:t>
      </w:r>
      <w:proofErr w:type="gramStart"/>
      <w:r w:rsidRPr="00901440">
        <w:rPr>
          <w:lang w:val="en-US"/>
        </w:rPr>
        <w:t>is capable of contacting</w:t>
      </w:r>
      <w:proofErr w:type="gramEnd"/>
      <w:r w:rsidRPr="00901440">
        <w:rPr>
          <w:lang w:val="en-US"/>
        </w:rPr>
        <w:t xml:space="preserve"> huge groupings of individuals and efficiently gathering information. </w:t>
      </w:r>
    </w:p>
    <w:p w14:paraId="39A78B84" w14:textId="4A87B10C" w:rsidR="00901440" w:rsidRPr="00901440" w:rsidRDefault="00901440" w:rsidP="00901440">
      <w:pPr>
        <w:numPr>
          <w:ilvl w:val="0"/>
          <w:numId w:val="1"/>
        </w:numPr>
        <w:rPr>
          <w:lang w:val="en-US"/>
        </w:rPr>
      </w:pPr>
      <w:r w:rsidRPr="00901440">
        <w:rPr>
          <w:lang w:val="en-US"/>
        </w:rPr>
        <w:t>Fight</w:t>
      </w:r>
      <w:r w:rsidR="00234C41">
        <w:rPr>
          <w:lang w:val="en-US"/>
        </w:rPr>
        <w:t>ing</w:t>
      </w:r>
      <w:r w:rsidRPr="00901440">
        <w:rPr>
          <w:lang w:val="en-US"/>
        </w:rPr>
        <w:t xml:space="preserve"> for all the feels is adaptable for individuals, and it promotes engagement if time and space are constraints</w:t>
      </w:r>
      <w:r w:rsidR="00567444">
        <w:rPr>
          <w:lang w:val="en-US"/>
        </w:rPr>
        <w:t xml:space="preserve"> </w:t>
      </w:r>
      <w:r w:rsidR="00567444" w:rsidRPr="00567444">
        <w:t>(Council, 2017)</w:t>
      </w:r>
      <w:r w:rsidRPr="00901440">
        <w:rPr>
          <w:lang w:val="en-US"/>
        </w:rPr>
        <w:t xml:space="preserve">. </w:t>
      </w:r>
    </w:p>
    <w:p w14:paraId="6BA02536" w14:textId="77777777" w:rsidR="00901440" w:rsidRPr="00901440" w:rsidRDefault="00901440" w:rsidP="00901440">
      <w:pPr>
        <w:numPr>
          <w:ilvl w:val="0"/>
          <w:numId w:val="1"/>
        </w:numPr>
        <w:rPr>
          <w:lang w:val="en-US"/>
        </w:rPr>
      </w:pPr>
      <w:r w:rsidRPr="00901440">
        <w:rPr>
          <w:lang w:val="en-US"/>
        </w:rPr>
        <w:t>It gives a chance to foster conversation and contemplation on difficult issues or concerns.</w:t>
      </w:r>
    </w:p>
    <w:p w14:paraId="79C075C9" w14:textId="77777777" w:rsidR="00901440" w:rsidRPr="00901440" w:rsidRDefault="00901440" w:rsidP="00901440">
      <w:pPr>
        <w:numPr>
          <w:ilvl w:val="0"/>
          <w:numId w:val="1"/>
        </w:numPr>
        <w:rPr>
          <w:lang w:val="en-US"/>
        </w:rPr>
      </w:pPr>
      <w:r w:rsidRPr="00901440">
        <w:rPr>
          <w:lang w:val="en-US"/>
        </w:rPr>
        <w:t>It helps invest time in developing the correct set of queries is one strategy that would enhance the results of a consultation campaign.</w:t>
      </w:r>
    </w:p>
    <w:p w14:paraId="677392E2" w14:textId="77777777" w:rsidR="00901440" w:rsidRPr="00901440" w:rsidRDefault="00901440" w:rsidP="00901440">
      <w:pPr>
        <w:rPr>
          <w:b/>
          <w:lang w:val="en-US"/>
        </w:rPr>
      </w:pPr>
      <w:r w:rsidRPr="00901440">
        <w:rPr>
          <w:b/>
          <w:lang w:val="en-US"/>
        </w:rPr>
        <w:t>Cons –</w:t>
      </w:r>
    </w:p>
    <w:p w14:paraId="57D6D379" w14:textId="77777777" w:rsidR="00901440" w:rsidRPr="00901440" w:rsidRDefault="00901440" w:rsidP="00901440">
      <w:pPr>
        <w:numPr>
          <w:ilvl w:val="0"/>
          <w:numId w:val="2"/>
        </w:numPr>
        <w:rPr>
          <w:lang w:val="en-US"/>
        </w:rPr>
      </w:pPr>
      <w:r w:rsidRPr="00901440">
        <w:rPr>
          <w:lang w:val="en-US"/>
        </w:rPr>
        <w:t>Stakeholders who do not have internet connectivity would be precluded until special arrangements are provided for them.</w:t>
      </w:r>
    </w:p>
    <w:p w14:paraId="677BADF5" w14:textId="77777777" w:rsidR="00901440" w:rsidRPr="00901440" w:rsidRDefault="00901440" w:rsidP="00901440">
      <w:pPr>
        <w:numPr>
          <w:ilvl w:val="0"/>
          <w:numId w:val="2"/>
        </w:numPr>
        <w:rPr>
          <w:lang w:val="en-US"/>
        </w:rPr>
      </w:pPr>
      <w:r w:rsidRPr="00901440">
        <w:rPr>
          <w:lang w:val="en-US"/>
        </w:rPr>
        <w:t>A supervisor ought to be assigned to supervise the activity and react to inquiries as soon as possible while arranging this activity.</w:t>
      </w:r>
    </w:p>
    <w:p w14:paraId="709E681D" w14:textId="6EEDCA52" w:rsidR="00916A63" w:rsidRPr="00901440" w:rsidRDefault="00901440" w:rsidP="00AB361C">
      <w:pPr>
        <w:numPr>
          <w:ilvl w:val="0"/>
          <w:numId w:val="2"/>
        </w:numPr>
        <w:rPr>
          <w:lang w:val="en-US"/>
        </w:rPr>
      </w:pPr>
      <w:r w:rsidRPr="00901440">
        <w:rPr>
          <w:lang w:val="en-US"/>
        </w:rPr>
        <w:t>To promote engagement in discussing mental health issues, privacy concerns must be addressed.</w:t>
      </w:r>
    </w:p>
    <w:p w14:paraId="75D991D8" w14:textId="77777777" w:rsidR="00567444" w:rsidRDefault="00567444" w:rsidP="006350F2"/>
    <w:p w14:paraId="452BE1A4" w14:textId="77777777" w:rsidR="00395252" w:rsidRDefault="00395252">
      <w:pPr>
        <w:spacing w:line="259" w:lineRule="auto"/>
        <w:jc w:val="left"/>
        <w:rPr>
          <w:rFonts w:eastAsiaTheme="majorEastAsia" w:cstheme="majorBidi"/>
          <w:b/>
          <w:color w:val="000000" w:themeColor="text1"/>
          <w:sz w:val="28"/>
          <w:szCs w:val="32"/>
        </w:rPr>
      </w:pPr>
      <w:bookmarkStart w:id="7" w:name="_Toc121765934"/>
      <w:bookmarkEnd w:id="6"/>
      <w:r>
        <w:br w:type="page"/>
      </w:r>
    </w:p>
    <w:p w14:paraId="7D895590" w14:textId="19547DF8" w:rsidR="006350F2" w:rsidRDefault="006350F2" w:rsidP="003B1A92">
      <w:pPr>
        <w:pStyle w:val="Heading1"/>
      </w:pPr>
      <w:r>
        <w:lastRenderedPageBreak/>
        <w:t xml:space="preserve">The impact of </w:t>
      </w:r>
      <w:r w:rsidR="00395252">
        <w:t>A</w:t>
      </w:r>
      <w:r w:rsidR="005B0F2A">
        <w:t xml:space="preserve">ctive </w:t>
      </w:r>
      <w:r>
        <w:t>consultation</w:t>
      </w:r>
      <w:bookmarkEnd w:id="7"/>
    </w:p>
    <w:p w14:paraId="78E1FD3D" w14:textId="59714D16" w:rsidR="006350F2" w:rsidRDefault="006350F2" w:rsidP="006350F2">
      <w:r>
        <w:t>Community consultation is a two-way procedure and a true collaboration within a community and a services provider institution that reflects civil rights concepts in a palpable way. This technique is also known as Participatory Action Research (PAR). The objective o</w:t>
      </w:r>
      <w:r w:rsidR="00050A5D">
        <w:t>f consulting in the context of the commonwealth games</w:t>
      </w:r>
      <w:r>
        <w:t xml:space="preserve"> is to secure their assent to what it is that individuals desire. It is also organised to collaborate on planning, the creation of a proposal, or the advancement of arguments. These consultations provide communities with a perspective and assist in the development of democratic representation</w:t>
      </w:r>
      <w:r w:rsidR="00050A5D">
        <w:t xml:space="preserve"> in the commonwealth activities</w:t>
      </w:r>
      <w:r>
        <w:t>, rather than generating hostility that simmers below the surface</w:t>
      </w:r>
      <w:r w:rsidR="00567444">
        <w:t xml:space="preserve"> </w:t>
      </w:r>
      <w:r w:rsidR="00567444" w:rsidRPr="00567444">
        <w:t>(Granicus, 2022)</w:t>
      </w:r>
      <w:r>
        <w:t>. Community consultation, if carried out correctly, has the potential to give community participants more agency by enhancing both their individual capabilities and the capabilities of their societies in general</w:t>
      </w:r>
      <w:r w:rsidR="00050A5D">
        <w:t xml:space="preserve"> throughout the period of the commonwealth games</w:t>
      </w:r>
      <w:r>
        <w:t>.</w:t>
      </w:r>
    </w:p>
    <w:p w14:paraId="3C3B62A0" w14:textId="35FCC94D" w:rsidR="006350F2" w:rsidRPr="006350F2" w:rsidRDefault="006350F2" w:rsidP="003B1A92">
      <w:pPr>
        <w:pStyle w:val="Heading1"/>
      </w:pPr>
      <w:bookmarkStart w:id="8" w:name="_Toc121765935"/>
      <w:r w:rsidRPr="006350F2">
        <w:t>The impact of communication</w:t>
      </w:r>
      <w:bookmarkEnd w:id="8"/>
    </w:p>
    <w:p w14:paraId="6D6935AD" w14:textId="4C21E165" w:rsidR="005E2404" w:rsidRDefault="005E2404" w:rsidP="005E2404">
      <w:r>
        <w:t>When people can communicate with one another effectively, they are more likely to participate in the growth of their community. When the individuals of an area</w:t>
      </w:r>
      <w:r w:rsidR="00365D78">
        <w:t>, specifically the participants of the commonwealth games a</w:t>
      </w:r>
      <w:r>
        <w:t>re intimately engaged in the advancement of the communications plan, it motivates individuals to take responsibility for the notion of progress, rather than seeing themselves to be the receivers of advancement</w:t>
      </w:r>
      <w:r w:rsidR="002101A2">
        <w:t xml:space="preserve"> </w:t>
      </w:r>
      <w:r w:rsidR="00567444" w:rsidRPr="00567444">
        <w:t>(</w:t>
      </w:r>
      <w:proofErr w:type="spellStart"/>
      <w:r w:rsidR="00567444" w:rsidRPr="00567444">
        <w:t>Hyen</w:t>
      </w:r>
      <w:proofErr w:type="spellEnd"/>
      <w:r w:rsidR="00567444" w:rsidRPr="00567444">
        <w:t>, 2019)</w:t>
      </w:r>
      <w:r>
        <w:t>. Communication actions may assist individuals, including those from various social groupings within a society, to communicate knowledge and discuss things in a constructive and beneficial manner. This can be accomplished by bringing everyone together to share knowledge and listen to each other's perspectives</w:t>
      </w:r>
      <w:r w:rsidR="00365D78">
        <w:t xml:space="preserve"> throughout different projects in the commonwealth games</w:t>
      </w:r>
      <w:r>
        <w:t>.</w:t>
      </w:r>
    </w:p>
    <w:p w14:paraId="4926BEF7" w14:textId="6E78E4EA" w:rsidR="00050A5D" w:rsidRDefault="00050A5D" w:rsidP="005E2404"/>
    <w:p w14:paraId="2BBABBFF" w14:textId="77777777" w:rsidR="00395252" w:rsidRDefault="00395252">
      <w:pPr>
        <w:spacing w:line="259" w:lineRule="auto"/>
        <w:jc w:val="left"/>
        <w:rPr>
          <w:rFonts w:eastAsiaTheme="majorEastAsia" w:cstheme="majorBidi"/>
          <w:b/>
          <w:color w:val="000000" w:themeColor="text1"/>
          <w:sz w:val="28"/>
          <w:szCs w:val="32"/>
        </w:rPr>
      </w:pPr>
      <w:bookmarkStart w:id="9" w:name="_Toc121765936"/>
      <w:r>
        <w:br w:type="page"/>
      </w:r>
    </w:p>
    <w:p w14:paraId="2EF2E762" w14:textId="6AA73575" w:rsidR="00050A5D" w:rsidRPr="00050A5D" w:rsidRDefault="00050A5D" w:rsidP="003B1A92">
      <w:pPr>
        <w:pStyle w:val="Heading1"/>
      </w:pPr>
      <w:r w:rsidRPr="00050A5D">
        <w:lastRenderedPageBreak/>
        <w:t>The impact of stakeholder participation</w:t>
      </w:r>
      <w:bookmarkEnd w:id="9"/>
    </w:p>
    <w:p w14:paraId="1526CA79" w14:textId="0F9A4C5C" w:rsidR="005B0F2A" w:rsidRDefault="00F64091" w:rsidP="00FD27D2">
      <w:r w:rsidRPr="00F64091">
        <w:t>A common feature of all ambitious programs is that they cooperate with stakeholders and civic organizations constructively rather than responsively. Throughout the entire project, there is a thread of similarity that connects all outcomes.</w:t>
      </w:r>
      <w:r>
        <w:t xml:space="preserve"> </w:t>
      </w:r>
      <w:r w:rsidR="00FD27D2">
        <w:t>Community-level stakeholders are persons who have enthusiasm for a particular project</w:t>
      </w:r>
      <w:r w:rsidR="003F4B07">
        <w:t xml:space="preserve">, specifically the commonwealth games </w:t>
      </w:r>
      <w:r w:rsidR="00FD27D2">
        <w:t>or those who would be impacted by an initiative. Stakeholders may also refer to people who might be influenced by a project</w:t>
      </w:r>
      <w:r w:rsidR="00567444">
        <w:t xml:space="preserve"> </w:t>
      </w:r>
      <w:r w:rsidR="00567444" w:rsidRPr="00567444">
        <w:t>(Granicus, 2022)</w:t>
      </w:r>
      <w:r w:rsidR="00FD27D2">
        <w:t>. This category of stakeholders is often connected to a community either by their place of residence or their place of employment within</w:t>
      </w:r>
      <w:r w:rsidR="003F4B07">
        <w:t xml:space="preserve"> </w:t>
      </w:r>
      <w:r w:rsidR="003F4B07" w:rsidRPr="003F4B07">
        <w:t>the commonwealth games</w:t>
      </w:r>
      <w:r w:rsidR="00FD27D2">
        <w:t xml:space="preserve">. </w:t>
      </w:r>
      <w:r w:rsidR="00F112FC" w:rsidRPr="00F112FC">
        <w:t xml:space="preserve">A successful stakeholder involvement program strengthens communications links between parties, enhances and sustains project participation, collects information about the company, reduces the risk of a dispute or other challenges that could stall the initiative, and inevitably improves the public image of both, the company, and the </w:t>
      </w:r>
      <w:r w:rsidR="00CA35C7" w:rsidRPr="00F112FC">
        <w:t>initiative</w:t>
      </w:r>
      <w:r w:rsidR="00CA35C7">
        <w:t>.</w:t>
      </w:r>
    </w:p>
    <w:p w14:paraId="40276EA8" w14:textId="77777777" w:rsidR="00395252" w:rsidRDefault="00395252">
      <w:pPr>
        <w:spacing w:line="259" w:lineRule="auto"/>
        <w:jc w:val="left"/>
        <w:rPr>
          <w:rFonts w:eastAsiaTheme="majorEastAsia" w:cstheme="majorBidi"/>
          <w:b/>
          <w:color w:val="000000" w:themeColor="text1"/>
          <w:sz w:val="28"/>
          <w:szCs w:val="32"/>
        </w:rPr>
      </w:pPr>
      <w:bookmarkStart w:id="10" w:name="_Toc121765937"/>
      <w:r>
        <w:br w:type="page"/>
      </w:r>
    </w:p>
    <w:p w14:paraId="7D0BB51B" w14:textId="7D4E3873" w:rsidR="003F4B07" w:rsidRDefault="005B0F2A" w:rsidP="003B1A92">
      <w:pPr>
        <w:pStyle w:val="Heading1"/>
      </w:pPr>
      <w:r w:rsidRPr="005B0F2A">
        <w:lastRenderedPageBreak/>
        <w:t xml:space="preserve">The impact of </w:t>
      </w:r>
      <w:r>
        <w:t>inclusion</w:t>
      </w:r>
      <w:bookmarkEnd w:id="10"/>
    </w:p>
    <w:p w14:paraId="3CD87C61" w14:textId="58285E98" w:rsidR="00395252" w:rsidRPr="005B0F2A" w:rsidRDefault="00395252" w:rsidP="00395252">
      <w:r w:rsidRPr="003F4B07">
        <w:rPr>
          <w:lang w:val="en-US"/>
        </w:rPr>
        <w:t xml:space="preserve">Inclusion within </w:t>
      </w:r>
      <w:r w:rsidRPr="005B0F2A">
        <w:t>the commonwealth games</w:t>
      </w:r>
      <w:r w:rsidRPr="005B0F2A">
        <w:rPr>
          <w:lang w:val="en-US"/>
        </w:rPr>
        <w:t xml:space="preserve"> </w:t>
      </w:r>
      <w:r w:rsidRPr="003F4B07">
        <w:rPr>
          <w:lang w:val="en-US"/>
        </w:rPr>
        <w:t xml:space="preserve">is vitally important for </w:t>
      </w:r>
      <w:proofErr w:type="gramStart"/>
      <w:r w:rsidRPr="003F4B07">
        <w:rPr>
          <w:lang w:val="en-US"/>
        </w:rPr>
        <w:t>a number of</w:t>
      </w:r>
      <w:proofErr w:type="gramEnd"/>
      <w:r w:rsidRPr="003F4B07">
        <w:rPr>
          <w:lang w:val="en-US"/>
        </w:rPr>
        <w:t xml:space="preserve"> reasons, including the fact that it improves the quality of life of </w:t>
      </w:r>
      <w:r>
        <w:rPr>
          <w:lang w:val="en-US"/>
        </w:rPr>
        <w:t xml:space="preserve">the </w:t>
      </w:r>
      <w:r w:rsidRPr="003F4B07">
        <w:rPr>
          <w:lang w:val="en-US"/>
        </w:rPr>
        <w:t xml:space="preserve">relatives, that it is exciting, and that it satisfies their desire for social contact. Inclusion in </w:t>
      </w:r>
      <w:r>
        <w:rPr>
          <w:lang w:val="en-US"/>
        </w:rPr>
        <w:t>communities</w:t>
      </w:r>
      <w:r w:rsidRPr="003F4B07">
        <w:rPr>
          <w:lang w:val="en-US"/>
        </w:rPr>
        <w:t xml:space="preserve"> is not only the morally correct thing to do, but it also provides sound financial perception.</w:t>
      </w:r>
    </w:p>
    <w:p w14:paraId="4758B7A8" w14:textId="2A2797DC" w:rsidR="00E225F7" w:rsidRDefault="00E225F7" w:rsidP="00E225F7">
      <w:pPr>
        <w:jc w:val="center"/>
        <w:rPr>
          <w:lang w:val="en-US"/>
        </w:rPr>
      </w:pPr>
      <w:r>
        <w:rPr>
          <w:noProof/>
        </w:rPr>
        <w:drawing>
          <wp:inline distT="0" distB="0" distL="0" distR="0" wp14:anchorId="37FAB515" wp14:editId="711220BD">
            <wp:extent cx="3784600" cy="2455542"/>
            <wp:effectExtent l="0" t="0" r="6350" b="2540"/>
            <wp:docPr id="5" name="Picture 5" descr="4 ways newsrooms can ramp up community engagement in 2022 - Poy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ways newsrooms can ramp up community engagement in 2022 - Poyn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90981" cy="2459682"/>
                    </a:xfrm>
                    <a:prstGeom prst="rect">
                      <a:avLst/>
                    </a:prstGeom>
                    <a:noFill/>
                    <a:ln>
                      <a:noFill/>
                    </a:ln>
                  </pic:spPr>
                </pic:pic>
              </a:graphicData>
            </a:graphic>
          </wp:inline>
        </w:drawing>
      </w:r>
    </w:p>
    <w:p w14:paraId="4BF9983C" w14:textId="7F0A3F07" w:rsidR="00E225F7" w:rsidRDefault="00E225F7" w:rsidP="00E225F7">
      <w:pPr>
        <w:jc w:val="center"/>
        <w:rPr>
          <w:lang w:val="en-US"/>
        </w:rPr>
      </w:pPr>
      <w:r w:rsidRPr="00E225F7">
        <w:rPr>
          <w:b/>
          <w:lang w:val="en-US"/>
        </w:rPr>
        <w:t xml:space="preserve">Figure </w:t>
      </w:r>
      <w:r w:rsidR="00395252">
        <w:rPr>
          <w:b/>
          <w:lang w:val="en-US"/>
        </w:rPr>
        <w:t>4</w:t>
      </w:r>
      <w:r w:rsidRPr="00E225F7">
        <w:rPr>
          <w:b/>
          <w:lang w:val="en-US"/>
        </w:rPr>
        <w:t>:</w:t>
      </w:r>
      <w:r>
        <w:rPr>
          <w:lang w:val="en-US"/>
        </w:rPr>
        <w:t xml:space="preserve"> Inclusion of all social classes </w:t>
      </w:r>
      <w:r w:rsidRPr="00E225F7">
        <w:t>(Keech, 2018)</w:t>
      </w:r>
    </w:p>
    <w:p w14:paraId="05BB54E8" w14:textId="3A7A34F4" w:rsidR="003B1A92" w:rsidRDefault="003F4B07" w:rsidP="003F4B07">
      <w:pPr>
        <w:rPr>
          <w:lang w:val="en-US"/>
        </w:rPr>
      </w:pPr>
      <w:r w:rsidRPr="003F4B07">
        <w:rPr>
          <w:lang w:val="en-US"/>
        </w:rPr>
        <w:t>The exemption of underprivileged communities can be expensive if nothing is done to remedy the problem</w:t>
      </w:r>
      <w:r w:rsidR="00567444">
        <w:rPr>
          <w:lang w:val="en-US"/>
        </w:rPr>
        <w:t xml:space="preserve"> </w:t>
      </w:r>
      <w:r w:rsidR="00567444" w:rsidRPr="00567444">
        <w:t>(Keech, 2018)</w:t>
      </w:r>
      <w:r w:rsidRPr="003F4B07">
        <w:rPr>
          <w:lang w:val="en-US"/>
        </w:rPr>
        <w:t xml:space="preserve">. A good self-image, the ability to solve issues, relationship skills, peer figures, and regard for everyone else are a few of the advantages that can accrue to kids with or without impairments when they are included in </w:t>
      </w:r>
      <w:r w:rsidR="005B0F2A" w:rsidRPr="005B0F2A">
        <w:t>the commonwealth games</w:t>
      </w:r>
      <w:r w:rsidR="00567444">
        <w:t xml:space="preserve"> </w:t>
      </w:r>
      <w:r w:rsidR="00567444" w:rsidRPr="00567444">
        <w:t>(McIntyre, 2021)</w:t>
      </w:r>
      <w:r w:rsidRPr="003F4B07">
        <w:rPr>
          <w:lang w:val="en-US"/>
        </w:rPr>
        <w:t>.</w:t>
      </w:r>
      <w:r>
        <w:rPr>
          <w:lang w:val="en-US"/>
        </w:rPr>
        <w:t xml:space="preserve"> </w:t>
      </w:r>
      <w:r w:rsidRPr="003F4B07">
        <w:rPr>
          <w:lang w:val="en-US"/>
        </w:rPr>
        <w:t>This may have a ripple effect on their communities, training parents and loved ones to become more tolerant of one another's unique characteristics.</w:t>
      </w:r>
    </w:p>
    <w:p w14:paraId="0561D3B8" w14:textId="77777777" w:rsidR="00395252" w:rsidRDefault="00395252">
      <w:pPr>
        <w:spacing w:line="259" w:lineRule="auto"/>
        <w:jc w:val="left"/>
        <w:rPr>
          <w:rFonts w:eastAsiaTheme="majorEastAsia" w:cstheme="majorBidi"/>
          <w:b/>
          <w:color w:val="000000" w:themeColor="text1"/>
          <w:sz w:val="28"/>
          <w:szCs w:val="32"/>
          <w:lang w:val="en-US"/>
        </w:rPr>
      </w:pPr>
      <w:bookmarkStart w:id="11" w:name="_Toc121765938"/>
      <w:r>
        <w:rPr>
          <w:lang w:val="en-US"/>
        </w:rPr>
        <w:br w:type="page"/>
      </w:r>
    </w:p>
    <w:p w14:paraId="52C80137" w14:textId="7A6164B8" w:rsidR="003F4B07" w:rsidRPr="007D0406" w:rsidRDefault="007D0406" w:rsidP="007D0406">
      <w:pPr>
        <w:pStyle w:val="Heading1"/>
        <w:rPr>
          <w:lang w:val="en-US"/>
        </w:rPr>
      </w:pPr>
      <w:r w:rsidRPr="007D0406">
        <w:rPr>
          <w:lang w:val="en-US"/>
        </w:rPr>
        <w:lastRenderedPageBreak/>
        <w:t>Conclusion</w:t>
      </w:r>
      <w:bookmarkEnd w:id="11"/>
    </w:p>
    <w:p w14:paraId="2DE8829B" w14:textId="77777777" w:rsidR="008415AE" w:rsidRDefault="007D0406" w:rsidP="007D0406">
      <w:r>
        <w:t xml:space="preserve">The prospect that public engagement may impact choices that will impact the execution of services, prospective aspirations, and the viability of our societies is one of the many reasons why the Commonwealth Games are so eventful. Individuals, authorities, and institutions in community projects together to conceive of and work toward achieving environmentally responsible goals for the community's growth. </w:t>
      </w:r>
    </w:p>
    <w:p w14:paraId="00388150" w14:textId="77777777" w:rsidR="008415AE" w:rsidRDefault="007D0406" w:rsidP="007D0406">
      <w:r>
        <w:t xml:space="preserve">The project </w:t>
      </w:r>
      <w:r w:rsidR="003B1A92">
        <w:t>‘</w:t>
      </w:r>
      <w:r>
        <w:t xml:space="preserve">Cycling for Everyone’ focuses on bringing equality among people from different races, </w:t>
      </w:r>
      <w:proofErr w:type="gramStart"/>
      <w:r>
        <w:t>ethnicity</w:t>
      </w:r>
      <w:proofErr w:type="gramEnd"/>
      <w:r>
        <w:t xml:space="preserve"> and classes of society together. And the other project ‘Fight for all the Feels’ emphasizes the </w:t>
      </w:r>
      <w:r w:rsidR="003B1A92">
        <w:t>measures</w:t>
      </w:r>
      <w:r>
        <w:t xml:space="preserve"> that may be taken to </w:t>
      </w:r>
      <w:proofErr w:type="gramStart"/>
      <w:r>
        <w:t>help out</w:t>
      </w:r>
      <w:proofErr w:type="gramEnd"/>
      <w:r>
        <w:t xml:space="preserve"> individuals in mental distress and </w:t>
      </w:r>
      <w:r w:rsidR="003B1A92">
        <w:t xml:space="preserve">illnesses. Both projects work with different aspects but towards the same goal, which is to develop the growth of the communities. </w:t>
      </w:r>
    </w:p>
    <w:p w14:paraId="022871F2" w14:textId="4BE73712" w:rsidR="003B1A92" w:rsidRDefault="003B1A92" w:rsidP="007D0406">
      <w:r>
        <w:t xml:space="preserve">The cycling project can depend on the approach of focus groups. And the other project may use the web-engagement approach to build up better engagement in fulfilling its purpose. And after all this, there are other relatable aspects of community engagement, which are active consultation, effective communication, participation of stakeholders and inclusion of different social classes that significantly impact these commonwealth games. Thus, this reflection report has gone through my reflection on both projects’ comparison and effective evaluation. It has discussed two engagement approaches to show the projects’ best practices. Lastly, it has also discussed the impacts of </w:t>
      </w:r>
      <w:r w:rsidRPr="003B1A92">
        <w:t>active consultation, effective communication, participation of stakeholders and inclusion of different social classes</w:t>
      </w:r>
      <w:r>
        <w:t xml:space="preserve">. </w:t>
      </w:r>
    </w:p>
    <w:p w14:paraId="28A56174" w14:textId="6B987874" w:rsidR="007D0406" w:rsidRDefault="007D0406" w:rsidP="003F4B07"/>
    <w:p w14:paraId="5351E7C3" w14:textId="0834F3CB" w:rsidR="007D0406" w:rsidRDefault="007D0406" w:rsidP="003F4B07"/>
    <w:p w14:paraId="72795EF3" w14:textId="353C96ED" w:rsidR="007D0406" w:rsidRDefault="007D0406" w:rsidP="003F4B07"/>
    <w:p w14:paraId="7076C54E" w14:textId="177C3EEB" w:rsidR="007D0406" w:rsidRDefault="007D0406" w:rsidP="003F4B07"/>
    <w:p w14:paraId="14868156" w14:textId="071C6A0E" w:rsidR="007D0406" w:rsidRDefault="007D0406" w:rsidP="003F4B07"/>
    <w:p w14:paraId="681D5C32" w14:textId="4966E472" w:rsidR="007D0406" w:rsidRDefault="007D0406" w:rsidP="003F4B07"/>
    <w:p w14:paraId="0B56D40A" w14:textId="1D114952" w:rsidR="007D0406" w:rsidRDefault="007D0406" w:rsidP="003F4B07"/>
    <w:p w14:paraId="3B367F6B" w14:textId="5A6DD5A3" w:rsidR="007D0406" w:rsidRDefault="007D0406" w:rsidP="007D0406">
      <w:pPr>
        <w:pStyle w:val="Heading1"/>
      </w:pPr>
      <w:bookmarkStart w:id="12" w:name="_Toc121765939"/>
      <w:r>
        <w:t>References</w:t>
      </w:r>
      <w:bookmarkEnd w:id="12"/>
    </w:p>
    <w:p w14:paraId="5F26EB26" w14:textId="77777777" w:rsidR="009E509B" w:rsidRPr="003B1A92" w:rsidRDefault="009E509B" w:rsidP="009E509B">
      <w:pPr>
        <w:ind w:left="720" w:hanging="720"/>
        <w:rPr>
          <w:lang w:val="en-US"/>
        </w:rPr>
      </w:pPr>
      <w:proofErr w:type="spellStart"/>
      <w:r w:rsidRPr="003B1A92">
        <w:rPr>
          <w:lang w:val="en-US"/>
        </w:rPr>
        <w:t>Bham_Childrens</w:t>
      </w:r>
      <w:proofErr w:type="spellEnd"/>
      <w:r w:rsidRPr="003B1A92">
        <w:rPr>
          <w:lang w:val="en-US"/>
        </w:rPr>
        <w:t xml:space="preserve"> (2019) </w:t>
      </w:r>
      <w:r w:rsidRPr="003B1A92">
        <w:rPr>
          <w:i/>
          <w:iCs/>
          <w:lang w:val="en-US"/>
        </w:rPr>
        <w:t>Fight for all the feels</w:t>
      </w:r>
      <w:r w:rsidRPr="003B1A92">
        <w:rPr>
          <w:lang w:val="en-US"/>
        </w:rPr>
        <w:t xml:space="preserve">, </w:t>
      </w:r>
      <w:r w:rsidRPr="003B1A92">
        <w:rPr>
          <w:i/>
          <w:iCs/>
          <w:lang w:val="en-US"/>
        </w:rPr>
        <w:t>Birmingham Children's Hospital Charity</w:t>
      </w:r>
      <w:r w:rsidRPr="003B1A92">
        <w:rPr>
          <w:lang w:val="en-US"/>
        </w:rPr>
        <w:t xml:space="preserve">. Available at: https://www.bch.org.uk/fight-for-all-the-feels (Accessed: December 12, 2022). </w:t>
      </w:r>
    </w:p>
    <w:p w14:paraId="7317F967" w14:textId="77777777" w:rsidR="009E509B" w:rsidRPr="003B1A92" w:rsidRDefault="009E509B" w:rsidP="009E509B">
      <w:pPr>
        <w:ind w:left="720" w:hanging="720"/>
        <w:rPr>
          <w:lang w:val="en-US"/>
        </w:rPr>
      </w:pPr>
      <w:r w:rsidRPr="003B1A92">
        <w:rPr>
          <w:lang w:val="en-US"/>
        </w:rPr>
        <w:t xml:space="preserve">Birmingham (2022) </w:t>
      </w:r>
      <w:r w:rsidRPr="003B1A92">
        <w:rPr>
          <w:i/>
          <w:iCs/>
          <w:lang w:val="en-US"/>
        </w:rPr>
        <w:t>Cycling for everyone</w:t>
      </w:r>
      <w:r w:rsidRPr="003B1A92">
        <w:rPr>
          <w:lang w:val="en-US"/>
        </w:rPr>
        <w:t xml:space="preserve">, </w:t>
      </w:r>
      <w:r w:rsidRPr="003B1A92">
        <w:rPr>
          <w:i/>
          <w:iCs/>
          <w:lang w:val="en-US"/>
        </w:rPr>
        <w:t>Commonwealth Games - Birmingham 2022</w:t>
      </w:r>
      <w:r w:rsidRPr="003B1A92">
        <w:rPr>
          <w:lang w:val="en-US"/>
        </w:rPr>
        <w:t xml:space="preserve">. Available at: https://www.birmingham2022.com/united-22/2652079/cycling-for-everyone (Accessed: December 12, 2022). </w:t>
      </w:r>
    </w:p>
    <w:p w14:paraId="79C7D422" w14:textId="77777777" w:rsidR="009E509B" w:rsidRPr="003B1A92" w:rsidRDefault="009E509B" w:rsidP="009E509B">
      <w:pPr>
        <w:ind w:left="720" w:hanging="720"/>
        <w:rPr>
          <w:lang w:val="en-US"/>
        </w:rPr>
      </w:pPr>
      <w:r w:rsidRPr="003B1A92">
        <w:rPr>
          <w:lang w:val="en-US"/>
        </w:rPr>
        <w:t xml:space="preserve">Birmingham (2022) </w:t>
      </w:r>
      <w:r w:rsidRPr="003B1A92">
        <w:rPr>
          <w:i/>
          <w:iCs/>
          <w:lang w:val="en-US"/>
        </w:rPr>
        <w:t>Fight for all the feels</w:t>
      </w:r>
      <w:r w:rsidRPr="003B1A92">
        <w:rPr>
          <w:lang w:val="en-US"/>
        </w:rPr>
        <w:t xml:space="preserve">, </w:t>
      </w:r>
      <w:r w:rsidRPr="003B1A92">
        <w:rPr>
          <w:i/>
          <w:iCs/>
          <w:lang w:val="en-US"/>
        </w:rPr>
        <w:t>Commonwealth Games - Birmingham 2022</w:t>
      </w:r>
      <w:r w:rsidRPr="003B1A92">
        <w:rPr>
          <w:lang w:val="en-US"/>
        </w:rPr>
        <w:t xml:space="preserve">. Available at: https://www.birmingham2022.com/united-22/2635854/fight-for-all-the-feels (Accessed: December 12, 2022). </w:t>
      </w:r>
    </w:p>
    <w:p w14:paraId="022215F7" w14:textId="77777777" w:rsidR="009E509B" w:rsidRPr="003B1A92" w:rsidRDefault="009E509B" w:rsidP="009E509B">
      <w:pPr>
        <w:ind w:left="720" w:hanging="720"/>
        <w:rPr>
          <w:lang w:val="en-US"/>
        </w:rPr>
      </w:pPr>
      <w:r w:rsidRPr="003B1A92">
        <w:rPr>
          <w:i/>
          <w:iCs/>
          <w:lang w:val="en-US"/>
        </w:rPr>
        <w:t>Birmingham 2022 commonwealth games: The highlights</w:t>
      </w:r>
      <w:r w:rsidRPr="003B1A92">
        <w:rPr>
          <w:lang w:val="en-US"/>
        </w:rPr>
        <w:t xml:space="preserve"> (no date) </w:t>
      </w:r>
      <w:r w:rsidRPr="003B1A92">
        <w:rPr>
          <w:i/>
          <w:iCs/>
          <w:lang w:val="en-US"/>
        </w:rPr>
        <w:t>GOV.UK</w:t>
      </w:r>
      <w:r w:rsidRPr="003B1A92">
        <w:rPr>
          <w:lang w:val="en-US"/>
        </w:rPr>
        <w:t xml:space="preserve">. Available at: https://www.gov.uk/government/publications/birmingham-2022-commonwealth-games-the-highlights/birmingham-2022-commonwealth-games-the-highlights#people (Accessed: December 12, 2022). </w:t>
      </w:r>
    </w:p>
    <w:p w14:paraId="70B150B6" w14:textId="77777777" w:rsidR="009E509B" w:rsidRPr="003B1A92" w:rsidRDefault="009E509B" w:rsidP="009E509B">
      <w:pPr>
        <w:ind w:left="720" w:hanging="720"/>
        <w:rPr>
          <w:lang w:val="en-US"/>
        </w:rPr>
      </w:pPr>
      <w:r w:rsidRPr="003B1A92">
        <w:rPr>
          <w:lang w:val="en-US"/>
        </w:rPr>
        <w:t xml:space="preserve">Butterfield, M. (2018) </w:t>
      </w:r>
      <w:r w:rsidRPr="003B1A92">
        <w:rPr>
          <w:i/>
          <w:iCs/>
          <w:lang w:val="en-US"/>
        </w:rPr>
        <w:t>The Commonwealth Games</w:t>
      </w:r>
      <w:r w:rsidRPr="003B1A92">
        <w:rPr>
          <w:lang w:val="en-US"/>
        </w:rPr>
        <w:t xml:space="preserve">. London: Franklin Watts. </w:t>
      </w:r>
    </w:p>
    <w:p w14:paraId="5D7247DC" w14:textId="77777777" w:rsidR="009E509B" w:rsidRPr="003B1A92" w:rsidRDefault="009E509B" w:rsidP="009E509B">
      <w:pPr>
        <w:ind w:left="720" w:hanging="720"/>
        <w:rPr>
          <w:lang w:val="en-US"/>
        </w:rPr>
      </w:pPr>
      <w:r w:rsidRPr="003B1A92">
        <w:rPr>
          <w:lang w:val="en-US"/>
        </w:rPr>
        <w:t xml:space="preserve">Council, B.C. (2017) </w:t>
      </w:r>
      <w:r w:rsidRPr="003B1A92">
        <w:rPr>
          <w:i/>
          <w:iCs/>
          <w:lang w:val="en-US"/>
        </w:rPr>
        <w:t>Commonwealth Games Bid 2022</w:t>
      </w:r>
      <w:r w:rsidRPr="003B1A92">
        <w:rPr>
          <w:lang w:val="en-US"/>
        </w:rPr>
        <w:t xml:space="preserve">, </w:t>
      </w:r>
      <w:r w:rsidRPr="003B1A92">
        <w:rPr>
          <w:i/>
          <w:iCs/>
          <w:lang w:val="en-US"/>
        </w:rPr>
        <w:t>Birmingham City Council</w:t>
      </w:r>
      <w:r w:rsidRPr="003B1A92">
        <w:rPr>
          <w:lang w:val="en-US"/>
        </w:rPr>
        <w:t xml:space="preserve">. Birmingham City Council. Available at: https://www.birmingham.gov.uk/info/50116/commonwealth_games_2022/1281/commonwealth_games_bid_2022 (Accessed: December 12, 2022). </w:t>
      </w:r>
    </w:p>
    <w:p w14:paraId="043BA981" w14:textId="77777777" w:rsidR="009E509B" w:rsidRPr="003B1A92" w:rsidRDefault="009E509B" w:rsidP="009E509B">
      <w:pPr>
        <w:ind w:left="720" w:hanging="720"/>
        <w:rPr>
          <w:lang w:val="en-US"/>
        </w:rPr>
      </w:pPr>
      <w:r w:rsidRPr="003B1A92">
        <w:rPr>
          <w:lang w:val="en-US"/>
        </w:rPr>
        <w:t xml:space="preserve">Granicus (2022) </w:t>
      </w:r>
      <w:r w:rsidRPr="003B1A92">
        <w:rPr>
          <w:i/>
          <w:iCs/>
          <w:lang w:val="en-US"/>
        </w:rPr>
        <w:t xml:space="preserve">What is community </w:t>
      </w:r>
      <w:proofErr w:type="gramStart"/>
      <w:r w:rsidRPr="003B1A92">
        <w:rPr>
          <w:i/>
          <w:iCs/>
          <w:lang w:val="en-US"/>
        </w:rPr>
        <w:t>engagement?:</w:t>
      </w:r>
      <w:proofErr w:type="gramEnd"/>
      <w:r w:rsidRPr="003B1A92">
        <w:rPr>
          <w:i/>
          <w:iCs/>
          <w:lang w:val="en-US"/>
        </w:rPr>
        <w:t xml:space="preserve"> Engagement 101</w:t>
      </w:r>
      <w:r w:rsidRPr="003B1A92">
        <w:rPr>
          <w:lang w:val="en-US"/>
        </w:rPr>
        <w:t xml:space="preserve">, </w:t>
      </w:r>
      <w:r w:rsidRPr="003B1A92">
        <w:rPr>
          <w:i/>
          <w:iCs/>
          <w:lang w:val="en-US"/>
        </w:rPr>
        <w:t>Granicus</w:t>
      </w:r>
      <w:r w:rsidRPr="003B1A92">
        <w:rPr>
          <w:lang w:val="en-US"/>
        </w:rPr>
        <w:t xml:space="preserve">. Available at: https://granicus.com/blog/what-is-community-engagement/ (Accessed: December 12, 2022). </w:t>
      </w:r>
    </w:p>
    <w:p w14:paraId="7FE26086" w14:textId="77777777" w:rsidR="009E509B" w:rsidRPr="003B1A92" w:rsidRDefault="009E509B" w:rsidP="009E509B">
      <w:pPr>
        <w:ind w:left="720" w:hanging="720"/>
        <w:rPr>
          <w:lang w:val="en-US"/>
        </w:rPr>
      </w:pPr>
      <w:proofErr w:type="spellStart"/>
      <w:r w:rsidRPr="003B1A92">
        <w:rPr>
          <w:lang w:val="en-US"/>
        </w:rPr>
        <w:t>Hyen</w:t>
      </w:r>
      <w:proofErr w:type="spellEnd"/>
      <w:r w:rsidRPr="003B1A92">
        <w:rPr>
          <w:lang w:val="en-US"/>
        </w:rPr>
        <w:t xml:space="preserve">, H. (2019) </w:t>
      </w:r>
      <w:r w:rsidRPr="003B1A92">
        <w:rPr>
          <w:i/>
          <w:iCs/>
          <w:lang w:val="en-US"/>
        </w:rPr>
        <w:t>Mental health is worth the fight.</w:t>
      </w:r>
      <w:r w:rsidRPr="003B1A92">
        <w:rPr>
          <w:lang w:val="en-US"/>
        </w:rPr>
        <w:t xml:space="preserve">, </w:t>
      </w:r>
      <w:r w:rsidRPr="003B1A92">
        <w:rPr>
          <w:i/>
          <w:iCs/>
          <w:lang w:val="en-US"/>
        </w:rPr>
        <w:t xml:space="preserve">Fight </w:t>
      </w:r>
      <w:proofErr w:type="gramStart"/>
      <w:r w:rsidRPr="003B1A92">
        <w:rPr>
          <w:i/>
          <w:iCs/>
          <w:lang w:val="en-US"/>
        </w:rPr>
        <w:t>For</w:t>
      </w:r>
      <w:proofErr w:type="gramEnd"/>
      <w:r w:rsidRPr="003B1A92">
        <w:rPr>
          <w:i/>
          <w:iCs/>
          <w:lang w:val="en-US"/>
        </w:rPr>
        <w:t xml:space="preserve"> All The Feels</w:t>
      </w:r>
      <w:r w:rsidRPr="003B1A92">
        <w:rPr>
          <w:lang w:val="en-US"/>
        </w:rPr>
        <w:t xml:space="preserve">. Available at: https://fightforallthefeels.org/ (Accessed: December 12, 2022). </w:t>
      </w:r>
    </w:p>
    <w:p w14:paraId="2A9DEA65" w14:textId="77777777" w:rsidR="009E509B" w:rsidRPr="003B1A92" w:rsidRDefault="009E509B" w:rsidP="009E509B">
      <w:pPr>
        <w:ind w:left="720" w:hanging="720"/>
        <w:rPr>
          <w:lang w:val="en-US"/>
        </w:rPr>
      </w:pPr>
      <w:r w:rsidRPr="003B1A92">
        <w:rPr>
          <w:lang w:val="en-US"/>
        </w:rPr>
        <w:t xml:space="preserve">Keech, M. (2018) “Exploring the growth of the Commonwealth Games,” </w:t>
      </w:r>
      <w:r w:rsidRPr="003B1A92">
        <w:rPr>
          <w:i/>
          <w:iCs/>
          <w:lang w:val="en-US"/>
        </w:rPr>
        <w:t>Transforming Sport</w:t>
      </w:r>
      <w:r w:rsidRPr="003B1A92">
        <w:rPr>
          <w:lang w:val="en-US"/>
        </w:rPr>
        <w:t xml:space="preserve">, pp. 136–148. Available at: https://doi.org/10.4324/9781315167909-10. </w:t>
      </w:r>
    </w:p>
    <w:p w14:paraId="0735E5F5" w14:textId="77777777" w:rsidR="009E509B" w:rsidRPr="003B1A92" w:rsidRDefault="009E509B" w:rsidP="009E509B">
      <w:pPr>
        <w:ind w:left="720" w:hanging="720"/>
        <w:rPr>
          <w:lang w:val="en-US"/>
        </w:rPr>
      </w:pPr>
      <w:r w:rsidRPr="003B1A92">
        <w:rPr>
          <w:lang w:val="en-US"/>
        </w:rPr>
        <w:lastRenderedPageBreak/>
        <w:t xml:space="preserve">McIntyre, W.D. (2021) “Sport and the commonwealth games,” </w:t>
      </w:r>
      <w:r w:rsidRPr="003B1A92">
        <w:rPr>
          <w:i/>
          <w:iCs/>
          <w:lang w:val="en-US"/>
        </w:rPr>
        <w:t>A Guide to the Contemporary Commonwealth</w:t>
      </w:r>
      <w:r w:rsidRPr="003B1A92">
        <w:rPr>
          <w:lang w:val="en-US"/>
        </w:rPr>
        <w:t xml:space="preserve">, pp. 201–210. Available at: https://doi.org/10.1057/9781403900951_23. </w:t>
      </w:r>
    </w:p>
    <w:p w14:paraId="39C3A37F" w14:textId="77777777" w:rsidR="009E509B" w:rsidRPr="003B1A92" w:rsidRDefault="009E509B" w:rsidP="009E509B">
      <w:pPr>
        <w:ind w:left="720" w:hanging="720"/>
        <w:rPr>
          <w:lang w:val="en-US"/>
        </w:rPr>
      </w:pPr>
      <w:r w:rsidRPr="003B1A92">
        <w:rPr>
          <w:lang w:val="en-US"/>
        </w:rPr>
        <w:t xml:space="preserve">Shane, J. (2016) </w:t>
      </w:r>
      <w:r w:rsidRPr="003B1A92">
        <w:rPr>
          <w:i/>
          <w:iCs/>
          <w:lang w:val="en-US"/>
        </w:rPr>
        <w:t xml:space="preserve">Notes on the </w:t>
      </w:r>
      <w:proofErr w:type="spellStart"/>
      <w:r w:rsidRPr="003B1A92">
        <w:rPr>
          <w:i/>
          <w:iCs/>
          <w:lang w:val="en-US"/>
        </w:rPr>
        <w:t>organisation</w:t>
      </w:r>
      <w:proofErr w:type="spellEnd"/>
      <w:r w:rsidRPr="003B1A92">
        <w:rPr>
          <w:i/>
          <w:iCs/>
          <w:lang w:val="en-US"/>
        </w:rPr>
        <w:t xml:space="preserve"> of the Commonwealth Games</w:t>
      </w:r>
      <w:r w:rsidRPr="003B1A92">
        <w:rPr>
          <w:lang w:val="en-US"/>
        </w:rPr>
        <w:t xml:space="preserve">. London: The Federation. </w:t>
      </w:r>
    </w:p>
    <w:p w14:paraId="1446E120" w14:textId="77777777" w:rsidR="007D0406" w:rsidRDefault="007D0406" w:rsidP="003F4B07"/>
    <w:sectPr w:rsidR="007D0406">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C6C86" w14:textId="77777777" w:rsidR="00AF1998" w:rsidRDefault="00AF1998" w:rsidP="00CF5DBA">
      <w:pPr>
        <w:spacing w:after="0" w:line="240" w:lineRule="auto"/>
      </w:pPr>
      <w:r>
        <w:separator/>
      </w:r>
    </w:p>
  </w:endnote>
  <w:endnote w:type="continuationSeparator" w:id="0">
    <w:p w14:paraId="19644011" w14:textId="77777777" w:rsidR="00AF1998" w:rsidRDefault="00AF1998" w:rsidP="00CF5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988496"/>
      <w:docPartObj>
        <w:docPartGallery w:val="Page Numbers (Bottom of Page)"/>
        <w:docPartUnique/>
      </w:docPartObj>
    </w:sdtPr>
    <w:sdtEndPr>
      <w:rPr>
        <w:noProof/>
      </w:rPr>
    </w:sdtEndPr>
    <w:sdtContent>
      <w:p w14:paraId="1B5552E9" w14:textId="2F2B157E" w:rsidR="00CF5DBA" w:rsidRDefault="00CF5D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2EC8A7" w14:textId="77777777" w:rsidR="00CF5DBA" w:rsidRDefault="00CF5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10F1C" w14:textId="77777777" w:rsidR="00AF1998" w:rsidRDefault="00AF1998" w:rsidP="00CF5DBA">
      <w:pPr>
        <w:spacing w:after="0" w:line="240" w:lineRule="auto"/>
      </w:pPr>
      <w:r>
        <w:separator/>
      </w:r>
    </w:p>
  </w:footnote>
  <w:footnote w:type="continuationSeparator" w:id="0">
    <w:p w14:paraId="56EF265B" w14:textId="77777777" w:rsidR="00AF1998" w:rsidRDefault="00AF1998" w:rsidP="00CF5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63604"/>
    <w:multiLevelType w:val="hybridMultilevel"/>
    <w:tmpl w:val="D3A89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10496D"/>
    <w:multiLevelType w:val="hybridMultilevel"/>
    <w:tmpl w:val="42B22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C073DF"/>
    <w:multiLevelType w:val="hybridMultilevel"/>
    <w:tmpl w:val="24E26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2045A"/>
    <w:multiLevelType w:val="hybridMultilevel"/>
    <w:tmpl w:val="4112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4577382">
    <w:abstractNumId w:val="1"/>
  </w:num>
  <w:num w:numId="2" w16cid:durableId="1683556207">
    <w:abstractNumId w:val="2"/>
  </w:num>
  <w:num w:numId="3" w16cid:durableId="1792507840">
    <w:abstractNumId w:val="3"/>
  </w:num>
  <w:num w:numId="4" w16cid:durableId="45753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2MjU1MzazNDexMDNQ0lEKTi0uzszPAykwrgUAgTE//ywAAAA="/>
  </w:docVars>
  <w:rsids>
    <w:rsidRoot w:val="00A8414E"/>
    <w:rsid w:val="00050A5D"/>
    <w:rsid w:val="00094131"/>
    <w:rsid w:val="000D3955"/>
    <w:rsid w:val="002101A2"/>
    <w:rsid w:val="00234C41"/>
    <w:rsid w:val="00237383"/>
    <w:rsid w:val="00365D78"/>
    <w:rsid w:val="00395252"/>
    <w:rsid w:val="003B1A92"/>
    <w:rsid w:val="003F40D2"/>
    <w:rsid w:val="003F4B07"/>
    <w:rsid w:val="00435428"/>
    <w:rsid w:val="004C3377"/>
    <w:rsid w:val="00567444"/>
    <w:rsid w:val="00580A6C"/>
    <w:rsid w:val="005B0F2A"/>
    <w:rsid w:val="005B260A"/>
    <w:rsid w:val="005E2404"/>
    <w:rsid w:val="006234A7"/>
    <w:rsid w:val="006350F2"/>
    <w:rsid w:val="00636D3C"/>
    <w:rsid w:val="00677F0B"/>
    <w:rsid w:val="006947FE"/>
    <w:rsid w:val="006A71F5"/>
    <w:rsid w:val="006B2FB4"/>
    <w:rsid w:val="006F3FBA"/>
    <w:rsid w:val="00731D76"/>
    <w:rsid w:val="00741959"/>
    <w:rsid w:val="007552B1"/>
    <w:rsid w:val="0077016E"/>
    <w:rsid w:val="0077228D"/>
    <w:rsid w:val="0077414E"/>
    <w:rsid w:val="007D0406"/>
    <w:rsid w:val="007F227B"/>
    <w:rsid w:val="007F3C67"/>
    <w:rsid w:val="008415AE"/>
    <w:rsid w:val="00866122"/>
    <w:rsid w:val="008F41AA"/>
    <w:rsid w:val="00901440"/>
    <w:rsid w:val="00916A63"/>
    <w:rsid w:val="00950A94"/>
    <w:rsid w:val="009E509B"/>
    <w:rsid w:val="00A2418A"/>
    <w:rsid w:val="00A51B11"/>
    <w:rsid w:val="00A535F9"/>
    <w:rsid w:val="00A83D79"/>
    <w:rsid w:val="00A8414E"/>
    <w:rsid w:val="00AB361C"/>
    <w:rsid w:val="00AB3B95"/>
    <w:rsid w:val="00AF1998"/>
    <w:rsid w:val="00B02A95"/>
    <w:rsid w:val="00B22E06"/>
    <w:rsid w:val="00BB20B4"/>
    <w:rsid w:val="00BB6049"/>
    <w:rsid w:val="00BF28A3"/>
    <w:rsid w:val="00C3373C"/>
    <w:rsid w:val="00C52C5E"/>
    <w:rsid w:val="00C666A0"/>
    <w:rsid w:val="00CA35C7"/>
    <w:rsid w:val="00CF5DBA"/>
    <w:rsid w:val="00D93E1A"/>
    <w:rsid w:val="00E225F7"/>
    <w:rsid w:val="00E61B68"/>
    <w:rsid w:val="00F112FC"/>
    <w:rsid w:val="00F57C40"/>
    <w:rsid w:val="00F64091"/>
    <w:rsid w:val="00FA2CEB"/>
    <w:rsid w:val="00FD27D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5F0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8A3"/>
    <w:pPr>
      <w:spacing w:line="360" w:lineRule="auto"/>
      <w:jc w:val="both"/>
    </w:pPr>
    <w:rPr>
      <w:rFonts w:ascii="Arial" w:hAnsi="Arial"/>
      <w:sz w:val="24"/>
      <w:lang w:val="en-GB"/>
    </w:rPr>
  </w:style>
  <w:style w:type="paragraph" w:styleId="Heading1">
    <w:name w:val="heading 1"/>
    <w:basedOn w:val="Normal"/>
    <w:link w:val="Heading1Char"/>
    <w:uiPriority w:val="9"/>
    <w:qFormat/>
    <w:rsid w:val="00C52C5E"/>
    <w:pPr>
      <w:keepNext/>
      <w:keepLines/>
      <w:spacing w:before="120" w:after="0"/>
      <w:outlineLvl w:val="0"/>
    </w:pPr>
    <w:rPr>
      <w:rFonts w:eastAsiaTheme="majorEastAsia" w:cstheme="majorBidi"/>
      <w:b/>
      <w:color w:val="000000" w:themeColor="text1"/>
      <w:sz w:val="28"/>
      <w:szCs w:val="32"/>
    </w:rPr>
  </w:style>
  <w:style w:type="paragraph" w:styleId="Heading2">
    <w:name w:val="heading 2"/>
    <w:basedOn w:val="Normal"/>
    <w:link w:val="Heading2Char"/>
    <w:uiPriority w:val="9"/>
    <w:unhideWhenUsed/>
    <w:qFormat/>
    <w:rsid w:val="0077228D"/>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C5E"/>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77228D"/>
    <w:rPr>
      <w:rFonts w:ascii="Arial" w:eastAsiaTheme="majorEastAsia" w:hAnsi="Arial" w:cstheme="majorBidi"/>
      <w:b/>
      <w:color w:val="000000" w:themeColor="text1"/>
      <w:sz w:val="24"/>
      <w:szCs w:val="26"/>
      <w:lang w:val="en-GB"/>
    </w:rPr>
  </w:style>
  <w:style w:type="paragraph" w:styleId="ListParagraph">
    <w:name w:val="List Paragraph"/>
    <w:basedOn w:val="Normal"/>
    <w:uiPriority w:val="34"/>
    <w:qFormat/>
    <w:rsid w:val="00741959"/>
    <w:pPr>
      <w:ind w:left="720"/>
      <w:contextualSpacing/>
    </w:pPr>
  </w:style>
  <w:style w:type="paragraph" w:styleId="TOC1">
    <w:name w:val="toc 1"/>
    <w:basedOn w:val="Normal"/>
    <w:next w:val="Normal"/>
    <w:autoRedefine/>
    <w:uiPriority w:val="39"/>
    <w:unhideWhenUsed/>
    <w:rsid w:val="00567444"/>
    <w:pPr>
      <w:spacing w:after="100"/>
    </w:pPr>
    <w:rPr>
      <w:rFonts w:ascii="Times New Roman" w:hAnsi="Times New Roman"/>
    </w:rPr>
  </w:style>
  <w:style w:type="paragraph" w:styleId="TOC2">
    <w:name w:val="toc 2"/>
    <w:basedOn w:val="Normal"/>
    <w:next w:val="Normal"/>
    <w:autoRedefine/>
    <w:uiPriority w:val="39"/>
    <w:unhideWhenUsed/>
    <w:rsid w:val="00567444"/>
    <w:pPr>
      <w:spacing w:after="100"/>
      <w:ind w:left="240"/>
    </w:pPr>
    <w:rPr>
      <w:rFonts w:ascii="Times New Roman" w:hAnsi="Times New Roman"/>
    </w:rPr>
  </w:style>
  <w:style w:type="character" w:styleId="Hyperlink">
    <w:name w:val="Hyperlink"/>
    <w:basedOn w:val="DefaultParagraphFont"/>
    <w:uiPriority w:val="99"/>
    <w:unhideWhenUsed/>
    <w:rsid w:val="00567444"/>
    <w:rPr>
      <w:color w:val="0563C1" w:themeColor="hyperlink"/>
      <w:u w:val="single"/>
    </w:rPr>
  </w:style>
  <w:style w:type="paragraph" w:styleId="TOCHeading">
    <w:name w:val="TOC Heading"/>
    <w:basedOn w:val="Heading1"/>
    <w:next w:val="Normal"/>
    <w:uiPriority w:val="39"/>
    <w:semiHidden/>
    <w:unhideWhenUsed/>
    <w:qFormat/>
    <w:rsid w:val="00567444"/>
    <w:pPr>
      <w:spacing w:before="240"/>
      <w:outlineLvl w:val="9"/>
    </w:pPr>
    <w:rPr>
      <w:rFonts w:asciiTheme="majorHAnsi" w:hAnsiTheme="majorHAnsi"/>
      <w:b w:val="0"/>
      <w:color w:val="2F5496" w:themeColor="accent1" w:themeShade="BF"/>
      <w:sz w:val="32"/>
    </w:rPr>
  </w:style>
  <w:style w:type="paragraph" w:styleId="Header">
    <w:name w:val="header"/>
    <w:basedOn w:val="Normal"/>
    <w:link w:val="HeaderChar"/>
    <w:uiPriority w:val="99"/>
    <w:unhideWhenUsed/>
    <w:rsid w:val="00CF5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DBA"/>
    <w:rPr>
      <w:rFonts w:ascii="Arial" w:hAnsi="Arial"/>
      <w:sz w:val="24"/>
      <w:lang w:val="en-GB"/>
    </w:rPr>
  </w:style>
  <w:style w:type="paragraph" w:styleId="Footer">
    <w:name w:val="footer"/>
    <w:basedOn w:val="Normal"/>
    <w:link w:val="FooterChar"/>
    <w:uiPriority w:val="99"/>
    <w:unhideWhenUsed/>
    <w:rsid w:val="00CF5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DBA"/>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08995">
      <w:bodyDiv w:val="1"/>
      <w:marLeft w:val="0"/>
      <w:marRight w:val="0"/>
      <w:marTop w:val="0"/>
      <w:marBottom w:val="0"/>
      <w:divBdr>
        <w:top w:val="none" w:sz="0" w:space="0" w:color="auto"/>
        <w:left w:val="none" w:sz="0" w:space="0" w:color="auto"/>
        <w:bottom w:val="none" w:sz="0" w:space="0" w:color="auto"/>
        <w:right w:val="none" w:sz="0" w:space="0" w:color="auto"/>
      </w:divBdr>
      <w:divsChild>
        <w:div w:id="811601760">
          <w:marLeft w:val="0"/>
          <w:marRight w:val="0"/>
          <w:marTop w:val="0"/>
          <w:marBottom w:val="0"/>
          <w:divBdr>
            <w:top w:val="none" w:sz="0" w:space="0" w:color="auto"/>
            <w:left w:val="none" w:sz="0" w:space="0" w:color="auto"/>
            <w:bottom w:val="none" w:sz="0" w:space="0" w:color="auto"/>
            <w:right w:val="none" w:sz="0" w:space="0" w:color="auto"/>
          </w:divBdr>
        </w:div>
        <w:div w:id="1370958829">
          <w:marLeft w:val="0"/>
          <w:marRight w:val="0"/>
          <w:marTop w:val="0"/>
          <w:marBottom w:val="0"/>
          <w:divBdr>
            <w:top w:val="none" w:sz="0" w:space="0" w:color="auto"/>
            <w:left w:val="none" w:sz="0" w:space="0" w:color="auto"/>
            <w:bottom w:val="none" w:sz="0" w:space="0" w:color="auto"/>
            <w:right w:val="none" w:sz="0" w:space="0" w:color="auto"/>
          </w:divBdr>
        </w:div>
        <w:div w:id="1089737446">
          <w:marLeft w:val="0"/>
          <w:marRight w:val="0"/>
          <w:marTop w:val="0"/>
          <w:marBottom w:val="0"/>
          <w:divBdr>
            <w:top w:val="none" w:sz="0" w:space="0" w:color="auto"/>
            <w:left w:val="none" w:sz="0" w:space="0" w:color="auto"/>
            <w:bottom w:val="none" w:sz="0" w:space="0" w:color="auto"/>
            <w:right w:val="none" w:sz="0" w:space="0" w:color="auto"/>
          </w:divBdr>
        </w:div>
        <w:div w:id="212422612">
          <w:marLeft w:val="0"/>
          <w:marRight w:val="0"/>
          <w:marTop w:val="0"/>
          <w:marBottom w:val="0"/>
          <w:divBdr>
            <w:top w:val="none" w:sz="0" w:space="0" w:color="auto"/>
            <w:left w:val="none" w:sz="0" w:space="0" w:color="auto"/>
            <w:bottom w:val="none" w:sz="0" w:space="0" w:color="auto"/>
            <w:right w:val="none" w:sz="0" w:space="0" w:color="auto"/>
          </w:divBdr>
        </w:div>
      </w:divsChild>
    </w:div>
    <w:div w:id="690187099">
      <w:bodyDiv w:val="1"/>
      <w:marLeft w:val="0"/>
      <w:marRight w:val="0"/>
      <w:marTop w:val="0"/>
      <w:marBottom w:val="0"/>
      <w:divBdr>
        <w:top w:val="none" w:sz="0" w:space="0" w:color="auto"/>
        <w:left w:val="none" w:sz="0" w:space="0" w:color="auto"/>
        <w:bottom w:val="none" w:sz="0" w:space="0" w:color="auto"/>
        <w:right w:val="none" w:sz="0" w:space="0" w:color="auto"/>
      </w:divBdr>
    </w:div>
    <w:div w:id="900749543">
      <w:bodyDiv w:val="1"/>
      <w:marLeft w:val="0"/>
      <w:marRight w:val="0"/>
      <w:marTop w:val="0"/>
      <w:marBottom w:val="0"/>
      <w:divBdr>
        <w:top w:val="none" w:sz="0" w:space="0" w:color="auto"/>
        <w:left w:val="none" w:sz="0" w:space="0" w:color="auto"/>
        <w:bottom w:val="none" w:sz="0" w:space="0" w:color="auto"/>
        <w:right w:val="none" w:sz="0" w:space="0" w:color="auto"/>
      </w:divBdr>
      <w:divsChild>
        <w:div w:id="2135519125">
          <w:marLeft w:val="0"/>
          <w:marRight w:val="0"/>
          <w:marTop w:val="0"/>
          <w:marBottom w:val="0"/>
          <w:divBdr>
            <w:top w:val="none" w:sz="0" w:space="0" w:color="auto"/>
            <w:left w:val="none" w:sz="0" w:space="0" w:color="auto"/>
            <w:bottom w:val="none" w:sz="0" w:space="0" w:color="auto"/>
            <w:right w:val="none" w:sz="0" w:space="0" w:color="auto"/>
          </w:divBdr>
        </w:div>
        <w:div w:id="1465000757">
          <w:marLeft w:val="0"/>
          <w:marRight w:val="0"/>
          <w:marTop w:val="0"/>
          <w:marBottom w:val="0"/>
          <w:divBdr>
            <w:top w:val="none" w:sz="0" w:space="0" w:color="auto"/>
            <w:left w:val="none" w:sz="0" w:space="0" w:color="auto"/>
            <w:bottom w:val="none" w:sz="0" w:space="0" w:color="auto"/>
            <w:right w:val="none" w:sz="0" w:space="0" w:color="auto"/>
          </w:divBdr>
        </w:div>
        <w:div w:id="765804115">
          <w:marLeft w:val="0"/>
          <w:marRight w:val="0"/>
          <w:marTop w:val="0"/>
          <w:marBottom w:val="0"/>
          <w:divBdr>
            <w:top w:val="none" w:sz="0" w:space="0" w:color="auto"/>
            <w:left w:val="none" w:sz="0" w:space="0" w:color="auto"/>
            <w:bottom w:val="none" w:sz="0" w:space="0" w:color="auto"/>
            <w:right w:val="none" w:sz="0" w:space="0" w:color="auto"/>
          </w:divBdr>
        </w:div>
        <w:div w:id="383259454">
          <w:marLeft w:val="0"/>
          <w:marRight w:val="0"/>
          <w:marTop w:val="0"/>
          <w:marBottom w:val="0"/>
          <w:divBdr>
            <w:top w:val="none" w:sz="0" w:space="0" w:color="auto"/>
            <w:left w:val="none" w:sz="0" w:space="0" w:color="auto"/>
            <w:bottom w:val="none" w:sz="0" w:space="0" w:color="auto"/>
            <w:right w:val="none" w:sz="0" w:space="0" w:color="auto"/>
          </w:divBdr>
        </w:div>
      </w:divsChild>
    </w:div>
    <w:div w:id="944964789">
      <w:bodyDiv w:val="1"/>
      <w:marLeft w:val="0"/>
      <w:marRight w:val="0"/>
      <w:marTop w:val="0"/>
      <w:marBottom w:val="0"/>
      <w:divBdr>
        <w:top w:val="none" w:sz="0" w:space="0" w:color="auto"/>
        <w:left w:val="none" w:sz="0" w:space="0" w:color="auto"/>
        <w:bottom w:val="none" w:sz="0" w:space="0" w:color="auto"/>
        <w:right w:val="none" w:sz="0" w:space="0" w:color="auto"/>
      </w:divBdr>
      <w:divsChild>
        <w:div w:id="1196651013">
          <w:marLeft w:val="0"/>
          <w:marRight w:val="0"/>
          <w:marTop w:val="0"/>
          <w:marBottom w:val="0"/>
          <w:divBdr>
            <w:top w:val="none" w:sz="0" w:space="0" w:color="auto"/>
            <w:left w:val="none" w:sz="0" w:space="0" w:color="auto"/>
            <w:bottom w:val="none" w:sz="0" w:space="0" w:color="auto"/>
            <w:right w:val="none" w:sz="0" w:space="0" w:color="auto"/>
          </w:divBdr>
        </w:div>
        <w:div w:id="1561210988">
          <w:marLeft w:val="0"/>
          <w:marRight w:val="0"/>
          <w:marTop w:val="0"/>
          <w:marBottom w:val="0"/>
          <w:divBdr>
            <w:top w:val="none" w:sz="0" w:space="0" w:color="auto"/>
            <w:left w:val="none" w:sz="0" w:space="0" w:color="auto"/>
            <w:bottom w:val="none" w:sz="0" w:space="0" w:color="auto"/>
            <w:right w:val="none" w:sz="0" w:space="0" w:color="auto"/>
          </w:divBdr>
        </w:div>
        <w:div w:id="780148291">
          <w:marLeft w:val="0"/>
          <w:marRight w:val="0"/>
          <w:marTop w:val="0"/>
          <w:marBottom w:val="0"/>
          <w:divBdr>
            <w:top w:val="none" w:sz="0" w:space="0" w:color="auto"/>
            <w:left w:val="none" w:sz="0" w:space="0" w:color="auto"/>
            <w:bottom w:val="none" w:sz="0" w:space="0" w:color="auto"/>
            <w:right w:val="none" w:sz="0" w:space="0" w:color="auto"/>
          </w:divBdr>
        </w:div>
        <w:div w:id="1974292097">
          <w:marLeft w:val="0"/>
          <w:marRight w:val="0"/>
          <w:marTop w:val="0"/>
          <w:marBottom w:val="0"/>
          <w:divBdr>
            <w:top w:val="none" w:sz="0" w:space="0" w:color="auto"/>
            <w:left w:val="none" w:sz="0" w:space="0" w:color="auto"/>
            <w:bottom w:val="none" w:sz="0" w:space="0" w:color="auto"/>
            <w:right w:val="none" w:sz="0" w:space="0" w:color="auto"/>
          </w:divBdr>
        </w:div>
        <w:div w:id="1117720372">
          <w:marLeft w:val="0"/>
          <w:marRight w:val="0"/>
          <w:marTop w:val="0"/>
          <w:marBottom w:val="0"/>
          <w:divBdr>
            <w:top w:val="none" w:sz="0" w:space="0" w:color="auto"/>
            <w:left w:val="none" w:sz="0" w:space="0" w:color="auto"/>
            <w:bottom w:val="none" w:sz="0" w:space="0" w:color="auto"/>
            <w:right w:val="none" w:sz="0" w:space="0" w:color="auto"/>
          </w:divBdr>
        </w:div>
      </w:divsChild>
    </w:div>
    <w:div w:id="1471509630">
      <w:bodyDiv w:val="1"/>
      <w:marLeft w:val="0"/>
      <w:marRight w:val="0"/>
      <w:marTop w:val="0"/>
      <w:marBottom w:val="0"/>
      <w:divBdr>
        <w:top w:val="none" w:sz="0" w:space="0" w:color="auto"/>
        <w:left w:val="none" w:sz="0" w:space="0" w:color="auto"/>
        <w:bottom w:val="none" w:sz="0" w:space="0" w:color="auto"/>
        <w:right w:val="none" w:sz="0" w:space="0" w:color="auto"/>
      </w:divBdr>
    </w:div>
    <w:div w:id="2012219136">
      <w:bodyDiv w:val="1"/>
      <w:marLeft w:val="0"/>
      <w:marRight w:val="0"/>
      <w:marTop w:val="0"/>
      <w:marBottom w:val="0"/>
      <w:divBdr>
        <w:top w:val="none" w:sz="0" w:space="0" w:color="auto"/>
        <w:left w:val="none" w:sz="0" w:space="0" w:color="auto"/>
        <w:bottom w:val="none" w:sz="0" w:space="0" w:color="auto"/>
        <w:right w:val="none" w:sz="0" w:space="0" w:color="auto"/>
      </w:divBdr>
      <w:divsChild>
        <w:div w:id="919173225">
          <w:marLeft w:val="0"/>
          <w:marRight w:val="0"/>
          <w:marTop w:val="0"/>
          <w:marBottom w:val="0"/>
          <w:divBdr>
            <w:top w:val="none" w:sz="0" w:space="0" w:color="auto"/>
            <w:left w:val="none" w:sz="0" w:space="0" w:color="auto"/>
            <w:bottom w:val="none" w:sz="0" w:space="0" w:color="auto"/>
            <w:right w:val="none" w:sz="0" w:space="0" w:color="auto"/>
          </w:divBdr>
        </w:div>
        <w:div w:id="2051681810">
          <w:marLeft w:val="0"/>
          <w:marRight w:val="0"/>
          <w:marTop w:val="0"/>
          <w:marBottom w:val="0"/>
          <w:divBdr>
            <w:top w:val="none" w:sz="0" w:space="0" w:color="auto"/>
            <w:left w:val="none" w:sz="0" w:space="0" w:color="auto"/>
            <w:bottom w:val="none" w:sz="0" w:space="0" w:color="auto"/>
            <w:right w:val="none" w:sz="0" w:space="0" w:color="auto"/>
          </w:divBdr>
        </w:div>
        <w:div w:id="70542452">
          <w:marLeft w:val="0"/>
          <w:marRight w:val="0"/>
          <w:marTop w:val="0"/>
          <w:marBottom w:val="0"/>
          <w:divBdr>
            <w:top w:val="none" w:sz="0" w:space="0" w:color="auto"/>
            <w:left w:val="none" w:sz="0" w:space="0" w:color="auto"/>
            <w:bottom w:val="none" w:sz="0" w:space="0" w:color="auto"/>
            <w:right w:val="none" w:sz="0" w:space="0" w:color="auto"/>
          </w:divBdr>
        </w:div>
        <w:div w:id="1785996173">
          <w:marLeft w:val="0"/>
          <w:marRight w:val="0"/>
          <w:marTop w:val="0"/>
          <w:marBottom w:val="0"/>
          <w:divBdr>
            <w:top w:val="none" w:sz="0" w:space="0" w:color="auto"/>
            <w:left w:val="none" w:sz="0" w:space="0" w:color="auto"/>
            <w:bottom w:val="none" w:sz="0" w:space="0" w:color="auto"/>
            <w:right w:val="none" w:sz="0" w:space="0" w:color="auto"/>
          </w:divBdr>
        </w:div>
        <w:div w:id="2072461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2526</Words>
  <Characters>15131</Characters>
  <Application>Microsoft Office Word</Application>
  <DocSecurity>0</DocSecurity>
  <Lines>336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2022-12-12T13:31:00Z</dcterms:created>
  <dcterms:modified xsi:type="dcterms:W3CDTF">2023-01-09T14:29:00Z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d4efdfa2177d07a21bb3bd890a148dcea10342de1d4568f0b3fbd2e64c0dd21a</vt:lpwstr>
  </property>
</Properties>
</file>