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7EDA06" w14:textId="77777777" w:rsidR="007F3C8A" w:rsidRDefault="007F3C8A">
      <w:pPr>
        <w:spacing w:before="2000"/>
      </w:pPr>
    </w:p>
    <w:p w14:paraId="290B0080" w14:textId="77777777" w:rsidR="0047393D" w:rsidRDefault="0047393D">
      <w:pPr>
        <w:spacing w:after="200" w:line="360" w:lineRule="auto"/>
        <w:jc w:val="center"/>
        <w:rPr>
          <w:rFonts w:ascii="Arial" w:eastAsia="Arial" w:hAnsi="Arial" w:cs="Arial"/>
          <w:b/>
          <w:bCs/>
          <w:sz w:val="28"/>
          <w:szCs w:val="28"/>
        </w:rPr>
      </w:pPr>
    </w:p>
    <w:p w14:paraId="22A7DE10" w14:textId="77777777" w:rsidR="0047393D" w:rsidRDefault="0047393D">
      <w:pPr>
        <w:spacing w:after="200" w:line="360" w:lineRule="auto"/>
        <w:jc w:val="center"/>
        <w:rPr>
          <w:rFonts w:ascii="Arial" w:eastAsia="Arial" w:hAnsi="Arial" w:cs="Arial"/>
          <w:b/>
          <w:bCs/>
          <w:sz w:val="28"/>
          <w:szCs w:val="28"/>
        </w:rPr>
      </w:pPr>
    </w:p>
    <w:p w14:paraId="78A915C1" w14:textId="77777777" w:rsidR="0047393D" w:rsidRDefault="0047393D">
      <w:pPr>
        <w:spacing w:after="200" w:line="360" w:lineRule="auto"/>
        <w:jc w:val="center"/>
        <w:rPr>
          <w:rFonts w:ascii="Arial" w:eastAsia="Arial" w:hAnsi="Arial" w:cs="Arial"/>
          <w:b/>
          <w:bCs/>
          <w:sz w:val="28"/>
          <w:szCs w:val="28"/>
        </w:rPr>
      </w:pPr>
    </w:p>
    <w:p w14:paraId="6A991C78" w14:textId="77777777" w:rsidR="0047393D" w:rsidRDefault="0047393D">
      <w:pPr>
        <w:spacing w:after="200" w:line="360" w:lineRule="auto"/>
        <w:jc w:val="center"/>
        <w:rPr>
          <w:rFonts w:ascii="Arial" w:eastAsia="Arial" w:hAnsi="Arial" w:cs="Arial"/>
          <w:b/>
          <w:bCs/>
          <w:sz w:val="28"/>
          <w:szCs w:val="28"/>
        </w:rPr>
      </w:pPr>
    </w:p>
    <w:p w14:paraId="327EC9C9" w14:textId="09B4727F" w:rsidR="007F3C8A" w:rsidRPr="0047393D" w:rsidRDefault="00D944EA">
      <w:pPr>
        <w:spacing w:after="200" w:line="360" w:lineRule="auto"/>
        <w:jc w:val="center"/>
        <w:rPr>
          <w:sz w:val="40"/>
        </w:rPr>
      </w:pPr>
      <w:r w:rsidRPr="0047393D">
        <w:rPr>
          <w:rFonts w:ascii="Arial" w:eastAsia="Arial" w:hAnsi="Arial" w:cs="Arial"/>
          <w:b/>
          <w:bCs/>
          <w:sz w:val="48"/>
          <w:szCs w:val="28"/>
        </w:rPr>
        <w:t>KAUSAR PARVEEN SULTAN</w:t>
      </w:r>
    </w:p>
    <w:p w14:paraId="450FE0F0" w14:textId="2B1FB3FD" w:rsidR="007F3C8A" w:rsidRPr="0047393D" w:rsidRDefault="00B2381F">
      <w:pPr>
        <w:spacing w:after="200" w:line="360" w:lineRule="auto"/>
        <w:jc w:val="center"/>
        <w:rPr>
          <w:sz w:val="30"/>
        </w:rPr>
      </w:pPr>
      <w:r w:rsidRPr="0047393D">
        <w:rPr>
          <w:rFonts w:ascii="Arial" w:eastAsia="Arial" w:hAnsi="Arial" w:cs="Arial"/>
          <w:sz w:val="32"/>
          <w:szCs w:val="22"/>
        </w:rPr>
        <w:t>Student</w:t>
      </w:r>
      <w:r w:rsidR="00D944EA" w:rsidRPr="0047393D">
        <w:rPr>
          <w:rFonts w:ascii="Arial" w:eastAsia="Arial" w:hAnsi="Arial" w:cs="Arial"/>
          <w:sz w:val="32"/>
          <w:szCs w:val="22"/>
        </w:rPr>
        <w:t xml:space="preserve"> Number: 2513140</w:t>
      </w:r>
    </w:p>
    <w:p w14:paraId="0D352484" w14:textId="0D30078A" w:rsidR="007F3C8A" w:rsidRPr="0047393D" w:rsidRDefault="00B2381F">
      <w:pPr>
        <w:spacing w:after="200" w:line="360" w:lineRule="auto"/>
        <w:jc w:val="center"/>
        <w:rPr>
          <w:sz w:val="30"/>
        </w:rPr>
      </w:pPr>
      <w:r w:rsidRPr="0047393D">
        <w:rPr>
          <w:rFonts w:ascii="Arial" w:eastAsia="Arial" w:hAnsi="Arial" w:cs="Arial"/>
          <w:sz w:val="32"/>
          <w:szCs w:val="22"/>
        </w:rPr>
        <w:t xml:space="preserve">Module Code and Title: </w:t>
      </w:r>
      <w:r w:rsidR="00D944EA" w:rsidRPr="0047393D">
        <w:rPr>
          <w:rFonts w:ascii="Arial" w:eastAsia="Arial" w:hAnsi="Arial" w:cs="Arial"/>
          <w:sz w:val="32"/>
          <w:szCs w:val="22"/>
        </w:rPr>
        <w:t>Psychology in Health and Social care (LCHS4010)</w:t>
      </w:r>
    </w:p>
    <w:p w14:paraId="4AC6A0D0" w14:textId="7AC7A709" w:rsidR="007F3C8A" w:rsidRPr="0047393D" w:rsidRDefault="00D944EA">
      <w:pPr>
        <w:spacing w:after="200" w:line="360" w:lineRule="auto"/>
        <w:jc w:val="center"/>
        <w:rPr>
          <w:sz w:val="30"/>
        </w:rPr>
      </w:pPr>
      <w:r w:rsidRPr="0047393D">
        <w:rPr>
          <w:rFonts w:ascii="Arial" w:eastAsia="Arial" w:hAnsi="Arial" w:cs="Arial"/>
          <w:sz w:val="32"/>
          <w:szCs w:val="22"/>
        </w:rPr>
        <w:t xml:space="preserve">Lecturer: Brian </w:t>
      </w:r>
      <w:proofErr w:type="spellStart"/>
      <w:r w:rsidRPr="0047393D">
        <w:rPr>
          <w:rFonts w:ascii="Arial" w:eastAsia="Arial" w:hAnsi="Arial" w:cs="Arial"/>
          <w:sz w:val="32"/>
          <w:szCs w:val="22"/>
        </w:rPr>
        <w:t>Mashumba</w:t>
      </w:r>
      <w:proofErr w:type="spellEnd"/>
    </w:p>
    <w:p w14:paraId="411422A1" w14:textId="77777777" w:rsidR="007F3C8A" w:rsidRDefault="007F3C8A">
      <w:pPr>
        <w:spacing w:before="400" w:after="400"/>
      </w:pPr>
    </w:p>
    <w:p w14:paraId="12F87EFE" w14:textId="77777777" w:rsidR="0047393D" w:rsidRDefault="0047393D">
      <w:pPr>
        <w:spacing w:after="200" w:line="360" w:lineRule="auto"/>
        <w:jc w:val="center"/>
        <w:rPr>
          <w:rFonts w:ascii="Arial" w:eastAsia="Arial" w:hAnsi="Arial" w:cs="Arial"/>
          <w:b/>
          <w:bCs/>
          <w:sz w:val="26"/>
          <w:szCs w:val="26"/>
        </w:rPr>
      </w:pPr>
    </w:p>
    <w:p w14:paraId="632BAB38" w14:textId="77777777" w:rsidR="0047393D" w:rsidRDefault="0047393D">
      <w:pPr>
        <w:spacing w:after="200" w:line="360" w:lineRule="auto"/>
        <w:jc w:val="center"/>
        <w:rPr>
          <w:rFonts w:ascii="Arial" w:eastAsia="Arial" w:hAnsi="Arial" w:cs="Arial"/>
          <w:b/>
          <w:bCs/>
          <w:sz w:val="26"/>
          <w:szCs w:val="26"/>
        </w:rPr>
      </w:pPr>
    </w:p>
    <w:p w14:paraId="4C8F9751" w14:textId="77777777" w:rsidR="0047393D" w:rsidRDefault="0047393D">
      <w:pPr>
        <w:spacing w:after="200" w:line="360" w:lineRule="auto"/>
        <w:jc w:val="center"/>
        <w:rPr>
          <w:rFonts w:ascii="Arial" w:eastAsia="Arial" w:hAnsi="Arial" w:cs="Arial"/>
          <w:b/>
          <w:bCs/>
          <w:sz w:val="26"/>
          <w:szCs w:val="26"/>
        </w:rPr>
      </w:pPr>
    </w:p>
    <w:p w14:paraId="73613E4F" w14:textId="77777777" w:rsidR="0047393D" w:rsidRDefault="0047393D">
      <w:pPr>
        <w:spacing w:after="200" w:line="360" w:lineRule="auto"/>
        <w:jc w:val="center"/>
        <w:rPr>
          <w:rFonts w:ascii="Arial" w:eastAsia="Arial" w:hAnsi="Arial" w:cs="Arial"/>
          <w:b/>
          <w:bCs/>
          <w:sz w:val="26"/>
          <w:szCs w:val="26"/>
        </w:rPr>
      </w:pPr>
    </w:p>
    <w:p w14:paraId="453E9114" w14:textId="77777777" w:rsidR="0047393D" w:rsidRDefault="0047393D">
      <w:pPr>
        <w:spacing w:after="200" w:line="360" w:lineRule="auto"/>
        <w:jc w:val="center"/>
        <w:rPr>
          <w:rFonts w:ascii="Arial" w:eastAsia="Arial" w:hAnsi="Arial" w:cs="Arial"/>
          <w:b/>
          <w:bCs/>
          <w:sz w:val="26"/>
          <w:szCs w:val="26"/>
        </w:rPr>
      </w:pPr>
    </w:p>
    <w:p w14:paraId="08A88650" w14:textId="77777777" w:rsidR="0047393D" w:rsidRDefault="0047393D">
      <w:pPr>
        <w:spacing w:after="200" w:line="360" w:lineRule="auto"/>
        <w:jc w:val="center"/>
        <w:rPr>
          <w:rFonts w:ascii="Arial" w:eastAsia="Arial" w:hAnsi="Arial" w:cs="Arial"/>
          <w:b/>
          <w:bCs/>
          <w:sz w:val="26"/>
          <w:szCs w:val="26"/>
        </w:rPr>
      </w:pPr>
    </w:p>
    <w:p w14:paraId="11AD4204" w14:textId="77777777" w:rsidR="0047393D" w:rsidRDefault="0047393D" w:rsidP="0047393D">
      <w:pPr>
        <w:spacing w:after="200" w:line="360" w:lineRule="auto"/>
        <w:rPr>
          <w:rFonts w:ascii="Arial" w:eastAsia="Arial" w:hAnsi="Arial" w:cs="Arial"/>
          <w:b/>
          <w:bCs/>
          <w:sz w:val="26"/>
          <w:szCs w:val="26"/>
        </w:rPr>
      </w:pPr>
    </w:p>
    <w:p w14:paraId="3C8156E0" w14:textId="082F17B5" w:rsidR="007F3C8A" w:rsidRDefault="00B2381F" w:rsidP="0047393D">
      <w:pPr>
        <w:spacing w:after="200" w:line="360" w:lineRule="auto"/>
      </w:pPr>
      <w:bookmarkStart w:id="0" w:name="_GoBack"/>
      <w:bookmarkEnd w:id="0"/>
      <w:r>
        <w:rPr>
          <w:rFonts w:ascii="Arial" w:eastAsia="Arial" w:hAnsi="Arial" w:cs="Arial"/>
          <w:b/>
          <w:bCs/>
          <w:sz w:val="26"/>
          <w:szCs w:val="26"/>
        </w:rPr>
        <w:lastRenderedPageBreak/>
        <w:t>Discuss the impact of social media on mental health in adolescence</w:t>
      </w:r>
    </w:p>
    <w:p w14:paraId="48EEA7CA" w14:textId="77F75FC9" w:rsidR="007F3C8A" w:rsidRDefault="007F3C8A"/>
    <w:p w14:paraId="3F84D2C0" w14:textId="42DBB5E2" w:rsidR="00D87C07" w:rsidRPr="00D87C07" w:rsidRDefault="00655CD0" w:rsidP="00D87C07">
      <w:pPr>
        <w:spacing w:after="240" w:line="360" w:lineRule="auto"/>
        <w:jc w:val="both"/>
        <w:rPr>
          <w:rFonts w:ascii="Arial" w:eastAsia="Arial" w:hAnsi="Arial" w:cs="Arial"/>
          <w:sz w:val="22"/>
          <w:szCs w:val="22"/>
        </w:rPr>
      </w:pPr>
      <w:r w:rsidRPr="00655CD0">
        <w:rPr>
          <w:rFonts w:ascii="Arial" w:eastAsia="Arial" w:hAnsi="Arial" w:cs="Arial"/>
          <w:sz w:val="22"/>
          <w:szCs w:val="22"/>
        </w:rPr>
        <w:t xml:space="preserve">Most teenagers use social media daily, checking their phones dozens of times a day. According to recent survey data, the majority of teens in the US use at least one platform, and many of them say that they are online almost all the time (Faverio and Sidoti, 2024). This raises an important question: is social media detrimental to adolescent mental health? The studies on this subject are growing rapidly, yet the image is not that simple, with certain studies demonstrating the existence of definite dangers and others indicating potential advantages. According to the Office of the Surgeon General (2023), teenagers who spend over three hours daily on social media are at a </w:t>
      </w:r>
      <w:r w:rsidR="0047393D" w:rsidRPr="00655CD0">
        <w:rPr>
          <w:rFonts w:ascii="Arial" w:eastAsia="Arial" w:hAnsi="Arial" w:cs="Arial"/>
          <w:sz w:val="22"/>
          <w:szCs w:val="22"/>
        </w:rPr>
        <w:t>comparatively</w:t>
      </w:r>
      <w:r w:rsidRPr="00655CD0">
        <w:rPr>
          <w:rFonts w:ascii="Arial" w:eastAsia="Arial" w:hAnsi="Arial" w:cs="Arial"/>
          <w:sz w:val="22"/>
          <w:szCs w:val="22"/>
        </w:rPr>
        <w:t xml:space="preserve"> higher risk of depression and anxiety than less frequent users. The impressive number indicates why the problem should be given serious consideration. The essay is a critical analysis of how social media affects adolescent mental health, which applies and assesses two theories to explain why this life stage is so vulnerable to the effects of social media: Erikson theory of psychosocial development and Bowlby theory of attachment. A comparison of these theories aids in understanding why social media influences wellbeing so intensely in adolescence and why some </w:t>
      </w:r>
      <w:r w:rsidR="004C450D" w:rsidRPr="00655CD0">
        <w:rPr>
          <w:rFonts w:ascii="Arial" w:eastAsia="Arial" w:hAnsi="Arial" w:cs="Arial"/>
          <w:sz w:val="22"/>
          <w:szCs w:val="22"/>
        </w:rPr>
        <w:t>youths</w:t>
      </w:r>
      <w:r w:rsidRPr="00655CD0">
        <w:rPr>
          <w:rFonts w:ascii="Arial" w:eastAsia="Arial" w:hAnsi="Arial" w:cs="Arial"/>
          <w:sz w:val="22"/>
          <w:szCs w:val="22"/>
        </w:rPr>
        <w:t xml:space="preserve"> are more susceptible to its impact than others.</w:t>
      </w:r>
    </w:p>
    <w:p w14:paraId="5FB7DAA6" w14:textId="4C2DA09B" w:rsidR="00DA0CB6" w:rsidRPr="00DA0CB6" w:rsidRDefault="00D87C07" w:rsidP="00DA0CB6">
      <w:pPr>
        <w:spacing w:after="240" w:line="360" w:lineRule="auto"/>
        <w:jc w:val="both"/>
        <w:rPr>
          <w:rFonts w:ascii="Arial" w:eastAsia="Arial" w:hAnsi="Arial" w:cs="Arial"/>
          <w:bCs/>
          <w:sz w:val="22"/>
          <w:szCs w:val="22"/>
        </w:rPr>
      </w:pPr>
      <w:r>
        <w:rPr>
          <w:rFonts w:ascii="Arial" w:eastAsia="Arial" w:hAnsi="Arial" w:cs="Arial"/>
          <w:sz w:val="22"/>
          <w:szCs w:val="22"/>
        </w:rPr>
        <w:t xml:space="preserve">Adolescence is a period of rapid change, as teenagers work out who they are, what they believe, and where they fit in. Erikson (1968) called this stage identity versus role confusion, arguing that the central task of adolescence is to build a stable, coherent sense of self; without this, a young person may feel confused about their role, values and future. Social media plays directly into this stage. Instagram, TikTok and Snapchat let teenagers experiment with identities in public, posting and receiving instant feedback through likes and comments. This can be empowering, letting teens explore themselves in a lower-risk space than face-to-face life (Agyapong-Opoku, </w:t>
      </w:r>
      <w:r w:rsidR="00DA0CB6">
        <w:rPr>
          <w:rFonts w:ascii="Arial" w:eastAsia="Arial" w:hAnsi="Arial" w:cs="Arial"/>
          <w:sz w:val="22"/>
          <w:szCs w:val="22"/>
        </w:rPr>
        <w:t>et. al</w:t>
      </w:r>
      <w:r>
        <w:rPr>
          <w:rFonts w:ascii="Arial" w:eastAsia="Arial" w:hAnsi="Arial" w:cs="Arial"/>
          <w:sz w:val="22"/>
          <w:szCs w:val="22"/>
        </w:rPr>
        <w:t xml:space="preserve"> 2025). When that image receives little praise, or attracts negative comments, self-esteem can suffer quickly, and constant comparison with peers and influencers can complicate rather than simplify identity formation. A teenager may feel they are not being their true self because daily life does not match their online image, directly reflecting Erikson's concept of role confusion. Without support from family or trusted adults, teenagers can develop a fragmented identity, closely linked to adverse mental health outcomes such as anxiety and low mood in the broader literature (Valkenburg, </w:t>
      </w:r>
      <w:r w:rsidR="00DA0CB6">
        <w:rPr>
          <w:rFonts w:ascii="Arial" w:eastAsia="Arial" w:hAnsi="Arial" w:cs="Arial"/>
          <w:sz w:val="22"/>
          <w:szCs w:val="22"/>
        </w:rPr>
        <w:t>et.al</w:t>
      </w:r>
      <w:r>
        <w:rPr>
          <w:rFonts w:ascii="Arial" w:eastAsia="Arial" w:hAnsi="Arial" w:cs="Arial"/>
          <w:sz w:val="22"/>
          <w:szCs w:val="22"/>
        </w:rPr>
        <w:t xml:space="preserve"> 2022).</w:t>
      </w:r>
      <w:r>
        <w:rPr>
          <w:rFonts w:ascii="Arial" w:eastAsia="Arial" w:hAnsi="Arial" w:cs="Arial"/>
          <w:b/>
          <w:sz w:val="22"/>
          <w:szCs w:val="22"/>
        </w:rPr>
        <w:t xml:space="preserve"> </w:t>
      </w:r>
    </w:p>
    <w:p w14:paraId="450C420F" w14:textId="2B4C0732" w:rsidR="00D87C07" w:rsidRPr="00D87C07" w:rsidRDefault="00DA0CB6" w:rsidP="00DA0CB6">
      <w:pPr>
        <w:spacing w:after="240" w:line="360" w:lineRule="auto"/>
        <w:jc w:val="both"/>
        <w:rPr>
          <w:rFonts w:ascii="Arial" w:eastAsia="Arial" w:hAnsi="Arial" w:cs="Arial"/>
          <w:sz w:val="22"/>
          <w:szCs w:val="22"/>
        </w:rPr>
      </w:pPr>
      <w:r w:rsidRPr="00DA0CB6">
        <w:rPr>
          <w:rFonts w:ascii="Arial" w:eastAsia="Arial" w:hAnsi="Arial" w:cs="Arial"/>
          <w:bCs/>
          <w:sz w:val="22"/>
          <w:szCs w:val="22"/>
        </w:rPr>
        <w:t xml:space="preserve">An obvious instance of such identity pressure is comparison of appearance. Papageorgiou, Fisher and Cross (2022) interviewed adolescent girls regarding their experiences with social media and body image and discovered that many of them did not feel that they were as attractive as the heavily edited, curated images that they saw online, which hurt both their </w:t>
      </w:r>
      <w:r w:rsidRPr="00DA0CB6">
        <w:rPr>
          <w:rFonts w:ascii="Arial" w:eastAsia="Arial" w:hAnsi="Arial" w:cs="Arial"/>
          <w:bCs/>
          <w:sz w:val="22"/>
          <w:szCs w:val="22"/>
        </w:rPr>
        <w:lastRenderedPageBreak/>
        <w:t>body confidence and because of this, their overall self-worth in some cases. This is in keeping with the theory of Erikson: As adolescents compare their actual self with an idealized self that they see in a picture on the Internet, they will feel a greater discrepancy between themselves and what they believe they should be, a part of what Erikson called role confusion. Theories of Erikson and Bowlby are complementary rather than competing, as Erikson's theory relates more directly to body image concerns, and appearance comparison is a process of identity for the adolescent, while Bowlby's theory provides a better explanation for why they compulsively seek validation through these comparisons in the first place.</w:t>
      </w:r>
    </w:p>
    <w:p w14:paraId="53A08130" w14:textId="75ABE3AB" w:rsidR="00655CD0" w:rsidRPr="00655CD0" w:rsidRDefault="00655CD0" w:rsidP="00655CD0">
      <w:pPr>
        <w:spacing w:after="240" w:line="360" w:lineRule="auto"/>
        <w:jc w:val="both"/>
        <w:rPr>
          <w:rFonts w:ascii="Arial" w:eastAsia="Arial" w:hAnsi="Arial" w:cs="Arial"/>
          <w:sz w:val="22"/>
          <w:szCs w:val="22"/>
        </w:rPr>
      </w:pPr>
      <w:r w:rsidRPr="00655CD0">
        <w:rPr>
          <w:rFonts w:ascii="Arial" w:eastAsia="Arial" w:hAnsi="Arial" w:cs="Arial"/>
          <w:sz w:val="22"/>
          <w:szCs w:val="22"/>
        </w:rPr>
        <w:t xml:space="preserve">The attachment theory as presented by Bowlby provides a different perspective. According to Bowlby (1969), the early relationships between the child and the caregiver determine the way the individual will relate with others throughout life in that they develop an internal working model that determines how they pursue closeness, deal with separation and meet emotional needs in future relationships. Teenagers that are attached safely tend to be secure and comfortable in their relationships and those that are insecure, anxious or avoidant tend to be less secure and more sensitive to rejection. These attachment styles are manifested and reinforced </w:t>
      </w:r>
      <w:r w:rsidR="004C450D" w:rsidRPr="00655CD0">
        <w:rPr>
          <w:rFonts w:ascii="Arial" w:eastAsia="Arial" w:hAnsi="Arial" w:cs="Arial"/>
          <w:sz w:val="22"/>
          <w:szCs w:val="22"/>
        </w:rPr>
        <w:t>using</w:t>
      </w:r>
      <w:r w:rsidRPr="00655CD0">
        <w:rPr>
          <w:rFonts w:ascii="Arial" w:eastAsia="Arial" w:hAnsi="Arial" w:cs="Arial"/>
          <w:sz w:val="22"/>
          <w:szCs w:val="22"/>
        </w:rPr>
        <w:t xml:space="preserve"> social media. Zeng and Huang (2026) established that both attachment anxiety and attachment avoidance had a positive correlation with problematic use of social media in the youth. Very nervous adolescents can be glued to social media, getting the feeling that likes and comments are reassuring them, this habit can become compulsive, but it hardly fills the need to connect with others. Instead, avoidant persons can turn to social media as a means to avoid physical interaction, which ironically only makes them feel lonely. The theory by Bowlby can therefore be used to explain why certain teenagers are much more susceptible to the adverse effects of social media than others, </w:t>
      </w:r>
      <w:r w:rsidR="00223D2E" w:rsidRPr="00655CD0">
        <w:rPr>
          <w:rFonts w:ascii="Arial" w:eastAsia="Arial" w:hAnsi="Arial" w:cs="Arial"/>
          <w:sz w:val="22"/>
          <w:szCs w:val="22"/>
        </w:rPr>
        <w:t>even though</w:t>
      </w:r>
      <w:r w:rsidRPr="00655CD0">
        <w:rPr>
          <w:rFonts w:ascii="Arial" w:eastAsia="Arial" w:hAnsi="Arial" w:cs="Arial"/>
          <w:sz w:val="22"/>
          <w:szCs w:val="22"/>
        </w:rPr>
        <w:t xml:space="preserve"> their use may appear to be the same at first glance. </w:t>
      </w:r>
    </w:p>
    <w:p w14:paraId="4F88DFF5" w14:textId="0E6FD9F7" w:rsidR="00655CD0" w:rsidRPr="00655CD0" w:rsidRDefault="00655CD0" w:rsidP="00655CD0">
      <w:pPr>
        <w:spacing w:after="240" w:line="360" w:lineRule="auto"/>
        <w:jc w:val="both"/>
        <w:rPr>
          <w:rFonts w:ascii="Arial" w:eastAsia="Arial" w:hAnsi="Arial" w:cs="Arial"/>
          <w:sz w:val="22"/>
          <w:szCs w:val="22"/>
        </w:rPr>
      </w:pPr>
      <w:r w:rsidRPr="00655CD0">
        <w:rPr>
          <w:rFonts w:ascii="Arial" w:eastAsia="Arial" w:hAnsi="Arial" w:cs="Arial"/>
          <w:sz w:val="22"/>
          <w:szCs w:val="22"/>
        </w:rPr>
        <w:t xml:space="preserve">Social media has both direct and indirect mental health effects; cyberbullying, broken sleep and unceasing social comparison are only some of the direct threats. Cyberbullying is widespread and very disturbing, as compared to traditional bullying, cyberbullying can follow a youth anywhere even to his bedroom. A cohort study of one-year of US early adolescents revealed that victimisation by cyberbullying was associated with depressive symptoms, somatic symptoms and suicidal behaviours at follow-up, even after controlling other factors, indicating a long-term but not a short-term effect (Nagata et al., 2025). It also impacts sleep: scrolling at the end of the day postpones sleep and decreases the quality of sleep. Recent scoping review of reviews identified a small, yet consistent negative association between social media use and sleep quality in adolescents and young adults, with problematic use showing the strongest association with poor sleep (Ndubisi, Agyapong-Opoku and Agyapong, </w:t>
      </w:r>
      <w:r w:rsidRPr="00655CD0">
        <w:rPr>
          <w:rFonts w:ascii="Arial" w:eastAsia="Arial" w:hAnsi="Arial" w:cs="Arial"/>
          <w:sz w:val="22"/>
          <w:szCs w:val="22"/>
        </w:rPr>
        <w:lastRenderedPageBreak/>
        <w:t xml:space="preserve">2025), which in turn is associated with depression and anxiety. This is consistent with Nagata et al. (2025) above, as both articles indicate that problematic or compulsive use, and not time online on its own, is the more predictive of harm. The youth also </w:t>
      </w:r>
      <w:r w:rsidR="00223D2E" w:rsidRPr="00655CD0">
        <w:rPr>
          <w:rFonts w:ascii="Arial" w:eastAsia="Arial" w:hAnsi="Arial" w:cs="Arial"/>
          <w:sz w:val="22"/>
          <w:szCs w:val="22"/>
        </w:rPr>
        <w:t>contrast</w:t>
      </w:r>
      <w:r w:rsidRPr="00655CD0">
        <w:rPr>
          <w:rFonts w:ascii="Arial" w:eastAsia="Arial" w:hAnsi="Arial" w:cs="Arial"/>
          <w:sz w:val="22"/>
          <w:szCs w:val="22"/>
        </w:rPr>
        <w:t xml:space="preserve"> their lives with those of peers and influencers who make posts that are filtered and edited, and this aspect may decrease self-esteem and increase body image issues, particularly in girls (Office of the Surgeon General, 2023). All these risks form a real vulnerability, especially to individuals who are already emotionally or socially vulnerable. Such behavioural patterns are supported biologically: the adolescent brain is particularly sensitive to the dopamine-based reward systems, and intermittent reinforcement of likes and notifications is especially attractive at this stage of development. </w:t>
      </w:r>
    </w:p>
    <w:p w14:paraId="5104ABD2" w14:textId="77777777" w:rsidR="00655CD0" w:rsidRPr="00655CD0" w:rsidRDefault="00655CD0" w:rsidP="00655CD0">
      <w:pPr>
        <w:spacing w:after="240" w:line="360" w:lineRule="auto"/>
        <w:jc w:val="both"/>
        <w:rPr>
          <w:rFonts w:ascii="Arial" w:eastAsia="Arial" w:hAnsi="Arial" w:cs="Arial"/>
          <w:sz w:val="22"/>
          <w:szCs w:val="22"/>
        </w:rPr>
      </w:pPr>
      <w:r w:rsidRPr="00655CD0">
        <w:rPr>
          <w:rFonts w:ascii="Arial" w:eastAsia="Arial" w:hAnsi="Arial" w:cs="Arial"/>
          <w:sz w:val="22"/>
          <w:szCs w:val="22"/>
        </w:rPr>
        <w:t>Nevertheless, social media is not completely bad, teenagers also use it to find supportive groups that are not to be found in the real world. Schools are also a factor: teaching digital literacy in the curriculum can make teenagers aware of curated content as such, which coupled with positive relationships in school and home can alleviate the pressure to compare. LGBTQ+ adolescents without safe spaces in their localities can seek social support and understanding online; a cross-sectional study of LGBT youth discovered that online social support was associated with diminished mental health and substance use risk, indicating that online communities can serve as a true protective factor (Tao and Fisher, 2023). Young people who have good family support and safe attachment use social media in a healthier manner, to enhance existing friendships instead of substituting real relationships. Parental mediation is also important: studies indicate that parental mediation and social media use, which is facilitated and discussed by the parents and does not involve restricting it, are associated with improved digital literacy and safer use in general (Wang and Chen, 2022). The net effect is therefore a product of the individual, his or her attachment style, the use of these platforms, and the support they get, which is too simplistic to make blanket statements that social media is always bad (Agyapong-Opoku, Agyapong-Opoku and Greenshaw, 2025). The results cannot be generalized: other studies have reported weak associations between screen time and mental health, that is, content and context are more significant than screen time. These results suggest that Erikson theory can be utilized by school counsellors and social workers in identity building and mentoring programmes, Bowlby theory in attachment-based intervention in families and that teachers may extend this to the classroom with digital literacy and community-based services may be continued outside of family. Both the attachment-based family therapy and structured mentoring provide avenues to directly impact the insecure working models that Bowlby described since caregivers become a more regular source of security, and adolescents can explore their identity in a low-risk environment, offline, and tackle the fundamental developmental task that Erikson outlines.</w:t>
      </w:r>
    </w:p>
    <w:p w14:paraId="575E8295" w14:textId="3B406DC2" w:rsidR="007F3C8A" w:rsidRDefault="00655CD0" w:rsidP="00655CD0">
      <w:pPr>
        <w:spacing w:after="240" w:line="360" w:lineRule="auto"/>
        <w:jc w:val="both"/>
      </w:pPr>
      <w:r w:rsidRPr="00655CD0">
        <w:rPr>
          <w:rFonts w:ascii="Arial" w:eastAsia="Arial" w:hAnsi="Arial" w:cs="Arial"/>
          <w:sz w:val="22"/>
          <w:szCs w:val="22"/>
        </w:rPr>
        <w:lastRenderedPageBreak/>
        <w:t>To sum up, social media has a significant and multifaceted effect on the mental health of adolescents. The theory by Erikson describes the reasons why the identity search during adolescence is so powerful and dangerous in the online realm and how the comparative aspect of appearance helps to create the distance between the online and offline identity of a teenager. Bowlby's attachment theory also gives some insight into the vulnerability of some adolescents as it is closely linked to unhealthy social media use, which is associated with insecure attachment. It is even more plausible to expect that risks of cyberbullying, poor sleep and constant comparison, when compounded with these theories, make the picture even more bleak as can be observed in large-scale recent studies. However, not all is bad about social media: it offers some teens connection and support, which they do not have in other aspects of their lives. Parents, schools and platform designers, active and open parental engagement appear to have their roles, and it appears that this is especially significant. Among the two, the theory proposed by Bowlby is more practical in identifying at-risk people whereas Erikson is more applicable to the social media as the identity exploration is part and parcel of the nature of social media. The two theories have not extensively studied the influence of the design of the algorithm on adolescent identity and attachment and future studies are to investigate this.</w:t>
      </w:r>
    </w:p>
    <w:p w14:paraId="5FC46139" w14:textId="77777777" w:rsidR="007F3C8A" w:rsidRDefault="00B2381F">
      <w:r>
        <w:br w:type="page"/>
      </w:r>
    </w:p>
    <w:p w14:paraId="0BD2B269" w14:textId="4E89FD05" w:rsidR="007F3C8A" w:rsidRDefault="00B2381F">
      <w:pPr>
        <w:spacing w:after="240"/>
      </w:pPr>
      <w:r>
        <w:rPr>
          <w:rFonts w:ascii="Arial" w:eastAsia="Arial" w:hAnsi="Arial" w:cs="Arial"/>
          <w:b/>
          <w:bCs/>
          <w:sz w:val="22"/>
          <w:szCs w:val="22"/>
        </w:rPr>
        <w:lastRenderedPageBreak/>
        <w:t>References</w:t>
      </w:r>
    </w:p>
    <w:p w14:paraId="6DA81908" w14:textId="2BD0DC4C"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Agyapong-Opoku, N., Agyapong-Opoku, F. and Greenshaw, A.J. (2025) ‘Effects of social media use on youth and adolescent mental health: A scoping review of reviews’, </w:t>
      </w:r>
      <w:r w:rsidR="00520076">
        <w:rPr>
          <w:rFonts w:ascii="Arial" w:eastAsia="Arial" w:hAnsi="Arial" w:cs="Arial"/>
          <w:i/>
          <w:iCs/>
          <w:sz w:val="22"/>
          <w:szCs w:val="22"/>
        </w:rPr>
        <w:t>Behavioural</w:t>
      </w:r>
      <w:r>
        <w:rPr>
          <w:rFonts w:ascii="Arial" w:eastAsia="Arial" w:hAnsi="Arial" w:cs="Arial"/>
          <w:i/>
          <w:iCs/>
          <w:sz w:val="22"/>
          <w:szCs w:val="22"/>
        </w:rPr>
        <w:t xml:space="preserve"> Sciences</w:t>
      </w:r>
      <w:r>
        <w:rPr>
          <w:rFonts w:ascii="Arial" w:eastAsia="Arial" w:hAnsi="Arial" w:cs="Arial"/>
          <w:sz w:val="22"/>
          <w:szCs w:val="22"/>
        </w:rPr>
        <w:t xml:space="preserve">, 15(5), p. 574. Available at: </w:t>
      </w:r>
      <w:hyperlink r:id="rId5" w:tgtFrame="_new" w:history="1">
        <w:r>
          <w:rPr>
            <w:rStyle w:val="Hyperlink"/>
            <w:rFonts w:ascii="Arial" w:eastAsia="Arial" w:hAnsi="Arial" w:cs="Arial"/>
            <w:sz w:val="22"/>
            <w:szCs w:val="22"/>
          </w:rPr>
          <w:t>https://doi.org/10.3390/bs15050574</w:t>
        </w:r>
      </w:hyperlink>
      <w:r>
        <w:rPr>
          <w:rFonts w:ascii="Arial" w:eastAsia="Arial" w:hAnsi="Arial" w:cs="Arial"/>
          <w:sz w:val="22"/>
          <w:szCs w:val="22"/>
        </w:rPr>
        <w:t xml:space="preserve"> (Accessed: 3 August 2026).</w:t>
      </w:r>
    </w:p>
    <w:p w14:paraId="64D548EE"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Bowlby, J. (1969) </w:t>
      </w:r>
      <w:r>
        <w:rPr>
          <w:rFonts w:ascii="Arial" w:eastAsia="Arial" w:hAnsi="Arial" w:cs="Arial"/>
          <w:i/>
          <w:iCs/>
          <w:sz w:val="22"/>
          <w:szCs w:val="22"/>
        </w:rPr>
        <w:t>Attachment and loss. Volume 1: Attachment</w:t>
      </w:r>
      <w:r>
        <w:rPr>
          <w:rFonts w:ascii="Arial" w:eastAsia="Arial" w:hAnsi="Arial" w:cs="Arial"/>
          <w:sz w:val="22"/>
          <w:szCs w:val="22"/>
        </w:rPr>
        <w:t>. London: Hogarth Press.</w:t>
      </w:r>
    </w:p>
    <w:p w14:paraId="655BCA92"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Erikson, E.H. (1968) </w:t>
      </w:r>
      <w:r>
        <w:rPr>
          <w:rFonts w:ascii="Arial" w:eastAsia="Arial" w:hAnsi="Arial" w:cs="Arial"/>
          <w:i/>
          <w:iCs/>
          <w:sz w:val="22"/>
          <w:szCs w:val="22"/>
        </w:rPr>
        <w:t>Identity: Youth and crisis</w:t>
      </w:r>
      <w:r>
        <w:rPr>
          <w:rFonts w:ascii="Arial" w:eastAsia="Arial" w:hAnsi="Arial" w:cs="Arial"/>
          <w:sz w:val="22"/>
          <w:szCs w:val="22"/>
        </w:rPr>
        <w:t>. New York: W.W. Norton &amp; Company.</w:t>
      </w:r>
    </w:p>
    <w:p w14:paraId="0D772366" w14:textId="47E4A3A6"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Faverio, M. and Sidoti, O. (2024) </w:t>
      </w:r>
      <w:r>
        <w:rPr>
          <w:rFonts w:ascii="Arial" w:eastAsia="Arial" w:hAnsi="Arial" w:cs="Arial"/>
          <w:i/>
          <w:iCs/>
          <w:sz w:val="22"/>
          <w:szCs w:val="22"/>
        </w:rPr>
        <w:t>Teens, social media and technology 2024</w:t>
      </w:r>
      <w:r>
        <w:rPr>
          <w:rFonts w:ascii="Arial" w:eastAsia="Arial" w:hAnsi="Arial" w:cs="Arial"/>
          <w:sz w:val="22"/>
          <w:szCs w:val="22"/>
        </w:rPr>
        <w:t xml:space="preserve">. Washington, DC: Pew Research </w:t>
      </w:r>
      <w:r w:rsidR="00520076">
        <w:rPr>
          <w:rFonts w:ascii="Arial" w:eastAsia="Arial" w:hAnsi="Arial" w:cs="Arial"/>
          <w:sz w:val="22"/>
          <w:szCs w:val="22"/>
        </w:rPr>
        <w:t>Centre</w:t>
      </w:r>
      <w:r>
        <w:rPr>
          <w:rFonts w:ascii="Arial" w:eastAsia="Arial" w:hAnsi="Arial" w:cs="Arial"/>
          <w:sz w:val="22"/>
          <w:szCs w:val="22"/>
        </w:rPr>
        <w:t xml:space="preserve">. Available at: </w:t>
      </w:r>
      <w:hyperlink r:id="rId6" w:tgtFrame="_new" w:history="1">
        <w:r>
          <w:rPr>
            <w:rStyle w:val="Hyperlink"/>
            <w:rFonts w:ascii="Arial" w:eastAsia="Arial" w:hAnsi="Arial" w:cs="Arial"/>
            <w:sz w:val="22"/>
            <w:szCs w:val="22"/>
          </w:rPr>
          <w:t>https://www.pewresearch.org/internet/2024/12/12/teens-social-media-and-technology-2024/</w:t>
        </w:r>
      </w:hyperlink>
      <w:r>
        <w:rPr>
          <w:rFonts w:ascii="Arial" w:eastAsia="Arial" w:hAnsi="Arial" w:cs="Arial"/>
          <w:sz w:val="22"/>
          <w:szCs w:val="22"/>
        </w:rPr>
        <w:t xml:space="preserve"> (Accessed: 3 August 2026).</w:t>
      </w:r>
    </w:p>
    <w:p w14:paraId="2E95CA29"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Nagata, J.M., Shim, J., Balasubramanian, P., Leong, A.W., Smith-Russack, Z., Shao, I.Y., Al-Shoaibi, A.A.A., Helmer, C.K., Ganson, K.T., Testa, A., Kiss, O., He, J., Groves, A.K., Baird, S. and Baker, F.C. (2025) ‘Cyberbullying, mental health, and substance use experimentation among early adolescents: A prospective cohort study’, </w:t>
      </w:r>
      <w:r>
        <w:rPr>
          <w:rFonts w:ascii="Arial" w:eastAsia="Arial" w:hAnsi="Arial" w:cs="Arial"/>
          <w:i/>
          <w:iCs/>
          <w:sz w:val="22"/>
          <w:szCs w:val="22"/>
        </w:rPr>
        <w:t>The Lancet Regional Health – Americas</w:t>
      </w:r>
      <w:r>
        <w:rPr>
          <w:rFonts w:ascii="Arial" w:eastAsia="Arial" w:hAnsi="Arial" w:cs="Arial"/>
          <w:sz w:val="22"/>
          <w:szCs w:val="22"/>
        </w:rPr>
        <w:t xml:space="preserve">, 46, p. 101002. Available at: </w:t>
      </w:r>
      <w:hyperlink r:id="rId7" w:tgtFrame="_new" w:history="1">
        <w:r>
          <w:rPr>
            <w:rStyle w:val="Hyperlink"/>
            <w:rFonts w:ascii="Arial" w:eastAsia="Arial" w:hAnsi="Arial" w:cs="Arial"/>
            <w:sz w:val="22"/>
            <w:szCs w:val="22"/>
          </w:rPr>
          <w:t>https://doi.org/10.1016/j.lana.2025.101002</w:t>
        </w:r>
      </w:hyperlink>
      <w:r>
        <w:rPr>
          <w:rFonts w:ascii="Arial" w:eastAsia="Arial" w:hAnsi="Arial" w:cs="Arial"/>
          <w:sz w:val="22"/>
          <w:szCs w:val="22"/>
        </w:rPr>
        <w:t xml:space="preserve"> (Accessed: 3 August 2026).</w:t>
      </w:r>
    </w:p>
    <w:p w14:paraId="43795306"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Ndubisi, A., Agyapong-Opoku, F. and Agyapong, B. (2025) ‘Social media use and sleep quality in adolescents and young adults: A scoping review of reviews’, </w:t>
      </w:r>
      <w:r>
        <w:rPr>
          <w:rFonts w:ascii="Arial" w:eastAsia="Arial" w:hAnsi="Arial" w:cs="Arial"/>
          <w:i/>
          <w:iCs/>
          <w:sz w:val="22"/>
          <w:szCs w:val="22"/>
        </w:rPr>
        <w:t>Children</w:t>
      </w:r>
      <w:r>
        <w:rPr>
          <w:rFonts w:ascii="Arial" w:eastAsia="Arial" w:hAnsi="Arial" w:cs="Arial"/>
          <w:sz w:val="22"/>
          <w:szCs w:val="22"/>
        </w:rPr>
        <w:t xml:space="preserve">, 13(1), p. 51. Available at: </w:t>
      </w:r>
      <w:hyperlink r:id="rId8" w:tgtFrame="_new" w:history="1">
        <w:r>
          <w:rPr>
            <w:rStyle w:val="Hyperlink"/>
            <w:rFonts w:ascii="Arial" w:eastAsia="Arial" w:hAnsi="Arial" w:cs="Arial"/>
            <w:sz w:val="22"/>
            <w:szCs w:val="22"/>
          </w:rPr>
          <w:t>https://doi.org/10.3390/children13010051</w:t>
        </w:r>
      </w:hyperlink>
      <w:r>
        <w:rPr>
          <w:rFonts w:ascii="Arial" w:eastAsia="Arial" w:hAnsi="Arial" w:cs="Arial"/>
          <w:sz w:val="22"/>
          <w:szCs w:val="22"/>
        </w:rPr>
        <w:t xml:space="preserve"> (Accessed: 3 August 2026).</w:t>
      </w:r>
    </w:p>
    <w:p w14:paraId="2072D5A3"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Office of the U.S. Surgeon General (2023) </w:t>
      </w:r>
      <w:r>
        <w:rPr>
          <w:rFonts w:ascii="Arial" w:eastAsia="Arial" w:hAnsi="Arial" w:cs="Arial"/>
          <w:i/>
          <w:iCs/>
          <w:sz w:val="22"/>
          <w:szCs w:val="22"/>
        </w:rPr>
        <w:t>Social media and youth mental health: The U.S. Surgeon General’s advisory</w:t>
      </w:r>
      <w:r>
        <w:rPr>
          <w:rFonts w:ascii="Arial" w:eastAsia="Arial" w:hAnsi="Arial" w:cs="Arial"/>
          <w:sz w:val="22"/>
          <w:szCs w:val="22"/>
        </w:rPr>
        <w:t xml:space="preserve">. Washington, DC: U.S. Department of Health and Human Services. Available at: </w:t>
      </w:r>
      <w:hyperlink r:id="rId9" w:tgtFrame="_new" w:history="1">
        <w:r>
          <w:rPr>
            <w:rStyle w:val="Hyperlink"/>
            <w:rFonts w:ascii="Arial" w:eastAsia="Arial" w:hAnsi="Arial" w:cs="Arial"/>
            <w:sz w:val="22"/>
            <w:szCs w:val="22"/>
          </w:rPr>
          <w:t>https://www.hhs.gov/sites/default/files/sg-youth-mental-health-social-media-advisory.pdf</w:t>
        </w:r>
      </w:hyperlink>
      <w:r>
        <w:rPr>
          <w:rFonts w:ascii="Arial" w:eastAsia="Arial" w:hAnsi="Arial" w:cs="Arial"/>
          <w:sz w:val="22"/>
          <w:szCs w:val="22"/>
        </w:rPr>
        <w:t xml:space="preserve"> (Accessed: 3 August 2026).</w:t>
      </w:r>
    </w:p>
    <w:p w14:paraId="707A9A7D"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Papageorgiou, A., Fisher, C. and Cross, D. (2022) ‘“Why don’t I look like her?” How adolescent girls view social media and its connection to body image’, </w:t>
      </w:r>
      <w:r>
        <w:rPr>
          <w:rFonts w:ascii="Arial" w:eastAsia="Arial" w:hAnsi="Arial" w:cs="Arial"/>
          <w:i/>
          <w:iCs/>
          <w:sz w:val="22"/>
          <w:szCs w:val="22"/>
        </w:rPr>
        <w:t>BMC Women’s Health</w:t>
      </w:r>
      <w:r>
        <w:rPr>
          <w:rFonts w:ascii="Arial" w:eastAsia="Arial" w:hAnsi="Arial" w:cs="Arial"/>
          <w:sz w:val="22"/>
          <w:szCs w:val="22"/>
        </w:rPr>
        <w:t xml:space="preserve">, 22. Available at: </w:t>
      </w:r>
      <w:hyperlink r:id="rId10" w:tgtFrame="_new" w:history="1">
        <w:r>
          <w:rPr>
            <w:rStyle w:val="Hyperlink"/>
            <w:rFonts w:ascii="Arial" w:eastAsia="Arial" w:hAnsi="Arial" w:cs="Arial"/>
            <w:sz w:val="22"/>
            <w:szCs w:val="22"/>
          </w:rPr>
          <w:t>https://doi.org/10.1186/s12905-022-01845-4</w:t>
        </w:r>
      </w:hyperlink>
      <w:r>
        <w:rPr>
          <w:rFonts w:ascii="Arial" w:eastAsia="Arial" w:hAnsi="Arial" w:cs="Arial"/>
          <w:sz w:val="22"/>
          <w:szCs w:val="22"/>
        </w:rPr>
        <w:t xml:space="preserve"> (Accessed: 3 August 2026).</w:t>
      </w:r>
    </w:p>
    <w:p w14:paraId="2A85AA2B"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Tao, X. and Fisher, C. (2023) ‘Associations among web-based civic engagement and discrimination, web-based social support, and mental health and substance use risk among LGBT youth: Cross-sectional survey study’, </w:t>
      </w:r>
      <w:r>
        <w:rPr>
          <w:rFonts w:ascii="Arial" w:eastAsia="Arial" w:hAnsi="Arial" w:cs="Arial"/>
          <w:i/>
          <w:iCs/>
          <w:sz w:val="22"/>
          <w:szCs w:val="22"/>
        </w:rPr>
        <w:t xml:space="preserve">Journal of Medical Internet </w:t>
      </w:r>
      <w:r>
        <w:rPr>
          <w:rFonts w:ascii="Arial" w:eastAsia="Arial" w:hAnsi="Arial" w:cs="Arial"/>
          <w:i/>
          <w:iCs/>
          <w:sz w:val="22"/>
          <w:szCs w:val="22"/>
        </w:rPr>
        <w:lastRenderedPageBreak/>
        <w:t>Research</w:t>
      </w:r>
      <w:r>
        <w:rPr>
          <w:rFonts w:ascii="Arial" w:eastAsia="Arial" w:hAnsi="Arial" w:cs="Arial"/>
          <w:sz w:val="22"/>
          <w:szCs w:val="22"/>
        </w:rPr>
        <w:t xml:space="preserve">, 25, e46604. Available at: </w:t>
      </w:r>
      <w:hyperlink r:id="rId11" w:tgtFrame="_new" w:history="1">
        <w:r>
          <w:rPr>
            <w:rStyle w:val="Hyperlink"/>
            <w:rFonts w:ascii="Arial" w:eastAsia="Arial" w:hAnsi="Arial" w:cs="Arial"/>
            <w:sz w:val="22"/>
            <w:szCs w:val="22"/>
          </w:rPr>
          <w:t>https://doi.org/10.2196/46604</w:t>
        </w:r>
      </w:hyperlink>
      <w:r>
        <w:rPr>
          <w:rFonts w:ascii="Arial" w:eastAsia="Arial" w:hAnsi="Arial" w:cs="Arial"/>
          <w:sz w:val="22"/>
          <w:szCs w:val="22"/>
        </w:rPr>
        <w:t xml:space="preserve"> (Accessed: 3 August 2026).</w:t>
      </w:r>
    </w:p>
    <w:p w14:paraId="64DDF7BB"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Valkenburg, P.M., Meier, A. and Beyens, I. (2022) ‘Social media use and its impact on adolescent mental health: An umbrella review of the evidence’, </w:t>
      </w:r>
      <w:r>
        <w:rPr>
          <w:rFonts w:ascii="Arial" w:eastAsia="Arial" w:hAnsi="Arial" w:cs="Arial"/>
          <w:i/>
          <w:iCs/>
          <w:sz w:val="22"/>
          <w:szCs w:val="22"/>
        </w:rPr>
        <w:t>Current Opinion in Psychology</w:t>
      </w:r>
      <w:r>
        <w:rPr>
          <w:rFonts w:ascii="Arial" w:eastAsia="Arial" w:hAnsi="Arial" w:cs="Arial"/>
          <w:sz w:val="22"/>
          <w:szCs w:val="22"/>
        </w:rPr>
        <w:t xml:space="preserve">, 44, pp. 58–68. Available at: </w:t>
      </w:r>
      <w:hyperlink r:id="rId12" w:tgtFrame="_new" w:history="1">
        <w:r>
          <w:rPr>
            <w:rStyle w:val="Hyperlink"/>
            <w:rFonts w:ascii="Arial" w:eastAsia="Arial" w:hAnsi="Arial" w:cs="Arial"/>
            <w:sz w:val="22"/>
            <w:szCs w:val="22"/>
          </w:rPr>
          <w:t>https://doi.org/10.1016/j.copsyc.2021.08.017</w:t>
        </w:r>
      </w:hyperlink>
      <w:r>
        <w:rPr>
          <w:rFonts w:ascii="Arial" w:eastAsia="Arial" w:hAnsi="Arial" w:cs="Arial"/>
          <w:sz w:val="22"/>
          <w:szCs w:val="22"/>
        </w:rPr>
        <w:t xml:space="preserve"> (Accessed: 3 August 2026).</w:t>
      </w:r>
    </w:p>
    <w:p w14:paraId="32759F0B"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Wang, B. and Chen, J. (2022) ‘Parental intervention strategies and operating mechanism on adolescent social media use: The concept of literacy improvement based on interaction’, </w:t>
      </w:r>
      <w:r>
        <w:rPr>
          <w:rFonts w:ascii="Arial" w:eastAsia="Arial" w:hAnsi="Arial" w:cs="Arial"/>
          <w:i/>
          <w:iCs/>
          <w:sz w:val="22"/>
          <w:szCs w:val="22"/>
        </w:rPr>
        <w:t>Frontiers in Psychology</w:t>
      </w:r>
      <w:r>
        <w:rPr>
          <w:rFonts w:ascii="Arial" w:eastAsia="Arial" w:hAnsi="Arial" w:cs="Arial"/>
          <w:sz w:val="22"/>
          <w:szCs w:val="22"/>
        </w:rPr>
        <w:t xml:space="preserve">, 13, 1043850. Available at: </w:t>
      </w:r>
      <w:hyperlink r:id="rId13" w:tgtFrame="_new" w:history="1">
        <w:r>
          <w:rPr>
            <w:rStyle w:val="Hyperlink"/>
            <w:rFonts w:ascii="Arial" w:eastAsia="Arial" w:hAnsi="Arial" w:cs="Arial"/>
            <w:sz w:val="22"/>
            <w:szCs w:val="22"/>
          </w:rPr>
          <w:t>https://doi.org/10.3389/fpsyg.2022.1043850</w:t>
        </w:r>
      </w:hyperlink>
      <w:r>
        <w:rPr>
          <w:rFonts w:ascii="Arial" w:eastAsia="Arial" w:hAnsi="Arial" w:cs="Arial"/>
          <w:sz w:val="22"/>
          <w:szCs w:val="22"/>
        </w:rPr>
        <w:t xml:space="preserve"> (Accessed: 3 August 2026).</w:t>
      </w:r>
    </w:p>
    <w:p w14:paraId="6563483A"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Zeng, M. and Huang, L. (2026) ‘Insecure attachment and problematic social media use: The chain mediating role of social support and social anxiety’, </w:t>
      </w:r>
      <w:r>
        <w:rPr>
          <w:rFonts w:ascii="Arial" w:eastAsia="Arial" w:hAnsi="Arial" w:cs="Arial"/>
          <w:i/>
          <w:iCs/>
          <w:sz w:val="22"/>
          <w:szCs w:val="22"/>
        </w:rPr>
        <w:t>Frontiers in Psychology</w:t>
      </w:r>
      <w:r>
        <w:rPr>
          <w:rFonts w:ascii="Arial" w:eastAsia="Arial" w:hAnsi="Arial" w:cs="Arial"/>
          <w:sz w:val="22"/>
          <w:szCs w:val="22"/>
        </w:rPr>
        <w:t xml:space="preserve">, 17, 1764295. Available at: </w:t>
      </w:r>
      <w:hyperlink r:id="rId14" w:tgtFrame="_new" w:history="1">
        <w:r>
          <w:rPr>
            <w:rStyle w:val="Hyperlink"/>
            <w:rFonts w:ascii="Arial" w:eastAsia="Arial" w:hAnsi="Arial" w:cs="Arial"/>
            <w:sz w:val="22"/>
            <w:szCs w:val="22"/>
          </w:rPr>
          <w:t>https://doi.org/10.3389/fpsyg.2026.1764295</w:t>
        </w:r>
      </w:hyperlink>
      <w:r>
        <w:rPr>
          <w:rFonts w:ascii="Arial" w:eastAsia="Arial" w:hAnsi="Arial" w:cs="Arial"/>
          <w:sz w:val="22"/>
          <w:szCs w:val="22"/>
        </w:rPr>
        <w:t xml:space="preserve"> (Accessed: 3 August 2026).</w:t>
      </w:r>
    </w:p>
    <w:p w14:paraId="58D81FF5" w14:textId="50BC94DF" w:rsidR="007F3C8A" w:rsidRDefault="007F3C8A" w:rsidP="00DB1019">
      <w:pPr>
        <w:spacing w:after="200" w:line="360" w:lineRule="auto"/>
        <w:ind w:left="720" w:hanging="720"/>
      </w:pPr>
    </w:p>
    <w:sectPr w:rsidR="007F3C8A">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altName w:val="Arial"/>
    <w:charset w:val="00"/>
    <w:family w:val="swiss"/>
    <w:pitch w:val="variable"/>
    <w:sig w:usb0="20000287" w:usb1="00000003" w:usb2="00000000" w:usb3="00000000" w:csb0="0000019F" w:csb1="00000000"/>
  </w:font>
  <w:font w:name="Aptos">
    <w:altName w:val="Arial"/>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44787"/>
    <w:multiLevelType w:val="hybridMultilevel"/>
    <w:tmpl w:val="F17A8E3E"/>
    <w:lvl w:ilvl="0" w:tplc="6046D9B4">
      <w:start w:val="1"/>
      <w:numFmt w:val="bullet"/>
      <w:lvlText w:val="●"/>
      <w:lvlJc w:val="left"/>
      <w:pPr>
        <w:ind w:left="720" w:hanging="360"/>
      </w:pPr>
    </w:lvl>
    <w:lvl w:ilvl="1" w:tplc="6A3E670A">
      <w:start w:val="1"/>
      <w:numFmt w:val="bullet"/>
      <w:lvlText w:val="○"/>
      <w:lvlJc w:val="left"/>
      <w:pPr>
        <w:ind w:left="1440" w:hanging="360"/>
      </w:pPr>
    </w:lvl>
    <w:lvl w:ilvl="2" w:tplc="6CC678E6">
      <w:start w:val="1"/>
      <w:numFmt w:val="bullet"/>
      <w:lvlText w:val="■"/>
      <w:lvlJc w:val="left"/>
      <w:pPr>
        <w:ind w:left="2160" w:hanging="360"/>
      </w:pPr>
    </w:lvl>
    <w:lvl w:ilvl="3" w:tplc="72407558">
      <w:start w:val="1"/>
      <w:numFmt w:val="bullet"/>
      <w:lvlText w:val="●"/>
      <w:lvlJc w:val="left"/>
      <w:pPr>
        <w:ind w:left="2880" w:hanging="360"/>
      </w:pPr>
    </w:lvl>
    <w:lvl w:ilvl="4" w:tplc="3C60ABA0">
      <w:start w:val="1"/>
      <w:numFmt w:val="bullet"/>
      <w:lvlText w:val="○"/>
      <w:lvlJc w:val="left"/>
      <w:pPr>
        <w:ind w:left="3600" w:hanging="360"/>
      </w:pPr>
    </w:lvl>
    <w:lvl w:ilvl="5" w:tplc="C2BA0992">
      <w:start w:val="1"/>
      <w:numFmt w:val="bullet"/>
      <w:lvlText w:val="■"/>
      <w:lvlJc w:val="left"/>
      <w:pPr>
        <w:ind w:left="4320" w:hanging="360"/>
      </w:pPr>
    </w:lvl>
    <w:lvl w:ilvl="6" w:tplc="662E837E">
      <w:start w:val="1"/>
      <w:numFmt w:val="bullet"/>
      <w:lvlText w:val="●"/>
      <w:lvlJc w:val="left"/>
      <w:pPr>
        <w:ind w:left="5040" w:hanging="360"/>
      </w:pPr>
    </w:lvl>
    <w:lvl w:ilvl="7" w:tplc="EBC6D01E">
      <w:start w:val="1"/>
      <w:numFmt w:val="bullet"/>
      <w:lvlText w:val="●"/>
      <w:lvlJc w:val="left"/>
      <w:pPr>
        <w:ind w:left="5760" w:hanging="360"/>
      </w:pPr>
    </w:lvl>
    <w:lvl w:ilvl="8" w:tplc="9C1C64C6">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3C8A"/>
    <w:rsid w:val="0011674D"/>
    <w:rsid w:val="00222044"/>
    <w:rsid w:val="00223D2E"/>
    <w:rsid w:val="00240065"/>
    <w:rsid w:val="002D37D5"/>
    <w:rsid w:val="0047393D"/>
    <w:rsid w:val="004C450D"/>
    <w:rsid w:val="00520076"/>
    <w:rsid w:val="00655CD0"/>
    <w:rsid w:val="007F3C8A"/>
    <w:rsid w:val="00AC258C"/>
    <w:rsid w:val="00B2381F"/>
    <w:rsid w:val="00CE4723"/>
    <w:rsid w:val="00D87C07"/>
    <w:rsid w:val="00D944EA"/>
    <w:rsid w:val="00DA0CB6"/>
    <w:rsid w:val="00DB1019"/>
    <w:rsid w:val="00FF2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BC170"/>
  <w15:docId w15:val="{13BF7D30-5DBC-4435-88EB-67439752A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customStyle="1" w:styleId="UnresolvedMention">
    <w:name w:val="Unresolved Mention"/>
    <w:basedOn w:val="DefaultParagraphFont"/>
    <w:uiPriority w:val="99"/>
    <w:semiHidden/>
    <w:unhideWhenUsed/>
    <w:rsid w:val="00DB10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children13010051" TargetMode="External"/><Relationship Id="rId13" Type="http://schemas.openxmlformats.org/officeDocument/2006/relationships/hyperlink" Target="https://doi.org/10.3389/fpsyg.2022.1043850" TargetMode="External"/><Relationship Id="rId3" Type="http://schemas.openxmlformats.org/officeDocument/2006/relationships/settings" Target="settings.xml"/><Relationship Id="rId7" Type="http://schemas.openxmlformats.org/officeDocument/2006/relationships/hyperlink" Target="https://doi.org/10.1016/j.lana.2025.101002" TargetMode="External"/><Relationship Id="rId12" Type="http://schemas.openxmlformats.org/officeDocument/2006/relationships/hyperlink" Target="https://doi.org/10.1016/j.copsyc.2021.08.01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pewresearch.org/internet/2024/12/12/teens-social-media-and-technology-2024/" TargetMode="External"/><Relationship Id="rId11" Type="http://schemas.openxmlformats.org/officeDocument/2006/relationships/hyperlink" Target="https://doi.org/10.2196/46604" TargetMode="External"/><Relationship Id="rId5" Type="http://schemas.openxmlformats.org/officeDocument/2006/relationships/hyperlink" Target="https://doi.org/10.3390/bs15050574" TargetMode="External"/><Relationship Id="rId15" Type="http://schemas.openxmlformats.org/officeDocument/2006/relationships/fontTable" Target="fontTable.xml"/><Relationship Id="rId10" Type="http://schemas.openxmlformats.org/officeDocument/2006/relationships/hyperlink" Target="https://doi.org/10.1186/s12905-022-01845-4" TargetMode="External"/><Relationship Id="rId4" Type="http://schemas.openxmlformats.org/officeDocument/2006/relationships/webSettings" Target="webSettings.xml"/><Relationship Id="rId9" Type="http://schemas.openxmlformats.org/officeDocument/2006/relationships/hyperlink" Target="https://www.hhs.gov/sites/default/files/sg-youth-mental-health-social-media-advisory.pdf" TargetMode="External"/><Relationship Id="rId14" Type="http://schemas.openxmlformats.org/officeDocument/2006/relationships/hyperlink" Target="https://doi.org/10.3389/fpsyg.2026.17642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2230</Words>
  <Characters>12714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 h</dc:creator>
  <cp:lastModifiedBy>k h</cp:lastModifiedBy>
  <cp:revision>6</cp:revision>
  <dcterms:created xsi:type="dcterms:W3CDTF">2026-08-13T19:08:00Z</dcterms:created>
  <dcterms:modified xsi:type="dcterms:W3CDTF">2026-08-13T20:32:00Z</dcterms:modified>
</cp:coreProperties>
</file>