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81B2E" w:rsidRPr="00CD1B1E" w:rsidRDefault="00881B2E" w:rsidP="00881B2E">
      <w:pPr>
        <w:rPr>
          <w:rFonts w:cs="Arial"/>
          <w:sz w:val="36"/>
          <w:szCs w:val="36"/>
        </w:rPr>
      </w:pPr>
      <w:r>
        <w:rPr>
          <w:rFonts w:cs="Arial"/>
          <w:sz w:val="36"/>
          <w:szCs w:val="36"/>
        </w:rPr>
        <w:t>Qualific</w:t>
      </w:r>
      <w:r w:rsidRPr="00CD1B1E">
        <w:rPr>
          <w:rFonts w:cs="Arial"/>
          <w:sz w:val="36"/>
          <w:szCs w:val="36"/>
        </w:rPr>
        <w:t>ation: Level 5 CIPD Diploma in Applied Human Resources</w:t>
      </w:r>
    </w:p>
    <w:p w:rsidR="00881B2E" w:rsidRPr="00CD1B1E" w:rsidRDefault="00881B2E" w:rsidP="00881B2E">
      <w:pPr>
        <w:rPr>
          <w:rFonts w:cs="Arial"/>
          <w:sz w:val="36"/>
          <w:szCs w:val="36"/>
        </w:rPr>
      </w:pPr>
      <w:r w:rsidRPr="00CD1B1E">
        <w:rPr>
          <w:rFonts w:cs="Arial"/>
          <w:sz w:val="36"/>
          <w:szCs w:val="36"/>
        </w:rPr>
        <w:t>Module Name: Understa</w:t>
      </w:r>
      <w:r>
        <w:rPr>
          <w:rFonts w:cs="Arial"/>
          <w:sz w:val="36"/>
          <w:szCs w:val="36"/>
        </w:rPr>
        <w:t>nding Employment Law</w:t>
      </w:r>
    </w:p>
    <w:p w:rsidR="00881B2E" w:rsidRPr="00CD1B1E" w:rsidRDefault="00881B2E" w:rsidP="00881B2E">
      <w:pPr>
        <w:rPr>
          <w:rFonts w:cs="Arial"/>
          <w:color w:val="58595B"/>
          <w:sz w:val="36"/>
          <w:szCs w:val="36"/>
        </w:rPr>
      </w:pPr>
    </w:p>
    <w:p w:rsidR="00881B2E" w:rsidRPr="00CD1B1E" w:rsidRDefault="00881B2E" w:rsidP="00881B2E">
      <w:pPr>
        <w:rPr>
          <w:rFonts w:cs="Arial"/>
          <w:sz w:val="36"/>
          <w:szCs w:val="36"/>
        </w:rPr>
      </w:pPr>
      <w:r>
        <w:rPr>
          <w:rFonts w:cs="Arial"/>
          <w:sz w:val="36"/>
          <w:szCs w:val="36"/>
        </w:rPr>
        <w:t>Question</w:t>
      </w:r>
      <w:r w:rsidRPr="00CD1B1E">
        <w:rPr>
          <w:rFonts w:cs="Arial"/>
          <w:sz w:val="36"/>
          <w:szCs w:val="36"/>
        </w:rPr>
        <w:t xml:space="preserve"> 1</w:t>
      </w:r>
      <w:r>
        <w:rPr>
          <w:rFonts w:cs="Arial"/>
          <w:sz w:val="36"/>
          <w:szCs w:val="36"/>
        </w:rPr>
        <w:t xml:space="preserve"> - Word Count: 647</w:t>
      </w:r>
    </w:p>
    <w:p w:rsidR="00881B2E" w:rsidRPr="00CD1B1E" w:rsidRDefault="00881B2E" w:rsidP="00881B2E">
      <w:pPr>
        <w:rPr>
          <w:rFonts w:cs="Arial"/>
          <w:sz w:val="36"/>
          <w:szCs w:val="36"/>
        </w:rPr>
      </w:pPr>
      <w:r>
        <w:rPr>
          <w:rFonts w:cs="Arial"/>
          <w:sz w:val="36"/>
          <w:szCs w:val="36"/>
        </w:rPr>
        <w:t>Question 2 – Word Count: 699</w:t>
      </w:r>
    </w:p>
    <w:p w:rsidR="00881B2E" w:rsidRDefault="00881B2E" w:rsidP="00881B2E">
      <w:pPr>
        <w:rPr>
          <w:rFonts w:cs="Arial"/>
          <w:sz w:val="36"/>
          <w:szCs w:val="36"/>
        </w:rPr>
      </w:pPr>
      <w:r>
        <w:rPr>
          <w:rFonts w:cs="Arial"/>
          <w:sz w:val="36"/>
          <w:szCs w:val="36"/>
        </w:rPr>
        <w:t>Question 3 – Word Count: 750</w:t>
      </w:r>
    </w:p>
    <w:p w:rsidR="00881B2E" w:rsidRDefault="00881B2E" w:rsidP="00881B2E">
      <w:pPr>
        <w:rPr>
          <w:rFonts w:cs="Arial"/>
          <w:sz w:val="36"/>
          <w:szCs w:val="36"/>
        </w:rPr>
      </w:pPr>
      <w:r>
        <w:rPr>
          <w:rFonts w:cs="Arial"/>
          <w:sz w:val="36"/>
          <w:szCs w:val="36"/>
        </w:rPr>
        <w:t>Question 4 – Word Count: 748</w:t>
      </w:r>
    </w:p>
    <w:p w:rsidR="00881B2E" w:rsidRPr="00CD1B1E" w:rsidRDefault="009374EA" w:rsidP="00881B2E">
      <w:pPr>
        <w:rPr>
          <w:rFonts w:cs="Arial"/>
          <w:sz w:val="36"/>
          <w:szCs w:val="36"/>
        </w:rPr>
      </w:pPr>
      <w:r>
        <w:rPr>
          <w:rFonts w:cs="Arial"/>
          <w:sz w:val="36"/>
          <w:szCs w:val="36"/>
        </w:rPr>
        <w:t>Question 5 – Word Count: 726</w:t>
      </w:r>
    </w:p>
    <w:p w:rsidR="00881B2E" w:rsidRPr="00CD1B1E" w:rsidRDefault="00881B2E" w:rsidP="00881B2E">
      <w:pPr>
        <w:rPr>
          <w:rFonts w:cs="Arial"/>
          <w:sz w:val="36"/>
          <w:szCs w:val="36"/>
        </w:rPr>
      </w:pPr>
      <w:r>
        <w:rPr>
          <w:rFonts w:cs="Arial"/>
          <w:sz w:val="36"/>
          <w:szCs w:val="36"/>
        </w:rPr>
        <w:t>Question 6 – Word Count: 749</w:t>
      </w:r>
    </w:p>
    <w:p w:rsidR="00881B2E" w:rsidRPr="00CD1B1E" w:rsidRDefault="00881B2E" w:rsidP="00881B2E">
      <w:pPr>
        <w:rPr>
          <w:rFonts w:cs="Arial"/>
          <w:color w:val="58595B"/>
          <w:sz w:val="36"/>
          <w:szCs w:val="36"/>
        </w:rPr>
      </w:pPr>
    </w:p>
    <w:p w:rsidR="00881B2E" w:rsidRPr="00CD1B1E" w:rsidRDefault="00881B2E" w:rsidP="00881B2E">
      <w:pPr>
        <w:rPr>
          <w:rFonts w:cs="Arial"/>
          <w:sz w:val="36"/>
          <w:szCs w:val="36"/>
        </w:rPr>
      </w:pPr>
      <w:r w:rsidRPr="00CD1B1E">
        <w:rPr>
          <w:rFonts w:cs="Arial"/>
          <w:sz w:val="36"/>
          <w:szCs w:val="36"/>
        </w:rPr>
        <w:t>Student Name: Sophie O’Kelly</w:t>
      </w:r>
    </w:p>
    <w:p w:rsidR="00881B2E" w:rsidRPr="00CD1B1E" w:rsidRDefault="00881B2E" w:rsidP="00881B2E">
      <w:pPr>
        <w:rPr>
          <w:rFonts w:cs="Arial"/>
          <w:sz w:val="36"/>
          <w:szCs w:val="36"/>
        </w:rPr>
      </w:pPr>
      <w:r w:rsidRPr="00CD1B1E">
        <w:rPr>
          <w:rFonts w:cs="Arial"/>
          <w:sz w:val="36"/>
          <w:szCs w:val="36"/>
        </w:rPr>
        <w:t>Student Number:</w:t>
      </w:r>
      <w:r w:rsidRPr="00CD1B1E">
        <w:rPr>
          <w:rFonts w:cs="Arial"/>
        </w:rPr>
        <w:t xml:space="preserve"> </w:t>
      </w:r>
      <w:r w:rsidRPr="00CD1B1E">
        <w:rPr>
          <w:rFonts w:cs="Arial"/>
          <w:sz w:val="36"/>
          <w:szCs w:val="36"/>
        </w:rPr>
        <w:t>1904625</w:t>
      </w:r>
    </w:p>
    <w:p w:rsidR="00881B2E" w:rsidRPr="00CD1B1E" w:rsidRDefault="00881B2E" w:rsidP="00881B2E">
      <w:pPr>
        <w:rPr>
          <w:rFonts w:cs="Arial"/>
          <w:sz w:val="36"/>
          <w:szCs w:val="36"/>
        </w:rPr>
      </w:pPr>
      <w:r w:rsidRPr="00CD1B1E">
        <w:rPr>
          <w:rFonts w:cs="Arial"/>
          <w:sz w:val="36"/>
          <w:szCs w:val="36"/>
        </w:rPr>
        <w:t xml:space="preserve">CIPD Membership Number: </w:t>
      </w:r>
      <w:r w:rsidRPr="00CD1B1E">
        <w:rPr>
          <w:rFonts w:eastAsia="Cambria" w:cs="Arial"/>
          <w:sz w:val="36"/>
          <w:szCs w:val="36"/>
          <w:lang w:eastAsia="en-GB"/>
        </w:rPr>
        <w:t>55491663</w:t>
      </w:r>
    </w:p>
    <w:p w:rsidR="00881B2E" w:rsidRDefault="00881B2E" w:rsidP="00881B2E">
      <w:pPr>
        <w:rPr>
          <w:rFonts w:cs="Arial"/>
          <w:sz w:val="36"/>
          <w:szCs w:val="36"/>
        </w:rPr>
      </w:pPr>
    </w:p>
    <w:p w:rsidR="00881B2E" w:rsidRPr="00CD1B1E" w:rsidRDefault="00881B2E" w:rsidP="00881B2E">
      <w:pPr>
        <w:rPr>
          <w:rFonts w:cs="Arial"/>
          <w:sz w:val="36"/>
          <w:szCs w:val="36"/>
        </w:rPr>
      </w:pPr>
      <w:r w:rsidRPr="00CD1B1E">
        <w:rPr>
          <w:rFonts w:cs="Arial"/>
          <w:sz w:val="36"/>
          <w:szCs w:val="36"/>
        </w:rPr>
        <w:t>By signing below, I confirm that the work/evidence presented is my own, unaided work. I understand the regulations pertaining to candidate malpractice and the action that may be taken as a result.</w:t>
      </w:r>
    </w:p>
    <w:p w:rsidR="00881B2E" w:rsidRPr="00CD1B1E" w:rsidRDefault="00881B2E" w:rsidP="00881B2E">
      <w:pPr>
        <w:rPr>
          <w:rFonts w:cs="Arial"/>
          <w:sz w:val="36"/>
          <w:szCs w:val="36"/>
        </w:rPr>
      </w:pPr>
      <w:r w:rsidRPr="00CD1B1E">
        <w:rPr>
          <w:rFonts w:cs="Arial"/>
          <w:sz w:val="36"/>
          <w:szCs w:val="36"/>
        </w:rPr>
        <w:t>Signed: Sophie O’Kelly</w:t>
      </w:r>
    </w:p>
    <w:p w:rsidR="00881B2E" w:rsidRPr="00CD1B1E" w:rsidRDefault="00881B2E" w:rsidP="00881B2E">
      <w:pPr>
        <w:rPr>
          <w:rFonts w:cs="Arial"/>
          <w:sz w:val="36"/>
          <w:szCs w:val="36"/>
        </w:rPr>
      </w:pPr>
      <w:r>
        <w:rPr>
          <w:rFonts w:cs="Arial"/>
          <w:sz w:val="36"/>
          <w:szCs w:val="36"/>
        </w:rPr>
        <w:t>Date: 27.04</w:t>
      </w:r>
      <w:r w:rsidRPr="00CD1B1E">
        <w:rPr>
          <w:rFonts w:cs="Arial"/>
          <w:sz w:val="36"/>
          <w:szCs w:val="36"/>
        </w:rPr>
        <w:t>.2020</w:t>
      </w:r>
    </w:p>
    <w:p w:rsidR="00881B2E" w:rsidRDefault="00881B2E" w:rsidP="00881B2E">
      <w:pPr>
        <w:spacing w:after="0" w:line="240" w:lineRule="auto"/>
        <w:rPr>
          <w:rFonts w:cs="Arial"/>
          <w:b/>
        </w:rPr>
      </w:pPr>
    </w:p>
    <w:p w:rsidR="00881B2E" w:rsidRPr="00881B2E" w:rsidRDefault="00881B2E" w:rsidP="00881B2E">
      <w:pPr>
        <w:pStyle w:val="ListParagraph"/>
        <w:numPr>
          <w:ilvl w:val="0"/>
          <w:numId w:val="10"/>
        </w:numPr>
        <w:spacing w:after="0" w:line="240" w:lineRule="auto"/>
        <w:rPr>
          <w:rFonts w:cs="Arial"/>
          <w:b/>
        </w:rPr>
      </w:pPr>
      <w:r w:rsidRPr="00881B2E">
        <w:rPr>
          <w:rFonts w:cs="Arial"/>
          <w:b/>
        </w:rPr>
        <w:t>Explain the purpose of employment law and outline the role played by the tribunal and courts system in enforcing employment law.</w:t>
      </w:r>
      <w:r w:rsidRPr="00881B2E">
        <w:rPr>
          <w:b/>
        </w:rPr>
        <w:t xml:space="preserve"> </w:t>
      </w:r>
    </w:p>
    <w:p w:rsidR="00881B2E" w:rsidRPr="00881B2E" w:rsidRDefault="00881B2E" w:rsidP="00881B2E">
      <w:pPr>
        <w:spacing w:after="0" w:line="240" w:lineRule="auto"/>
      </w:pPr>
    </w:p>
    <w:p w:rsidR="00881B2E" w:rsidRPr="00881B2E" w:rsidRDefault="00881B2E" w:rsidP="00881B2E">
      <w:pPr>
        <w:spacing w:after="0" w:line="240" w:lineRule="auto"/>
      </w:pPr>
      <w:r w:rsidRPr="00881B2E">
        <w:t>For influencing HR decisions, policies and practices, it’s vital to possess a robust understanding of Employment Law.  To minimise the likelihood of being tested in an Employment tribunal, plans that are legally risky should be avoided (Taylor &amp; Wilkinson, 2016).</w:t>
      </w:r>
    </w:p>
    <w:p w:rsidR="00881B2E" w:rsidRPr="00881B2E" w:rsidRDefault="00881B2E" w:rsidP="00881B2E">
      <w:pPr>
        <w:spacing w:after="0" w:line="240" w:lineRule="auto"/>
      </w:pPr>
      <w:r w:rsidRPr="00881B2E">
        <w:t>UK Employment Law is created via three different methods; by Government making laws; Judges’ decisions in Courts and in EU establishments.   Two acts (of parliament) relating to Employment Law are the Employment Rights Act 1996 and the Equality Act 2010. ‘Statutory instruments’ are the detailed sets of guidelines under these Acts distributed by Ministers. An Employment related statutory instrument is the Transfer of Undertakings (Protection of Employment) Regulations, 2006 (TUPE) (CIPD, 2019).</w:t>
      </w:r>
    </w:p>
    <w:p w:rsidR="00881B2E" w:rsidRPr="00881B2E" w:rsidRDefault="00881B2E" w:rsidP="00881B2E">
      <w:pPr>
        <w:spacing w:after="0" w:line="240" w:lineRule="auto"/>
      </w:pPr>
      <w:r w:rsidRPr="00881B2E">
        <w:t>Statutes passed by parliament form most UK Employment Law; however Judges also make laws that have developed through time, referred to as ‘Common law’. Judges rule on how they interpret the law from the individual case, setting a precedent for all similar future cases (Taylor &amp; Wilkinson, 2016).   Judges cannot contradict the aim of parliament determined in statutes. Parliament can overrule any common law (CIPD, 2019).</w:t>
      </w:r>
    </w:p>
    <w:p w:rsidR="00881B2E" w:rsidRPr="00881B2E" w:rsidRDefault="00881B2E" w:rsidP="00881B2E">
      <w:pPr>
        <w:spacing w:after="0" w:line="240" w:lineRule="auto"/>
      </w:pPr>
      <w:r w:rsidRPr="00881B2E">
        <w:t xml:space="preserve">Employment Law ensures employers don’t exercise their power unjustly. It ensures that Health and Safety isn’t compromised; Employees aren’t unfairly dismissed; wages aren’t illegally low; staff consultations take place and that all workers are provided with basic rights.  It is economically beneficial as it encourages a skilled, committed and productive workforce. The most successfully regulated economies are often the most productive. Others argue that employment regulation increases unemployment.  Employers may not choose to take the economic risk which consequently makes them less competitive than Employers in countries which are less regulated.  Women of childbearing age may be unfairly disadvantaged at recruitment stage due to the number of regulations around employing this cohort of people (Lea, 2001; Brewer, 2008 cited in Taylor and Wilkinson, 2016).  Employment Law can be restrictive and can take up to on average 20% of an employer’s time according to a CIPD survey (2002, cited in Taylor &amp; </w:t>
      </w:r>
      <w:r w:rsidR="00FF729B" w:rsidRPr="00881B2E">
        <w:t>Wilkinson</w:t>
      </w:r>
      <w:r w:rsidRPr="00881B2E">
        <w:t>, 2016)</w:t>
      </w:r>
      <w:r w:rsidR="00FF729B">
        <w:t>.</w:t>
      </w:r>
    </w:p>
    <w:p w:rsidR="00881B2E" w:rsidRPr="00881B2E" w:rsidRDefault="00881B2E" w:rsidP="00881B2E">
      <w:pPr>
        <w:spacing w:after="0" w:line="240" w:lineRule="auto"/>
      </w:pPr>
    </w:p>
    <w:p w:rsidR="00881B2E" w:rsidRPr="00881B2E" w:rsidRDefault="00881B2E" w:rsidP="00881B2E">
      <w:pPr>
        <w:spacing w:after="0" w:line="240" w:lineRule="auto"/>
      </w:pPr>
      <w:r w:rsidRPr="00881B2E">
        <w:t xml:space="preserve">Civil law incorporates most employment law cases.  Criminal cases however are heard in Magistrates or Crown Courts where a Judge and Jury are present. Only if there is certainty the defendant is guilty must a Criminal Court convict. In the Civil Courts outcome is based on probability (CIPD, 2019). The Civil Court System is hierarchical.  Appeals will be reviewed by a higher court.  Any rulings are then binding; creating a new law (Taylor &amp; Wilkinson, 2016).   </w:t>
      </w:r>
    </w:p>
    <w:p w:rsidR="00881B2E" w:rsidRPr="00881B2E" w:rsidRDefault="00881B2E" w:rsidP="00881B2E">
      <w:pPr>
        <w:spacing w:after="0" w:line="240" w:lineRule="auto"/>
      </w:pPr>
      <w:r w:rsidRPr="00881B2E">
        <w:t>The High or County Courts hear cases where Common Law is allegedly breached and compensation being pursued is more than £50,000.  Employment Tribunals deal with cases where an Employment Statute has been supposedly broken (CIPD, 2019).</w:t>
      </w:r>
    </w:p>
    <w:p w:rsidR="00881B2E" w:rsidRPr="00881B2E" w:rsidRDefault="00881B2E" w:rsidP="00881B2E">
      <w:pPr>
        <w:spacing w:after="0" w:line="240" w:lineRule="auto"/>
      </w:pPr>
      <w:r w:rsidRPr="00881B2E">
        <w:t>The Advisory, Conciliation and Arbitration Service (ACAS) should be the initial port of call for individuals (Taylor &amp; Wilkinson, 2016).   Out of court settlements are encouraged by ACAS. If unsuccessful within an arranged period of a month, the claimant can start claim proceedings (CIPD, 2019).  An ET1 form is submitted by the claimant to the Employment Tribunal which is then sent to the respondent who is required to complete an ET3 form and return it within 28 days.  The decision as to whether the case is to be heard at a preliminary enquiry first to discuss any points needing resolution, sits with the Employment Tribunal (Daniels, 2019).  Most cases can be heard at a full hearing when individuals make a claim no later than three months after the event occurred. Cases are heard by judges sitting alone and each party is given the opportunity to discuss the situation from their perspective (Taylor &amp; Wilkinson, 2016).</w:t>
      </w:r>
    </w:p>
    <w:p w:rsidR="00881B2E" w:rsidRPr="00881B2E" w:rsidRDefault="00881B2E" w:rsidP="00881B2E">
      <w:pPr>
        <w:spacing w:after="0" w:line="240" w:lineRule="auto"/>
      </w:pPr>
      <w:r w:rsidRPr="00881B2E">
        <w:t xml:space="preserve">The Employment Appeals Tribunal (EAT) must receive any appeals within 42 days.  The Court of Appeal can hear a further appeal but this is uncommon.  The Supreme Court has final say but will </w:t>
      </w:r>
      <w:r w:rsidRPr="00881B2E">
        <w:lastRenderedPageBreak/>
        <w:t>only hear appeals if there’s doubt over legislation that may impact the wider population (CIPD, 2019).</w:t>
      </w:r>
    </w:p>
    <w:p w:rsidR="00881B2E" w:rsidRPr="00881B2E" w:rsidRDefault="00881B2E" w:rsidP="00881B2E">
      <w:pPr>
        <w:spacing w:after="0" w:line="240" w:lineRule="auto"/>
      </w:pPr>
    </w:p>
    <w:p w:rsidR="00881B2E" w:rsidRPr="00881B2E" w:rsidRDefault="00881B2E" w:rsidP="00881B2E">
      <w:pPr>
        <w:spacing w:after="0" w:line="240" w:lineRule="auto"/>
        <w:rPr>
          <w:rFonts w:cs="Arial"/>
        </w:rPr>
      </w:pPr>
    </w:p>
    <w:p w:rsidR="00881B2E" w:rsidRPr="00881B2E" w:rsidRDefault="00881B2E" w:rsidP="00881B2E">
      <w:pPr>
        <w:pStyle w:val="ListParagraph"/>
        <w:numPr>
          <w:ilvl w:val="0"/>
          <w:numId w:val="10"/>
        </w:numPr>
        <w:spacing w:after="0" w:line="240" w:lineRule="auto"/>
        <w:rPr>
          <w:rFonts w:cs="Arial"/>
          <w:b/>
        </w:rPr>
      </w:pPr>
      <w:r w:rsidRPr="00881B2E">
        <w:rPr>
          <w:rFonts w:cs="Arial"/>
          <w:b/>
        </w:rPr>
        <w:t>Summarise the main principles of discrimination law in relation to recruitment and selection and explain how contracts of employment are established.</w:t>
      </w:r>
    </w:p>
    <w:p w:rsidR="00881B2E" w:rsidRPr="00881B2E" w:rsidRDefault="00881B2E" w:rsidP="00881B2E">
      <w:pPr>
        <w:spacing w:after="0" w:line="240" w:lineRule="auto"/>
      </w:pPr>
    </w:p>
    <w:p w:rsidR="00881B2E" w:rsidRPr="00881B2E" w:rsidRDefault="00881B2E" w:rsidP="00881B2E">
      <w:pPr>
        <w:pStyle w:val="ListParagraph"/>
        <w:spacing w:after="0" w:line="240" w:lineRule="auto"/>
        <w:ind w:left="0"/>
      </w:pPr>
      <w:r w:rsidRPr="00881B2E">
        <w:t>If an individual feels they’ve received negative treatment due to a ‘Protective Characteristic’, this may signify Discrimination has taken place (ACAS, 2015).</w:t>
      </w:r>
    </w:p>
    <w:p w:rsidR="00881B2E" w:rsidRPr="00881B2E" w:rsidRDefault="00881B2E" w:rsidP="00881B2E">
      <w:pPr>
        <w:pStyle w:val="ListParagraph"/>
        <w:spacing w:after="0" w:line="240" w:lineRule="auto"/>
        <w:ind w:left="0"/>
      </w:pPr>
      <w:r w:rsidRPr="00881B2E">
        <w:t>The Equality Act, 2010 ensures discrimination doesn’t take place during Recruitment and Selection processes when individuals possess any ‘Protected Characteristics’.  There are eight of them in total; examples include disability, race, age and sexual orientation (CIPD, 2017).</w:t>
      </w:r>
    </w:p>
    <w:p w:rsidR="00881B2E" w:rsidRPr="00881B2E" w:rsidRDefault="00881B2E" w:rsidP="00881B2E">
      <w:pPr>
        <w:pStyle w:val="ListParagraph"/>
        <w:spacing w:after="0" w:line="240" w:lineRule="auto"/>
        <w:ind w:left="0"/>
      </w:pPr>
      <w:r w:rsidRPr="00881B2E">
        <w:t xml:space="preserve">When an Employer chooses not to recruit a suitable individual purely because of a ‘Protected Characteristic’, this is direct discrimination.   Mostly when this is proven; the Employer automatically loses the case.  Rejecting an applicant on these grounds isn’t legal; however it’s legal for Employers to </w:t>
      </w:r>
      <w:r w:rsidRPr="00881B2E">
        <w:rPr>
          <w:i/>
        </w:rPr>
        <w:t xml:space="preserve">hold </w:t>
      </w:r>
      <w:r w:rsidRPr="00881B2E">
        <w:t>jobs (‘Occupational Requirements’) for groups that have to be filled by individuals of a specific gender or age for example.  ‘Acting’ roles are a prime example of this.   Where it can be proven that there is a sincere, professional motive for direct discrimination to take place, it can then be justified.  With cases linked to disability, it must be proven that there were no reasonable adjustments that could have been offered (Taylor &amp; Wilkinson, 2016).  Two additional forms of direct discrimination worth noting are ‘Associative Discrimination’ which is the term for treating people less favourably due to a link they have with another person who has a protected characteristic and secondly, ‘Perceptive Discrimination’ is  the negative treatment of individuals due to the perception of them being in one of these ‘protected’ cohorts (Daniels, 2019).</w:t>
      </w:r>
    </w:p>
    <w:p w:rsidR="00881B2E" w:rsidRPr="00881B2E" w:rsidRDefault="00881B2E" w:rsidP="00881B2E">
      <w:pPr>
        <w:pStyle w:val="ListParagraph"/>
        <w:spacing w:after="0" w:line="240" w:lineRule="auto"/>
        <w:ind w:left="0"/>
      </w:pPr>
      <w:r w:rsidRPr="00881B2E">
        <w:t>When individuals whom possess ‘Protected Characteristics’ are negatively impacted further by an Employer process than those who aren’t; this is ‘indirect discrimination’’.  Where a job advert requests applicants to be over 6 feet tall, this indirectly discriminates women.  When an employer requests a specific UK qualification for a role, this results in Indirect Race Discrimination.  One of the most common is indirect age discrimination where a role requires individuals to have a number of years’ experience, indirectly discriminating younger people.  Positive Discrimination towards underrepresented individuals during recruitment is justified under the Equality Act, as long as other applicants have been interviewed who are just as appointable (Taylor &amp; Wilkinson, 2016).</w:t>
      </w:r>
    </w:p>
    <w:p w:rsidR="00881B2E" w:rsidRPr="00881B2E" w:rsidRDefault="00881B2E" w:rsidP="00881B2E">
      <w:pPr>
        <w:spacing w:after="0" w:line="240" w:lineRule="auto"/>
      </w:pPr>
    </w:p>
    <w:p w:rsidR="00881B2E" w:rsidRPr="00881B2E" w:rsidRDefault="00881B2E" w:rsidP="00881B2E">
      <w:pPr>
        <w:pStyle w:val="ListParagraph"/>
        <w:spacing w:after="0" w:line="240" w:lineRule="auto"/>
        <w:ind w:left="0"/>
      </w:pPr>
      <w:r w:rsidRPr="00881B2E">
        <w:t xml:space="preserve">A contract of employment doesn’t need to be a written document (Taylor &amp; Wilkinson, 2016).  It’s an Employee and Employer arrangement with legal ties.  An ‘Employee’ works under a ‘Contract </w:t>
      </w:r>
      <w:r w:rsidRPr="00881B2E">
        <w:rPr>
          <w:i/>
        </w:rPr>
        <w:t xml:space="preserve">of </w:t>
      </w:r>
      <w:r w:rsidRPr="00881B2E">
        <w:t xml:space="preserve">Service’ according to the Employment Rights Act 1996 (CIPD, 2020).  An offer with no conditions along with its acceptance; intent to establish a legal association; consideration for payment in return for work provided and clarity about core terms and conditions are the minimal criteria for recognition of a contract.  ‘Workers’ (and </w:t>
      </w:r>
      <w:r w:rsidRPr="00881B2E">
        <w:rPr>
          <w:i/>
        </w:rPr>
        <w:t>occasionally</w:t>
      </w:r>
      <w:r w:rsidRPr="00881B2E">
        <w:t xml:space="preserve"> ‘Self-Employed’) often work under ‘Contracts </w:t>
      </w:r>
      <w:r w:rsidRPr="00881B2E">
        <w:rPr>
          <w:i/>
        </w:rPr>
        <w:t>fo</w:t>
      </w:r>
      <w:r w:rsidRPr="00881B2E">
        <w:t xml:space="preserve">r Service’ without full protection under Employment Law (Taylor &amp; Wilkinson, 2016).     </w:t>
      </w:r>
    </w:p>
    <w:p w:rsidR="00881B2E" w:rsidRPr="00881B2E" w:rsidRDefault="00881B2E" w:rsidP="00881B2E">
      <w:pPr>
        <w:pStyle w:val="ListParagraph"/>
        <w:spacing w:after="0" w:line="240" w:lineRule="auto"/>
        <w:ind w:left="0"/>
      </w:pPr>
      <w:r w:rsidRPr="00881B2E">
        <w:t>‘Express Terms’ (written or verbal) and ‘Implied Terms’ make up contracts of employment.  Individuals automatically have ‘Statutory Rights’.  The entitlement to parental leave, flexible working and paid annual leave are just some of the minimum legal standards that ‘Express Terms’ need to fulfil.  ‘Implied Terms’ aren’t explicitly specified; however they are integrated in some format.   They could be ‘implied terms’ by statute such as the entitlement to a minimum notice period or they could be Collective Agreements with Trade Unions.  It may be that a practice has occurred for some time such as receiving an annual bonus; this could be considered an ‘Implied’ term of Custom and Practice.  Another implied term would be reciprocated trust in Employer/Employee relationship (CIPD, 2020).</w:t>
      </w:r>
    </w:p>
    <w:p w:rsidR="00881B2E" w:rsidRPr="00881B2E" w:rsidRDefault="00881B2E" w:rsidP="00881B2E">
      <w:pPr>
        <w:pStyle w:val="ListParagraph"/>
        <w:spacing w:after="0" w:line="240" w:lineRule="auto"/>
        <w:ind w:left="0"/>
      </w:pPr>
      <w:r w:rsidRPr="00881B2E">
        <w:t>According to the Employment Rights Act 1996 all ‘Employees’ must be given a written statement of particulars, determining key terms and conditions (Daniels, 2019).   From 6</w:t>
      </w:r>
      <w:r w:rsidRPr="00881B2E">
        <w:rPr>
          <w:vertAlign w:val="superscript"/>
        </w:rPr>
        <w:t>th</w:t>
      </w:r>
      <w:r w:rsidRPr="00881B2E">
        <w:t xml:space="preserve"> April 2020, this now </w:t>
      </w:r>
      <w:r w:rsidRPr="00881B2E">
        <w:lastRenderedPageBreak/>
        <w:t>extends to ‘Workers’ and must be made available from day one of employment.   The main document highlights mandatory items that must be defined and also now includes details of individual benefits and training.  A Supplementary Statement is required detailing items such as additional paid leave (CIPD, 2020). The employer can make reference to Company Documents such as a Staff Handbook to indicate where to locate further information.  Additional clauses can be added such as probationary period information.  The statement is usually accepted as evidence of terms agreed but it’s not a contract and its accuracy can be challenged (Daniels, 2019)</w:t>
      </w:r>
    </w:p>
    <w:p w:rsidR="00881B2E" w:rsidRPr="00881B2E" w:rsidRDefault="00881B2E" w:rsidP="00881B2E">
      <w:pPr>
        <w:spacing w:after="0" w:line="240" w:lineRule="auto"/>
      </w:pPr>
    </w:p>
    <w:p w:rsidR="00881B2E" w:rsidRPr="00881B2E" w:rsidRDefault="00881B2E" w:rsidP="00881B2E">
      <w:pPr>
        <w:spacing w:after="0" w:line="240" w:lineRule="auto"/>
        <w:rPr>
          <w:rFonts w:cs="Arial"/>
        </w:rPr>
      </w:pPr>
    </w:p>
    <w:p w:rsidR="00881B2E" w:rsidRDefault="00881B2E" w:rsidP="00881B2E">
      <w:pPr>
        <w:pStyle w:val="ListParagraph"/>
        <w:numPr>
          <w:ilvl w:val="0"/>
          <w:numId w:val="10"/>
        </w:numPr>
        <w:spacing w:after="0" w:line="240" w:lineRule="auto"/>
        <w:rPr>
          <w:rFonts w:cs="Arial"/>
          <w:b/>
        </w:rPr>
      </w:pPr>
      <w:r w:rsidRPr="00881B2E">
        <w:rPr>
          <w:rFonts w:cs="Arial"/>
          <w:b/>
        </w:rPr>
        <w:t xml:space="preserve">An organisation is planning a major reorganisation which will involve moving some staff to other sites and outsourcing a major function to a sub-contractor. </w:t>
      </w:r>
      <w:r w:rsidRPr="00881B2E">
        <w:rPr>
          <w:rFonts w:cs="Arial"/>
          <w:b/>
        </w:rPr>
        <w:br/>
        <w:t xml:space="preserve">(a) Outline when and how contracts can be changed lawfully </w:t>
      </w:r>
      <w:r w:rsidRPr="00881B2E">
        <w:rPr>
          <w:rFonts w:cs="Arial"/>
          <w:b/>
        </w:rPr>
        <w:br/>
        <w:t>(b) Explain briefly the main requirements of redundancy law</w:t>
      </w:r>
      <w:r w:rsidRPr="00881B2E">
        <w:rPr>
          <w:rFonts w:cs="Arial"/>
          <w:b/>
        </w:rPr>
        <w:br/>
        <w:t>(c) Summarise the main requirements of the law on business transfers.</w:t>
      </w:r>
    </w:p>
    <w:p w:rsidR="00881B2E" w:rsidRPr="00881B2E" w:rsidRDefault="00881B2E" w:rsidP="00881B2E">
      <w:pPr>
        <w:pStyle w:val="ListParagraph"/>
        <w:spacing w:after="0" w:line="240" w:lineRule="auto"/>
        <w:ind w:left="360"/>
        <w:rPr>
          <w:rFonts w:cs="Arial"/>
          <w:b/>
        </w:rPr>
      </w:pPr>
    </w:p>
    <w:p w:rsidR="00881B2E" w:rsidRPr="00881B2E" w:rsidRDefault="00881B2E" w:rsidP="00881B2E">
      <w:pPr>
        <w:spacing w:after="0" w:line="240" w:lineRule="auto"/>
        <w:rPr>
          <w:b/>
        </w:rPr>
      </w:pPr>
    </w:p>
    <w:p w:rsidR="00881B2E" w:rsidRPr="00881B2E" w:rsidRDefault="00881B2E" w:rsidP="00881B2E">
      <w:pPr>
        <w:pStyle w:val="ListParagraph"/>
        <w:spacing w:after="0" w:line="240" w:lineRule="auto"/>
        <w:ind w:left="0"/>
      </w:pPr>
      <w:r w:rsidRPr="00881B2E">
        <w:rPr>
          <w:b/>
        </w:rPr>
        <w:t>(a)</w:t>
      </w:r>
      <w:r>
        <w:t xml:space="preserve"> </w:t>
      </w:r>
      <w:r w:rsidRPr="00881B2E">
        <w:t>Detrimental contractual changes cannot be made without employee agreement (Taylor &amp; Wilkinson, 2016).  Unlawful changes may result in allegations of constructive dismissal or damages for loss whilst still in work (Daniels, 2019).  There is no requirement to change the contract if it allows the Employer the right to vary its terms; proposed changes are expressly written or if the terms are so broad the changes can be accommodated.  ‘Flexibility Clauses’ within the contract allowing the employer to ‘vary’ specific terms must be established along with notice period requirements and details of any implementation processes.  The change must be specific within the flexibility clause if believed to be covered.  If no flexibility clause exists, the employer must get the change agreed (ACAS, 2019).</w:t>
      </w:r>
    </w:p>
    <w:p w:rsidR="00881B2E" w:rsidRPr="00881B2E" w:rsidRDefault="00881B2E" w:rsidP="00881B2E">
      <w:pPr>
        <w:spacing w:after="0" w:line="240" w:lineRule="auto"/>
      </w:pPr>
      <w:r w:rsidRPr="00881B2E">
        <w:t>Terms for Contractual Changes Consultation are the same as those for Redundancy.  Representatives should be present if 20-99 colleagues are affected, lasting a minimum of 30 days.  For 100+ colleagues, consultations must be 45 days minimum.  For fewer than 20 employees, individual consultation (rather than Representative consultation) should take place (Daniels 2019).  Written consent is required but where there is refusal to sign, a follow-up email must be sent.  Where there is no agreement but employee continues working without objection, this could be classed as approval of the change.  As a last resort where changes are opposed, the change can take place by terminating the contract for ‘Some Other Substantial Reason’ and offering new contracts with revised conditions (Daniels, 2019).</w:t>
      </w:r>
    </w:p>
    <w:p w:rsidR="00881B2E" w:rsidRPr="00881B2E" w:rsidRDefault="00881B2E" w:rsidP="00881B2E">
      <w:pPr>
        <w:spacing w:after="0" w:line="240" w:lineRule="auto"/>
      </w:pPr>
    </w:p>
    <w:p w:rsidR="00881B2E" w:rsidRPr="00881B2E" w:rsidRDefault="00881B2E" w:rsidP="00881B2E">
      <w:pPr>
        <w:spacing w:after="0" w:line="240" w:lineRule="auto"/>
        <w:rPr>
          <w:b/>
        </w:rPr>
      </w:pPr>
    </w:p>
    <w:p w:rsidR="00881B2E" w:rsidRPr="00881B2E" w:rsidRDefault="00881B2E" w:rsidP="00881B2E">
      <w:pPr>
        <w:pStyle w:val="ListParagraph"/>
        <w:spacing w:after="0" w:line="240" w:lineRule="auto"/>
        <w:ind w:left="0"/>
      </w:pPr>
      <w:r w:rsidRPr="00881B2E">
        <w:rPr>
          <w:b/>
        </w:rPr>
        <w:t>(b)</w:t>
      </w:r>
      <w:r>
        <w:t xml:space="preserve"> </w:t>
      </w:r>
      <w:r w:rsidRPr="00881B2E">
        <w:t xml:space="preserve">Reasons whereby someone may be regarded as ‘redundant’ are highlighted by the Employment Rights Act, 1996 (Daniels, 2019).  Where ‘Collective Redundancies’ take place, Employee Representatives or Trade Unions must be spoken to.  Consultation timeframe is 45 days for 100+ colleagues and 30 days for 20-99 colleagues.  Redundancy Payment Service must be sent the HR1form.  It’s advised Employers follow a similar process for fewer than 20 colleagues.  </w:t>
      </w:r>
    </w:p>
    <w:p w:rsidR="00881B2E" w:rsidRPr="00881B2E" w:rsidRDefault="00881B2E" w:rsidP="00881B2E">
      <w:pPr>
        <w:spacing w:after="0" w:line="240" w:lineRule="auto"/>
      </w:pPr>
      <w:r w:rsidRPr="00881B2E">
        <w:t>Employers must provide in writing, the reason for redundancy, roles and how many people may be impacted; how those at risk have been chosen; what the process and timescale will be and what the redundancy pay-out is (ACAS, 2018).   Duration of time with the Organisation; Attendance; Skills etc. are examples of measures that can be used to select individuals.  Scoring should be independent and by at least 2 Managers.  Individual consultation must take place for final decision.  Employee must be given notice in writing.   Appeal is an option (CIPD, 2019).</w:t>
      </w:r>
    </w:p>
    <w:p w:rsidR="00881B2E" w:rsidRPr="00881B2E" w:rsidRDefault="00881B2E" w:rsidP="00881B2E">
      <w:pPr>
        <w:spacing w:after="0" w:line="240" w:lineRule="auto"/>
      </w:pPr>
      <w:r w:rsidRPr="00881B2E">
        <w:t xml:space="preserve">Employees must </w:t>
      </w:r>
      <w:r w:rsidRPr="00881B2E">
        <w:rPr>
          <w:i/>
        </w:rPr>
        <w:t>at least</w:t>
      </w:r>
      <w:r w:rsidRPr="00881B2E">
        <w:t xml:space="preserve"> receive notice pay and statutory redundancy pay which is determined by individual’s time with the organisation and age.  For every year working after age 41 an individual will receive 1.5 weeks’ pay; it’s 1 week for every year after age 22, and half a week’s pay for every year before age 22 (ACAS, 2018).  If Employer renews a contract on the same T&amp;C’s or re-engages on </w:t>
      </w:r>
      <w:r w:rsidRPr="00881B2E">
        <w:lastRenderedPageBreak/>
        <w:t>suitable alternative employment within 4 weeks of contract expiration, there is no entitlement to statutory redundancy.  A four week trial is made available (Daniels, 2019)</w:t>
      </w:r>
    </w:p>
    <w:p w:rsidR="00881B2E" w:rsidRDefault="00881B2E" w:rsidP="00881B2E">
      <w:pPr>
        <w:spacing w:after="0" w:line="240" w:lineRule="auto"/>
      </w:pPr>
    </w:p>
    <w:p w:rsidR="00881B2E" w:rsidRPr="00881B2E" w:rsidRDefault="00881B2E" w:rsidP="00881B2E">
      <w:pPr>
        <w:spacing w:after="0" w:line="240" w:lineRule="auto"/>
      </w:pPr>
    </w:p>
    <w:p w:rsidR="00881B2E" w:rsidRPr="00881B2E" w:rsidRDefault="00881B2E" w:rsidP="00881B2E">
      <w:pPr>
        <w:spacing w:after="0" w:line="240" w:lineRule="auto"/>
      </w:pPr>
      <w:r w:rsidRPr="00881B2E">
        <w:rPr>
          <w:b/>
        </w:rPr>
        <w:t>(c)</w:t>
      </w:r>
      <w:r>
        <w:t xml:space="preserve"> </w:t>
      </w:r>
      <w:r w:rsidRPr="00881B2E">
        <w:t>TUPE protects Employees where a ‘Business Transfer’ or ‘Service Provision Change’ takes place.  With Business Transfers, there needs to be a handover of an economic entity that maintains its identity (CIPD, 2019).  It’s most likely to apply when ‘Transferee’ and ‘Transferor’ have the same business type and most employees (and customers) transfer.  For Service Provision changes, TUPE applies if a client ‘outsources’ work out or terminates a contract for an in-house service (‘insourcing’).  TUPE doesn’t apply for a single event or temporary change; or where no economic entity is sold (CIPD, 2019).</w:t>
      </w:r>
    </w:p>
    <w:p w:rsidR="00881B2E" w:rsidRPr="00881B2E" w:rsidRDefault="00881B2E" w:rsidP="00881B2E">
      <w:pPr>
        <w:spacing w:after="0" w:line="240" w:lineRule="auto"/>
      </w:pPr>
      <w:r w:rsidRPr="00881B2E">
        <w:t>Employees can’t object.  If they resign because they don’t wish to transfer; unfair or constructive dismissal can’t be claimed (Taylor &amp; Woodhams, 2016).</w:t>
      </w:r>
    </w:p>
    <w:p w:rsidR="00881B2E" w:rsidRPr="00881B2E" w:rsidRDefault="00881B2E" w:rsidP="00881B2E">
      <w:pPr>
        <w:spacing w:after="0" w:line="240" w:lineRule="auto"/>
      </w:pPr>
      <w:r w:rsidRPr="00881B2E">
        <w:t>Transferee’s aren’t required to pay into occupational pension arrangements, however they need to offer another option.  Criminal Liability won’t automatically transfer (CIPD, 2018).</w:t>
      </w:r>
    </w:p>
    <w:p w:rsidR="00881B2E" w:rsidRPr="00881B2E" w:rsidRDefault="00881B2E" w:rsidP="00881B2E">
      <w:pPr>
        <w:spacing w:after="0" w:line="240" w:lineRule="auto"/>
      </w:pPr>
      <w:r w:rsidRPr="00881B2E">
        <w:t>Transferee must receive employee information 28 days beforehand; including names, ages, employee statement of particulars, collective agreements and any disciplinary, grievance or legal action in last two years.  Consultation must happen with Employee Representatives; including transfer notification; reason; expected transfer date; Legal, Social or Economic Implications and predicted measures in place.  If no consultation takes place an individual may be granted up to 13 weeks’ wages (Daniels, 2019)</w:t>
      </w:r>
    </w:p>
    <w:p w:rsidR="00881B2E" w:rsidRPr="00881B2E" w:rsidRDefault="00881B2E" w:rsidP="00881B2E">
      <w:pPr>
        <w:spacing w:after="0" w:line="240" w:lineRule="auto"/>
      </w:pPr>
      <w:r w:rsidRPr="00881B2E">
        <w:t>ETO (Economic, Technical and Organisational) reasons are valid for refusal to take on transferring employees (CIPD, 2019).  Contractual changes are invalid unless for an ETO reason (CIPD, 2018).  Individuals will be protected by TUPE if their contracts have been terminated unfairly for reasons linked to the transfer directly before (Daniels, 2019).</w:t>
      </w:r>
    </w:p>
    <w:p w:rsidR="00881B2E" w:rsidRPr="00881B2E" w:rsidRDefault="00881B2E" w:rsidP="00881B2E">
      <w:pPr>
        <w:spacing w:after="0" w:line="240" w:lineRule="auto"/>
      </w:pPr>
    </w:p>
    <w:p w:rsidR="00881B2E" w:rsidRPr="00881B2E" w:rsidRDefault="00881B2E" w:rsidP="00881B2E">
      <w:pPr>
        <w:spacing w:after="0" w:line="240" w:lineRule="auto"/>
        <w:rPr>
          <w:rFonts w:cs="Arial"/>
        </w:rPr>
      </w:pPr>
    </w:p>
    <w:p w:rsidR="00881B2E" w:rsidRPr="00881B2E" w:rsidRDefault="00881B2E" w:rsidP="00881B2E">
      <w:pPr>
        <w:spacing w:after="0" w:line="240" w:lineRule="auto"/>
        <w:rPr>
          <w:rFonts w:cs="Arial"/>
        </w:rPr>
      </w:pPr>
    </w:p>
    <w:p w:rsidR="00881B2E" w:rsidRPr="00881B2E" w:rsidRDefault="00881B2E" w:rsidP="00881B2E">
      <w:pPr>
        <w:pStyle w:val="ListParagraph"/>
        <w:numPr>
          <w:ilvl w:val="0"/>
          <w:numId w:val="10"/>
        </w:numPr>
        <w:spacing w:after="0" w:line="240" w:lineRule="auto"/>
        <w:rPr>
          <w:rFonts w:cs="Arial"/>
          <w:b/>
        </w:rPr>
      </w:pPr>
      <w:r w:rsidRPr="00881B2E">
        <w:rPr>
          <w:rFonts w:cs="Arial"/>
          <w:b/>
        </w:rPr>
        <w:t xml:space="preserve">Summarise: </w:t>
      </w:r>
      <w:r w:rsidRPr="00881B2E">
        <w:rPr>
          <w:rFonts w:cs="Arial"/>
          <w:b/>
        </w:rPr>
        <w:br/>
        <w:t xml:space="preserve">(a) the major statutory rights employees have in relation to pay, holidays and </w:t>
      </w:r>
      <w:r w:rsidRPr="00881B2E">
        <w:rPr>
          <w:rFonts w:cs="Arial"/>
          <w:b/>
        </w:rPr>
        <w:br/>
        <w:t xml:space="preserve">     working time and, </w:t>
      </w:r>
      <w:r w:rsidRPr="00881B2E">
        <w:rPr>
          <w:rFonts w:cs="Arial"/>
          <w:b/>
        </w:rPr>
        <w:br/>
        <w:t>(b) the major maternity, paternity and other family-friendly employment rights.</w:t>
      </w:r>
    </w:p>
    <w:p w:rsidR="00881B2E" w:rsidRPr="00881B2E" w:rsidRDefault="00881B2E" w:rsidP="00881B2E">
      <w:pPr>
        <w:pStyle w:val="ListParagraph"/>
        <w:spacing w:after="0" w:line="240" w:lineRule="auto"/>
        <w:ind w:left="0"/>
        <w:rPr>
          <w:b/>
        </w:rPr>
      </w:pPr>
    </w:p>
    <w:p w:rsidR="00881B2E" w:rsidRPr="00881B2E" w:rsidRDefault="00881B2E" w:rsidP="00881B2E">
      <w:pPr>
        <w:spacing w:after="0" w:line="240" w:lineRule="auto"/>
      </w:pPr>
      <w:r w:rsidRPr="00881B2E">
        <w:rPr>
          <w:b/>
        </w:rPr>
        <w:t>(a)</w:t>
      </w:r>
      <w:r>
        <w:t xml:space="preserve"> </w:t>
      </w:r>
      <w:r w:rsidRPr="00881B2E">
        <w:t xml:space="preserve">A ‘Worker’ has a contract of employment or another contract (where it’s ‘expressed’ or ‘implied’) that they </w:t>
      </w:r>
      <w:r w:rsidRPr="00881B2E">
        <w:rPr>
          <w:i/>
        </w:rPr>
        <w:t xml:space="preserve">personally </w:t>
      </w:r>
      <w:r w:rsidRPr="00881B2E">
        <w:t xml:space="preserve">carry out duties for a different person or business, according to the Working Times Regulations 1998 (Daniels, 2019).  ‘Working Time’ is when the worker is reportable to the Employer, undertaking normal duties or training, or during another period the regulations consider ‘work’ (Daniels, 2019). </w:t>
      </w:r>
    </w:p>
    <w:p w:rsidR="00881B2E" w:rsidRPr="00881B2E" w:rsidRDefault="00881B2E" w:rsidP="00881B2E">
      <w:pPr>
        <w:spacing w:after="0" w:line="240" w:lineRule="auto"/>
      </w:pPr>
      <w:r w:rsidRPr="00881B2E">
        <w:t>Workers shouldn’t work longer than 48 hours average a week in a 17 week period. Night workers can work eight hours in 24 hours.   Individuals are entitled to eleven hours rest per day, a day off every week and rest of twenty minutes in six hours. Younger workers can rest more.  Twenty-Eight days paid holiday (including bank holidays) is an entitlement (CIPD, 2020).</w:t>
      </w:r>
    </w:p>
    <w:p w:rsidR="00881B2E" w:rsidRPr="00881B2E" w:rsidRDefault="00881B2E" w:rsidP="00881B2E">
      <w:pPr>
        <w:spacing w:after="0" w:line="240" w:lineRule="auto"/>
      </w:pPr>
      <w:r w:rsidRPr="00881B2E">
        <w:t>Workers are entitled to one week’s wages for every week of leave and can only receive accrued holiday entitlement (Daniels, 2019).  From 6</w:t>
      </w:r>
      <w:r w:rsidRPr="00881B2E">
        <w:rPr>
          <w:vertAlign w:val="superscript"/>
        </w:rPr>
        <w:t>th</w:t>
      </w:r>
      <w:r w:rsidRPr="00881B2E">
        <w:t xml:space="preserve"> April 2020, pay for annual leave is worked out from the average pay received over the 52 weeks prior.  Where overtime, commission or bonuses occur, these must be included in (as a minimum) 4 weeks of paid annual leave (ACAS 2020).  </w:t>
      </w:r>
    </w:p>
    <w:p w:rsidR="00881B2E" w:rsidRPr="00881B2E" w:rsidRDefault="00881B2E" w:rsidP="00881B2E">
      <w:pPr>
        <w:spacing w:after="0" w:line="240" w:lineRule="auto"/>
      </w:pPr>
      <w:r w:rsidRPr="00881B2E">
        <w:t xml:space="preserve">‘Stringer v HMRC’, 2009 case governed that statutory holiday entitlement continues to accrue during long term sick.  The ‘Pereda v Madrid Movilidad SA’, 2009 case ruled that an individual can reclaim their annual leave when they are off work ill over their holiday.   The ‘King v Sash Windows Ltd’, 2017 case ruled that individuals who’ve not taken accrued annual leave due to believing they were ‘self-employed’ could then receive backdated holiday entitlement (Daniels, 2019).  </w:t>
      </w:r>
    </w:p>
    <w:p w:rsidR="00881B2E" w:rsidRPr="00881B2E" w:rsidRDefault="00881B2E" w:rsidP="00881B2E">
      <w:pPr>
        <w:spacing w:after="0" w:line="240" w:lineRule="auto"/>
      </w:pPr>
      <w:r w:rsidRPr="00881B2E">
        <w:lastRenderedPageBreak/>
        <w:t>The Employment Rights Act 1996 states that an itemised pay statement on pay day is an entitlement.  Workers’ receiving a minimum hourly rate is enforced through the National Minimum Wage Act 1998.  Lawful deductions can be taken from wages when authorised by statute (e.g. PAYE and NI); in the contract of employment (e.g. payment for company equipment if damaged) or where there is an agreement in writing.  An employee has the right of a ‘Guarantee Payment’ when they haven’t received work on a day where they ordinarily should have, as long as they have one month’s continuous service (Daniels 2019).</w:t>
      </w:r>
    </w:p>
    <w:p w:rsidR="00881B2E" w:rsidRPr="00881B2E" w:rsidRDefault="00881B2E" w:rsidP="00881B2E">
      <w:pPr>
        <w:pStyle w:val="ListParagraph"/>
        <w:spacing w:after="0" w:line="240" w:lineRule="auto"/>
        <w:ind w:left="0"/>
        <w:rPr>
          <w:b/>
        </w:rPr>
      </w:pPr>
    </w:p>
    <w:p w:rsidR="00881B2E" w:rsidRPr="00881B2E" w:rsidRDefault="00881B2E" w:rsidP="00881B2E">
      <w:pPr>
        <w:spacing w:after="0" w:line="240" w:lineRule="auto"/>
      </w:pPr>
      <w:r w:rsidRPr="00881B2E">
        <w:rPr>
          <w:b/>
        </w:rPr>
        <w:t>(b)</w:t>
      </w:r>
      <w:r>
        <w:t xml:space="preserve"> </w:t>
      </w:r>
      <w:r w:rsidRPr="00881B2E">
        <w:t>Fifteen weeks prior to expected week of confinement (EWC), Employee must notify Employer in order to receive Ordinary Maternity Leave (OML) (Daniels, 2019).  Maternity leave kicks in if Employee is off sick due to pregnancy in the 4 weeks ahead of planned maternity leave being due to start (ACAS, 2019).  If requested, a risk assessment and reasonable adjustments should be provided (CIPD 2020).  Contract of employment, holidays, benefits and continuity of service remain whilst on Statutory Maternity Leave (SML).  Ten keeping in Touch days are available and following OML, Employee has the right to come back to their original position (Daniels 2019).  When someone’s employment has been continuous for 26 weeks and during the 8 weeks ahead of the 15th week before EWC, they earned at least the minimum requirement for payment of National Insurance contributions ,they are entitled to 39 weeks Statutory Maternity Pay (SMP). This works out at an individual receiving 90% of their weekly earnings in the first six weeks and the rest will be paid at the lower rate (CIPD 2020).</w:t>
      </w:r>
    </w:p>
    <w:p w:rsidR="00881B2E" w:rsidRPr="00881B2E" w:rsidRDefault="00881B2E" w:rsidP="00881B2E">
      <w:pPr>
        <w:spacing w:after="0" w:line="240" w:lineRule="auto"/>
      </w:pPr>
      <w:r w:rsidRPr="00881B2E">
        <w:t>Only ‘Employees’ have the right to Statutory Paternity Leave (SPL).  Entitlement is the same as SML in terms of qualification criteria but Employee must be the child’s father or Partner of the mother in order to be eligible.  28 days’ notice must be given and up to 2 weeks SPL taken in 56 days, after the date the child was born (Daniels 2019).  Statutory Adoption Leave (SAL) is again in line with SML. Individual has the right to receive adoption leave of 52 weeks (CIPD 2020).</w:t>
      </w:r>
    </w:p>
    <w:p w:rsidR="00881B2E" w:rsidRPr="00881B2E" w:rsidRDefault="00881B2E" w:rsidP="00881B2E">
      <w:pPr>
        <w:spacing w:after="0" w:line="240" w:lineRule="auto"/>
      </w:pPr>
      <w:r w:rsidRPr="00881B2E">
        <w:t>Unpaid leave for some working parents is termed ‘Statutory Parental Leave’.  The child must be under 18.  Total entitlement is 18 we</w:t>
      </w:r>
      <w:bookmarkStart w:id="0" w:name="_GoBack"/>
      <w:bookmarkEnd w:id="0"/>
      <w:r w:rsidRPr="00881B2E">
        <w:t>eks in blocks of weeks, and no more than 4 a year.  Shared Parental Leave (ShPL) is equivalent of SML or SAL but shared with partner.  Shared Parental Pay (ShPP) is for the couple and they can take twenty ‘Shared parental leave in touch’ days (Daniels, 2019).</w:t>
      </w:r>
    </w:p>
    <w:p w:rsidR="00881B2E" w:rsidRPr="00881B2E" w:rsidRDefault="00881B2E" w:rsidP="00881B2E">
      <w:pPr>
        <w:spacing w:after="0" w:line="240" w:lineRule="auto"/>
      </w:pPr>
      <w:r w:rsidRPr="00881B2E">
        <w:t>Employees can request changes to working hours, times or location.  They must submit a written application for flexible working.  If granted this will result in a contractual change.  A trial may be offered first.  Legislation outlines a number of reasons for which a request may be rejected.  Decision can be appealed within 14 days (Daniels, 2019).</w:t>
      </w:r>
    </w:p>
    <w:p w:rsidR="00881B2E" w:rsidRPr="00881B2E" w:rsidRDefault="00881B2E" w:rsidP="00881B2E">
      <w:pPr>
        <w:pStyle w:val="ListParagraph"/>
        <w:spacing w:after="0" w:line="240" w:lineRule="auto"/>
        <w:ind w:left="0"/>
      </w:pPr>
    </w:p>
    <w:p w:rsidR="00881B2E" w:rsidRPr="00881B2E" w:rsidRDefault="00881B2E" w:rsidP="00881B2E">
      <w:pPr>
        <w:pStyle w:val="ListParagraph"/>
        <w:spacing w:after="0" w:line="240" w:lineRule="auto"/>
        <w:ind w:left="0"/>
        <w:rPr>
          <w:rFonts w:cs="Arial"/>
          <w:b/>
        </w:rPr>
      </w:pPr>
      <w:r w:rsidRPr="00881B2E">
        <w:rPr>
          <w:rFonts w:cs="Arial"/>
          <w:b/>
        </w:rPr>
        <w:br/>
      </w:r>
    </w:p>
    <w:p w:rsidR="00881B2E" w:rsidRPr="00881B2E" w:rsidRDefault="00881B2E" w:rsidP="00881B2E">
      <w:pPr>
        <w:pStyle w:val="ListParagraph"/>
        <w:numPr>
          <w:ilvl w:val="0"/>
          <w:numId w:val="10"/>
        </w:numPr>
        <w:spacing w:after="0" w:line="240" w:lineRule="auto"/>
        <w:rPr>
          <w:rFonts w:cs="Arial"/>
          <w:b/>
        </w:rPr>
      </w:pPr>
      <w:r w:rsidRPr="00881B2E">
        <w:rPr>
          <w:rFonts w:cs="Arial"/>
          <w:b/>
        </w:rPr>
        <w:t>Summarise:</w:t>
      </w:r>
      <w:r w:rsidRPr="00881B2E">
        <w:rPr>
          <w:rFonts w:cs="Arial"/>
          <w:b/>
        </w:rPr>
        <w:br/>
        <w:t>(a) the major requirements of health and safety law</w:t>
      </w:r>
      <w:r w:rsidRPr="00881B2E">
        <w:rPr>
          <w:rFonts w:cs="Arial"/>
          <w:b/>
        </w:rPr>
        <w:br/>
        <w:t>(b) key legislation supporting equality and diversity in the workplace</w:t>
      </w:r>
      <w:r w:rsidRPr="00881B2E">
        <w:rPr>
          <w:rFonts w:cs="Arial"/>
          <w:b/>
        </w:rPr>
        <w:br/>
        <w:t>(c) the concept of implied duties in relation to employee management at work</w:t>
      </w:r>
    </w:p>
    <w:p w:rsidR="00881B2E" w:rsidRPr="00881B2E" w:rsidRDefault="00881B2E" w:rsidP="00881B2E">
      <w:pPr>
        <w:pStyle w:val="ListParagraph"/>
        <w:spacing w:after="0" w:line="240" w:lineRule="auto"/>
        <w:ind w:left="0"/>
        <w:rPr>
          <w:b/>
        </w:rPr>
      </w:pPr>
    </w:p>
    <w:p w:rsidR="00881B2E" w:rsidRPr="00881B2E" w:rsidRDefault="00881B2E" w:rsidP="00881B2E">
      <w:pPr>
        <w:pStyle w:val="ListParagraph"/>
        <w:spacing w:after="0" w:line="240" w:lineRule="auto"/>
        <w:ind w:left="0"/>
      </w:pPr>
      <w:r w:rsidRPr="00881B2E">
        <w:rPr>
          <w:b/>
        </w:rPr>
        <w:t>(a)</w:t>
      </w:r>
      <w:r>
        <w:t xml:space="preserve"> </w:t>
      </w:r>
      <w:r w:rsidRPr="00881B2E">
        <w:t>Key legislation ensuring workplaces are a safe place for Employees is detailed under the Health and Safety at Work Act (HASAWA), 1974.  According to Common Law, Employers must ensure their staff are protected.  With Contracts of Employment, it’s ‘implied’ that employers must ensure their employees work in a safe environment; with safe procedures; have suitable tools to do the job and appoint employees who care about Health &amp; Safety and look out for each other</w:t>
      </w:r>
      <w:r w:rsidR="009374EA">
        <w:t xml:space="preserve"> (CIPD, 2020)</w:t>
      </w:r>
      <w:r w:rsidRPr="00881B2E">
        <w:t>.  Where there may be a failure to comply with this, it leaves Organisations open to potential claims of constructive dismissal and personal injury.  It’s a criminal offence when Employers fail to provide insurance (CIPD, 2020).</w:t>
      </w:r>
    </w:p>
    <w:p w:rsidR="00881B2E" w:rsidRPr="00881B2E" w:rsidRDefault="00881B2E" w:rsidP="00881B2E">
      <w:pPr>
        <w:pStyle w:val="ListParagraph"/>
        <w:spacing w:after="0" w:line="240" w:lineRule="auto"/>
        <w:ind w:left="0"/>
      </w:pPr>
      <w:r w:rsidRPr="00881B2E">
        <w:lastRenderedPageBreak/>
        <w:t>The HASAWA requires that a H&amp;S policy is in place for all workplaces with more than 5 employees.  Where risk assessments are in place, this is far easier to defend in court.  Potential stress inducers in work must now be recorded on risk assessments (Taylor and Woodhams, 2016).</w:t>
      </w:r>
    </w:p>
    <w:p w:rsidR="00881B2E" w:rsidRPr="00881B2E" w:rsidRDefault="00881B2E" w:rsidP="00881B2E">
      <w:pPr>
        <w:pStyle w:val="ListParagraph"/>
        <w:spacing w:after="0" w:line="240" w:lineRule="auto"/>
        <w:ind w:left="0"/>
      </w:pPr>
      <w:r w:rsidRPr="00881B2E">
        <w:t>Employees also have Health and Safety responsibilities.  The HASAWA states that it’s important for individuals to look after their own health and safety and that of others, working in collaboration with their Employer.  More specific duties linked to employees are detailed in other health and safety legislation such as ensuring the use of Personal Protective Equipment where provided, following employers safe systems of work and flagging up limitations or severe, impending threats to Health &amp; Safety (Daniels, 2019).</w:t>
      </w:r>
    </w:p>
    <w:p w:rsidR="00881B2E" w:rsidRPr="00881B2E" w:rsidRDefault="00881B2E" w:rsidP="00881B2E">
      <w:pPr>
        <w:pStyle w:val="ListParagraph"/>
        <w:spacing w:after="0" w:line="240" w:lineRule="auto"/>
        <w:ind w:left="0"/>
        <w:rPr>
          <w:b/>
        </w:rPr>
      </w:pPr>
    </w:p>
    <w:p w:rsidR="00881B2E" w:rsidRPr="00881B2E" w:rsidRDefault="00881B2E" w:rsidP="00881B2E">
      <w:pPr>
        <w:spacing w:after="0" w:line="240" w:lineRule="auto"/>
      </w:pPr>
      <w:r w:rsidRPr="00881B2E">
        <w:rPr>
          <w:b/>
        </w:rPr>
        <w:t>(b)</w:t>
      </w:r>
      <w:r>
        <w:t xml:space="preserve"> </w:t>
      </w:r>
      <w:r w:rsidRPr="00881B2E">
        <w:t xml:space="preserve">Individuals in work along with the general public are protected from discrimination by the Equality Act 2010 which replaced 9 previous laws such as the Sex Discrimination Act, 1975; the Race Relations Act, 1976 and the Disability Discrimination Act, 1995 (GOV.UK, 2013).  It also replaced more than 100 pieces of smaller legislation.  The aim is to harmonise discrimination laws and make them simpler.  Nine protected characteristics are covered by the Act on which the basis of discrimination takes place along with 6 main discrimination categories.  Employees, Workers, Ex-Employees and Job Applicants are protected (Daniels, 2019).  </w:t>
      </w:r>
    </w:p>
    <w:p w:rsidR="00881B2E" w:rsidRPr="00881B2E" w:rsidRDefault="00881B2E" w:rsidP="00881B2E">
      <w:pPr>
        <w:pStyle w:val="ListParagraph"/>
        <w:spacing w:after="0" w:line="240" w:lineRule="auto"/>
        <w:ind w:left="0"/>
      </w:pPr>
      <w:r w:rsidRPr="00881B2E">
        <w:t>Just some ways in which the legislation supports Equality and Diversity is by ensuring the entitlement to the same pay for both men and women (ACAS, 2010).  It protects individuals from discriminatory job adverts.  Employers are unable to ask about ‘protected characteristics’ or Spent Convictions.   Health or Disability can only be discussed for minimal, specific reasons.  Employers can further support a disabled candidate over a non-disabled candidate where they equally achieve the standards required for the position (GOV.UK, 2018).   Where a disabled person is struggling in work or has been off sick due to their disability, it is the responsibility of their Employer to look at what changes can be made to support them.  This is termed ‘positive action’ which is justified under the legislation to support underrepresented groups or those with ‘protected characteristics’.  Employers will need to evidence they aren’t discriminating against others by doing this (ACAS, 2010).</w:t>
      </w:r>
    </w:p>
    <w:p w:rsidR="00881B2E" w:rsidRPr="00881B2E" w:rsidRDefault="00881B2E" w:rsidP="00881B2E">
      <w:pPr>
        <w:pStyle w:val="ListParagraph"/>
        <w:spacing w:after="0" w:line="240" w:lineRule="auto"/>
        <w:ind w:left="0"/>
        <w:rPr>
          <w:rFonts w:cs="Arial"/>
          <w:b/>
        </w:rPr>
      </w:pPr>
      <w:r w:rsidRPr="00881B2E">
        <w:rPr>
          <w:rFonts w:cs="Arial"/>
          <w:b/>
        </w:rPr>
        <w:br/>
      </w:r>
      <w:r>
        <w:rPr>
          <w:rFonts w:cs="Arial"/>
          <w:b/>
        </w:rPr>
        <w:t>(</w:t>
      </w:r>
      <w:r w:rsidR="009374EA">
        <w:rPr>
          <w:rFonts w:cs="Arial"/>
          <w:b/>
        </w:rPr>
        <w:t>c)</w:t>
      </w:r>
      <w:r>
        <w:rPr>
          <w:rFonts w:cs="Arial"/>
          <w:b/>
        </w:rPr>
        <w:t xml:space="preserve"> </w:t>
      </w:r>
      <w:r w:rsidRPr="00881B2E">
        <w:rPr>
          <w:rFonts w:cs="Arial"/>
        </w:rPr>
        <w:t>Both Employers and their staff have</w:t>
      </w:r>
      <w:r w:rsidRPr="00881B2E">
        <w:rPr>
          <w:rFonts w:cs="Arial"/>
          <w:b/>
        </w:rPr>
        <w:t xml:space="preserve"> </w:t>
      </w:r>
      <w:r w:rsidRPr="00881B2E">
        <w:t xml:space="preserve">obligations to meet by law that are </w:t>
      </w:r>
      <w:r w:rsidRPr="00881B2E">
        <w:rPr>
          <w:i/>
        </w:rPr>
        <w:t>implied</w:t>
      </w:r>
      <w:r w:rsidRPr="00881B2E">
        <w:t xml:space="preserve"> into contracts of employment</w:t>
      </w:r>
      <w:r w:rsidR="009374EA">
        <w:t xml:space="preserve"> (Daniels, 2019)</w:t>
      </w:r>
      <w:r w:rsidRPr="00881B2E">
        <w:t>.  The Employer has an implied responsibility to ensure employees’ are paid and make work available for them.  Employee references must be correct.   They must provide a fair representation of the employee.  Health and safety of all employees must be guaranteed.  Employers must reimburse Employees for any liabilities linked to their employment such as business expenses.  Employers must ensure employees are made aware of any rights they may not be aware of, but also through the correct communication method i.e. putting a notice on a notice board would not be sufficient for employees who aren’t based in the office.  Employers must ensure bullying in the workplace is not accepted.   Employers must respect individual’s privacy and follow grievance processes thoroughly.  It’s an implied responsibility for both Employer and Employee to maintain reciprocated trust and confidence (Daniels, 2019).</w:t>
      </w:r>
    </w:p>
    <w:p w:rsidR="00881B2E" w:rsidRPr="00881B2E" w:rsidRDefault="00881B2E" w:rsidP="00881B2E">
      <w:pPr>
        <w:pStyle w:val="ListParagraph"/>
        <w:spacing w:after="0" w:line="240" w:lineRule="auto"/>
        <w:ind w:left="0"/>
      </w:pPr>
      <w:r w:rsidRPr="00881B2E">
        <w:t>For the employee, it is implied that they should conform to reasonable (and legal) Employer instructions.   They must cooperate with their employer.  If industrial action has been taken outside of the relevant legislation, this is not evidence of cooperation. Employees must not carry out any conflicting duties to that of their employer i.e. they must not work as a competitor. The employee should take care in carrying out contractual duties; if they damaged property for example, they may be liable to reimburse the employer for these damages (Daniels, 2019).</w:t>
      </w:r>
    </w:p>
    <w:p w:rsidR="00881B2E" w:rsidRPr="00881B2E" w:rsidRDefault="00881B2E" w:rsidP="00881B2E">
      <w:pPr>
        <w:pStyle w:val="ListParagraph"/>
        <w:spacing w:after="0" w:line="240" w:lineRule="auto"/>
        <w:ind w:left="360"/>
      </w:pPr>
    </w:p>
    <w:p w:rsidR="00881B2E" w:rsidRPr="00881B2E" w:rsidRDefault="00881B2E" w:rsidP="00881B2E">
      <w:pPr>
        <w:rPr>
          <w:rFonts w:cs="Arial"/>
          <w:b/>
        </w:rPr>
      </w:pPr>
    </w:p>
    <w:p w:rsidR="00881B2E" w:rsidRDefault="00881B2E" w:rsidP="00881B2E">
      <w:pPr>
        <w:rPr>
          <w:rFonts w:cs="Arial"/>
          <w:b/>
        </w:rPr>
      </w:pPr>
    </w:p>
    <w:p w:rsidR="00881B2E" w:rsidRPr="00881B2E" w:rsidRDefault="00881B2E" w:rsidP="00881B2E">
      <w:pPr>
        <w:rPr>
          <w:rFonts w:cs="Arial"/>
          <w:b/>
        </w:rPr>
      </w:pPr>
    </w:p>
    <w:p w:rsidR="00881B2E" w:rsidRPr="00881B2E" w:rsidRDefault="00881B2E" w:rsidP="00881B2E">
      <w:pPr>
        <w:rPr>
          <w:rFonts w:cstheme="minorHAnsi"/>
        </w:rPr>
      </w:pPr>
      <w:r w:rsidRPr="00881B2E">
        <w:rPr>
          <w:rFonts w:cs="Arial"/>
          <w:b/>
        </w:rPr>
        <w:lastRenderedPageBreak/>
        <w:t xml:space="preserve">6. Explain briefly the main requirements of unfair dismissal law in respect of: </w:t>
      </w:r>
      <w:r w:rsidRPr="00881B2E">
        <w:rPr>
          <w:rFonts w:cs="Arial"/>
          <w:b/>
        </w:rPr>
        <w:br/>
        <w:t xml:space="preserve">(a) capability </w:t>
      </w:r>
      <w:r w:rsidRPr="00881B2E">
        <w:rPr>
          <w:rFonts w:cs="Arial"/>
          <w:b/>
        </w:rPr>
        <w:br/>
        <w:t>(b) misconduct</w:t>
      </w:r>
      <w:r w:rsidRPr="00881B2E">
        <w:rPr>
          <w:rFonts w:cs="Arial"/>
          <w:b/>
        </w:rPr>
        <w:br/>
        <w:t>(c) grievance</w:t>
      </w:r>
      <w:r w:rsidRPr="00881B2E">
        <w:rPr>
          <w:rFonts w:cs="Arial"/>
          <w:sz w:val="20"/>
          <w:szCs w:val="20"/>
        </w:rPr>
        <w:br/>
      </w:r>
    </w:p>
    <w:p w:rsidR="00881B2E" w:rsidRPr="00881B2E" w:rsidRDefault="00881B2E" w:rsidP="00881B2E">
      <w:pPr>
        <w:rPr>
          <w:rFonts w:cstheme="minorHAnsi"/>
        </w:rPr>
      </w:pPr>
      <w:r w:rsidRPr="00881B2E">
        <w:rPr>
          <w:b/>
        </w:rPr>
        <w:t>(a)</w:t>
      </w:r>
      <w:r w:rsidRPr="00881B2E">
        <w:t xml:space="preserve"> When a contract is terminated; contracts that have a fixed end date aren’t renewed; or when due to Employer behaviour, someone leaves their job; these are all classed as ‘Dismissal’.  According to the Employment Rights Act 1996 there are 5 explanations for dismissal that normally indicate a ‘fair’ decision i.e. ‘Conduct’; ‘Capability or qualifications’; ‘Statutory Ban’; ‘Some Other Substantial Reason’ and ‘Redundancy’ (CIPD, 2020).  With Capability, the Employer must evidence the job requirements were clarified during recruitment and induction; necessary training was provided and consequences of not hitting the required standard were made clear.  To ensure a fair dismissal where capability is linked will ill health, the nature of the illness must be considered; the length of current absence and potential return to work date; the organisation size and business impact.  The Employment Tribunal considers ‘reasonableness’ to determine an unfair or fair dismissal outcome.  The ‘BS v Dundee City Council’ (2013) case considered an individual with 35 untarnished years’ service but with a recent ill health 12 month absence.  The Doctor deemed it likely for a return within 1-3 months but the employee was dismissed due to length of absence and no fixed return date.  To consider if dismissal was unfair, the court had to contemplate if a ‘reasonable’ employer would’ve waited longer; if it was possible to wait longer; if the employee was consulted; the medical evidence and if reasonable attempts were made to understand the illness. Investigation and potential solutions are key to ensuring dismissal on capability isn’t unfair (Daniels, 2019).</w:t>
      </w:r>
    </w:p>
    <w:p w:rsidR="00881B2E" w:rsidRPr="00881B2E" w:rsidRDefault="00881B2E" w:rsidP="00881B2E">
      <w:pPr>
        <w:rPr>
          <w:rFonts w:cstheme="minorHAnsi"/>
        </w:rPr>
      </w:pPr>
      <w:r w:rsidRPr="00881B2E">
        <w:rPr>
          <w:rFonts w:cstheme="minorHAnsi"/>
          <w:b/>
        </w:rPr>
        <w:t>(b)</w:t>
      </w:r>
      <w:r w:rsidRPr="00881B2E">
        <w:rPr>
          <w:rFonts w:cstheme="minorHAnsi"/>
        </w:rPr>
        <w:t xml:space="preserve"> </w:t>
      </w:r>
      <w:r w:rsidRPr="00881B2E">
        <w:t>‘Gross Misconduct’ and ‘Misconduct’ are reasons for dismissal under the Conduct category.  For Gross Misconduct, no notice is required to terminate a contract; examples of such may be theft or assault.  Misconduct which could be dismissal for potentially use of bad language or continuous lateness, has normally been dealt with prior, through previous warnings (Daniels 2019).</w:t>
      </w:r>
      <w:r w:rsidRPr="00881B2E">
        <w:rPr>
          <w:rFonts w:cstheme="minorHAnsi"/>
        </w:rPr>
        <w:t xml:space="preserve">  </w:t>
      </w:r>
      <w:r w:rsidRPr="00881B2E">
        <w:t>For a dismissal of this nature to be classed as ‘fair’, the Employer must ensure the misconduct was the reason for dismissal and it was a reasonable decision to dismiss.  There is no need to evidence guiltiness of misconduct for dismissal to be deemed fair (Brook, 2018).</w:t>
      </w:r>
      <w:r w:rsidRPr="00881B2E">
        <w:rPr>
          <w:rFonts w:cstheme="minorHAnsi"/>
        </w:rPr>
        <w:t xml:space="preserve">  </w:t>
      </w:r>
      <w:r w:rsidRPr="00881B2E">
        <w:t xml:space="preserve">The ‘Burchell Test’ is the test of </w:t>
      </w:r>
      <w:r w:rsidRPr="00881B2E">
        <w:rPr>
          <w:i/>
        </w:rPr>
        <w:t>reasonableness</w:t>
      </w:r>
      <w:r w:rsidRPr="00881B2E">
        <w:t xml:space="preserve"> that is used in an Employment Tribunal to assess fairness of dismissal. This derived from the ’British Home Stores v Burchell’ 1980 situation which saw an outcome reversed by an Employment Appeal Tribunal (EAT), as it was believed there to be three main points to prove a dismissal to be fair i.e. ‘The fact fundamental to the belief must be established’; ‘a thorough investigation must be held and prove the belief to be held on reasonable grounds’ and ‘the investigation must be reasonable’ (Daniels, 2019).</w:t>
      </w:r>
      <w:r w:rsidRPr="00881B2E">
        <w:rPr>
          <w:rFonts w:cstheme="minorHAnsi"/>
        </w:rPr>
        <w:t xml:space="preserve">  </w:t>
      </w:r>
      <w:r w:rsidRPr="00881B2E">
        <w:t>During a thorough investigation it would be expected that evidence would’ve been collated, witness statements gathered and the employee given the opportunity to defend the alleged claim.  Where extenuating circumstances were present or the conduct was out of character, this should’ve been taken into account (Brook 2018).</w:t>
      </w:r>
    </w:p>
    <w:p w:rsidR="00881B2E" w:rsidRDefault="00881B2E" w:rsidP="00881B2E">
      <w:pPr>
        <w:spacing w:line="240" w:lineRule="auto"/>
      </w:pPr>
      <w:r w:rsidRPr="00881B2E">
        <w:rPr>
          <w:b/>
        </w:rPr>
        <w:t>(c)</w:t>
      </w:r>
      <w:r w:rsidRPr="00881B2E">
        <w:t xml:space="preserve"> Disciplinary and Grievance Procedures provide consistency, fairness and ensure difficulties that arise in working relationships are dealt with reasonably.  Employers need to adhere to the ACAS Code of Practice.  Where disciplinary action needs to be taken it should follow the code.  The ACAS non-statutory guidance recommends a first written warning should stay on record for 6 months and one year where written warnings are final (CIPD, 2019).    The three stages to adhere to, when addressing grievance concerns are outlined in the ACAS code of practice.   A letter is to be sent </w:t>
      </w:r>
      <w:r w:rsidRPr="00881B2E">
        <w:lastRenderedPageBreak/>
        <w:t>detailing the reason for the grievance; a meeting held to talk about it; and individual concerned given appeal entitlement. Employees and workers are entitled to attend a hearing of this nature with support from a Trade Union Representative or a Colleague (Daniels, 2019).</w:t>
      </w:r>
      <w:r>
        <w:t xml:space="preserve">  </w:t>
      </w:r>
    </w:p>
    <w:p w:rsidR="00881B2E" w:rsidRDefault="00881B2E" w:rsidP="00881B2E">
      <w:pPr>
        <w:spacing w:line="240" w:lineRule="auto"/>
      </w:pPr>
      <w:r w:rsidRPr="00881B2E">
        <w:t>An employee can resign and make a Constructive Dismissal claim if there has been a breach of contract due to the Employer’s conduct.  An Employment Tribunal upheld a Constructive Dismissal claim in the ‘Western Excavating (ECC) Ltd v Sharp’ Case.  This was overturned by the Court of Appeal who found the Employment Tribunal had assessed whether the Employer had acted ‘reasonably’.  The test for constructive dismissal is assessing if the contract has been breached (Daniels, 2019).</w:t>
      </w:r>
    </w:p>
    <w:p w:rsidR="00881B2E" w:rsidRPr="00881B2E" w:rsidRDefault="00881B2E" w:rsidP="00881B2E">
      <w:pPr>
        <w:spacing w:line="240" w:lineRule="auto"/>
      </w:pPr>
      <w:r w:rsidRPr="00881B2E">
        <w:t>Some reasons for claiming Automatic Unfair Dismissal require a two year qualifying period.  Some reasons that don’t however may be, dismissal fora pregnancy related issue; disclosing fraud; asserting entitlement for payment of minimum wage or for being a trade union member (Daniels, 2019).</w:t>
      </w:r>
    </w:p>
    <w:p w:rsidR="00881B2E" w:rsidRPr="00881B2E" w:rsidRDefault="00881B2E" w:rsidP="00881B2E">
      <w:pPr>
        <w:rPr>
          <w:b/>
        </w:rPr>
      </w:pPr>
    </w:p>
    <w:p w:rsidR="00881B2E" w:rsidRPr="00881B2E" w:rsidRDefault="00881B2E" w:rsidP="00881B2E">
      <w:pPr>
        <w:rPr>
          <w:b/>
        </w:rPr>
      </w:pPr>
      <w:r w:rsidRPr="00881B2E">
        <w:rPr>
          <w:b/>
        </w:rPr>
        <w:t>BIBLIOGRAPHY:</w:t>
      </w:r>
    </w:p>
    <w:p w:rsidR="00881B2E" w:rsidRPr="00881B2E" w:rsidRDefault="00881B2E" w:rsidP="00881B2E">
      <w:r w:rsidRPr="00881B2E">
        <w:t xml:space="preserve">ACAS (2019) </w:t>
      </w:r>
      <w:r w:rsidRPr="00881B2E">
        <w:rPr>
          <w:i/>
        </w:rPr>
        <w:t xml:space="preserve">Changing an Employment Contract </w:t>
      </w:r>
      <w:r w:rsidRPr="00881B2E">
        <w:t xml:space="preserve">[On-line] Available at: </w:t>
      </w:r>
      <w:hyperlink r:id="rId6" w:history="1">
        <w:r w:rsidRPr="00881B2E">
          <w:rPr>
            <w:rStyle w:val="Hyperlink"/>
          </w:rPr>
          <w:t>https://www.acas.org.uk/changing-an-employment-contract/check-if-the-contract-allows-a-change</w:t>
        </w:r>
      </w:hyperlink>
      <w:r w:rsidRPr="00881B2E">
        <w:t xml:space="preserve"> (Accessed: 19 April 2020)</w:t>
      </w:r>
    </w:p>
    <w:p w:rsidR="00881B2E" w:rsidRPr="00881B2E" w:rsidRDefault="00881B2E" w:rsidP="00881B2E">
      <w:r w:rsidRPr="00881B2E">
        <w:t xml:space="preserve">ACAS (2020) </w:t>
      </w:r>
      <w:r w:rsidRPr="00881B2E">
        <w:rPr>
          <w:i/>
        </w:rPr>
        <w:t xml:space="preserve">Checking Holiday Entitlement </w:t>
      </w:r>
      <w:r w:rsidRPr="00881B2E">
        <w:t xml:space="preserve">[On-line] Available at: </w:t>
      </w:r>
      <w:hyperlink r:id="rId7" w:history="1">
        <w:r w:rsidRPr="00881B2E">
          <w:rPr>
            <w:rStyle w:val="Hyperlink"/>
          </w:rPr>
          <w:t>https://www.acas.org.uk/checking-holiday-entitlement/calculating-holiday-pay</w:t>
        </w:r>
      </w:hyperlink>
      <w:r w:rsidRPr="00881B2E">
        <w:t xml:space="preserve"> (Accessed 21 April 2020)</w:t>
      </w:r>
    </w:p>
    <w:p w:rsidR="00881B2E" w:rsidRPr="00881B2E" w:rsidRDefault="00881B2E" w:rsidP="00881B2E">
      <w:r w:rsidRPr="00881B2E">
        <w:t xml:space="preserve">ACAS (2018) </w:t>
      </w:r>
      <w:r w:rsidRPr="00881B2E">
        <w:rPr>
          <w:i/>
        </w:rPr>
        <w:t xml:space="preserve">Manage Staff Redundancies </w:t>
      </w:r>
      <w:r w:rsidRPr="00881B2E">
        <w:t xml:space="preserve">[On-line] Available at: </w:t>
      </w:r>
      <w:hyperlink r:id="rId8" w:history="1">
        <w:r w:rsidRPr="00881B2E">
          <w:rPr>
            <w:rStyle w:val="Hyperlink"/>
          </w:rPr>
          <w:t>https://www.acas.org.uk/manage-staff-redundancies/consult-your-employees</w:t>
        </w:r>
      </w:hyperlink>
      <w:r w:rsidRPr="00881B2E">
        <w:t xml:space="preserve"> (Accessed: 19 April 2020)</w:t>
      </w:r>
    </w:p>
    <w:p w:rsidR="00881B2E" w:rsidRPr="00881B2E" w:rsidRDefault="00881B2E" w:rsidP="00881B2E">
      <w:r w:rsidRPr="00881B2E">
        <w:t xml:space="preserve">ACAS (2018) </w:t>
      </w:r>
      <w:r w:rsidRPr="00881B2E">
        <w:rPr>
          <w:i/>
        </w:rPr>
        <w:t xml:space="preserve">Manage Staff Redundancies </w:t>
      </w:r>
      <w:r w:rsidRPr="00881B2E">
        <w:t xml:space="preserve">[On-line] Available at: </w:t>
      </w:r>
      <w:hyperlink r:id="rId9" w:history="1">
        <w:r w:rsidRPr="00881B2E">
          <w:rPr>
            <w:rStyle w:val="Hyperlink"/>
          </w:rPr>
          <w:t>https://www.acas.org.uk/manage-staff-redundancies/work-out-redundancy-pay</w:t>
        </w:r>
      </w:hyperlink>
      <w:r w:rsidRPr="00881B2E">
        <w:t xml:space="preserve"> (Accessed: 19 April 2020)</w:t>
      </w:r>
    </w:p>
    <w:p w:rsidR="00881B2E" w:rsidRPr="00881B2E" w:rsidRDefault="00881B2E" w:rsidP="00881B2E">
      <w:r w:rsidRPr="00881B2E">
        <w:t xml:space="preserve">ACAS (2015) </w:t>
      </w:r>
      <w:r w:rsidRPr="00881B2E">
        <w:rPr>
          <w:i/>
        </w:rPr>
        <w:t xml:space="preserve">Protected Characteristics </w:t>
      </w:r>
      <w:r w:rsidRPr="00881B2E">
        <w:t xml:space="preserve">[Video].  Available at: </w:t>
      </w:r>
      <w:hyperlink r:id="rId10" w:history="1">
        <w:r w:rsidRPr="00881B2E">
          <w:rPr>
            <w:rStyle w:val="Hyperlink"/>
          </w:rPr>
          <w:t>https://www.youtube.com/watch?edufilter=NULL&amp;v=prkUa-bEYkE</w:t>
        </w:r>
      </w:hyperlink>
      <w:r w:rsidRPr="00881B2E">
        <w:t xml:space="preserve"> (Accessed: 15 April 2020)</w:t>
      </w:r>
    </w:p>
    <w:p w:rsidR="00881B2E" w:rsidRPr="00881B2E" w:rsidRDefault="00881B2E" w:rsidP="00881B2E">
      <w:r w:rsidRPr="00881B2E">
        <w:t xml:space="preserve">ACAS (2010) </w:t>
      </w:r>
      <w:r w:rsidRPr="00881B2E">
        <w:rPr>
          <w:i/>
        </w:rPr>
        <w:t xml:space="preserve">The Equality Act 2010 </w:t>
      </w:r>
      <w:r w:rsidRPr="00881B2E">
        <w:t xml:space="preserve">[On-line] Available at: </w:t>
      </w:r>
      <w:hyperlink r:id="rId11" w:history="1">
        <w:r w:rsidRPr="00881B2E">
          <w:rPr>
            <w:rStyle w:val="Hyperlink"/>
          </w:rPr>
          <w:t>https://archive.acas.org.uk/index.aspx?articleid=3017</w:t>
        </w:r>
      </w:hyperlink>
      <w:r w:rsidRPr="00881B2E">
        <w:t xml:space="preserve"> (Accessed: 22 April 2020)</w:t>
      </w:r>
    </w:p>
    <w:p w:rsidR="00881B2E" w:rsidRPr="00881B2E" w:rsidRDefault="00881B2E" w:rsidP="00881B2E">
      <w:r w:rsidRPr="00881B2E">
        <w:t xml:space="preserve">ACAS (2019) </w:t>
      </w:r>
      <w:r w:rsidRPr="00881B2E">
        <w:rPr>
          <w:i/>
        </w:rPr>
        <w:t xml:space="preserve">Your Maternity Leave, Pay and Other Rights </w:t>
      </w:r>
      <w:r w:rsidRPr="00881B2E">
        <w:t xml:space="preserve">[On-line] Available at: </w:t>
      </w:r>
      <w:hyperlink r:id="rId12" w:history="1">
        <w:r w:rsidRPr="00881B2E">
          <w:rPr>
            <w:rStyle w:val="Hyperlink"/>
          </w:rPr>
          <w:t>https://www.acas.org.uk/your-maternity-leave-pay-and-other-rights/health-at-work-during-pregnancy</w:t>
        </w:r>
      </w:hyperlink>
      <w:r w:rsidRPr="00881B2E">
        <w:t xml:space="preserve"> (Accessed 21 April 2020)</w:t>
      </w:r>
    </w:p>
    <w:p w:rsidR="00881B2E" w:rsidRPr="00881B2E" w:rsidRDefault="00881B2E" w:rsidP="00881B2E">
      <w:r w:rsidRPr="00881B2E">
        <w:t xml:space="preserve">BROOK, C (2018) ‘When is it possible to dismiss an employee for gross misconduct?’ </w:t>
      </w:r>
      <w:r w:rsidRPr="00881B2E">
        <w:rPr>
          <w:i/>
        </w:rPr>
        <w:t xml:space="preserve">People Management, </w:t>
      </w:r>
      <w:r w:rsidRPr="00881B2E">
        <w:t xml:space="preserve">April 2018, Available at: </w:t>
      </w:r>
      <w:hyperlink r:id="rId13" w:history="1">
        <w:r w:rsidRPr="00881B2E">
          <w:rPr>
            <w:rStyle w:val="Hyperlink"/>
          </w:rPr>
          <w:t>https://www.peoplemanagement.co.uk/experts/legal/dismiss-employee-gross-misconduct</w:t>
        </w:r>
      </w:hyperlink>
      <w:r w:rsidRPr="00881B2E">
        <w:t xml:space="preserve"> (Accessed 24 April 2020)</w:t>
      </w:r>
    </w:p>
    <w:p w:rsidR="00881B2E" w:rsidRPr="00881B2E" w:rsidRDefault="00881B2E" w:rsidP="00881B2E">
      <w:r w:rsidRPr="00881B2E">
        <w:t xml:space="preserve">CIPD (2018) ‘A Guide to Tupe Transfers’, </w:t>
      </w:r>
      <w:r w:rsidRPr="00881B2E">
        <w:rPr>
          <w:i/>
        </w:rPr>
        <w:t xml:space="preserve">CIPD Guide, </w:t>
      </w:r>
      <w:r w:rsidRPr="00881B2E">
        <w:t xml:space="preserve">June 2018, pp. 01 – 27.  Available at: </w:t>
      </w:r>
      <w:hyperlink r:id="rId14" w:history="1">
        <w:r w:rsidRPr="00881B2E">
          <w:rPr>
            <w:rStyle w:val="Hyperlink"/>
          </w:rPr>
          <w:t>https://www.cipd.co.uk/Images/7697-a-guide-to-tupe-transfers-web_tcm18-44310.pdf</w:t>
        </w:r>
      </w:hyperlink>
      <w:r w:rsidRPr="00881B2E">
        <w:t xml:space="preserve"> (Accessed 20 April 2020)</w:t>
      </w:r>
    </w:p>
    <w:p w:rsidR="00881B2E" w:rsidRPr="00881B2E" w:rsidRDefault="00881B2E" w:rsidP="00881B2E">
      <w:r w:rsidRPr="00881B2E">
        <w:lastRenderedPageBreak/>
        <w:t xml:space="preserve">CIPD (2020) </w:t>
      </w:r>
      <w:r w:rsidRPr="00881B2E">
        <w:rPr>
          <w:i/>
        </w:rPr>
        <w:t xml:space="preserve">Contracts of Employment </w:t>
      </w:r>
      <w:r w:rsidRPr="00881B2E">
        <w:t xml:space="preserve">[On-line] Available at: </w:t>
      </w:r>
      <w:hyperlink r:id="rId15" w:history="1">
        <w:r w:rsidRPr="00881B2E">
          <w:rPr>
            <w:rStyle w:val="Hyperlink"/>
          </w:rPr>
          <w:t>https://www.cipd.co.uk/knowledge/fundamentals/emp-law/terms-conditions/contracts-factsheet</w:t>
        </w:r>
      </w:hyperlink>
      <w:r w:rsidRPr="00881B2E">
        <w:t xml:space="preserve"> (Accessed 18 April 2020)</w:t>
      </w:r>
    </w:p>
    <w:p w:rsidR="00881B2E" w:rsidRPr="00881B2E" w:rsidRDefault="00881B2E" w:rsidP="00881B2E">
      <w:r w:rsidRPr="00881B2E">
        <w:t xml:space="preserve">CIPD (2019) </w:t>
      </w:r>
      <w:r w:rsidRPr="00881B2E">
        <w:rPr>
          <w:i/>
        </w:rPr>
        <w:t xml:space="preserve">Discipline and Grievance at Work </w:t>
      </w:r>
      <w:r w:rsidRPr="00881B2E">
        <w:t xml:space="preserve">[On-line] Available at: </w:t>
      </w:r>
      <w:hyperlink r:id="rId16" w:history="1">
        <w:r w:rsidRPr="00881B2E">
          <w:rPr>
            <w:rStyle w:val="Hyperlink"/>
          </w:rPr>
          <w:t>https://www.cipd.co.uk/knowledge/fundamentals/emp-law/discipline/factsheet</w:t>
        </w:r>
      </w:hyperlink>
      <w:r w:rsidRPr="00881B2E">
        <w:t xml:space="preserve"> (Accessed: 24 April 2020)</w:t>
      </w:r>
    </w:p>
    <w:p w:rsidR="00881B2E" w:rsidRPr="00881B2E" w:rsidRDefault="00881B2E" w:rsidP="00881B2E">
      <w:r w:rsidRPr="00881B2E">
        <w:t xml:space="preserve">CIPD (2019) </w:t>
      </w:r>
      <w:r w:rsidRPr="00881B2E">
        <w:rPr>
          <w:i/>
        </w:rPr>
        <w:t xml:space="preserve">Dismissal Procedure </w:t>
      </w:r>
      <w:r w:rsidRPr="00881B2E">
        <w:t xml:space="preserve">[On-line] Available at: </w:t>
      </w:r>
      <w:hyperlink r:id="rId17" w:history="1">
        <w:r w:rsidRPr="00881B2E">
          <w:rPr>
            <w:rStyle w:val="Hyperlink"/>
          </w:rPr>
          <w:t>https://www.cipd.co.uk/knowledge/fundamentals/emp-law/dismissal/factsheet</w:t>
        </w:r>
      </w:hyperlink>
      <w:r w:rsidRPr="00881B2E">
        <w:t xml:space="preserve"> (Accessed: 23 April 2020)</w:t>
      </w:r>
    </w:p>
    <w:p w:rsidR="00881B2E" w:rsidRPr="00881B2E" w:rsidRDefault="00881B2E" w:rsidP="00881B2E">
      <w:r w:rsidRPr="00881B2E">
        <w:t xml:space="preserve">CIPD (2019) </w:t>
      </w:r>
      <w:r w:rsidRPr="00881B2E">
        <w:rPr>
          <w:i/>
        </w:rPr>
        <w:t>Employment Law in the UK: how it is made</w:t>
      </w:r>
      <w:r w:rsidRPr="00881B2E">
        <w:t xml:space="preserve"> [On-line] Available at: </w:t>
      </w:r>
      <w:hyperlink r:id="rId18" w:history="1">
        <w:r w:rsidRPr="00881B2E">
          <w:rPr>
            <w:rStyle w:val="Hyperlink"/>
          </w:rPr>
          <w:t>https://www.cipd.co.uk/knowledge/fundamentals/emp-law/about/uk-emp-law-made</w:t>
        </w:r>
      </w:hyperlink>
      <w:r w:rsidRPr="00881B2E">
        <w:t xml:space="preserve"> (Accessed: 13 April 2020)</w:t>
      </w:r>
    </w:p>
    <w:p w:rsidR="00881B2E" w:rsidRPr="00881B2E" w:rsidRDefault="00881B2E" w:rsidP="00881B2E">
      <w:r w:rsidRPr="00881B2E">
        <w:rPr>
          <w:rFonts w:cstheme="minorHAnsi"/>
        </w:rPr>
        <w:t xml:space="preserve">CIPD (2019) </w:t>
      </w:r>
      <w:r w:rsidRPr="00881B2E">
        <w:rPr>
          <w:rFonts w:cstheme="minorHAnsi"/>
          <w:i/>
        </w:rPr>
        <w:t>Employment Law in the UK: the Court system</w:t>
      </w:r>
      <w:r w:rsidRPr="00881B2E">
        <w:rPr>
          <w:rFonts w:cstheme="minorHAnsi"/>
        </w:rPr>
        <w:t xml:space="preserve"> [On-line] Available at: </w:t>
      </w:r>
      <w:hyperlink r:id="rId19" w:history="1">
        <w:r w:rsidRPr="00881B2E">
          <w:rPr>
            <w:rStyle w:val="Hyperlink"/>
          </w:rPr>
          <w:t>https://www.cipd.co.uk/knowledge/fundamentals/emp-law/about/court-system</w:t>
        </w:r>
      </w:hyperlink>
      <w:r w:rsidRPr="00881B2E">
        <w:t xml:space="preserve"> (Accessed: 13 April 2020)</w:t>
      </w:r>
    </w:p>
    <w:p w:rsidR="00881B2E" w:rsidRPr="00881B2E" w:rsidRDefault="00881B2E" w:rsidP="00881B2E">
      <w:r w:rsidRPr="00881B2E">
        <w:t xml:space="preserve">CIPD (2019) </w:t>
      </w:r>
      <w:r w:rsidRPr="00881B2E">
        <w:rPr>
          <w:i/>
        </w:rPr>
        <w:t>Health and Safety at Work</w:t>
      </w:r>
      <w:r w:rsidRPr="00881B2E">
        <w:t xml:space="preserve"> [On-line] Available at: </w:t>
      </w:r>
      <w:hyperlink r:id="rId20" w:history="1">
        <w:r w:rsidRPr="00881B2E">
          <w:rPr>
            <w:rStyle w:val="Hyperlink"/>
          </w:rPr>
          <w:t>https://www.cipd.co.uk/knowledge/fundamentals/emp-law/health-safety/factsheet</w:t>
        </w:r>
      </w:hyperlink>
      <w:r w:rsidRPr="00881B2E">
        <w:t xml:space="preserve"> (Accessed: 22 April 2020)</w:t>
      </w:r>
    </w:p>
    <w:p w:rsidR="00881B2E" w:rsidRPr="00881B2E" w:rsidRDefault="00881B2E" w:rsidP="00881B2E">
      <w:r w:rsidRPr="00881B2E">
        <w:t xml:space="preserve">CIPD (2020) </w:t>
      </w:r>
      <w:r w:rsidRPr="00881B2E">
        <w:rPr>
          <w:i/>
        </w:rPr>
        <w:t xml:space="preserve">Maternity, Paternity and Adoption Rights </w:t>
      </w:r>
      <w:r w:rsidRPr="00881B2E">
        <w:t xml:space="preserve">[On-line] Available at: </w:t>
      </w:r>
      <w:hyperlink r:id="rId21" w:anchor="6272" w:history="1">
        <w:r w:rsidRPr="00881B2E">
          <w:rPr>
            <w:rStyle w:val="Hyperlink"/>
          </w:rPr>
          <w:t>https://www.cipd.co.uk/knowledge/fundamentals/emp-law/maternity-paternity-rights/factsheet#6272</w:t>
        </w:r>
      </w:hyperlink>
      <w:r w:rsidRPr="00881B2E">
        <w:t xml:space="preserve"> (Accessed 21 April 2020)</w:t>
      </w:r>
    </w:p>
    <w:p w:rsidR="00881B2E" w:rsidRPr="00881B2E" w:rsidRDefault="00881B2E" w:rsidP="00881B2E">
      <w:r w:rsidRPr="00881B2E">
        <w:t xml:space="preserve">CIPD (2017) </w:t>
      </w:r>
      <w:r w:rsidRPr="00881B2E">
        <w:rPr>
          <w:i/>
        </w:rPr>
        <w:t xml:space="preserve">Recruitment and Selection Q&amp;As </w:t>
      </w:r>
      <w:r w:rsidRPr="00881B2E">
        <w:t xml:space="preserve">[On-line] Available at: </w:t>
      </w:r>
      <w:hyperlink r:id="rId22" w:history="1">
        <w:r w:rsidRPr="00881B2E">
          <w:rPr>
            <w:rStyle w:val="Hyperlink"/>
          </w:rPr>
          <w:t>https://www.cipd.co.uk/knowledge/fundamentals/emp-law/recruitment/questions</w:t>
        </w:r>
      </w:hyperlink>
      <w:r w:rsidRPr="00881B2E">
        <w:t xml:space="preserve"> (Accessed: 15 April 2020)</w:t>
      </w:r>
    </w:p>
    <w:p w:rsidR="00881B2E" w:rsidRPr="00881B2E" w:rsidRDefault="00881B2E" w:rsidP="00881B2E">
      <w:r w:rsidRPr="00881B2E">
        <w:t xml:space="preserve">CIPD (2018) </w:t>
      </w:r>
      <w:r w:rsidRPr="00881B2E">
        <w:rPr>
          <w:i/>
        </w:rPr>
        <w:t xml:space="preserve">Redundancy: An Introduction </w:t>
      </w:r>
      <w:r w:rsidRPr="00881B2E">
        <w:t xml:space="preserve">[On-line] Available at: </w:t>
      </w:r>
      <w:hyperlink r:id="rId23" w:anchor="7113" w:history="1">
        <w:r w:rsidRPr="00881B2E">
          <w:rPr>
            <w:rStyle w:val="Hyperlink"/>
          </w:rPr>
          <w:t>https://www.cipd.co.uk/knowledge/fundamentals/emp-law/redundancy/factsheet#7113</w:t>
        </w:r>
      </w:hyperlink>
      <w:r w:rsidRPr="00881B2E">
        <w:t xml:space="preserve"> (Accessed 19 April 2020)</w:t>
      </w:r>
    </w:p>
    <w:p w:rsidR="00881B2E" w:rsidRPr="00881B2E" w:rsidRDefault="00881B2E" w:rsidP="00881B2E">
      <w:r w:rsidRPr="00881B2E">
        <w:t xml:space="preserve">CIPD (2019) </w:t>
      </w:r>
      <w:r w:rsidRPr="00881B2E">
        <w:rPr>
          <w:i/>
        </w:rPr>
        <w:t xml:space="preserve">Transfer of Undertakings (TUPE): An Introduction </w:t>
      </w:r>
      <w:r w:rsidRPr="00881B2E">
        <w:t xml:space="preserve">[On-line] Available at: </w:t>
      </w:r>
      <w:hyperlink r:id="rId24" w:history="1">
        <w:r w:rsidRPr="00881B2E">
          <w:rPr>
            <w:rStyle w:val="Hyperlink"/>
          </w:rPr>
          <w:t>https://www.cipd.co.uk/knowledge/fundamentals/emp-law/tupe/factsheet</w:t>
        </w:r>
      </w:hyperlink>
      <w:r w:rsidRPr="00881B2E">
        <w:t xml:space="preserve"> (Accessed 20 April 2020)</w:t>
      </w:r>
    </w:p>
    <w:p w:rsidR="00881B2E" w:rsidRPr="00881B2E" w:rsidRDefault="00881B2E" w:rsidP="00881B2E">
      <w:r w:rsidRPr="00881B2E">
        <w:t xml:space="preserve">CIPD (2020) </w:t>
      </w:r>
      <w:r w:rsidRPr="00881B2E">
        <w:rPr>
          <w:i/>
        </w:rPr>
        <w:t xml:space="preserve">Working Hours and Time off Work </w:t>
      </w:r>
      <w:r w:rsidRPr="00881B2E">
        <w:t xml:space="preserve">[On-line] Available at: </w:t>
      </w:r>
      <w:hyperlink r:id="rId25" w:history="1">
        <w:r w:rsidRPr="00881B2E">
          <w:rPr>
            <w:rStyle w:val="Hyperlink"/>
          </w:rPr>
          <w:t>https://www.cipd.co.uk/knowledge/fundamentals/emp-law/working-time/factsheet</w:t>
        </w:r>
      </w:hyperlink>
      <w:r w:rsidRPr="00881B2E">
        <w:t xml:space="preserve"> (Accessed 21 April 2020)</w:t>
      </w:r>
    </w:p>
    <w:p w:rsidR="00881B2E" w:rsidRPr="00881B2E" w:rsidRDefault="00881B2E" w:rsidP="00881B2E">
      <w:r w:rsidRPr="00881B2E">
        <w:t xml:space="preserve">DANIELS, K. (2019) </w:t>
      </w:r>
      <w:r w:rsidRPr="00881B2E">
        <w:rPr>
          <w:i/>
        </w:rPr>
        <w:t xml:space="preserve">Introduction to Employment Law: Fundamentals for HR and Business Students. </w:t>
      </w:r>
      <w:r w:rsidRPr="00881B2E">
        <w:t>5th edn. London: CIPD</w:t>
      </w:r>
    </w:p>
    <w:p w:rsidR="00881B2E" w:rsidRPr="00881B2E" w:rsidRDefault="00881B2E" w:rsidP="00881B2E">
      <w:r w:rsidRPr="00881B2E">
        <w:t xml:space="preserve">GOV.UK (2018) </w:t>
      </w:r>
      <w:r w:rsidRPr="00881B2E">
        <w:rPr>
          <w:i/>
        </w:rPr>
        <w:t>Employers: Preventing Discrimination</w:t>
      </w:r>
      <w:r w:rsidRPr="00881B2E">
        <w:t xml:space="preserve"> [On-line] Available at: </w:t>
      </w:r>
      <w:hyperlink r:id="rId26" w:history="1">
        <w:r w:rsidRPr="00881B2E">
          <w:rPr>
            <w:rStyle w:val="Hyperlink"/>
          </w:rPr>
          <w:t>https://www.gov.uk/employer-preventing-discrimination/recruitment</w:t>
        </w:r>
      </w:hyperlink>
      <w:r w:rsidRPr="00881B2E">
        <w:t xml:space="preserve"> (Accessed: 22 April 2020)</w:t>
      </w:r>
    </w:p>
    <w:p w:rsidR="00881B2E" w:rsidRPr="00881B2E" w:rsidRDefault="00881B2E" w:rsidP="00881B2E">
      <w:r w:rsidRPr="00881B2E">
        <w:lastRenderedPageBreak/>
        <w:t xml:space="preserve">GOV.UK. (2013) </w:t>
      </w:r>
      <w:r w:rsidRPr="00881B2E">
        <w:rPr>
          <w:i/>
        </w:rPr>
        <w:t xml:space="preserve">Equality Act 2010 Guidance </w:t>
      </w:r>
      <w:r w:rsidRPr="00881B2E">
        <w:t xml:space="preserve">[On-line] Available at: </w:t>
      </w:r>
      <w:hyperlink r:id="rId27" w:history="1">
        <w:r w:rsidRPr="00881B2E">
          <w:rPr>
            <w:rStyle w:val="Hyperlink"/>
          </w:rPr>
          <w:t>https://www.gov.uk/guidance/equality-act-2010-guidance</w:t>
        </w:r>
      </w:hyperlink>
      <w:r w:rsidRPr="00881B2E">
        <w:t xml:space="preserve"> (Accessed 22 April 2020)</w:t>
      </w:r>
    </w:p>
    <w:p w:rsidR="00881B2E" w:rsidRPr="001A0737" w:rsidRDefault="00881B2E" w:rsidP="00881B2E">
      <w:pPr>
        <w:rPr>
          <w:rFonts w:cstheme="minorHAnsi"/>
          <w:b/>
        </w:rPr>
      </w:pPr>
      <w:r w:rsidRPr="00881B2E">
        <w:t>TAYLOR, S. &amp; WIKLINSON, K. (2016) ‘Employment Law’, in Taylor, S. &amp; Woodhams, C. (2</w:t>
      </w:r>
      <w:r w:rsidRPr="00881B2E">
        <w:rPr>
          <w:vertAlign w:val="superscript"/>
        </w:rPr>
        <w:t>nd</w:t>
      </w:r>
      <w:r w:rsidRPr="00881B2E">
        <w:t xml:space="preserve"> ed.) </w:t>
      </w:r>
      <w:r w:rsidRPr="00881B2E">
        <w:rPr>
          <w:i/>
        </w:rPr>
        <w:t xml:space="preserve">Human Resource Management: People and Organisations. </w:t>
      </w:r>
      <w:r w:rsidRPr="00881B2E">
        <w:t>London: CIPD</w:t>
      </w:r>
    </w:p>
    <w:p w:rsidR="004C02B0" w:rsidRDefault="004C02B0"/>
    <w:sectPr w:rsidR="004C02B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20002A87" w:usb1="00000000" w:usb2="00000000"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7A7B28"/>
    <w:multiLevelType w:val="hybridMultilevel"/>
    <w:tmpl w:val="8C088CB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nsid w:val="099D7B43"/>
    <w:multiLevelType w:val="hybridMultilevel"/>
    <w:tmpl w:val="E8F482C4"/>
    <w:lvl w:ilvl="0" w:tplc="37D6699A">
      <w:start w:val="1"/>
      <w:numFmt w:val="low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D1E7823"/>
    <w:multiLevelType w:val="hybridMultilevel"/>
    <w:tmpl w:val="3154ADB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27995739"/>
    <w:multiLevelType w:val="hybridMultilevel"/>
    <w:tmpl w:val="082A889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2ACF7650"/>
    <w:multiLevelType w:val="hybridMultilevel"/>
    <w:tmpl w:val="AF3661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nsid w:val="346017DC"/>
    <w:multiLevelType w:val="hybridMultilevel"/>
    <w:tmpl w:val="8976F43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nsid w:val="461423BF"/>
    <w:multiLevelType w:val="hybridMultilevel"/>
    <w:tmpl w:val="59DA75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nsid w:val="4B0079A9"/>
    <w:multiLevelType w:val="hybridMultilevel"/>
    <w:tmpl w:val="56DA6B5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555B406E"/>
    <w:multiLevelType w:val="hybridMultilevel"/>
    <w:tmpl w:val="4DC60C1E"/>
    <w:lvl w:ilvl="0" w:tplc="674C49F8">
      <w:start w:val="1"/>
      <w:numFmt w:val="low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nsid w:val="57D258C5"/>
    <w:multiLevelType w:val="hybridMultilevel"/>
    <w:tmpl w:val="7090A6B8"/>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0">
    <w:nsid w:val="588769FA"/>
    <w:multiLevelType w:val="hybridMultilevel"/>
    <w:tmpl w:val="4DC60C1E"/>
    <w:lvl w:ilvl="0" w:tplc="674C49F8">
      <w:start w:val="1"/>
      <w:numFmt w:val="low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1">
    <w:nsid w:val="60561C90"/>
    <w:multiLevelType w:val="hybridMultilevel"/>
    <w:tmpl w:val="0AE2FF06"/>
    <w:lvl w:ilvl="0" w:tplc="3BBACC7A">
      <w:start w:val="1"/>
      <w:numFmt w:val="lowerLetter"/>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nsid w:val="69C20BC0"/>
    <w:multiLevelType w:val="hybridMultilevel"/>
    <w:tmpl w:val="6248F38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nsid w:val="7C423209"/>
    <w:multiLevelType w:val="hybridMultilevel"/>
    <w:tmpl w:val="004CE2C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2"/>
  </w:num>
  <w:num w:numId="2">
    <w:abstractNumId w:val="0"/>
  </w:num>
  <w:num w:numId="3">
    <w:abstractNumId w:val="7"/>
  </w:num>
  <w:num w:numId="4">
    <w:abstractNumId w:val="3"/>
  </w:num>
  <w:num w:numId="5">
    <w:abstractNumId w:val="12"/>
  </w:num>
  <w:num w:numId="6">
    <w:abstractNumId w:val="6"/>
  </w:num>
  <w:num w:numId="7">
    <w:abstractNumId w:val="13"/>
  </w:num>
  <w:num w:numId="8">
    <w:abstractNumId w:val="5"/>
  </w:num>
  <w:num w:numId="9">
    <w:abstractNumId w:val="4"/>
  </w:num>
  <w:num w:numId="10">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
  </w:num>
  <w:num w:numId="12">
    <w:abstractNumId w:val="10"/>
  </w:num>
  <w:num w:numId="13">
    <w:abstractNumId w:val="11"/>
  </w:num>
  <w:num w:numId="1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81B2E"/>
    <w:rsid w:val="004C02B0"/>
    <w:rsid w:val="00881B2E"/>
    <w:rsid w:val="009374EA"/>
    <w:rsid w:val="00E932F0"/>
    <w:rsid w:val="00FC37DC"/>
    <w:rsid w:val="00FF7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1B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1B2E"/>
    <w:pPr>
      <w:ind w:left="720"/>
      <w:contextualSpacing/>
    </w:pPr>
    <w:rPr>
      <w:rFonts w:eastAsiaTheme="minorEastAsia"/>
      <w:lang w:eastAsia="en-GB"/>
    </w:rPr>
  </w:style>
  <w:style w:type="character" w:styleId="Hyperlink">
    <w:name w:val="Hyperlink"/>
    <w:basedOn w:val="DefaultParagraphFont"/>
    <w:uiPriority w:val="99"/>
    <w:unhideWhenUsed/>
    <w:rsid w:val="00881B2E"/>
    <w:rPr>
      <w:color w:val="0000FF"/>
      <w:u w:val="single"/>
    </w:rPr>
  </w:style>
  <w:style w:type="table" w:styleId="TableGrid">
    <w:name w:val="Table Grid"/>
    <w:basedOn w:val="TableNormal"/>
    <w:uiPriority w:val="59"/>
    <w:rsid w:val="00881B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1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B2E"/>
  </w:style>
  <w:style w:type="paragraph" w:styleId="Footer">
    <w:name w:val="footer"/>
    <w:basedOn w:val="Normal"/>
    <w:link w:val="FooterChar"/>
    <w:uiPriority w:val="99"/>
    <w:unhideWhenUsed/>
    <w:rsid w:val="00881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B2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1B2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81B2E"/>
    <w:pPr>
      <w:ind w:left="720"/>
      <w:contextualSpacing/>
    </w:pPr>
    <w:rPr>
      <w:rFonts w:eastAsiaTheme="minorEastAsia"/>
      <w:lang w:eastAsia="en-GB"/>
    </w:rPr>
  </w:style>
  <w:style w:type="character" w:styleId="Hyperlink">
    <w:name w:val="Hyperlink"/>
    <w:basedOn w:val="DefaultParagraphFont"/>
    <w:uiPriority w:val="99"/>
    <w:unhideWhenUsed/>
    <w:rsid w:val="00881B2E"/>
    <w:rPr>
      <w:color w:val="0000FF"/>
      <w:u w:val="single"/>
    </w:rPr>
  </w:style>
  <w:style w:type="table" w:styleId="TableGrid">
    <w:name w:val="Table Grid"/>
    <w:basedOn w:val="TableNormal"/>
    <w:uiPriority w:val="59"/>
    <w:rsid w:val="00881B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81B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1B2E"/>
  </w:style>
  <w:style w:type="paragraph" w:styleId="Footer">
    <w:name w:val="footer"/>
    <w:basedOn w:val="Normal"/>
    <w:link w:val="FooterChar"/>
    <w:uiPriority w:val="99"/>
    <w:unhideWhenUsed/>
    <w:rsid w:val="00881B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1B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manage-staff-redundancies/consult-your-employees" TargetMode="External"/><Relationship Id="rId13" Type="http://schemas.openxmlformats.org/officeDocument/2006/relationships/hyperlink" Target="https://www.peoplemanagement.co.uk/experts/legal/dismiss-employee-gross-misconduct" TargetMode="External"/><Relationship Id="rId18" Type="http://schemas.openxmlformats.org/officeDocument/2006/relationships/hyperlink" Target="https://www.cipd.co.uk/knowledge/fundamentals/emp-law/about/uk-emp-law-made" TargetMode="External"/><Relationship Id="rId26" Type="http://schemas.openxmlformats.org/officeDocument/2006/relationships/hyperlink" Target="https://www.gov.uk/employer-preventing-discrimination/recruitment" TargetMode="External"/><Relationship Id="rId3" Type="http://schemas.microsoft.com/office/2007/relationships/stylesWithEffects" Target="stylesWithEffects.xml"/><Relationship Id="rId21" Type="http://schemas.openxmlformats.org/officeDocument/2006/relationships/hyperlink" Target="https://www.cipd.co.uk/knowledge/fundamentals/emp-law/maternity-paternity-rights/factsheet" TargetMode="External"/><Relationship Id="rId7" Type="http://schemas.openxmlformats.org/officeDocument/2006/relationships/hyperlink" Target="https://www.acas.org.uk/checking-holiday-entitlement/calculating-holiday-pay" TargetMode="External"/><Relationship Id="rId12" Type="http://schemas.openxmlformats.org/officeDocument/2006/relationships/hyperlink" Target="https://www.acas.org.uk/your-maternity-leave-pay-and-other-rights/health-at-work-during-pregnancy" TargetMode="External"/><Relationship Id="rId17" Type="http://schemas.openxmlformats.org/officeDocument/2006/relationships/hyperlink" Target="https://www.cipd.co.uk/knowledge/fundamentals/emp-law/dismissal/factsheet" TargetMode="External"/><Relationship Id="rId25" Type="http://schemas.openxmlformats.org/officeDocument/2006/relationships/hyperlink" Target="https://www.cipd.co.uk/knowledge/fundamentals/emp-law/working-time/factsheet" TargetMode="External"/><Relationship Id="rId2" Type="http://schemas.openxmlformats.org/officeDocument/2006/relationships/styles" Target="styles.xml"/><Relationship Id="rId16" Type="http://schemas.openxmlformats.org/officeDocument/2006/relationships/hyperlink" Target="https://www.cipd.co.uk/knowledge/fundamentals/emp-law/discipline/factsheet" TargetMode="External"/><Relationship Id="rId20" Type="http://schemas.openxmlformats.org/officeDocument/2006/relationships/hyperlink" Target="https://www.cipd.co.uk/knowledge/fundamentals/emp-law/health-safety/factsheet"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cas.org.uk/changing-an-employment-contract/check-if-the-contract-allows-a-change" TargetMode="External"/><Relationship Id="rId11" Type="http://schemas.openxmlformats.org/officeDocument/2006/relationships/hyperlink" Target="https://archive.acas.org.uk/index.aspx?articleid=3017" TargetMode="External"/><Relationship Id="rId24" Type="http://schemas.openxmlformats.org/officeDocument/2006/relationships/hyperlink" Target="https://www.cipd.co.uk/knowledge/fundamentals/emp-law/tupe/factsheet" TargetMode="External"/><Relationship Id="rId5" Type="http://schemas.openxmlformats.org/officeDocument/2006/relationships/webSettings" Target="webSettings.xml"/><Relationship Id="rId15" Type="http://schemas.openxmlformats.org/officeDocument/2006/relationships/hyperlink" Target="https://www.cipd.co.uk/knowledge/fundamentals/emp-law/terms-conditions/contracts-factsheet" TargetMode="External"/><Relationship Id="rId23" Type="http://schemas.openxmlformats.org/officeDocument/2006/relationships/hyperlink" Target="https://www.cipd.co.uk/knowledge/fundamentals/emp-law/redundancy/factsheet" TargetMode="External"/><Relationship Id="rId28" Type="http://schemas.openxmlformats.org/officeDocument/2006/relationships/fontTable" Target="fontTable.xml"/><Relationship Id="rId10" Type="http://schemas.openxmlformats.org/officeDocument/2006/relationships/hyperlink" Target="https://www.youtube.com/watch?edufilter=NULL&amp;v=prkUa-bEYkE" TargetMode="External"/><Relationship Id="rId19" Type="http://schemas.openxmlformats.org/officeDocument/2006/relationships/hyperlink" Target="https://www.cipd.co.uk/knowledge/fundamentals/emp-law/about/court-system" TargetMode="External"/><Relationship Id="rId4" Type="http://schemas.openxmlformats.org/officeDocument/2006/relationships/settings" Target="settings.xml"/><Relationship Id="rId9" Type="http://schemas.openxmlformats.org/officeDocument/2006/relationships/hyperlink" Target="https://www.acas.org.uk/manage-staff-redundancies/work-out-redundancy-pay" TargetMode="External"/><Relationship Id="rId14" Type="http://schemas.openxmlformats.org/officeDocument/2006/relationships/hyperlink" Target="https://www.cipd.co.uk/Images/7697-a-guide-to-tupe-transfers-web_tcm18-44310.pdf" TargetMode="External"/><Relationship Id="rId22" Type="http://schemas.openxmlformats.org/officeDocument/2006/relationships/hyperlink" Target="https://www.cipd.co.uk/knowledge/fundamentals/emp-law/recruitment/questions" TargetMode="External"/><Relationship Id="rId27" Type="http://schemas.openxmlformats.org/officeDocument/2006/relationships/hyperlink" Target="https://www.gov.uk/guidance/equality-act-2010-guid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11</Pages>
  <Words>5357</Words>
  <Characters>30539</Characters>
  <Application>Microsoft Office Word</Application>
  <DocSecurity>0</DocSecurity>
  <Lines>254</Lines>
  <Paragraphs>71</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35825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Sophie O'Kelly</dc:creator>
  <cp:lastModifiedBy>Sophie O'Kelly</cp:lastModifiedBy>
  <cp:revision>2</cp:revision>
  <dcterms:created xsi:type="dcterms:W3CDTF">2020-04-27T09:04:00Z</dcterms:created>
  <dcterms:modified xsi:type="dcterms:W3CDTF">2020-04-27T09:04:00Z</dcterms:modified>
</cp:coreProperties>
</file>