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5D41B" w14:textId="7E1C4559" w:rsidR="00976FAC" w:rsidRDefault="00976FAC" w:rsidP="00335607">
      <w:pPr>
        <w:spacing w:line="360" w:lineRule="auto"/>
        <w:rPr>
          <w:rFonts w:ascii="Times New Roman" w:hAnsi="Times New Roman" w:cs="Times New Roman"/>
          <w:b/>
          <w:bCs/>
        </w:rPr>
      </w:pPr>
      <w:r>
        <w:rPr>
          <w:rFonts w:ascii="Times New Roman" w:hAnsi="Times New Roman" w:cs="Times New Roman"/>
          <w:b/>
          <w:bCs/>
          <w:noProof/>
          <w:lang w:eastAsia="en-GB"/>
        </w:rPr>
        <w:drawing>
          <wp:inline distT="0" distB="0" distL="0" distR="0" wp14:anchorId="2D523263" wp14:editId="6A4F4523">
            <wp:extent cx="3523615" cy="1402080"/>
            <wp:effectExtent l="0" t="0" r="635" b="7620"/>
            <wp:docPr id="1403252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3615" cy="1402080"/>
                    </a:xfrm>
                    <a:prstGeom prst="rect">
                      <a:avLst/>
                    </a:prstGeom>
                    <a:noFill/>
                  </pic:spPr>
                </pic:pic>
              </a:graphicData>
            </a:graphic>
          </wp:inline>
        </w:drawing>
      </w:r>
    </w:p>
    <w:p w14:paraId="527AF053" w14:textId="77777777" w:rsidR="00976FAC" w:rsidRDefault="00976FAC" w:rsidP="00335607">
      <w:pPr>
        <w:spacing w:line="360" w:lineRule="auto"/>
        <w:rPr>
          <w:rFonts w:ascii="Times New Roman" w:hAnsi="Times New Roman" w:cs="Times New Roman"/>
          <w:b/>
          <w:bCs/>
        </w:rPr>
      </w:pPr>
    </w:p>
    <w:p w14:paraId="1950F206" w14:textId="7027C773" w:rsidR="00976FAC" w:rsidRDefault="00976FAC" w:rsidP="00335607">
      <w:pPr>
        <w:spacing w:line="360" w:lineRule="auto"/>
      </w:pPr>
    </w:p>
    <w:p w14:paraId="57F39E7B" w14:textId="77777777" w:rsidR="00976FAC" w:rsidRPr="00976FAC" w:rsidRDefault="00976FAC" w:rsidP="00335607">
      <w:pPr>
        <w:spacing w:line="360" w:lineRule="auto"/>
        <w:rPr>
          <w:sz w:val="44"/>
          <w:szCs w:val="44"/>
        </w:rPr>
      </w:pPr>
    </w:p>
    <w:p w14:paraId="13E7B756" w14:textId="410C620C" w:rsidR="00976FAC" w:rsidRPr="00976FAC" w:rsidRDefault="00976FAC" w:rsidP="00976FAC">
      <w:pPr>
        <w:spacing w:line="360" w:lineRule="auto"/>
        <w:rPr>
          <w:b/>
          <w:sz w:val="44"/>
          <w:szCs w:val="44"/>
        </w:rPr>
      </w:pPr>
      <w:r w:rsidRPr="00976FAC">
        <w:rPr>
          <w:b/>
          <w:sz w:val="44"/>
          <w:szCs w:val="44"/>
        </w:rPr>
        <w:t>MODULE CODE:  ECDE7002</w:t>
      </w:r>
    </w:p>
    <w:p w14:paraId="3B711A09" w14:textId="77777777" w:rsidR="00976FAC" w:rsidRPr="00976FAC" w:rsidRDefault="00976FAC" w:rsidP="00976FAC">
      <w:pPr>
        <w:spacing w:line="360" w:lineRule="auto"/>
        <w:rPr>
          <w:b/>
          <w:sz w:val="44"/>
          <w:szCs w:val="44"/>
        </w:rPr>
      </w:pPr>
    </w:p>
    <w:p w14:paraId="7D00A328" w14:textId="736618DF" w:rsidR="00976FAC" w:rsidRPr="00976FAC" w:rsidRDefault="00976FAC" w:rsidP="00976FAC">
      <w:pPr>
        <w:spacing w:line="360" w:lineRule="auto"/>
        <w:rPr>
          <w:b/>
          <w:sz w:val="44"/>
          <w:szCs w:val="44"/>
        </w:rPr>
      </w:pPr>
      <w:r w:rsidRPr="00976FAC">
        <w:rPr>
          <w:b/>
          <w:sz w:val="44"/>
          <w:szCs w:val="44"/>
        </w:rPr>
        <w:t>ASSESSMENT COMPONENT:  Component 2  Written assignment</w:t>
      </w:r>
    </w:p>
    <w:p w14:paraId="1C803835" w14:textId="03E9B425" w:rsidR="00976FAC" w:rsidRPr="00F3055B" w:rsidRDefault="00F3055B" w:rsidP="00976FAC">
      <w:pPr>
        <w:spacing w:line="360" w:lineRule="auto"/>
        <w:rPr>
          <w:rFonts w:ascii="Times New Roman" w:hAnsi="Times New Roman" w:cs="Times New Roman"/>
          <w:b/>
          <w:i/>
          <w:iCs/>
          <w:sz w:val="40"/>
          <w:szCs w:val="40"/>
        </w:rPr>
      </w:pPr>
      <w:r w:rsidRPr="00F3055B">
        <w:rPr>
          <w:rFonts w:ascii="Times New Roman" w:hAnsi="Times New Roman" w:cs="Times New Roman"/>
          <w:b/>
          <w:i/>
          <w:iCs/>
          <w:sz w:val="40"/>
          <w:szCs w:val="40"/>
        </w:rPr>
        <w:t>From Measurement to Meaning: A Mixed-Methods Exploration of Monitoring, Accountability and Student Well-being in Further Education</w:t>
      </w:r>
      <w:r>
        <w:rPr>
          <w:rFonts w:ascii="Times New Roman" w:hAnsi="Times New Roman" w:cs="Times New Roman"/>
          <w:b/>
          <w:i/>
          <w:iCs/>
          <w:sz w:val="40"/>
          <w:szCs w:val="40"/>
        </w:rPr>
        <w:t>.</w:t>
      </w:r>
    </w:p>
    <w:p w14:paraId="7DF91AB3" w14:textId="259601DD" w:rsidR="00976FAC" w:rsidRPr="00976FAC" w:rsidRDefault="00976FAC" w:rsidP="00976FAC">
      <w:pPr>
        <w:spacing w:line="360" w:lineRule="auto"/>
        <w:rPr>
          <w:b/>
          <w:sz w:val="44"/>
          <w:szCs w:val="44"/>
        </w:rPr>
      </w:pPr>
      <w:r w:rsidRPr="00976FAC">
        <w:rPr>
          <w:b/>
          <w:sz w:val="44"/>
          <w:szCs w:val="44"/>
        </w:rPr>
        <w:t>STUDENT NAME: Sarah Rees</w:t>
      </w:r>
    </w:p>
    <w:p w14:paraId="75509306" w14:textId="5F6A3317" w:rsidR="00976FAC" w:rsidRPr="00976FAC" w:rsidRDefault="00976FAC" w:rsidP="00976FAC">
      <w:pPr>
        <w:spacing w:line="360" w:lineRule="auto"/>
        <w:rPr>
          <w:b/>
          <w:sz w:val="44"/>
          <w:szCs w:val="44"/>
        </w:rPr>
      </w:pPr>
      <w:r w:rsidRPr="00976FAC">
        <w:rPr>
          <w:b/>
          <w:sz w:val="44"/>
          <w:szCs w:val="44"/>
        </w:rPr>
        <w:t>STUDENT NUMBER: 1151007</w:t>
      </w:r>
      <w:r w:rsidR="00BA1661">
        <w:rPr>
          <w:b/>
          <w:sz w:val="44"/>
          <w:szCs w:val="44"/>
        </w:rPr>
        <w:t xml:space="preserve"> ALN</w:t>
      </w:r>
    </w:p>
    <w:p w14:paraId="2F2554CD" w14:textId="77777777" w:rsidR="00976FAC" w:rsidRPr="00976FAC" w:rsidRDefault="00976FAC" w:rsidP="00976FAC">
      <w:pPr>
        <w:spacing w:line="360" w:lineRule="auto"/>
        <w:rPr>
          <w:b/>
          <w:sz w:val="44"/>
          <w:szCs w:val="44"/>
        </w:rPr>
      </w:pPr>
      <w:r w:rsidRPr="00976FAC">
        <w:rPr>
          <w:b/>
          <w:sz w:val="44"/>
          <w:szCs w:val="44"/>
        </w:rPr>
        <w:t>Doctorate in Education (EdD)</w:t>
      </w:r>
    </w:p>
    <w:p w14:paraId="3C78DE02" w14:textId="77777777" w:rsidR="00F3055B" w:rsidRDefault="00F3055B" w:rsidP="00976FAC">
      <w:pPr>
        <w:spacing w:line="360" w:lineRule="auto"/>
        <w:rPr>
          <w:rFonts w:ascii="Times New Roman" w:hAnsi="Times New Roman" w:cs="Times New Roman"/>
          <w:b/>
          <w:bCs/>
        </w:rPr>
      </w:pPr>
    </w:p>
    <w:p w14:paraId="2595CA70" w14:textId="0836E196" w:rsidR="00976FAC" w:rsidRPr="00976FAC" w:rsidRDefault="00976FAC" w:rsidP="00976FAC">
      <w:pPr>
        <w:spacing w:line="360" w:lineRule="auto"/>
        <w:rPr>
          <w:rFonts w:ascii="Times New Roman" w:hAnsi="Times New Roman" w:cs="Times New Roman"/>
          <w:b/>
          <w:bCs/>
        </w:rPr>
      </w:pPr>
      <w:bookmarkStart w:id="0" w:name="_Hlk228176887"/>
      <w:r w:rsidRPr="00976FAC">
        <w:rPr>
          <w:rFonts w:ascii="Times New Roman" w:hAnsi="Times New Roman" w:cs="Times New Roman"/>
          <w:b/>
          <w:bCs/>
        </w:rPr>
        <w:t>AI Acknowledgement</w:t>
      </w:r>
    </w:p>
    <w:p w14:paraId="7E83EA60" w14:textId="77777777" w:rsidR="00976FAC" w:rsidRPr="00976FAC" w:rsidRDefault="00976FAC" w:rsidP="00976FAC">
      <w:pPr>
        <w:spacing w:line="360" w:lineRule="auto"/>
        <w:rPr>
          <w:rFonts w:ascii="Times New Roman" w:hAnsi="Times New Roman" w:cs="Times New Roman"/>
          <w:b/>
          <w:bCs/>
        </w:rPr>
      </w:pPr>
    </w:p>
    <w:p w14:paraId="25C34DDA" w14:textId="77777777" w:rsidR="00976FAC" w:rsidRPr="00976FAC" w:rsidRDefault="00976FAC" w:rsidP="00976FAC">
      <w:pPr>
        <w:spacing w:line="360" w:lineRule="auto"/>
        <w:rPr>
          <w:rFonts w:ascii="Times New Roman" w:hAnsi="Times New Roman" w:cs="Times New Roman"/>
          <w:b/>
          <w:bCs/>
        </w:rPr>
      </w:pPr>
      <w:r w:rsidRPr="00976FAC">
        <w:rPr>
          <w:rFonts w:ascii="Times New Roman" w:hAnsi="Times New Roman" w:cs="Times New Roman"/>
          <w:b/>
          <w:bCs/>
        </w:rPr>
        <w:t xml:space="preserve">I confirm that I have not used any AI tools in the research and creation of this assignment. </w:t>
      </w:r>
    </w:p>
    <w:bookmarkEnd w:id="0" w:displacedByCustomXml="next"/>
    <w:sdt>
      <w:sdtPr>
        <w:rPr>
          <w:rFonts w:asciiTheme="minorHAnsi" w:eastAsiaTheme="minorHAnsi" w:hAnsiTheme="minorHAnsi" w:cstheme="minorBidi"/>
          <w:color w:val="auto"/>
          <w:kern w:val="2"/>
          <w:sz w:val="24"/>
          <w:szCs w:val="24"/>
          <w:lang w:val="en-GB"/>
          <w14:ligatures w14:val="standardContextual"/>
        </w:rPr>
        <w:id w:val="1035014693"/>
        <w:docPartObj>
          <w:docPartGallery w:val="Table of Contents"/>
          <w:docPartUnique/>
        </w:docPartObj>
      </w:sdtPr>
      <w:sdtEndPr>
        <w:rPr>
          <w:b/>
          <w:bCs/>
          <w:noProof/>
        </w:rPr>
      </w:sdtEndPr>
      <w:sdtContent>
        <w:p w14:paraId="529AE981" w14:textId="3E1AA281" w:rsidR="008D2DDA" w:rsidRDefault="008D2DDA">
          <w:pPr>
            <w:pStyle w:val="TOCHeading"/>
          </w:pPr>
          <w:r>
            <w:t>Contents</w:t>
          </w:r>
        </w:p>
        <w:p w14:paraId="1C4996F4" w14:textId="0E3F9470" w:rsidR="003751E6" w:rsidRDefault="008D2DD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95723" w:history="1">
            <w:r w:rsidR="003751E6" w:rsidRPr="00B14084">
              <w:rPr>
                <w:rStyle w:val="Hyperlink"/>
                <w:noProof/>
              </w:rPr>
              <w:t>Introduction</w:t>
            </w:r>
            <w:r w:rsidR="003751E6">
              <w:rPr>
                <w:noProof/>
                <w:webHidden/>
              </w:rPr>
              <w:tab/>
            </w:r>
            <w:r w:rsidR="003751E6">
              <w:rPr>
                <w:noProof/>
                <w:webHidden/>
              </w:rPr>
              <w:fldChar w:fldCharType="begin"/>
            </w:r>
            <w:r w:rsidR="003751E6">
              <w:rPr>
                <w:noProof/>
                <w:webHidden/>
              </w:rPr>
              <w:instrText xml:space="preserve"> PAGEREF _Toc227595723 \h </w:instrText>
            </w:r>
            <w:r w:rsidR="003751E6">
              <w:rPr>
                <w:noProof/>
                <w:webHidden/>
              </w:rPr>
            </w:r>
            <w:r w:rsidR="003751E6">
              <w:rPr>
                <w:noProof/>
                <w:webHidden/>
              </w:rPr>
              <w:fldChar w:fldCharType="separate"/>
            </w:r>
            <w:r w:rsidR="005F1FBD">
              <w:rPr>
                <w:noProof/>
                <w:webHidden/>
              </w:rPr>
              <w:t>3</w:t>
            </w:r>
            <w:r w:rsidR="003751E6">
              <w:rPr>
                <w:noProof/>
                <w:webHidden/>
              </w:rPr>
              <w:fldChar w:fldCharType="end"/>
            </w:r>
          </w:hyperlink>
        </w:p>
        <w:p w14:paraId="4E30DCF1" w14:textId="65DAE3EC" w:rsidR="003751E6" w:rsidRDefault="000F5D4B">
          <w:pPr>
            <w:pStyle w:val="TOC2"/>
            <w:tabs>
              <w:tab w:val="right" w:leader="dot" w:pos="9016"/>
            </w:tabs>
            <w:rPr>
              <w:rFonts w:eastAsiaTheme="minorEastAsia"/>
              <w:noProof/>
              <w:lang w:eastAsia="en-GB"/>
            </w:rPr>
          </w:pPr>
          <w:hyperlink w:anchor="_Toc227595724" w:history="1">
            <w:r w:rsidR="003751E6" w:rsidRPr="00B14084">
              <w:rPr>
                <w:rStyle w:val="Hyperlink"/>
                <w:noProof/>
              </w:rPr>
              <w:t>Methods</w:t>
            </w:r>
            <w:r w:rsidR="003751E6">
              <w:rPr>
                <w:noProof/>
                <w:webHidden/>
              </w:rPr>
              <w:tab/>
            </w:r>
            <w:r w:rsidR="003751E6">
              <w:rPr>
                <w:noProof/>
                <w:webHidden/>
              </w:rPr>
              <w:fldChar w:fldCharType="begin"/>
            </w:r>
            <w:r w:rsidR="003751E6">
              <w:rPr>
                <w:noProof/>
                <w:webHidden/>
              </w:rPr>
              <w:instrText xml:space="preserve"> PAGEREF _Toc227595724 \h </w:instrText>
            </w:r>
            <w:r w:rsidR="003751E6">
              <w:rPr>
                <w:noProof/>
                <w:webHidden/>
              </w:rPr>
            </w:r>
            <w:r w:rsidR="003751E6">
              <w:rPr>
                <w:noProof/>
                <w:webHidden/>
              </w:rPr>
              <w:fldChar w:fldCharType="separate"/>
            </w:r>
            <w:r w:rsidR="005F1FBD">
              <w:rPr>
                <w:noProof/>
                <w:webHidden/>
              </w:rPr>
              <w:t>4</w:t>
            </w:r>
            <w:r w:rsidR="003751E6">
              <w:rPr>
                <w:noProof/>
                <w:webHidden/>
              </w:rPr>
              <w:fldChar w:fldCharType="end"/>
            </w:r>
          </w:hyperlink>
        </w:p>
        <w:p w14:paraId="4398DC46" w14:textId="63CC6501" w:rsidR="003751E6" w:rsidRDefault="000F5D4B">
          <w:pPr>
            <w:pStyle w:val="TOC2"/>
            <w:tabs>
              <w:tab w:val="right" w:leader="dot" w:pos="9016"/>
            </w:tabs>
            <w:rPr>
              <w:rFonts w:eastAsiaTheme="minorEastAsia"/>
              <w:noProof/>
              <w:lang w:eastAsia="en-GB"/>
            </w:rPr>
          </w:pPr>
          <w:hyperlink w:anchor="_Toc227595725" w:history="1">
            <w:r w:rsidR="003751E6" w:rsidRPr="00B14084">
              <w:rPr>
                <w:rStyle w:val="Hyperlink"/>
                <w:noProof/>
              </w:rPr>
              <w:t>Quantitative Methods</w:t>
            </w:r>
            <w:r w:rsidR="003751E6">
              <w:rPr>
                <w:noProof/>
                <w:webHidden/>
              </w:rPr>
              <w:tab/>
            </w:r>
            <w:r w:rsidR="003751E6">
              <w:rPr>
                <w:noProof/>
                <w:webHidden/>
              </w:rPr>
              <w:fldChar w:fldCharType="begin"/>
            </w:r>
            <w:r w:rsidR="003751E6">
              <w:rPr>
                <w:noProof/>
                <w:webHidden/>
              </w:rPr>
              <w:instrText xml:space="preserve"> PAGEREF _Toc227595725 \h </w:instrText>
            </w:r>
            <w:r w:rsidR="003751E6">
              <w:rPr>
                <w:noProof/>
                <w:webHidden/>
              </w:rPr>
            </w:r>
            <w:r w:rsidR="003751E6">
              <w:rPr>
                <w:noProof/>
                <w:webHidden/>
              </w:rPr>
              <w:fldChar w:fldCharType="separate"/>
            </w:r>
            <w:r w:rsidR="005F1FBD">
              <w:rPr>
                <w:noProof/>
                <w:webHidden/>
              </w:rPr>
              <w:t>5</w:t>
            </w:r>
            <w:r w:rsidR="003751E6">
              <w:rPr>
                <w:noProof/>
                <w:webHidden/>
              </w:rPr>
              <w:fldChar w:fldCharType="end"/>
            </w:r>
          </w:hyperlink>
        </w:p>
        <w:p w14:paraId="5A473149" w14:textId="6E24984F" w:rsidR="003751E6" w:rsidRDefault="000F5D4B">
          <w:pPr>
            <w:pStyle w:val="TOC2"/>
            <w:tabs>
              <w:tab w:val="right" w:leader="dot" w:pos="9016"/>
            </w:tabs>
            <w:rPr>
              <w:rFonts w:eastAsiaTheme="minorEastAsia"/>
              <w:noProof/>
              <w:lang w:eastAsia="en-GB"/>
            </w:rPr>
          </w:pPr>
          <w:hyperlink w:anchor="_Toc227595726" w:history="1">
            <w:r w:rsidR="003751E6" w:rsidRPr="00B14084">
              <w:rPr>
                <w:rStyle w:val="Hyperlink"/>
                <w:noProof/>
              </w:rPr>
              <w:t>Qualitative Methods</w:t>
            </w:r>
            <w:r w:rsidR="003751E6">
              <w:rPr>
                <w:noProof/>
                <w:webHidden/>
              </w:rPr>
              <w:tab/>
            </w:r>
            <w:r w:rsidR="003751E6">
              <w:rPr>
                <w:noProof/>
                <w:webHidden/>
              </w:rPr>
              <w:fldChar w:fldCharType="begin"/>
            </w:r>
            <w:r w:rsidR="003751E6">
              <w:rPr>
                <w:noProof/>
                <w:webHidden/>
              </w:rPr>
              <w:instrText xml:space="preserve"> PAGEREF _Toc227595726 \h </w:instrText>
            </w:r>
            <w:r w:rsidR="003751E6">
              <w:rPr>
                <w:noProof/>
                <w:webHidden/>
              </w:rPr>
            </w:r>
            <w:r w:rsidR="003751E6">
              <w:rPr>
                <w:noProof/>
                <w:webHidden/>
              </w:rPr>
              <w:fldChar w:fldCharType="separate"/>
            </w:r>
            <w:r w:rsidR="005F1FBD">
              <w:rPr>
                <w:noProof/>
                <w:webHidden/>
              </w:rPr>
              <w:t>6</w:t>
            </w:r>
            <w:r w:rsidR="003751E6">
              <w:rPr>
                <w:noProof/>
                <w:webHidden/>
              </w:rPr>
              <w:fldChar w:fldCharType="end"/>
            </w:r>
          </w:hyperlink>
        </w:p>
        <w:p w14:paraId="4CEBF46B" w14:textId="221BF982" w:rsidR="003751E6" w:rsidRDefault="000F5D4B">
          <w:pPr>
            <w:pStyle w:val="TOC2"/>
            <w:tabs>
              <w:tab w:val="right" w:leader="dot" w:pos="9016"/>
            </w:tabs>
            <w:rPr>
              <w:rFonts w:eastAsiaTheme="minorEastAsia"/>
              <w:noProof/>
              <w:lang w:eastAsia="en-GB"/>
            </w:rPr>
          </w:pPr>
          <w:hyperlink w:anchor="_Toc227595730" w:history="1">
            <w:r w:rsidR="003751E6" w:rsidRPr="00B14084">
              <w:rPr>
                <w:rStyle w:val="Hyperlink"/>
                <w:noProof/>
              </w:rPr>
              <w:t>Mixed Methods Approach</w:t>
            </w:r>
            <w:r w:rsidR="003751E6">
              <w:rPr>
                <w:noProof/>
                <w:webHidden/>
              </w:rPr>
              <w:tab/>
            </w:r>
            <w:r w:rsidR="003751E6">
              <w:rPr>
                <w:noProof/>
                <w:webHidden/>
              </w:rPr>
              <w:fldChar w:fldCharType="begin"/>
            </w:r>
            <w:r w:rsidR="003751E6">
              <w:rPr>
                <w:noProof/>
                <w:webHidden/>
              </w:rPr>
              <w:instrText xml:space="preserve"> PAGEREF _Toc227595730 \h </w:instrText>
            </w:r>
            <w:r w:rsidR="003751E6">
              <w:rPr>
                <w:noProof/>
                <w:webHidden/>
              </w:rPr>
            </w:r>
            <w:r w:rsidR="003751E6">
              <w:rPr>
                <w:noProof/>
                <w:webHidden/>
              </w:rPr>
              <w:fldChar w:fldCharType="separate"/>
            </w:r>
            <w:r w:rsidR="005F1FBD">
              <w:rPr>
                <w:noProof/>
                <w:webHidden/>
              </w:rPr>
              <w:t>6</w:t>
            </w:r>
            <w:r w:rsidR="003751E6">
              <w:rPr>
                <w:noProof/>
                <w:webHidden/>
              </w:rPr>
              <w:fldChar w:fldCharType="end"/>
            </w:r>
          </w:hyperlink>
        </w:p>
        <w:p w14:paraId="1A460718" w14:textId="765C0A43" w:rsidR="003751E6" w:rsidRDefault="000F5D4B">
          <w:pPr>
            <w:pStyle w:val="TOC2"/>
            <w:tabs>
              <w:tab w:val="right" w:leader="dot" w:pos="9016"/>
            </w:tabs>
            <w:rPr>
              <w:rFonts w:eastAsiaTheme="minorEastAsia"/>
              <w:noProof/>
              <w:lang w:eastAsia="en-GB"/>
            </w:rPr>
          </w:pPr>
          <w:hyperlink w:anchor="_Toc227595733" w:history="1">
            <w:r w:rsidR="003751E6" w:rsidRPr="00B14084">
              <w:rPr>
                <w:rStyle w:val="Hyperlink"/>
                <w:noProof/>
              </w:rPr>
              <w:t>Sampling</w:t>
            </w:r>
            <w:r w:rsidR="003751E6">
              <w:rPr>
                <w:noProof/>
                <w:webHidden/>
              </w:rPr>
              <w:tab/>
            </w:r>
            <w:r w:rsidR="003751E6">
              <w:rPr>
                <w:noProof/>
                <w:webHidden/>
              </w:rPr>
              <w:fldChar w:fldCharType="begin"/>
            </w:r>
            <w:r w:rsidR="003751E6">
              <w:rPr>
                <w:noProof/>
                <w:webHidden/>
              </w:rPr>
              <w:instrText xml:space="preserve"> PAGEREF _Toc227595733 \h </w:instrText>
            </w:r>
            <w:r w:rsidR="003751E6">
              <w:rPr>
                <w:noProof/>
                <w:webHidden/>
              </w:rPr>
            </w:r>
            <w:r w:rsidR="003751E6">
              <w:rPr>
                <w:noProof/>
                <w:webHidden/>
              </w:rPr>
              <w:fldChar w:fldCharType="separate"/>
            </w:r>
            <w:r w:rsidR="005F1FBD">
              <w:rPr>
                <w:noProof/>
                <w:webHidden/>
              </w:rPr>
              <w:t>7</w:t>
            </w:r>
            <w:r w:rsidR="003751E6">
              <w:rPr>
                <w:noProof/>
                <w:webHidden/>
              </w:rPr>
              <w:fldChar w:fldCharType="end"/>
            </w:r>
          </w:hyperlink>
        </w:p>
        <w:p w14:paraId="0B8AF59E" w14:textId="6DCB2450" w:rsidR="003751E6" w:rsidRDefault="000F5D4B">
          <w:pPr>
            <w:pStyle w:val="TOC2"/>
            <w:tabs>
              <w:tab w:val="right" w:leader="dot" w:pos="9016"/>
            </w:tabs>
            <w:rPr>
              <w:rFonts w:eastAsiaTheme="minorEastAsia"/>
              <w:noProof/>
              <w:lang w:eastAsia="en-GB"/>
            </w:rPr>
          </w:pPr>
          <w:hyperlink w:anchor="_Toc227595734" w:history="1">
            <w:r w:rsidR="003751E6" w:rsidRPr="00B14084">
              <w:rPr>
                <w:rStyle w:val="Hyperlink"/>
                <w:noProof/>
              </w:rPr>
              <w:t>Ethics</w:t>
            </w:r>
            <w:r w:rsidR="003751E6">
              <w:rPr>
                <w:noProof/>
                <w:webHidden/>
              </w:rPr>
              <w:tab/>
            </w:r>
            <w:r w:rsidR="003751E6">
              <w:rPr>
                <w:noProof/>
                <w:webHidden/>
              </w:rPr>
              <w:fldChar w:fldCharType="begin"/>
            </w:r>
            <w:r w:rsidR="003751E6">
              <w:rPr>
                <w:noProof/>
                <w:webHidden/>
              </w:rPr>
              <w:instrText xml:space="preserve"> PAGEREF _Toc227595734 \h </w:instrText>
            </w:r>
            <w:r w:rsidR="003751E6">
              <w:rPr>
                <w:noProof/>
                <w:webHidden/>
              </w:rPr>
            </w:r>
            <w:r w:rsidR="003751E6">
              <w:rPr>
                <w:noProof/>
                <w:webHidden/>
              </w:rPr>
              <w:fldChar w:fldCharType="separate"/>
            </w:r>
            <w:r w:rsidR="005F1FBD">
              <w:rPr>
                <w:noProof/>
                <w:webHidden/>
              </w:rPr>
              <w:t>8</w:t>
            </w:r>
            <w:r w:rsidR="003751E6">
              <w:rPr>
                <w:noProof/>
                <w:webHidden/>
              </w:rPr>
              <w:fldChar w:fldCharType="end"/>
            </w:r>
          </w:hyperlink>
        </w:p>
        <w:p w14:paraId="6CFD7654" w14:textId="7F6EFEE2" w:rsidR="003751E6" w:rsidRDefault="000F5D4B">
          <w:pPr>
            <w:pStyle w:val="TOC2"/>
            <w:tabs>
              <w:tab w:val="right" w:leader="dot" w:pos="9016"/>
            </w:tabs>
            <w:rPr>
              <w:rFonts w:eastAsiaTheme="minorEastAsia"/>
              <w:noProof/>
              <w:lang w:eastAsia="en-GB"/>
            </w:rPr>
          </w:pPr>
          <w:hyperlink w:anchor="_Toc227595735" w:history="1">
            <w:r w:rsidR="003751E6" w:rsidRPr="00B14084">
              <w:rPr>
                <w:rStyle w:val="Hyperlink"/>
                <w:noProof/>
              </w:rPr>
              <w:t>Research tools</w:t>
            </w:r>
            <w:r w:rsidR="003751E6">
              <w:rPr>
                <w:noProof/>
                <w:webHidden/>
              </w:rPr>
              <w:tab/>
            </w:r>
            <w:r w:rsidR="003751E6">
              <w:rPr>
                <w:noProof/>
                <w:webHidden/>
              </w:rPr>
              <w:fldChar w:fldCharType="begin"/>
            </w:r>
            <w:r w:rsidR="003751E6">
              <w:rPr>
                <w:noProof/>
                <w:webHidden/>
              </w:rPr>
              <w:instrText xml:space="preserve"> PAGEREF _Toc227595735 \h </w:instrText>
            </w:r>
            <w:r w:rsidR="003751E6">
              <w:rPr>
                <w:noProof/>
                <w:webHidden/>
              </w:rPr>
            </w:r>
            <w:r w:rsidR="003751E6">
              <w:rPr>
                <w:noProof/>
                <w:webHidden/>
              </w:rPr>
              <w:fldChar w:fldCharType="separate"/>
            </w:r>
            <w:r w:rsidR="005F1FBD">
              <w:rPr>
                <w:noProof/>
                <w:webHidden/>
              </w:rPr>
              <w:t>10</w:t>
            </w:r>
            <w:r w:rsidR="003751E6">
              <w:rPr>
                <w:noProof/>
                <w:webHidden/>
              </w:rPr>
              <w:fldChar w:fldCharType="end"/>
            </w:r>
          </w:hyperlink>
        </w:p>
        <w:p w14:paraId="52B15CBD" w14:textId="605B7249" w:rsidR="003751E6" w:rsidRDefault="000F5D4B">
          <w:pPr>
            <w:pStyle w:val="TOC2"/>
            <w:tabs>
              <w:tab w:val="right" w:leader="dot" w:pos="9016"/>
            </w:tabs>
            <w:rPr>
              <w:rFonts w:eastAsiaTheme="minorEastAsia"/>
              <w:noProof/>
              <w:lang w:eastAsia="en-GB"/>
            </w:rPr>
          </w:pPr>
          <w:hyperlink w:anchor="_Toc227595736" w:history="1">
            <w:r w:rsidR="003751E6" w:rsidRPr="00B14084">
              <w:rPr>
                <w:rStyle w:val="Hyperlink"/>
                <w:noProof/>
              </w:rPr>
              <w:t>Questionnaire</w:t>
            </w:r>
            <w:r w:rsidR="003751E6">
              <w:rPr>
                <w:noProof/>
                <w:webHidden/>
              </w:rPr>
              <w:tab/>
            </w:r>
            <w:r w:rsidR="003751E6">
              <w:rPr>
                <w:noProof/>
                <w:webHidden/>
              </w:rPr>
              <w:fldChar w:fldCharType="begin"/>
            </w:r>
            <w:r w:rsidR="003751E6">
              <w:rPr>
                <w:noProof/>
                <w:webHidden/>
              </w:rPr>
              <w:instrText xml:space="preserve"> PAGEREF _Toc227595736 \h </w:instrText>
            </w:r>
            <w:r w:rsidR="003751E6">
              <w:rPr>
                <w:noProof/>
                <w:webHidden/>
              </w:rPr>
            </w:r>
            <w:r w:rsidR="003751E6">
              <w:rPr>
                <w:noProof/>
                <w:webHidden/>
              </w:rPr>
              <w:fldChar w:fldCharType="separate"/>
            </w:r>
            <w:r w:rsidR="005F1FBD">
              <w:rPr>
                <w:noProof/>
                <w:webHidden/>
              </w:rPr>
              <w:t>10</w:t>
            </w:r>
            <w:r w:rsidR="003751E6">
              <w:rPr>
                <w:noProof/>
                <w:webHidden/>
              </w:rPr>
              <w:fldChar w:fldCharType="end"/>
            </w:r>
          </w:hyperlink>
        </w:p>
        <w:p w14:paraId="793FB1F9" w14:textId="4E104928" w:rsidR="003751E6" w:rsidRDefault="000F5D4B">
          <w:pPr>
            <w:pStyle w:val="TOC2"/>
            <w:tabs>
              <w:tab w:val="right" w:leader="dot" w:pos="9016"/>
            </w:tabs>
            <w:rPr>
              <w:rFonts w:eastAsiaTheme="minorEastAsia"/>
              <w:noProof/>
              <w:lang w:eastAsia="en-GB"/>
            </w:rPr>
          </w:pPr>
          <w:hyperlink w:anchor="_Toc227595737" w:history="1">
            <w:r w:rsidR="003751E6" w:rsidRPr="00B14084">
              <w:rPr>
                <w:rStyle w:val="Hyperlink"/>
                <w:noProof/>
              </w:rPr>
              <w:t>Interviews</w:t>
            </w:r>
            <w:r w:rsidR="003751E6">
              <w:rPr>
                <w:noProof/>
                <w:webHidden/>
              </w:rPr>
              <w:tab/>
            </w:r>
            <w:r w:rsidR="003751E6">
              <w:rPr>
                <w:noProof/>
                <w:webHidden/>
              </w:rPr>
              <w:fldChar w:fldCharType="begin"/>
            </w:r>
            <w:r w:rsidR="003751E6">
              <w:rPr>
                <w:noProof/>
                <w:webHidden/>
              </w:rPr>
              <w:instrText xml:space="preserve"> PAGEREF _Toc227595737 \h </w:instrText>
            </w:r>
            <w:r w:rsidR="003751E6">
              <w:rPr>
                <w:noProof/>
                <w:webHidden/>
              </w:rPr>
            </w:r>
            <w:r w:rsidR="003751E6">
              <w:rPr>
                <w:noProof/>
                <w:webHidden/>
              </w:rPr>
              <w:fldChar w:fldCharType="separate"/>
            </w:r>
            <w:r w:rsidR="005F1FBD">
              <w:rPr>
                <w:noProof/>
                <w:webHidden/>
              </w:rPr>
              <w:t>11</w:t>
            </w:r>
            <w:r w:rsidR="003751E6">
              <w:rPr>
                <w:noProof/>
                <w:webHidden/>
              </w:rPr>
              <w:fldChar w:fldCharType="end"/>
            </w:r>
          </w:hyperlink>
        </w:p>
        <w:p w14:paraId="1B9B8C34" w14:textId="59DF9ECE" w:rsidR="003751E6" w:rsidRDefault="000F5D4B">
          <w:pPr>
            <w:pStyle w:val="TOC2"/>
            <w:tabs>
              <w:tab w:val="right" w:leader="dot" w:pos="9016"/>
            </w:tabs>
            <w:rPr>
              <w:rFonts w:eastAsiaTheme="minorEastAsia"/>
              <w:noProof/>
              <w:lang w:eastAsia="en-GB"/>
            </w:rPr>
          </w:pPr>
          <w:hyperlink w:anchor="_Toc227595738" w:history="1">
            <w:r w:rsidR="003751E6" w:rsidRPr="00B14084">
              <w:rPr>
                <w:rStyle w:val="Hyperlink"/>
                <w:noProof/>
              </w:rPr>
              <w:t>Focus groups</w:t>
            </w:r>
            <w:r w:rsidR="003751E6">
              <w:rPr>
                <w:noProof/>
                <w:webHidden/>
              </w:rPr>
              <w:tab/>
            </w:r>
            <w:r w:rsidR="003751E6">
              <w:rPr>
                <w:noProof/>
                <w:webHidden/>
              </w:rPr>
              <w:fldChar w:fldCharType="begin"/>
            </w:r>
            <w:r w:rsidR="003751E6">
              <w:rPr>
                <w:noProof/>
                <w:webHidden/>
              </w:rPr>
              <w:instrText xml:space="preserve"> PAGEREF _Toc227595738 \h </w:instrText>
            </w:r>
            <w:r w:rsidR="003751E6">
              <w:rPr>
                <w:noProof/>
                <w:webHidden/>
              </w:rPr>
            </w:r>
            <w:r w:rsidR="003751E6">
              <w:rPr>
                <w:noProof/>
                <w:webHidden/>
              </w:rPr>
              <w:fldChar w:fldCharType="separate"/>
            </w:r>
            <w:r w:rsidR="005F1FBD">
              <w:rPr>
                <w:noProof/>
                <w:webHidden/>
              </w:rPr>
              <w:t>12</w:t>
            </w:r>
            <w:r w:rsidR="003751E6">
              <w:rPr>
                <w:noProof/>
                <w:webHidden/>
              </w:rPr>
              <w:fldChar w:fldCharType="end"/>
            </w:r>
          </w:hyperlink>
        </w:p>
        <w:p w14:paraId="395E6C5A" w14:textId="5D18A2D7" w:rsidR="003751E6" w:rsidRDefault="000F5D4B">
          <w:pPr>
            <w:pStyle w:val="TOC2"/>
            <w:tabs>
              <w:tab w:val="right" w:leader="dot" w:pos="9016"/>
            </w:tabs>
            <w:rPr>
              <w:rFonts w:eastAsiaTheme="minorEastAsia"/>
              <w:noProof/>
              <w:lang w:eastAsia="en-GB"/>
            </w:rPr>
          </w:pPr>
          <w:hyperlink w:anchor="_Toc227595739" w:history="1">
            <w:r w:rsidR="003751E6" w:rsidRPr="00B14084">
              <w:rPr>
                <w:rStyle w:val="Hyperlink"/>
                <w:noProof/>
              </w:rPr>
              <w:t>Data analysis</w:t>
            </w:r>
            <w:r w:rsidR="003751E6">
              <w:rPr>
                <w:noProof/>
                <w:webHidden/>
              </w:rPr>
              <w:tab/>
            </w:r>
            <w:r w:rsidR="003751E6">
              <w:rPr>
                <w:noProof/>
                <w:webHidden/>
              </w:rPr>
              <w:fldChar w:fldCharType="begin"/>
            </w:r>
            <w:r w:rsidR="003751E6">
              <w:rPr>
                <w:noProof/>
                <w:webHidden/>
              </w:rPr>
              <w:instrText xml:space="preserve"> PAGEREF _Toc227595739 \h </w:instrText>
            </w:r>
            <w:r w:rsidR="003751E6">
              <w:rPr>
                <w:noProof/>
                <w:webHidden/>
              </w:rPr>
            </w:r>
            <w:r w:rsidR="003751E6">
              <w:rPr>
                <w:noProof/>
                <w:webHidden/>
              </w:rPr>
              <w:fldChar w:fldCharType="separate"/>
            </w:r>
            <w:r w:rsidR="005F1FBD">
              <w:rPr>
                <w:noProof/>
                <w:webHidden/>
              </w:rPr>
              <w:t>13</w:t>
            </w:r>
            <w:r w:rsidR="003751E6">
              <w:rPr>
                <w:noProof/>
                <w:webHidden/>
              </w:rPr>
              <w:fldChar w:fldCharType="end"/>
            </w:r>
          </w:hyperlink>
        </w:p>
        <w:p w14:paraId="766F7AC7" w14:textId="6F4597F3" w:rsidR="003751E6" w:rsidRDefault="000F5D4B">
          <w:pPr>
            <w:pStyle w:val="TOC2"/>
            <w:tabs>
              <w:tab w:val="right" w:leader="dot" w:pos="9016"/>
            </w:tabs>
            <w:rPr>
              <w:rFonts w:eastAsiaTheme="minorEastAsia"/>
              <w:noProof/>
              <w:lang w:eastAsia="en-GB"/>
            </w:rPr>
          </w:pPr>
          <w:hyperlink w:anchor="_Toc227595740" w:history="1">
            <w:r w:rsidR="003751E6" w:rsidRPr="00B14084">
              <w:rPr>
                <w:rStyle w:val="Hyperlink"/>
                <w:noProof/>
              </w:rPr>
              <w:t>References</w:t>
            </w:r>
            <w:r w:rsidR="003751E6">
              <w:rPr>
                <w:noProof/>
                <w:webHidden/>
              </w:rPr>
              <w:tab/>
            </w:r>
            <w:r w:rsidR="003751E6">
              <w:rPr>
                <w:noProof/>
                <w:webHidden/>
              </w:rPr>
              <w:fldChar w:fldCharType="begin"/>
            </w:r>
            <w:r w:rsidR="003751E6">
              <w:rPr>
                <w:noProof/>
                <w:webHidden/>
              </w:rPr>
              <w:instrText xml:space="preserve"> PAGEREF _Toc227595740 \h </w:instrText>
            </w:r>
            <w:r w:rsidR="003751E6">
              <w:rPr>
                <w:noProof/>
                <w:webHidden/>
              </w:rPr>
            </w:r>
            <w:r w:rsidR="003751E6">
              <w:rPr>
                <w:noProof/>
                <w:webHidden/>
              </w:rPr>
              <w:fldChar w:fldCharType="separate"/>
            </w:r>
            <w:r w:rsidR="005F1FBD">
              <w:rPr>
                <w:noProof/>
                <w:webHidden/>
              </w:rPr>
              <w:t>15</w:t>
            </w:r>
            <w:r w:rsidR="003751E6">
              <w:rPr>
                <w:noProof/>
                <w:webHidden/>
              </w:rPr>
              <w:fldChar w:fldCharType="end"/>
            </w:r>
          </w:hyperlink>
        </w:p>
        <w:p w14:paraId="1BFCC924" w14:textId="2DC62C70" w:rsidR="008D2DDA" w:rsidRDefault="008D2DDA">
          <w:r>
            <w:rPr>
              <w:b/>
              <w:bCs/>
              <w:noProof/>
            </w:rPr>
            <w:fldChar w:fldCharType="end"/>
          </w:r>
        </w:p>
      </w:sdtContent>
    </w:sdt>
    <w:p w14:paraId="35E184DC" w14:textId="1C41D3D2" w:rsidR="00F03FBB" w:rsidRPr="00335607" w:rsidRDefault="00F03FBB" w:rsidP="008D2DDA">
      <w:pPr>
        <w:pStyle w:val="Heading2"/>
      </w:pPr>
      <w:bookmarkStart w:id="1" w:name="_Toc227595723"/>
      <w:r w:rsidRPr="00335607">
        <w:t>Introduction</w:t>
      </w:r>
      <w:bookmarkEnd w:id="1"/>
    </w:p>
    <w:p w14:paraId="73AD09CE" w14:textId="77777777" w:rsidR="00BA1661" w:rsidRDefault="00BA1661" w:rsidP="00BA1661">
      <w:pPr>
        <w:spacing w:line="360" w:lineRule="auto"/>
        <w:rPr>
          <w:rFonts w:ascii="Times New Roman" w:hAnsi="Times New Roman" w:cs="Times New Roman"/>
        </w:rPr>
      </w:pPr>
      <w:r w:rsidRPr="00BA1661">
        <w:rPr>
          <w:rFonts w:ascii="Times New Roman" w:hAnsi="Times New Roman" w:cs="Times New Roman"/>
        </w:rPr>
        <w:t>Further Education (FE) in Wales is increasingly being positioned as a key space for supporting student well-being, particularly within policy frameworks that promote inclusive, supportive learning environments. On the surface, this suggests a sector that is becoming more responsive to student need. However, there is a growing tension here. Alongside this focus on well-being, institutional practices such as monitoring, tracking and accountability have become more embedded, and these do not sit comfortably alongside the idea of a genuinely supportive environment. While they are introduced with the intention of supporting progress and achievement, in practice they can also create pressure, reinforce surveillance, and limit students’ sense of autonomy.</w:t>
      </w:r>
    </w:p>
    <w:p w14:paraId="5E7107FB" w14:textId="77777777" w:rsidR="00CB0692" w:rsidRPr="00CB0692" w:rsidRDefault="00CB0692" w:rsidP="00CB0692">
      <w:pPr>
        <w:spacing w:line="360" w:lineRule="auto"/>
        <w:rPr>
          <w:rFonts w:ascii="Times New Roman" w:hAnsi="Times New Roman" w:cs="Times New Roman"/>
        </w:rPr>
      </w:pPr>
      <w:r w:rsidRPr="00CB0692">
        <w:rPr>
          <w:rFonts w:ascii="Times New Roman" w:hAnsi="Times New Roman" w:cs="Times New Roman"/>
        </w:rPr>
        <w:t xml:space="preserve">In this study, several key concepts are used in a specific way and therefore need to be clearly defined. Student well-being is understood as a broad, multi-dimensional concept, which includes emotional, psychological and social aspects of a student’s experience, rather than simply the absence of distress (Kaya and Erdem, 2021). Within Further Education, this relates </w:t>
      </w:r>
      <w:r w:rsidRPr="00CB0692">
        <w:rPr>
          <w:rFonts w:ascii="Times New Roman" w:hAnsi="Times New Roman" w:cs="Times New Roman"/>
        </w:rPr>
        <w:lastRenderedPageBreak/>
        <w:t>to how students feel about themselves, their learning environment, and their ability to cope with the demands placed on them.</w:t>
      </w:r>
    </w:p>
    <w:p w14:paraId="314C1009" w14:textId="77777777" w:rsidR="00CB0692" w:rsidRPr="00CB0692" w:rsidRDefault="00CB0692" w:rsidP="00CB0692">
      <w:pPr>
        <w:spacing w:line="360" w:lineRule="auto"/>
        <w:rPr>
          <w:rFonts w:ascii="Times New Roman" w:hAnsi="Times New Roman" w:cs="Times New Roman"/>
        </w:rPr>
      </w:pPr>
      <w:r w:rsidRPr="00CB0692">
        <w:rPr>
          <w:rFonts w:ascii="Times New Roman" w:hAnsi="Times New Roman" w:cs="Times New Roman"/>
        </w:rPr>
        <w:t>Monitoring and tracking refer to the ways in which colleges collect and use data on student attendance, progress and performance, often through digital systems and internal processes designed to identify risk and support achievement (Williamson, 2017). Closely linked to this, accountability refers to the expectations placed on both students and staff to meet targets and demonstrate progress, often shaped by wider policy and inspection frameworks (Ball, 2012).</w:t>
      </w:r>
    </w:p>
    <w:p w14:paraId="0BD272B4" w14:textId="6EE4969D" w:rsidR="00CB0692" w:rsidRPr="00BA1661" w:rsidRDefault="00CB0692" w:rsidP="00BA1661">
      <w:pPr>
        <w:spacing w:line="360" w:lineRule="auto"/>
        <w:rPr>
          <w:rFonts w:ascii="Times New Roman" w:hAnsi="Times New Roman" w:cs="Times New Roman"/>
        </w:rPr>
      </w:pPr>
      <w:r w:rsidRPr="00CB0692">
        <w:rPr>
          <w:rFonts w:ascii="Times New Roman" w:hAnsi="Times New Roman" w:cs="Times New Roman"/>
        </w:rPr>
        <w:t>These practices sit within wider institutional systems, which in this study refers to the structures, processes and expectations that shape how education is organised and experienced within FE colleges. These systems are not neutral; they can shape, and at times place pressure on, how students experience support, learning and well-being within the educational environment.</w:t>
      </w:r>
    </w:p>
    <w:p w14:paraId="505E23BD" w14:textId="752A7CE4" w:rsidR="00BA1661" w:rsidRPr="00BA1661" w:rsidRDefault="00BA1661" w:rsidP="00BA1661">
      <w:pPr>
        <w:spacing w:line="360" w:lineRule="auto"/>
        <w:rPr>
          <w:rFonts w:ascii="Times New Roman" w:hAnsi="Times New Roman" w:cs="Times New Roman"/>
        </w:rPr>
      </w:pPr>
      <w:r w:rsidRPr="00BA1661">
        <w:rPr>
          <w:rFonts w:ascii="Times New Roman" w:hAnsi="Times New Roman" w:cs="Times New Roman"/>
        </w:rPr>
        <w:t xml:space="preserve">This </w:t>
      </w:r>
      <w:r>
        <w:rPr>
          <w:rFonts w:ascii="Times New Roman" w:hAnsi="Times New Roman" w:cs="Times New Roman"/>
        </w:rPr>
        <w:t>paper</w:t>
      </w:r>
      <w:r w:rsidRPr="00BA1661">
        <w:rPr>
          <w:rFonts w:ascii="Times New Roman" w:hAnsi="Times New Roman" w:cs="Times New Roman"/>
        </w:rPr>
        <w:t xml:space="preserve"> focuses on Research Question 1: </w:t>
      </w:r>
      <w:r w:rsidRPr="00BA1661">
        <w:rPr>
          <w:rFonts w:ascii="Times New Roman" w:hAnsi="Times New Roman" w:cs="Times New Roman"/>
          <w:i/>
          <w:iCs/>
        </w:rPr>
        <w:t>How are practices of monitoring, tracking and accountability within FE colleges in Wales perceived by students and staff to shape students’ emotional and psychological well-being?</w:t>
      </w:r>
      <w:r w:rsidRPr="00BA1661">
        <w:rPr>
          <w:rFonts w:ascii="Times New Roman" w:hAnsi="Times New Roman" w:cs="Times New Roman"/>
        </w:rPr>
        <w:t xml:space="preserve"> This question is important because it moves beyond simply asking whether these systems “work” and instead asks how they are actually experienced. It deliberately </w:t>
      </w:r>
      <w:r>
        <w:rPr>
          <w:rFonts w:ascii="Times New Roman" w:hAnsi="Times New Roman" w:cs="Times New Roman"/>
        </w:rPr>
        <w:t xml:space="preserve">attempts to </w:t>
      </w:r>
      <w:r w:rsidRPr="00BA1661">
        <w:rPr>
          <w:rFonts w:ascii="Times New Roman" w:hAnsi="Times New Roman" w:cs="Times New Roman"/>
        </w:rPr>
        <w:t>capture both measurable patterns and lived experience, which makes it well suited to a mixed methods approach.</w:t>
      </w:r>
    </w:p>
    <w:p w14:paraId="468DE5E6" w14:textId="5954F847" w:rsidR="00BA1661" w:rsidRPr="00BA1661" w:rsidRDefault="00BA1661" w:rsidP="00BA1661">
      <w:pPr>
        <w:spacing w:line="360" w:lineRule="auto"/>
        <w:rPr>
          <w:rFonts w:ascii="Times New Roman" w:hAnsi="Times New Roman" w:cs="Times New Roman"/>
        </w:rPr>
      </w:pPr>
      <w:r w:rsidRPr="00BA1661">
        <w:rPr>
          <w:rFonts w:ascii="Times New Roman" w:hAnsi="Times New Roman" w:cs="Times New Roman"/>
        </w:rPr>
        <w:t>The aim of this study is to explore how these institutional practices are understood and experienced by both students and staff, and to consider the extent to which they shape emotional and psychological well-being within FE. Rather than treating well-being as something located within the individual, this study takes a more structural view, recognising that institutional systems, processes and expectations play a significant role in shaping how students feel and function within education.</w:t>
      </w:r>
    </w:p>
    <w:p w14:paraId="11440E07" w14:textId="4D97C016" w:rsidR="00F03FBB" w:rsidRPr="00A53FBB" w:rsidRDefault="00F03FBB" w:rsidP="008D2DDA">
      <w:pPr>
        <w:pStyle w:val="Heading2"/>
      </w:pPr>
      <w:bookmarkStart w:id="2" w:name="_Toc227595724"/>
      <w:r w:rsidRPr="00A53FBB">
        <w:t>Methods</w:t>
      </w:r>
      <w:bookmarkEnd w:id="2"/>
      <w:r w:rsidRPr="00A53FBB">
        <w:t xml:space="preserve"> </w:t>
      </w:r>
    </w:p>
    <w:p w14:paraId="1E5A56D6" w14:textId="31D9E556" w:rsidR="00BA1661" w:rsidRDefault="008D2DDA" w:rsidP="00335607">
      <w:pPr>
        <w:spacing w:line="360" w:lineRule="auto"/>
        <w:rPr>
          <w:rFonts w:ascii="Times New Roman" w:hAnsi="Times New Roman" w:cs="Times New Roman"/>
        </w:rPr>
      </w:pPr>
      <w:r>
        <w:rPr>
          <w:rFonts w:ascii="Times New Roman" w:hAnsi="Times New Roman" w:cs="Times New Roman"/>
        </w:rPr>
        <w:t>T</w:t>
      </w:r>
      <w:r w:rsidR="00BA1661" w:rsidRPr="00BA1661">
        <w:rPr>
          <w:rFonts w:ascii="Times New Roman" w:hAnsi="Times New Roman" w:cs="Times New Roman"/>
        </w:rPr>
        <w:t>his study adopts a mixed methods approach, bringing together both quantitative and qualitative methods to explore how practices of monitoring, tracking and accountability within FE colleges in Wales are perceived to shape students’ emotional and psychological well-being. As Creswell and Plano</w:t>
      </w:r>
      <w:r w:rsidR="00463B81">
        <w:rPr>
          <w:rFonts w:ascii="Times New Roman" w:hAnsi="Times New Roman" w:cs="Times New Roman"/>
        </w:rPr>
        <w:t>-</w:t>
      </w:r>
      <w:r w:rsidR="00BA1661" w:rsidRPr="00BA1661">
        <w:rPr>
          <w:rFonts w:ascii="Times New Roman" w:hAnsi="Times New Roman" w:cs="Times New Roman"/>
        </w:rPr>
        <w:t xml:space="preserve">Clark (2018) suggest, mixed methods research is particularly useful when exploring complex educational problems that cannot be fully understood through a single approach. In this study, it provides a way of capturing both the </w:t>
      </w:r>
      <w:r w:rsidR="00BA1661" w:rsidRPr="00BA1661">
        <w:rPr>
          <w:rFonts w:ascii="Times New Roman" w:hAnsi="Times New Roman" w:cs="Times New Roman"/>
        </w:rPr>
        <w:lastRenderedPageBreak/>
        <w:t>structural patterns and the lived realities of institutional practices, offering a more complete and balanced understanding of how they shape student well-being.</w:t>
      </w:r>
    </w:p>
    <w:p w14:paraId="33B63BE6" w14:textId="4462D38B" w:rsidR="00F03FBB" w:rsidRPr="00335607" w:rsidRDefault="00F03FBB" w:rsidP="008D2DDA">
      <w:pPr>
        <w:pStyle w:val="Heading2"/>
      </w:pPr>
      <w:bookmarkStart w:id="3" w:name="_Toc227595725"/>
      <w:r w:rsidRPr="00335607">
        <w:t>Quantitative Methods</w:t>
      </w:r>
      <w:bookmarkEnd w:id="3"/>
    </w:p>
    <w:p w14:paraId="23B1D566" w14:textId="705363E3" w:rsidR="00BA1661" w:rsidRPr="00E46B71" w:rsidRDefault="00BA1661" w:rsidP="00BA1661">
      <w:pPr>
        <w:spacing w:line="360" w:lineRule="auto"/>
        <w:rPr>
          <w:rFonts w:ascii="Times New Roman" w:hAnsi="Times New Roman" w:cs="Times New Roman"/>
        </w:rPr>
      </w:pPr>
      <w:r w:rsidRPr="00BA1661">
        <w:rPr>
          <w:rFonts w:ascii="Times New Roman" w:hAnsi="Times New Roman" w:cs="Times New Roman"/>
        </w:rPr>
        <w:t>Quantitative methods will be used to identify patterns in how students perceive institutional practices and how these relate to their reported well-being. Data will be collected through structured questionnaires, using Likert-scale items alongside a validated measure such as the Student Subjective Wellbeing Questionnaire (SSWQ). This allows for the collection of data that is consistent and comparable, making it possible to identify trends across a larger sample rather than relying on isolated accounts</w:t>
      </w:r>
      <w:r>
        <w:rPr>
          <w:rFonts w:ascii="Times New Roman" w:hAnsi="Times New Roman" w:cs="Times New Roman"/>
        </w:rPr>
        <w:t xml:space="preserve">. </w:t>
      </w:r>
      <w:r w:rsidRPr="00BA1661">
        <w:rPr>
          <w:rFonts w:ascii="Times New Roman" w:hAnsi="Times New Roman" w:cs="Times New Roman"/>
        </w:rPr>
        <w:t>The inclusion of the SSWQ also strengthens the study, as it draws on an established and recognised measure of student well-being, adding a level of reliability to the findings</w:t>
      </w:r>
      <w:r>
        <w:rPr>
          <w:rFonts w:ascii="Times New Roman" w:hAnsi="Times New Roman" w:cs="Times New Roman"/>
        </w:rPr>
        <w:t xml:space="preserve"> </w:t>
      </w:r>
      <w:r w:rsidRPr="00E46B71">
        <w:rPr>
          <w:rFonts w:ascii="Times New Roman" w:hAnsi="Times New Roman" w:cs="Times New Roman"/>
        </w:rPr>
        <w:t xml:space="preserve">(Joshi </w:t>
      </w:r>
      <w:r w:rsidRPr="00A05346">
        <w:rPr>
          <w:rFonts w:ascii="Times New Roman" w:hAnsi="Times New Roman" w:cs="Times New Roman"/>
          <w:i/>
          <w:iCs/>
        </w:rPr>
        <w:t>et al</w:t>
      </w:r>
      <w:r w:rsidR="005F278A">
        <w:rPr>
          <w:rFonts w:ascii="Times New Roman" w:hAnsi="Times New Roman" w:cs="Times New Roman"/>
          <w:i/>
          <w:iCs/>
        </w:rPr>
        <w:t>.</w:t>
      </w:r>
      <w:r w:rsidRPr="00A05346">
        <w:rPr>
          <w:rFonts w:ascii="Times New Roman" w:hAnsi="Times New Roman" w:cs="Times New Roman"/>
          <w:i/>
          <w:iCs/>
        </w:rPr>
        <w:t>,</w:t>
      </w:r>
      <w:r w:rsidRPr="00E46B71">
        <w:rPr>
          <w:rFonts w:ascii="Times New Roman" w:hAnsi="Times New Roman" w:cs="Times New Roman"/>
        </w:rPr>
        <w:t xml:space="preserve"> 2015).</w:t>
      </w:r>
    </w:p>
    <w:p w14:paraId="32DA5769" w14:textId="4A2BF1B4" w:rsidR="00BF2C39" w:rsidRDefault="003E1DF3" w:rsidP="00BF2C39">
      <w:pPr>
        <w:spacing w:line="360" w:lineRule="auto"/>
        <w:rPr>
          <w:rFonts w:ascii="Times New Roman" w:hAnsi="Times New Roman" w:cs="Times New Roman"/>
        </w:rPr>
      </w:pPr>
      <w:r w:rsidRPr="003E1DF3">
        <w:rPr>
          <w:rFonts w:ascii="Times New Roman" w:hAnsi="Times New Roman" w:cs="Times New Roman"/>
        </w:rPr>
        <w:t>Quantitative methods provide breadth, enabling the identification of patterns and relationships between variables, such as the intensity of monitoring practices and reported well-being (Jebb, Ng and Tay, 2021). This reflects the post-positivist element of the study, where identifying observable patterns is central (Cohen, Manion and Morrison, 2018).</w:t>
      </w:r>
      <w:r w:rsidR="005F278A">
        <w:rPr>
          <w:rFonts w:ascii="Times New Roman" w:hAnsi="Times New Roman" w:cs="Times New Roman"/>
        </w:rPr>
        <w:t xml:space="preserve"> </w:t>
      </w:r>
      <w:r w:rsidR="00BA1661" w:rsidRPr="00BA1661">
        <w:rPr>
          <w:rFonts w:ascii="Times New Roman" w:hAnsi="Times New Roman" w:cs="Times New Roman"/>
        </w:rPr>
        <w:t>However, this approach on its own is limited.</w:t>
      </w:r>
      <w:r w:rsidR="00674DBC" w:rsidRPr="00674DBC">
        <w:t xml:space="preserve"> </w:t>
      </w:r>
      <w:r w:rsidR="00674DBC" w:rsidRPr="00674DBC">
        <w:rPr>
          <w:rFonts w:ascii="Times New Roman" w:hAnsi="Times New Roman" w:cs="Times New Roman"/>
        </w:rPr>
        <w:t>While useful for identifying patterns, this approach risks reducing complex experiences to simplified data (Rahman, 2017)</w:t>
      </w:r>
      <w:r w:rsidR="00674DBC">
        <w:rPr>
          <w:rFonts w:ascii="Times New Roman" w:hAnsi="Times New Roman" w:cs="Times New Roman"/>
        </w:rPr>
        <w:t xml:space="preserve">. </w:t>
      </w:r>
      <w:r w:rsidR="00BA1661" w:rsidRPr="00BA1661">
        <w:rPr>
          <w:rFonts w:ascii="Times New Roman" w:hAnsi="Times New Roman" w:cs="Times New Roman"/>
        </w:rPr>
        <w:t>For this reason, quantitative methods are used here as part of a wider approach, rather than as a standalone solution</w:t>
      </w:r>
      <w:r w:rsidR="00BA1661">
        <w:rPr>
          <w:rFonts w:ascii="Times New Roman" w:hAnsi="Times New Roman" w:cs="Times New Roman"/>
        </w:rPr>
        <w:t xml:space="preserve"> </w:t>
      </w:r>
      <w:r w:rsidR="00BA1661" w:rsidRPr="00BA1661">
        <w:rPr>
          <w:rFonts w:ascii="Times New Roman" w:hAnsi="Times New Roman" w:cs="Times New Roman"/>
        </w:rPr>
        <w:t>(Oranga and Matere, 2025)</w:t>
      </w:r>
      <w:r w:rsidR="00BA1661">
        <w:rPr>
          <w:rFonts w:ascii="Times New Roman" w:hAnsi="Times New Roman" w:cs="Times New Roman"/>
        </w:rPr>
        <w:t xml:space="preserve">. </w:t>
      </w:r>
      <w:bookmarkStart w:id="4" w:name="_Toc227595726"/>
    </w:p>
    <w:p w14:paraId="2B50AD42" w14:textId="5DDAED9C" w:rsidR="00F03FBB" w:rsidRPr="00335607" w:rsidRDefault="00F03FBB" w:rsidP="00BF2C39">
      <w:pPr>
        <w:pStyle w:val="Heading2"/>
      </w:pPr>
      <w:r w:rsidRPr="00335607">
        <w:lastRenderedPageBreak/>
        <w:t>Qualitative Methods</w:t>
      </w:r>
      <w:bookmarkEnd w:id="4"/>
    </w:p>
    <w:p w14:paraId="128DF7B6" w14:textId="631AA6D9" w:rsidR="008D2DDA" w:rsidRPr="008D2DDA" w:rsidRDefault="008D2DDA" w:rsidP="003E1DF3">
      <w:pPr>
        <w:pStyle w:val="Heading2"/>
        <w:spacing w:line="360" w:lineRule="auto"/>
        <w:rPr>
          <w:rFonts w:ascii="Times New Roman" w:hAnsi="Times New Roman" w:cs="Times New Roman"/>
          <w:color w:val="000000" w:themeColor="text1"/>
          <w:sz w:val="24"/>
          <w:szCs w:val="24"/>
        </w:rPr>
      </w:pPr>
      <w:bookmarkStart w:id="5" w:name="_Toc227595541"/>
      <w:bookmarkStart w:id="6" w:name="_Toc227595727"/>
      <w:r w:rsidRPr="008D2DDA">
        <w:rPr>
          <w:rFonts w:ascii="Times New Roman" w:hAnsi="Times New Roman" w:cs="Times New Roman"/>
          <w:color w:val="000000" w:themeColor="text1"/>
          <w:sz w:val="24"/>
          <w:szCs w:val="24"/>
        </w:rPr>
        <w:t>Qualitative methods will be used to explore the meanings and experiences behind the patterns identified in the quantitative data. Semi-structured interviews will be the main tool, carried out with both students and staff. This approach gives participants the space to talk through their experiences of monitoring and accountability practices in their own words. It allows for a clearer understanding of how these practices are experienced, interpreted and navigated in everyday FE settings</w:t>
      </w:r>
      <w:r>
        <w:rPr>
          <w:rFonts w:ascii="Times New Roman" w:hAnsi="Times New Roman" w:cs="Times New Roman"/>
          <w:color w:val="000000" w:themeColor="text1"/>
          <w:sz w:val="24"/>
          <w:szCs w:val="24"/>
        </w:rPr>
        <w:t>.</w:t>
      </w:r>
      <w:bookmarkEnd w:id="5"/>
      <w:bookmarkEnd w:id="6"/>
      <w:r>
        <w:rPr>
          <w:rFonts w:ascii="Times New Roman" w:hAnsi="Times New Roman" w:cs="Times New Roman"/>
          <w:color w:val="000000" w:themeColor="text1"/>
          <w:sz w:val="24"/>
          <w:szCs w:val="24"/>
        </w:rPr>
        <w:t xml:space="preserve"> </w:t>
      </w:r>
    </w:p>
    <w:p w14:paraId="6B64B231" w14:textId="3B498222" w:rsidR="008D2DDA" w:rsidRPr="008D2DDA" w:rsidRDefault="008D2DDA" w:rsidP="003E1DF3">
      <w:pPr>
        <w:pStyle w:val="Heading2"/>
        <w:spacing w:line="360" w:lineRule="auto"/>
        <w:rPr>
          <w:rFonts w:ascii="Times New Roman" w:hAnsi="Times New Roman" w:cs="Times New Roman"/>
          <w:color w:val="000000" w:themeColor="text1"/>
          <w:sz w:val="24"/>
          <w:szCs w:val="24"/>
        </w:rPr>
      </w:pPr>
      <w:bookmarkStart w:id="7" w:name="_Toc227595542"/>
      <w:bookmarkStart w:id="8" w:name="_Toc227595728"/>
      <w:r w:rsidRPr="008D2DDA">
        <w:rPr>
          <w:rFonts w:ascii="Times New Roman" w:hAnsi="Times New Roman" w:cs="Times New Roman"/>
          <w:color w:val="000000" w:themeColor="text1"/>
          <w:sz w:val="24"/>
          <w:szCs w:val="24"/>
        </w:rPr>
        <w:t>The decision to use qualitative methods is based on their ability to get beneath the surface and capture depth and nuance. As Denzin and Lincoln (2018) argue, qualitative research is particularly useful for exploring lived experiences and the meanings people attach to them. In this study, it allows for a more detailed exploration of</w:t>
      </w:r>
      <w:r w:rsidR="003E1DF3">
        <w:rPr>
          <w:rFonts w:ascii="Times New Roman" w:hAnsi="Times New Roman" w:cs="Times New Roman"/>
          <w:color w:val="000000" w:themeColor="text1"/>
          <w:sz w:val="24"/>
          <w:szCs w:val="24"/>
        </w:rPr>
        <w:t xml:space="preserve"> </w:t>
      </w:r>
      <w:r w:rsidR="003E1DF3" w:rsidRPr="003E1DF3">
        <w:rPr>
          <w:rFonts w:ascii="Times New Roman" w:hAnsi="Times New Roman" w:cs="Times New Roman"/>
          <w:color w:val="000000" w:themeColor="text1"/>
          <w:sz w:val="24"/>
          <w:szCs w:val="24"/>
        </w:rPr>
        <w:t>how students experience institutional practices</w:t>
      </w:r>
      <w:r w:rsidR="003E1DF3">
        <w:rPr>
          <w:rFonts w:ascii="Times New Roman" w:hAnsi="Times New Roman" w:cs="Times New Roman"/>
          <w:color w:val="000000" w:themeColor="text1"/>
          <w:sz w:val="24"/>
          <w:szCs w:val="24"/>
        </w:rPr>
        <w:t xml:space="preserve">, </w:t>
      </w:r>
      <w:r w:rsidRPr="008D2DDA">
        <w:rPr>
          <w:rFonts w:ascii="Times New Roman" w:hAnsi="Times New Roman" w:cs="Times New Roman"/>
          <w:color w:val="000000" w:themeColor="text1"/>
          <w:sz w:val="24"/>
          <w:szCs w:val="24"/>
        </w:rPr>
        <w:t>as well as how staff make sense of, justify and apply these practices in their day-to-day work. Semi-structured interviews are especially useful here, as they provide enough structure to keep the conversation focused, while still allowing participants to raise issues that might not have been anticipated.</w:t>
      </w:r>
      <w:bookmarkEnd w:id="7"/>
      <w:bookmarkEnd w:id="8"/>
    </w:p>
    <w:p w14:paraId="11150108" w14:textId="77777777" w:rsidR="008D2DDA" w:rsidRPr="008D2DDA" w:rsidRDefault="008D2DDA" w:rsidP="003E1DF3">
      <w:pPr>
        <w:pStyle w:val="Heading2"/>
        <w:spacing w:line="360" w:lineRule="auto"/>
        <w:rPr>
          <w:rFonts w:ascii="Times New Roman" w:hAnsi="Times New Roman" w:cs="Times New Roman"/>
          <w:color w:val="000000" w:themeColor="text1"/>
          <w:sz w:val="24"/>
          <w:szCs w:val="24"/>
        </w:rPr>
      </w:pPr>
      <w:bookmarkStart w:id="9" w:name="_Toc227595543"/>
      <w:bookmarkStart w:id="10" w:name="_Toc227595729"/>
      <w:r w:rsidRPr="008D2DDA">
        <w:rPr>
          <w:rFonts w:ascii="Times New Roman" w:hAnsi="Times New Roman" w:cs="Times New Roman"/>
          <w:color w:val="000000" w:themeColor="text1"/>
          <w:sz w:val="24"/>
          <w:szCs w:val="24"/>
        </w:rPr>
        <w:t>That said, qualitative methods are not without their limitations. They tend to involve smaller sample sizes, which means the findings are less easily generalisable to a wider population. There is also the issue of interpretation, as the analysis is shaped by the researcher’s own perspective. This makes reflexivity an important part of the process, ensuring that potential bias is acknowledged and carefully managed (Cohen, Manion and Morrison, 2018).</w:t>
      </w:r>
      <w:bookmarkEnd w:id="9"/>
      <w:bookmarkEnd w:id="10"/>
    </w:p>
    <w:p w14:paraId="5C752F23" w14:textId="77777777" w:rsidR="00F03FBB" w:rsidRPr="00335607" w:rsidRDefault="00F03FBB" w:rsidP="008D2DDA">
      <w:pPr>
        <w:pStyle w:val="Heading2"/>
      </w:pPr>
      <w:bookmarkStart w:id="11" w:name="_Toc227595544"/>
      <w:bookmarkStart w:id="12" w:name="_Toc227595730"/>
      <w:r w:rsidRPr="00335607">
        <w:t>Mixed Methods Approach</w:t>
      </w:r>
      <w:bookmarkEnd w:id="11"/>
      <w:bookmarkEnd w:id="12"/>
    </w:p>
    <w:p w14:paraId="3FD28F29" w14:textId="5C30216B" w:rsidR="00BC63E8" w:rsidRPr="00BC63E8" w:rsidRDefault="00BC63E8" w:rsidP="00BC63E8">
      <w:pPr>
        <w:pStyle w:val="Heading2"/>
        <w:spacing w:line="360" w:lineRule="auto"/>
        <w:rPr>
          <w:rFonts w:ascii="Times New Roman" w:hAnsi="Times New Roman" w:cs="Times New Roman"/>
          <w:color w:val="000000" w:themeColor="text1"/>
          <w:sz w:val="24"/>
          <w:szCs w:val="24"/>
        </w:rPr>
      </w:pPr>
      <w:bookmarkStart w:id="13" w:name="_Toc227595545"/>
      <w:bookmarkStart w:id="14" w:name="_Toc227595731"/>
      <w:r w:rsidRPr="00BC63E8">
        <w:rPr>
          <w:rFonts w:ascii="Times New Roman" w:hAnsi="Times New Roman" w:cs="Times New Roman"/>
          <w:color w:val="000000" w:themeColor="text1"/>
          <w:sz w:val="24"/>
          <w:szCs w:val="24"/>
        </w:rPr>
        <w:lastRenderedPageBreak/>
        <w:t>Bringing quantitative and qualitative methods together offers a more complete way of addressing the research question. The main reason for using a mixed methods approach is that it allows both the identification of patterns and the exploration of meaning. This sits within a pragmatic approach, where the focus is on the research problem itself and using the methods that best help to answer it (Creswell and Plano</w:t>
      </w:r>
      <w:r w:rsidR="005F278A">
        <w:rPr>
          <w:rFonts w:ascii="Times New Roman" w:hAnsi="Times New Roman" w:cs="Times New Roman"/>
          <w:color w:val="000000" w:themeColor="text1"/>
          <w:sz w:val="24"/>
          <w:szCs w:val="24"/>
        </w:rPr>
        <w:t>-</w:t>
      </w:r>
      <w:r w:rsidRPr="00BC63E8">
        <w:rPr>
          <w:rFonts w:ascii="Times New Roman" w:hAnsi="Times New Roman" w:cs="Times New Roman"/>
          <w:color w:val="000000" w:themeColor="text1"/>
          <w:sz w:val="24"/>
          <w:szCs w:val="24"/>
        </w:rPr>
        <w:t>Clark, 2018).</w:t>
      </w:r>
      <w:r w:rsidR="005A23E3">
        <w:rPr>
          <w:rFonts w:ascii="Times New Roman" w:hAnsi="Times New Roman" w:cs="Times New Roman"/>
          <w:color w:val="000000" w:themeColor="text1"/>
          <w:sz w:val="24"/>
          <w:szCs w:val="24"/>
        </w:rPr>
        <w:t xml:space="preserve"> </w:t>
      </w:r>
      <w:r w:rsidRPr="00BC63E8">
        <w:rPr>
          <w:rFonts w:ascii="Times New Roman" w:hAnsi="Times New Roman" w:cs="Times New Roman"/>
          <w:color w:val="000000" w:themeColor="text1"/>
          <w:sz w:val="24"/>
          <w:szCs w:val="24"/>
        </w:rPr>
        <w:t>Mixed methods also supports triangulation, where findings from different approaches can be compared and used to strengthen the overall credibility of the study. By drawing on both quantitative and qualitative data, it becomes possible to cross-check findings and build a more robust understanding of the issue</w:t>
      </w:r>
      <w:r w:rsidR="00674DBC">
        <w:rPr>
          <w:rFonts w:ascii="Times New Roman" w:hAnsi="Times New Roman" w:cs="Times New Roman"/>
          <w:color w:val="000000" w:themeColor="text1"/>
          <w:sz w:val="24"/>
          <w:szCs w:val="24"/>
        </w:rPr>
        <w:t xml:space="preserve"> </w:t>
      </w:r>
      <w:r w:rsidRPr="00BC63E8">
        <w:rPr>
          <w:rFonts w:ascii="Times New Roman" w:hAnsi="Times New Roman" w:cs="Times New Roman"/>
          <w:color w:val="000000" w:themeColor="text1"/>
          <w:sz w:val="24"/>
          <w:szCs w:val="24"/>
        </w:rPr>
        <w:t>(Bryman, 2016).</w:t>
      </w:r>
      <w:r>
        <w:rPr>
          <w:rFonts w:ascii="Times New Roman" w:hAnsi="Times New Roman" w:cs="Times New Roman"/>
          <w:color w:val="000000" w:themeColor="text1"/>
          <w:sz w:val="24"/>
          <w:szCs w:val="24"/>
        </w:rPr>
        <w:t xml:space="preserve"> </w:t>
      </w:r>
      <w:r w:rsidRPr="00BC63E8">
        <w:rPr>
          <w:rFonts w:ascii="Times New Roman" w:hAnsi="Times New Roman" w:cs="Times New Roman"/>
          <w:color w:val="000000" w:themeColor="text1"/>
          <w:sz w:val="24"/>
          <w:szCs w:val="24"/>
        </w:rPr>
        <w:t>For example, survey data might show a pattern where students experiencing higher levels of monitoring report lower well-being. The qualitative interviews can then help unpack what is actually going on behind that pattern, giving insight into how and why these experiences are happenin</w:t>
      </w:r>
      <w:r w:rsidR="00674DBC">
        <w:rPr>
          <w:rFonts w:ascii="Times New Roman" w:hAnsi="Times New Roman" w:cs="Times New Roman"/>
          <w:color w:val="000000" w:themeColor="text1"/>
          <w:sz w:val="24"/>
          <w:szCs w:val="24"/>
        </w:rPr>
        <w:t>g</w:t>
      </w:r>
      <w:r w:rsidRPr="00BC63E8">
        <w:rPr>
          <w:rFonts w:ascii="Times New Roman" w:hAnsi="Times New Roman" w:cs="Times New Roman"/>
          <w:color w:val="000000" w:themeColor="text1"/>
          <w:sz w:val="24"/>
          <w:szCs w:val="24"/>
        </w:rPr>
        <w:t xml:space="preserve"> (Mason, 2002).</w:t>
      </w:r>
      <w:bookmarkEnd w:id="13"/>
      <w:bookmarkEnd w:id="14"/>
    </w:p>
    <w:p w14:paraId="0BCAE0E1" w14:textId="19812643" w:rsidR="00BC63E8" w:rsidRPr="00BC63E8" w:rsidRDefault="00BC63E8" w:rsidP="00BC63E8">
      <w:pPr>
        <w:pStyle w:val="Heading2"/>
        <w:spacing w:line="360" w:lineRule="auto"/>
        <w:rPr>
          <w:rFonts w:ascii="Times New Roman" w:hAnsi="Times New Roman" w:cs="Times New Roman"/>
          <w:color w:val="000000" w:themeColor="text1"/>
          <w:sz w:val="24"/>
          <w:szCs w:val="24"/>
        </w:rPr>
      </w:pPr>
      <w:bookmarkStart w:id="15" w:name="_Toc227595546"/>
      <w:bookmarkStart w:id="16" w:name="_Toc227595732"/>
      <w:r w:rsidRPr="00BC63E8">
        <w:rPr>
          <w:rFonts w:ascii="Times New Roman" w:hAnsi="Times New Roman" w:cs="Times New Roman"/>
          <w:color w:val="000000" w:themeColor="text1"/>
          <w:sz w:val="24"/>
          <w:szCs w:val="24"/>
        </w:rPr>
        <w:t>That said, using mixed methods does come with challenges. It takes more time, requires careful planning to bring the different types of data together, and demands confidence in both quantitative and qualitative approaches</w:t>
      </w:r>
      <w:r>
        <w:rPr>
          <w:rFonts w:ascii="Times New Roman" w:hAnsi="Times New Roman" w:cs="Times New Roman"/>
          <w:color w:val="000000" w:themeColor="text1"/>
          <w:sz w:val="24"/>
          <w:szCs w:val="24"/>
        </w:rPr>
        <w:t xml:space="preserve"> </w:t>
      </w:r>
      <w:r w:rsidRPr="00BC63E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Flick, 2019</w:t>
      </w:r>
      <w:r w:rsidRPr="00BC63E8">
        <w:rPr>
          <w:rFonts w:ascii="Times New Roman" w:hAnsi="Times New Roman" w:cs="Times New Roman"/>
          <w:color w:val="000000" w:themeColor="text1"/>
          <w:sz w:val="24"/>
          <w:szCs w:val="24"/>
        </w:rPr>
        <w:t>). A single method would not capture the full picture, whereas a mixed methods approach allows for a richer and more balanced understanding of the issue</w:t>
      </w:r>
      <w:bookmarkEnd w:id="15"/>
      <w:bookmarkEnd w:id="16"/>
    </w:p>
    <w:p w14:paraId="0FC31585" w14:textId="7C622E50" w:rsidR="00F03FBB" w:rsidRPr="00A53FBB" w:rsidRDefault="00F03FBB" w:rsidP="008D2DDA">
      <w:pPr>
        <w:pStyle w:val="Heading2"/>
      </w:pPr>
      <w:bookmarkStart w:id="17" w:name="_Toc227595733"/>
      <w:r w:rsidRPr="00A53FBB">
        <w:t>Sampling</w:t>
      </w:r>
      <w:bookmarkEnd w:id="17"/>
      <w:r w:rsidRPr="00A53FBB">
        <w:t xml:space="preserve"> </w:t>
      </w:r>
    </w:p>
    <w:p w14:paraId="3B2A395F" w14:textId="7C3E25FB" w:rsidR="00BC63E8" w:rsidRPr="00BC63E8" w:rsidRDefault="000F5D4B" w:rsidP="00BC63E8">
      <w:pPr>
        <w:spacing w:line="360" w:lineRule="auto"/>
        <w:rPr>
          <w:rFonts w:ascii="Times New Roman" w:hAnsi="Times New Roman" w:cs="Times New Roman"/>
        </w:rPr>
      </w:pPr>
      <w:r>
        <w:rPr>
          <w:rFonts w:ascii="Times New Roman" w:hAnsi="Times New Roman" w:cs="Times New Roman"/>
        </w:rPr>
        <w:t>F</w:t>
      </w:r>
      <w:r w:rsidR="006D47A7" w:rsidRPr="006D47A7">
        <w:rPr>
          <w:rFonts w:ascii="Times New Roman" w:hAnsi="Times New Roman" w:cs="Times New Roman"/>
        </w:rPr>
        <w:t>or this study, a purposive sampling strategy will be adopted as the primary method, as it enables the deliberate selection of participants who have direct experience of the institutional practices under investigation. Purposive sampling is commonly used in qualitative research to identify information-rich cases that can provide meaningful insight into the phenomenon being studied (Patton, 2002)</w:t>
      </w:r>
      <w:r w:rsidR="006D47A7">
        <w:rPr>
          <w:rFonts w:ascii="Times New Roman" w:hAnsi="Times New Roman" w:cs="Times New Roman"/>
        </w:rPr>
        <w:t xml:space="preserve">. </w:t>
      </w:r>
      <w:r w:rsidR="00BC63E8" w:rsidRPr="00BC63E8">
        <w:rPr>
          <w:rFonts w:ascii="Times New Roman" w:hAnsi="Times New Roman" w:cs="Times New Roman"/>
        </w:rPr>
        <w:t>The focus is on how monitoring, tracking and accountability systems shape student well-being in Welsh FE, so it’s important to include people who are actually positioned within these processes, rather than selecting a broad or random sample</w:t>
      </w:r>
      <w:r w:rsidR="00FB39D9">
        <w:rPr>
          <w:rFonts w:ascii="Times New Roman" w:hAnsi="Times New Roman" w:cs="Times New Roman"/>
        </w:rPr>
        <w:t xml:space="preserve"> </w:t>
      </w:r>
      <w:r w:rsidR="00BC63E8" w:rsidRPr="00BC63E8">
        <w:rPr>
          <w:rFonts w:ascii="Times New Roman" w:hAnsi="Times New Roman" w:cs="Times New Roman"/>
        </w:rPr>
        <w:t>(Creswell and Plano</w:t>
      </w:r>
      <w:r w:rsidR="005F278A">
        <w:rPr>
          <w:rFonts w:ascii="Times New Roman" w:hAnsi="Times New Roman" w:cs="Times New Roman"/>
        </w:rPr>
        <w:t>-</w:t>
      </w:r>
      <w:r w:rsidR="00BC63E8" w:rsidRPr="00BC63E8">
        <w:rPr>
          <w:rFonts w:ascii="Times New Roman" w:hAnsi="Times New Roman" w:cs="Times New Roman"/>
        </w:rPr>
        <w:t>Clark, 2018).</w:t>
      </w:r>
    </w:p>
    <w:p w14:paraId="5DE7C2F5" w14:textId="7A3B22E7" w:rsidR="00BC63E8" w:rsidRPr="00BC63E8" w:rsidRDefault="00BC63E8" w:rsidP="00BC63E8">
      <w:pPr>
        <w:spacing w:line="360" w:lineRule="auto"/>
        <w:rPr>
          <w:rFonts w:ascii="Times New Roman" w:hAnsi="Times New Roman" w:cs="Times New Roman"/>
        </w:rPr>
      </w:pPr>
      <w:r w:rsidRPr="00BC63E8">
        <w:rPr>
          <w:rFonts w:ascii="Times New Roman" w:hAnsi="Times New Roman" w:cs="Times New Roman"/>
        </w:rPr>
        <w:t>Two key groups will be included: Level 3 FE students and FE staff. Students are central to the study, as the research question focuses on their lived experiences of practices such as attendance monitoring, progress reviews and performance targets. Within this group, participants will be selected to reflect a range of experiences</w:t>
      </w:r>
      <w:r>
        <w:rPr>
          <w:rFonts w:ascii="Times New Roman" w:hAnsi="Times New Roman" w:cs="Times New Roman"/>
        </w:rPr>
        <w:t>,</w:t>
      </w:r>
      <w:r w:rsidRPr="00BC63E8">
        <w:rPr>
          <w:rFonts w:ascii="Times New Roman" w:hAnsi="Times New Roman" w:cs="Times New Roman"/>
        </w:rPr>
        <w:t xml:space="preserve"> including those with consistently high attendance, those who have triggered intervention thresholds, and those who have accessed well-being or support services.</w:t>
      </w:r>
    </w:p>
    <w:p w14:paraId="7DE9F64A" w14:textId="77777777" w:rsidR="006047D5" w:rsidRDefault="00BC63E8" w:rsidP="006D47A7">
      <w:pPr>
        <w:spacing w:line="360" w:lineRule="auto"/>
        <w:rPr>
          <w:rFonts w:ascii="Times New Roman" w:hAnsi="Times New Roman" w:cs="Times New Roman"/>
        </w:rPr>
      </w:pPr>
      <w:r w:rsidRPr="00BC63E8">
        <w:rPr>
          <w:rFonts w:ascii="Times New Roman" w:hAnsi="Times New Roman" w:cs="Times New Roman"/>
        </w:rPr>
        <w:lastRenderedPageBreak/>
        <w:t>Alongside this, staff participants</w:t>
      </w:r>
      <w:r>
        <w:rPr>
          <w:rFonts w:ascii="Times New Roman" w:hAnsi="Times New Roman" w:cs="Times New Roman"/>
        </w:rPr>
        <w:t>,</w:t>
      </w:r>
      <w:r w:rsidRPr="00BC63E8">
        <w:rPr>
          <w:rFonts w:ascii="Times New Roman" w:hAnsi="Times New Roman" w:cs="Times New Roman"/>
        </w:rPr>
        <w:t xml:space="preserve"> including lecturers, personal tutors, pastoral staff and managers will be selected based on their involvement in delivering, interpreting or shaping these practices. Their inclusion allows for a fuller picture of how monitoring systems are actually put into practice, as well as how they are understood and justified within the institution.</w:t>
      </w:r>
      <w:r w:rsidR="006D47A7">
        <w:rPr>
          <w:rFonts w:ascii="Times New Roman" w:hAnsi="Times New Roman" w:cs="Times New Roman"/>
        </w:rPr>
        <w:t xml:space="preserve"> T</w:t>
      </w:r>
      <w:r w:rsidR="006D47A7" w:rsidRPr="006D47A7">
        <w:rPr>
          <w:rFonts w:ascii="Times New Roman" w:hAnsi="Times New Roman" w:cs="Times New Roman"/>
        </w:rPr>
        <w:t xml:space="preserve">o strengthen the sampling strategy, maximum variation sampling will be built into the purposive approach. This helps ensure that a range of perspectives are included, rather than capturing a single or narrow view. Maximum variation sampling is specifically used to capture diversity across key characteristics, allowing the researcher to explore both shared patterns and important differences within the data (Patton, 2002). </w:t>
      </w:r>
    </w:p>
    <w:p w14:paraId="7F3A7246" w14:textId="0926285C"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 xml:space="preserve">In practice, this means drawing participants from different FE colleges across Wales to reflect institutional differences, as well as from a mix of curriculum areas, including both vocational and academic routes. Student participants will also be selected </w:t>
      </w:r>
      <w:r w:rsidR="00FB39D9" w:rsidRPr="00FB39D9">
        <w:rPr>
          <w:rFonts w:ascii="Times New Roman" w:hAnsi="Times New Roman" w:cs="Times New Roman"/>
        </w:rPr>
        <w:t>to reflect variation in demographic and educational experience</w:t>
      </w:r>
      <w:r w:rsidR="00FB39D9">
        <w:rPr>
          <w:rFonts w:ascii="Times New Roman" w:hAnsi="Times New Roman" w:cs="Times New Roman"/>
        </w:rPr>
        <w:t>.</w:t>
      </w:r>
      <w:r>
        <w:rPr>
          <w:rFonts w:ascii="Times New Roman" w:hAnsi="Times New Roman" w:cs="Times New Roman"/>
        </w:rPr>
        <w:t xml:space="preserve"> </w:t>
      </w:r>
      <w:r w:rsidRPr="006D47A7">
        <w:rPr>
          <w:rFonts w:ascii="Times New Roman" w:hAnsi="Times New Roman" w:cs="Times New Roman"/>
        </w:rPr>
        <w:t>Alongside purposive and maximum variation sampling, there will also be a small element of volunteer sampling, particularly for students. Recruitment will take place through college communication channels such as email or virtual learning environments, giving individuals the option to self-select into the study. This supports transparency and respects participant choice, as involvement is entirely voluntary</w:t>
      </w:r>
      <w:r w:rsidR="00FB39D9">
        <w:rPr>
          <w:rFonts w:ascii="Times New Roman" w:hAnsi="Times New Roman" w:cs="Times New Roman"/>
        </w:rPr>
        <w:t xml:space="preserve"> </w:t>
      </w:r>
      <w:r w:rsidR="00FB39D9" w:rsidRPr="006D47A7">
        <w:rPr>
          <w:rFonts w:ascii="Times New Roman" w:hAnsi="Times New Roman" w:cs="Times New Roman"/>
        </w:rPr>
        <w:t>(Creswell, 2014).</w:t>
      </w:r>
      <w:r w:rsidRPr="006D47A7">
        <w:rPr>
          <w:rFonts w:ascii="Times New Roman" w:hAnsi="Times New Roman" w:cs="Times New Roman"/>
        </w:rPr>
        <w:t xml:space="preserve"> However, there is a risk that those who choose to take part may have stronger or more emotive experiences, which could shape the sample. To manage this, steps will be taken to maintain balance where possible, and reflexivity will be an important part of the research process.</w:t>
      </w:r>
      <w:r>
        <w:rPr>
          <w:rFonts w:ascii="Times New Roman" w:hAnsi="Times New Roman" w:cs="Times New Roman"/>
        </w:rPr>
        <w:t xml:space="preserve"> </w:t>
      </w:r>
    </w:p>
    <w:p w14:paraId="120C65F0" w14:textId="385B6CC0" w:rsidR="006D0BA0" w:rsidRPr="00A53FBB" w:rsidRDefault="006D0BA0" w:rsidP="008D2DDA">
      <w:pPr>
        <w:pStyle w:val="Heading2"/>
      </w:pPr>
      <w:bookmarkStart w:id="18" w:name="_Toc227595734"/>
      <w:r w:rsidRPr="00A53FBB">
        <w:t>Ethics</w:t>
      </w:r>
      <w:bookmarkEnd w:id="18"/>
      <w:r w:rsidRPr="00A53FBB">
        <w:t xml:space="preserve"> </w:t>
      </w:r>
    </w:p>
    <w:p w14:paraId="61F914E8" w14:textId="6618742C" w:rsidR="006D47A7" w:rsidRPr="006D47A7" w:rsidRDefault="00245959" w:rsidP="006D47A7">
      <w:pPr>
        <w:spacing w:line="360" w:lineRule="auto"/>
        <w:rPr>
          <w:rFonts w:ascii="Times New Roman" w:hAnsi="Times New Roman" w:cs="Times New Roman"/>
        </w:rPr>
      </w:pPr>
      <w:r w:rsidRPr="00245959">
        <w:rPr>
          <w:rFonts w:ascii="Times New Roman" w:hAnsi="Times New Roman" w:cs="Times New Roman"/>
        </w:rPr>
        <w:t>The ethical approach for this study is informed by participatory research principles, where participants are not positioned as passive subjects, but as active contributors to the research process</w:t>
      </w:r>
      <w:r w:rsidR="00674DBC">
        <w:rPr>
          <w:rFonts w:ascii="Times New Roman" w:hAnsi="Times New Roman" w:cs="Times New Roman"/>
        </w:rPr>
        <w:t xml:space="preserve"> </w:t>
      </w:r>
      <w:r w:rsidRPr="00245959">
        <w:rPr>
          <w:rFonts w:ascii="Times New Roman" w:hAnsi="Times New Roman" w:cs="Times New Roman"/>
        </w:rPr>
        <w:t>(</w:t>
      </w:r>
      <w:r>
        <w:rPr>
          <w:rFonts w:ascii="Times New Roman" w:hAnsi="Times New Roman" w:cs="Times New Roman"/>
        </w:rPr>
        <w:t>Palaiologoui, 2016</w:t>
      </w:r>
      <w:r w:rsidRPr="00245959">
        <w:rPr>
          <w:rFonts w:ascii="Times New Roman" w:hAnsi="Times New Roman" w:cs="Times New Roman"/>
        </w:rPr>
        <w:t>). In this sense, ethics is not treated as a set of procedural requirements to be met, but as something embedded within the research relationship itself.</w:t>
      </w:r>
      <w:r>
        <w:rPr>
          <w:rFonts w:ascii="Times New Roman" w:hAnsi="Times New Roman" w:cs="Times New Roman"/>
        </w:rPr>
        <w:t xml:space="preserve"> </w:t>
      </w:r>
      <w:r w:rsidR="006D47A7" w:rsidRPr="006D47A7">
        <w:rPr>
          <w:rFonts w:ascii="Times New Roman" w:hAnsi="Times New Roman" w:cs="Times New Roman"/>
        </w:rPr>
        <w:t>The ethical approach for this study is grounded in key principles of respect, beneficence, justice and integrity, in line with university ethics policies, UK requirements, and the ethical guidelines set out by the British Educational Research Association (BERA, 2018).</w:t>
      </w:r>
      <w:r w:rsidR="006D47A7">
        <w:rPr>
          <w:rFonts w:ascii="Times New Roman" w:hAnsi="Times New Roman" w:cs="Times New Roman"/>
        </w:rPr>
        <w:t xml:space="preserve">  </w:t>
      </w:r>
    </w:p>
    <w:p w14:paraId="2BA3FA2C" w14:textId="1CB3CC1D"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 xml:space="preserve">A central consideration is informed consent. All participants will be given clear, accessible information about the purpose of the research, what taking part involves, and their role within the study. They will be made fully aware that they can withdraw at any point without any </w:t>
      </w:r>
      <w:r w:rsidRPr="006D47A7">
        <w:rPr>
          <w:rFonts w:ascii="Times New Roman" w:hAnsi="Times New Roman" w:cs="Times New Roman"/>
        </w:rPr>
        <w:lastRenderedPageBreak/>
        <w:t>consequences, and consent will be gained before participation begins. Particular care will be taken to ensure this is done in a way that is open and transparent, especially given my position within the FE sector, so that there is no sense of pressure or expectation to take part.</w:t>
      </w:r>
      <w:r w:rsidR="00E87D60">
        <w:rPr>
          <w:rFonts w:ascii="Times New Roman" w:hAnsi="Times New Roman" w:cs="Times New Roman"/>
        </w:rPr>
        <w:t xml:space="preserve"> </w:t>
      </w:r>
      <w:r w:rsidR="00E87D60" w:rsidRPr="00E87D60">
        <w:rPr>
          <w:rFonts w:ascii="Times New Roman" w:hAnsi="Times New Roman" w:cs="Times New Roman"/>
        </w:rPr>
        <w:t>This reflects established ethical guidance around voluntary participation and the right to withdraw from research (Cohen, Manion and Morrison, 2018)</w:t>
      </w:r>
      <w:r w:rsidR="00E87D60">
        <w:rPr>
          <w:rFonts w:ascii="Times New Roman" w:hAnsi="Times New Roman" w:cs="Times New Roman"/>
        </w:rPr>
        <w:t xml:space="preserve">. </w:t>
      </w:r>
    </w:p>
    <w:p w14:paraId="4CC1476B" w14:textId="13C018DE"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Linked to this is confidentiality and anonymity. All participants, colleges and identifying details will be anonymised using pseudonyms throughout transcripts, analysis and any written outputs. Findings will be presented at a broader, thematic level to ensure that individuals and institutions cannot be identified. This is especially important given that participants may share critical views about institutional practices. Protecting anonymity helps create a space where people feel able to speak openly without concern about professional or reputational consequences</w:t>
      </w:r>
      <w:r w:rsidR="00E87D60">
        <w:rPr>
          <w:rFonts w:ascii="Times New Roman" w:hAnsi="Times New Roman" w:cs="Times New Roman"/>
        </w:rPr>
        <w:t xml:space="preserve">, </w:t>
      </w:r>
      <w:r w:rsidR="00E87D60" w:rsidRPr="00E87D60">
        <w:rPr>
          <w:rFonts w:ascii="Times New Roman" w:hAnsi="Times New Roman" w:cs="Times New Roman"/>
        </w:rPr>
        <w:t>which is a key ethical principle in qualitative research (Denzin and Lincoln, 2018).</w:t>
      </w:r>
    </w:p>
    <w:p w14:paraId="2DDDC11E" w14:textId="5C0086F9"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Minimising harm is also a key priority</w:t>
      </w:r>
      <w:r w:rsidR="00FB39D9">
        <w:rPr>
          <w:rFonts w:ascii="Times New Roman" w:hAnsi="Times New Roman" w:cs="Times New Roman"/>
        </w:rPr>
        <w:t xml:space="preserve"> </w:t>
      </w:r>
      <w:r w:rsidR="00FB39D9" w:rsidRPr="00E87D60">
        <w:rPr>
          <w:rFonts w:ascii="Times New Roman" w:hAnsi="Times New Roman" w:cs="Times New Roman"/>
        </w:rPr>
        <w:t>(Bryman, 2016).</w:t>
      </w:r>
      <w:r w:rsidRPr="006D47A7">
        <w:rPr>
          <w:rFonts w:ascii="Times New Roman" w:hAnsi="Times New Roman" w:cs="Times New Roman"/>
        </w:rPr>
        <w:t xml:space="preserve"> Discussions around well-being, monitoring and institutional pressures may bring up sensitive or emotional responses. Participants will be reminded that they can skip questions or pause or withdraw at any time. Where needed, they will be signposted to appropriate support within their college</w:t>
      </w:r>
      <w:r w:rsidR="00FB39D9">
        <w:rPr>
          <w:rFonts w:ascii="Times New Roman" w:hAnsi="Times New Roman" w:cs="Times New Roman"/>
        </w:rPr>
        <w:t xml:space="preserve">. </w:t>
      </w:r>
    </w:p>
    <w:p w14:paraId="2F466F4C" w14:textId="33DAD0AF" w:rsidR="006D47A7" w:rsidRPr="006D47A7" w:rsidRDefault="00E87D60" w:rsidP="006D47A7">
      <w:pPr>
        <w:spacing w:line="360" w:lineRule="auto"/>
        <w:rPr>
          <w:rFonts w:ascii="Times New Roman" w:hAnsi="Times New Roman" w:cs="Times New Roman"/>
        </w:rPr>
      </w:pPr>
      <w:r w:rsidRPr="00E87D60">
        <w:rPr>
          <w:rFonts w:ascii="Times New Roman" w:hAnsi="Times New Roman" w:cs="Times New Roman"/>
        </w:rPr>
        <w:t xml:space="preserve">In terms of data protection, all data will be handled in line with UK GDPR and university policies. It will be stored securely on encrypted devices, with access limited to the researcher. Only necessary personal data will be collected, retained for an appropriate period, and then securely disposed of. </w:t>
      </w:r>
      <w:r w:rsidR="00FB39D9" w:rsidRPr="00FB39D9">
        <w:rPr>
          <w:rFonts w:ascii="Times New Roman" w:hAnsi="Times New Roman" w:cs="Times New Roman"/>
        </w:rPr>
        <w:t>This ensures legal compliance and protects participant privacy</w:t>
      </w:r>
      <w:r w:rsidRPr="00E87D60">
        <w:rPr>
          <w:rFonts w:ascii="Times New Roman" w:hAnsi="Times New Roman" w:cs="Times New Roman"/>
        </w:rPr>
        <w:t>, in line with the requirements of the UK General Data Protection Regulation and the Data Protection Act 2018, as well as institutional guidance set out by the University of Wales Trinity Saint David.</w:t>
      </w:r>
      <w:r>
        <w:rPr>
          <w:rFonts w:ascii="Times New Roman" w:hAnsi="Times New Roman" w:cs="Times New Roman"/>
        </w:rPr>
        <w:t xml:space="preserve"> </w:t>
      </w:r>
    </w:p>
    <w:p w14:paraId="3C287074" w14:textId="58047BBD"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There are also considerations around the position of the researcher. This study looks at systems of monitoring, tracking and accountability, which could be seen as sensitive or even critical of institutional processes. There is a need to manage this carefully to ensure fairness and balance. The intention is not to criticise individuals or institutions, but to explore how these practices are experienced and understood. Findings will therefore focus on patterns and themes, rather than attributing views to specific people or settings</w:t>
      </w:r>
      <w:r w:rsidR="00BF6CED">
        <w:rPr>
          <w:rFonts w:ascii="Times New Roman" w:hAnsi="Times New Roman" w:cs="Times New Roman"/>
        </w:rPr>
        <w:t xml:space="preserve">, </w:t>
      </w:r>
      <w:r w:rsidR="00BF6CED" w:rsidRPr="00BF6CED">
        <w:rPr>
          <w:rFonts w:ascii="Times New Roman" w:hAnsi="Times New Roman" w:cs="Times New Roman"/>
        </w:rPr>
        <w:t>recognising the responsibility of the researcher in how data is interpreted and represented (Denzin and Lincoln, 2018).</w:t>
      </w:r>
    </w:p>
    <w:p w14:paraId="766EF4AB" w14:textId="7B507D51"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lastRenderedPageBreak/>
        <w:t>As an insider researcher within FE, ongoing reflexivity is important. My professional role may influence both access to participants and how the data is interpreted. To address this, I will engage in reflective practice throughout, including keeping a reflective journal and being mindful of my own assumptions. Clear boundaries will also be maintained to manage any dual-role tensions. For example, students that I currently teach will not be included in the study, helping to reduce any potential power imbalance or perceived pressure to participate</w:t>
      </w:r>
      <w:r w:rsidR="00BF6CED">
        <w:rPr>
          <w:rFonts w:ascii="Times New Roman" w:hAnsi="Times New Roman" w:cs="Times New Roman"/>
        </w:rPr>
        <w:t xml:space="preserve">, </w:t>
      </w:r>
      <w:r w:rsidR="00BF6CED" w:rsidRPr="00BF6CED">
        <w:rPr>
          <w:rFonts w:ascii="Times New Roman" w:hAnsi="Times New Roman" w:cs="Times New Roman"/>
        </w:rPr>
        <w:t>identifying the subjective role of the researcher in interpreting social reality (Guba and Lincoln, 1994).</w:t>
      </w:r>
    </w:p>
    <w:p w14:paraId="19AD3EDB" w14:textId="04BC93A8"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There is also a risk of professional or reputational harm, particularly for staff who may share critical perspectives</w:t>
      </w:r>
      <w:r w:rsidR="00FB39D9">
        <w:rPr>
          <w:rFonts w:ascii="Times New Roman" w:hAnsi="Times New Roman" w:cs="Times New Roman"/>
        </w:rPr>
        <w:t xml:space="preserve"> </w:t>
      </w:r>
      <w:r w:rsidR="00FB39D9" w:rsidRPr="008C4EE0">
        <w:rPr>
          <w:rFonts w:ascii="Times New Roman" w:hAnsi="Times New Roman" w:cs="Times New Roman"/>
        </w:rPr>
        <w:t>(Salda</w:t>
      </w:r>
      <w:r w:rsidR="00FB39D9">
        <w:rPr>
          <w:rFonts w:ascii="Times New Roman" w:hAnsi="Times New Roman" w:cs="Times New Roman"/>
        </w:rPr>
        <w:t>n</w:t>
      </w:r>
      <w:r w:rsidR="00FB39D9" w:rsidRPr="008C4EE0">
        <w:rPr>
          <w:rFonts w:ascii="Times New Roman" w:hAnsi="Times New Roman" w:cs="Times New Roman"/>
        </w:rPr>
        <w:t>a, 2016).</w:t>
      </w:r>
      <w:r w:rsidRPr="006D47A7">
        <w:rPr>
          <w:rFonts w:ascii="Times New Roman" w:hAnsi="Times New Roman" w:cs="Times New Roman"/>
        </w:rPr>
        <w:t xml:space="preserve"> This will be mitigated through strict confidentiality, careful anonymisation and reporting at a thematic level. This approach helps protect participants while still allowing important issues to be explored</w:t>
      </w:r>
      <w:r w:rsidR="008C4EE0">
        <w:rPr>
          <w:rFonts w:ascii="Times New Roman" w:hAnsi="Times New Roman" w:cs="Times New Roman"/>
        </w:rPr>
        <w:t xml:space="preserve">, </w:t>
      </w:r>
      <w:r w:rsidR="008C4EE0" w:rsidRPr="008C4EE0">
        <w:rPr>
          <w:rFonts w:ascii="Times New Roman" w:hAnsi="Times New Roman" w:cs="Times New Roman"/>
        </w:rPr>
        <w:t>in line with ethical guidance around protecting participants from potential harm and safeguarding their identities (Bryman, 2016).</w:t>
      </w:r>
    </w:p>
    <w:p w14:paraId="54235E33" w14:textId="77777777"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Finally, the study is underpinned by a commitment to giving something back. Participants and relevant stakeholders will be offered a summary of the findings, helping to ensure transparency and recognising their contribution. This also supports the potential for the research to inform practice and contribute to positive change within the sector.</w:t>
      </w:r>
    </w:p>
    <w:p w14:paraId="6BE1B1ED" w14:textId="77777777" w:rsidR="006D47A7" w:rsidRPr="006D47A7" w:rsidRDefault="006D47A7" w:rsidP="006D47A7">
      <w:pPr>
        <w:spacing w:line="360" w:lineRule="auto"/>
        <w:rPr>
          <w:rFonts w:ascii="Times New Roman" w:hAnsi="Times New Roman" w:cs="Times New Roman"/>
        </w:rPr>
      </w:pPr>
      <w:r w:rsidRPr="006D47A7">
        <w:rPr>
          <w:rFonts w:ascii="Times New Roman" w:hAnsi="Times New Roman" w:cs="Times New Roman"/>
        </w:rPr>
        <w:t>Overall, this approach reflects the realities of researching well-being within institutional settings. It aims to balance the need for critical exploration with a strong commitment to protecting participants, maintaining professional integrity and conducting the research responsibly.</w:t>
      </w:r>
    </w:p>
    <w:p w14:paraId="307D6050" w14:textId="6975BB97" w:rsidR="006D0BA0" w:rsidRPr="00A53FBB" w:rsidRDefault="006D0BA0" w:rsidP="006D47A7">
      <w:pPr>
        <w:pStyle w:val="Heading2"/>
      </w:pPr>
      <w:bookmarkStart w:id="19" w:name="_Toc227595735"/>
      <w:r w:rsidRPr="00CB0692">
        <w:t>Research tools</w:t>
      </w:r>
      <w:bookmarkEnd w:id="19"/>
      <w:r w:rsidRPr="00A53FBB">
        <w:t xml:space="preserve"> </w:t>
      </w:r>
    </w:p>
    <w:p w14:paraId="45AE97F1" w14:textId="69F966E1" w:rsidR="00004568" w:rsidRPr="00004568" w:rsidRDefault="00004568" w:rsidP="00004568">
      <w:pPr>
        <w:spacing w:line="360" w:lineRule="auto"/>
        <w:rPr>
          <w:rFonts w:ascii="Times New Roman" w:hAnsi="Times New Roman" w:cs="Times New Roman"/>
        </w:rPr>
      </w:pPr>
      <w:r w:rsidRPr="00004568">
        <w:rPr>
          <w:rFonts w:ascii="Times New Roman" w:hAnsi="Times New Roman" w:cs="Times New Roman"/>
        </w:rPr>
        <w:t>For this study, which looks at how monitoring, tracking and accountability practices shape student well-being in Welsh FE, a mixed-methods approach will be used</w:t>
      </w:r>
      <w:r w:rsidR="003E1DF3">
        <w:rPr>
          <w:rFonts w:ascii="Times New Roman" w:hAnsi="Times New Roman" w:cs="Times New Roman"/>
        </w:rPr>
        <w:t xml:space="preserve"> </w:t>
      </w:r>
      <w:r w:rsidR="003E1DF3" w:rsidRPr="003E1DF3">
        <w:rPr>
          <w:rFonts w:ascii="Times New Roman" w:hAnsi="Times New Roman" w:cs="Times New Roman"/>
        </w:rPr>
        <w:t>allowing both pattern identification and deeper exploration of experience</w:t>
      </w:r>
      <w:r w:rsidR="003E1DF3">
        <w:rPr>
          <w:rFonts w:ascii="Times New Roman" w:hAnsi="Times New Roman" w:cs="Times New Roman"/>
        </w:rPr>
        <w:t xml:space="preserve"> </w:t>
      </w:r>
      <w:r w:rsidR="00C5363F">
        <w:rPr>
          <w:rFonts w:ascii="Times New Roman" w:hAnsi="Times New Roman" w:cs="Times New Roman"/>
        </w:rPr>
        <w:t xml:space="preserve">(Creswell </w:t>
      </w:r>
      <w:r w:rsidR="005F278A">
        <w:rPr>
          <w:rFonts w:ascii="Times New Roman" w:hAnsi="Times New Roman" w:cs="Times New Roman"/>
        </w:rPr>
        <w:t>and</w:t>
      </w:r>
      <w:r w:rsidR="00C5363F">
        <w:rPr>
          <w:rFonts w:ascii="Times New Roman" w:hAnsi="Times New Roman" w:cs="Times New Roman"/>
        </w:rPr>
        <w:t xml:space="preserve"> Plano</w:t>
      </w:r>
      <w:r w:rsidR="005F278A">
        <w:rPr>
          <w:rFonts w:ascii="Times New Roman" w:hAnsi="Times New Roman" w:cs="Times New Roman"/>
        </w:rPr>
        <w:t>-</w:t>
      </w:r>
      <w:r w:rsidR="00C5363F">
        <w:rPr>
          <w:rFonts w:ascii="Times New Roman" w:hAnsi="Times New Roman" w:cs="Times New Roman"/>
        </w:rPr>
        <w:t>Clark, 2018)</w:t>
      </w:r>
      <w:r w:rsidRPr="00004568">
        <w:rPr>
          <w:rFonts w:ascii="Times New Roman" w:hAnsi="Times New Roman" w:cs="Times New Roman"/>
        </w:rPr>
        <w:t>. The main tools used will be a student questionnaire and semi-structured interviews, with the option of focus groups where appropriate.</w:t>
      </w:r>
    </w:p>
    <w:p w14:paraId="7C41C881" w14:textId="24CBA583" w:rsidR="00CB0692" w:rsidRDefault="00CB0692" w:rsidP="00CB0692">
      <w:pPr>
        <w:pStyle w:val="Heading2"/>
      </w:pPr>
      <w:bookmarkStart w:id="20" w:name="_Toc227595736"/>
      <w:r w:rsidRPr="00CB0692">
        <w:t>Questionnaire</w:t>
      </w:r>
      <w:bookmarkEnd w:id="20"/>
    </w:p>
    <w:p w14:paraId="63958BB8" w14:textId="56F17D10" w:rsidR="00CB0692" w:rsidRDefault="00004568" w:rsidP="00004568">
      <w:pPr>
        <w:spacing w:line="360" w:lineRule="auto"/>
        <w:rPr>
          <w:rFonts w:ascii="Times New Roman" w:hAnsi="Times New Roman" w:cs="Times New Roman"/>
        </w:rPr>
      </w:pPr>
      <w:r w:rsidRPr="00004568">
        <w:rPr>
          <w:rFonts w:ascii="Times New Roman" w:hAnsi="Times New Roman" w:cs="Times New Roman"/>
        </w:rPr>
        <w:t xml:space="preserve">The main quantitative tool will be a student questionnaire, designed to capture patterns in how institutional practices are experienced and how these link to student well-being. The </w:t>
      </w:r>
      <w:r w:rsidRPr="00004568">
        <w:rPr>
          <w:rFonts w:ascii="Times New Roman" w:hAnsi="Times New Roman" w:cs="Times New Roman"/>
        </w:rPr>
        <w:lastRenderedPageBreak/>
        <w:t>questionnaire will include a mix of closed and Likert-scale questions, allowing for the collection of measurable data on areas such as perceived pressure linked to attendance monitoring, experiences of progress tracking, and feelings of stress, motivation and support. Where appropriate, established tools such as the Student Subjective Wellbeing Questionnaire (SSWQ)</w:t>
      </w:r>
      <w:r w:rsidR="00C5363F">
        <w:rPr>
          <w:rFonts w:ascii="Times New Roman" w:hAnsi="Times New Roman" w:cs="Times New Roman"/>
        </w:rPr>
        <w:t xml:space="preserve">, </w:t>
      </w:r>
      <w:r w:rsidR="00C5363F" w:rsidRPr="00C5363F">
        <w:rPr>
          <w:rFonts w:ascii="Times New Roman" w:hAnsi="Times New Roman" w:cs="Times New Roman"/>
        </w:rPr>
        <w:t xml:space="preserve">Renshaw </w:t>
      </w:r>
      <w:r w:rsidR="00C5363F" w:rsidRPr="005F278A">
        <w:rPr>
          <w:rFonts w:ascii="Times New Roman" w:hAnsi="Times New Roman" w:cs="Times New Roman"/>
          <w:i/>
          <w:iCs/>
        </w:rPr>
        <w:t>et al</w:t>
      </w:r>
      <w:r w:rsidR="005F278A">
        <w:rPr>
          <w:rFonts w:ascii="Times New Roman" w:hAnsi="Times New Roman" w:cs="Times New Roman"/>
        </w:rPr>
        <w:t>.</w:t>
      </w:r>
      <w:r w:rsidR="00C5363F">
        <w:rPr>
          <w:rFonts w:ascii="Times New Roman" w:hAnsi="Times New Roman" w:cs="Times New Roman"/>
        </w:rPr>
        <w:t>,</w:t>
      </w:r>
      <w:r w:rsidR="00C5363F" w:rsidRPr="00C5363F">
        <w:rPr>
          <w:rFonts w:ascii="Times New Roman" w:hAnsi="Times New Roman" w:cs="Times New Roman"/>
        </w:rPr>
        <w:t xml:space="preserve"> (</w:t>
      </w:r>
      <w:bookmarkStart w:id="21" w:name="_GoBack"/>
      <w:bookmarkEnd w:id="21"/>
      <w:r w:rsidR="00C5363F" w:rsidRPr="00C5363F">
        <w:rPr>
          <w:rFonts w:ascii="Times New Roman" w:hAnsi="Times New Roman" w:cs="Times New Roman"/>
        </w:rPr>
        <w:t>2015)</w:t>
      </w:r>
      <w:r w:rsidR="00C5363F">
        <w:rPr>
          <w:rFonts w:ascii="Times New Roman" w:hAnsi="Times New Roman" w:cs="Times New Roman"/>
        </w:rPr>
        <w:t>,</w:t>
      </w:r>
      <w:r w:rsidRPr="00004568">
        <w:rPr>
          <w:rFonts w:ascii="Times New Roman" w:hAnsi="Times New Roman" w:cs="Times New Roman"/>
        </w:rPr>
        <w:t xml:space="preserve"> may be adapted to support reliability and ensure alignment with existing research</w:t>
      </w:r>
      <w:r w:rsidR="00C5363F">
        <w:rPr>
          <w:rFonts w:ascii="Times New Roman" w:hAnsi="Times New Roman" w:cs="Times New Roman"/>
        </w:rPr>
        <w:t xml:space="preserve"> (</w:t>
      </w:r>
      <w:r w:rsidR="00C5363F" w:rsidRPr="00C5363F">
        <w:rPr>
          <w:rFonts w:ascii="Times New Roman" w:hAnsi="Times New Roman" w:cs="Times New Roman"/>
        </w:rPr>
        <w:t>Zadworn</w:t>
      </w:r>
      <w:r w:rsidR="00C5363F">
        <w:rPr>
          <w:rFonts w:ascii="Times New Roman" w:hAnsi="Times New Roman" w:cs="Times New Roman"/>
        </w:rPr>
        <w:t>a,</w:t>
      </w:r>
      <w:r w:rsidR="00C5363F" w:rsidRPr="00C5363F">
        <w:rPr>
          <w:rFonts w:ascii="Times New Roman" w:hAnsi="Times New Roman" w:cs="Times New Roman"/>
        </w:rPr>
        <w:t xml:space="preserve"> 2022)</w:t>
      </w:r>
      <w:r w:rsidRPr="00004568">
        <w:rPr>
          <w:rFonts w:ascii="Times New Roman" w:hAnsi="Times New Roman" w:cs="Times New Roman"/>
        </w:rPr>
        <w:t xml:space="preserve">. </w:t>
      </w:r>
    </w:p>
    <w:p w14:paraId="5607DEC0" w14:textId="76A5E8FB" w:rsidR="00004568" w:rsidRDefault="00A05346" w:rsidP="00004568">
      <w:pPr>
        <w:spacing w:line="360" w:lineRule="auto"/>
        <w:rPr>
          <w:rFonts w:ascii="Times New Roman" w:hAnsi="Times New Roman" w:cs="Times New Roman"/>
        </w:rPr>
      </w:pPr>
      <w:r w:rsidRPr="00A05346">
        <w:rPr>
          <w:rFonts w:ascii="Times New Roman" w:hAnsi="Times New Roman" w:cs="Times New Roman"/>
        </w:rPr>
        <w:t>Using a questionnaire makes it possible to gather data from a larger group of students, supporting the identification of trends and relationships, such as links between monitoring practices and reported well-being. This is particularly useful in providing a broader overview across different student groups, helping to identify patterns that might not be as visible through qualitative data alone</w:t>
      </w:r>
      <w:r>
        <w:rPr>
          <w:rFonts w:ascii="Times New Roman" w:hAnsi="Times New Roman" w:cs="Times New Roman"/>
        </w:rPr>
        <w:t xml:space="preserve"> (Buckler </w:t>
      </w:r>
      <w:r w:rsidR="005F278A">
        <w:rPr>
          <w:rFonts w:ascii="Times New Roman" w:hAnsi="Times New Roman" w:cs="Times New Roman"/>
        </w:rPr>
        <w:t>and</w:t>
      </w:r>
      <w:r>
        <w:rPr>
          <w:rFonts w:ascii="Times New Roman" w:hAnsi="Times New Roman" w:cs="Times New Roman"/>
        </w:rPr>
        <w:t xml:space="preserve"> Moore, 2023)</w:t>
      </w:r>
      <w:r w:rsidRPr="00A05346">
        <w:rPr>
          <w:rFonts w:ascii="Times New Roman" w:hAnsi="Times New Roman" w:cs="Times New Roman"/>
        </w:rPr>
        <w:t xml:space="preserve">. However, questionnaires also present limitations. Once distributed, there is limited opportunity to clarify responses or explore issues in more depth, and there is a risk that questions may be misinterpreted by participants. This matters because poorly designed questions can affect the validity of the data collected. To address this, the questionnaire will be piloted with a small sample prior to wider distribution, </w:t>
      </w:r>
      <w:r w:rsidR="003E1DF3" w:rsidRPr="003E1DF3">
        <w:rPr>
          <w:rFonts w:ascii="Times New Roman" w:hAnsi="Times New Roman" w:cs="Times New Roman"/>
        </w:rPr>
        <w:t>allowing refinement and improved clarity</w:t>
      </w:r>
      <w:r w:rsidR="003E1DF3">
        <w:rPr>
          <w:rFonts w:ascii="Times New Roman" w:hAnsi="Times New Roman" w:cs="Times New Roman"/>
        </w:rPr>
        <w:t xml:space="preserve">. </w:t>
      </w:r>
    </w:p>
    <w:p w14:paraId="4AEC5070" w14:textId="5E2D7F33" w:rsidR="00CB0692" w:rsidRPr="00004568" w:rsidRDefault="00CB0692" w:rsidP="00CB0692">
      <w:pPr>
        <w:pStyle w:val="Heading2"/>
      </w:pPr>
      <w:bookmarkStart w:id="22" w:name="_Toc227595737"/>
      <w:r w:rsidRPr="00CB0692">
        <w:t>Interviews</w:t>
      </w:r>
      <w:bookmarkEnd w:id="22"/>
    </w:p>
    <w:p w14:paraId="02C3EFC6" w14:textId="528AA3FD" w:rsidR="005820EE" w:rsidRDefault="00004568" w:rsidP="00004568">
      <w:pPr>
        <w:spacing w:line="360" w:lineRule="auto"/>
        <w:rPr>
          <w:rFonts w:ascii="Times New Roman" w:hAnsi="Times New Roman" w:cs="Times New Roman"/>
        </w:rPr>
      </w:pPr>
      <w:r w:rsidRPr="00004568">
        <w:rPr>
          <w:rFonts w:ascii="Times New Roman" w:hAnsi="Times New Roman" w:cs="Times New Roman"/>
        </w:rPr>
        <w:t xml:space="preserve">However, questionnaires are limited in how far they can capture the complexity and nuance of lived experience. For this reason, the study will also use semi-structured interviews as the main qualitative tool. Interviews will be carried out with both students and staff, allowing for a more in-depth exploration of </w:t>
      </w:r>
      <w:r w:rsidR="003E1DF3" w:rsidRPr="003E1DF3">
        <w:rPr>
          <w:rFonts w:ascii="Times New Roman" w:hAnsi="Times New Roman" w:cs="Times New Roman"/>
        </w:rPr>
        <w:t>how institutional practices are experienced in practice</w:t>
      </w:r>
      <w:r w:rsidRPr="00004568">
        <w:rPr>
          <w:rFonts w:ascii="Times New Roman" w:hAnsi="Times New Roman" w:cs="Times New Roman"/>
        </w:rPr>
        <w:t xml:space="preserve">. </w:t>
      </w:r>
      <w:r w:rsidR="005820EE" w:rsidRPr="005820EE">
        <w:rPr>
          <w:rFonts w:ascii="Times New Roman" w:hAnsi="Times New Roman" w:cs="Times New Roman"/>
        </w:rPr>
        <w:t>A semi-structured approach works well here, as it provides enough structure to explore key themes, while still giving participants the flexibility to raise issues that matter to them. As Kvale and Brinkmann (2015) suggest, this approach focuses on understanding the ‘life world’ of the participant, allowing the researcher to explore how individuals interpret and make sense of their experiences. This matters because it enables the research to move beyond predefined responses, capturing the meanings students attach to institutional practices within FE.</w:t>
      </w:r>
    </w:p>
    <w:p w14:paraId="231BAB10" w14:textId="0C2BAE21" w:rsidR="00004568" w:rsidRPr="00004568" w:rsidRDefault="00004568" w:rsidP="00004568">
      <w:pPr>
        <w:spacing w:line="360" w:lineRule="auto"/>
        <w:rPr>
          <w:rFonts w:ascii="Times New Roman" w:hAnsi="Times New Roman" w:cs="Times New Roman"/>
        </w:rPr>
      </w:pPr>
      <w:r w:rsidRPr="00004568">
        <w:rPr>
          <w:rFonts w:ascii="Times New Roman" w:hAnsi="Times New Roman" w:cs="Times New Roman"/>
        </w:rPr>
        <w:t>For students, the interviews will focus on their direct experiences of monitoring systems, including how these practices shape their emotional and psychological well-being. For staff, the focus will be on how these systems are implemented, understood and justified, and whether they are seen as supporting or, at times, constraining student well-being.</w:t>
      </w:r>
    </w:p>
    <w:p w14:paraId="777E5090" w14:textId="0C2D5909" w:rsidR="00004568" w:rsidRDefault="00004568" w:rsidP="00004568">
      <w:pPr>
        <w:spacing w:line="360" w:lineRule="auto"/>
        <w:rPr>
          <w:rFonts w:ascii="Times New Roman" w:hAnsi="Times New Roman" w:cs="Times New Roman"/>
        </w:rPr>
      </w:pPr>
      <w:r w:rsidRPr="00217833">
        <w:rPr>
          <w:rFonts w:ascii="Times New Roman" w:hAnsi="Times New Roman" w:cs="Times New Roman"/>
        </w:rPr>
        <w:lastRenderedPageBreak/>
        <w:t>Using interviews aligns closely with the interpretivist element of the study, as it places value on participants’ voices and recognises that well-being is shaped by context and experience. It also allows for deeper probing, helping to clarify meaning and explore any tensions or contradictions in what participants share. This is particularly important given the focus on institutional practices, where experiences are often complex and not easily captured through fixed-response formats</w:t>
      </w:r>
      <w:r w:rsidR="00F4344D" w:rsidRPr="00217833">
        <w:rPr>
          <w:rFonts w:ascii="Times New Roman" w:hAnsi="Times New Roman" w:cs="Times New Roman"/>
        </w:rPr>
        <w:t xml:space="preserve"> </w:t>
      </w:r>
      <w:r w:rsidR="00F4344D">
        <w:rPr>
          <w:rFonts w:ascii="Times New Roman" w:hAnsi="Times New Roman" w:cs="Times New Roman"/>
        </w:rPr>
        <w:t>(Coe, 2025)</w:t>
      </w:r>
      <w:r w:rsidRPr="00004568">
        <w:rPr>
          <w:rFonts w:ascii="Times New Roman" w:hAnsi="Times New Roman" w:cs="Times New Roman"/>
        </w:rPr>
        <w:t>.</w:t>
      </w:r>
    </w:p>
    <w:p w14:paraId="5F666D5D" w14:textId="70767A93" w:rsidR="00CB0692" w:rsidRPr="00004568" w:rsidRDefault="00CB0692" w:rsidP="00CB0692">
      <w:pPr>
        <w:pStyle w:val="Heading2"/>
      </w:pPr>
      <w:bookmarkStart w:id="23" w:name="_Toc227595738"/>
      <w:r w:rsidRPr="00CB0692">
        <w:t>Focus groups</w:t>
      </w:r>
      <w:bookmarkEnd w:id="23"/>
    </w:p>
    <w:p w14:paraId="0929B51C" w14:textId="3E06E317" w:rsidR="005963EA" w:rsidRPr="005963EA" w:rsidRDefault="00004568" w:rsidP="005963EA">
      <w:pPr>
        <w:spacing w:line="360" w:lineRule="auto"/>
        <w:rPr>
          <w:rFonts w:ascii="Times New Roman" w:hAnsi="Times New Roman" w:cs="Times New Roman"/>
        </w:rPr>
      </w:pPr>
      <w:r w:rsidRPr="00004568">
        <w:rPr>
          <w:rFonts w:ascii="Times New Roman" w:hAnsi="Times New Roman" w:cs="Times New Roman"/>
        </w:rPr>
        <w:t xml:space="preserve">Alongside individual interviews, focus groups may also be used as a supporting qualitative tool, particularly with students. </w:t>
      </w:r>
      <w:r w:rsidR="009D78D4" w:rsidRPr="009D78D4">
        <w:rPr>
          <w:rFonts w:ascii="Times New Roman" w:hAnsi="Times New Roman" w:cs="Times New Roman"/>
        </w:rPr>
        <w:t>Focus groups enable shared experiences to be explored collectively</w:t>
      </w:r>
      <w:r w:rsidR="009D78D4">
        <w:rPr>
          <w:rFonts w:ascii="Times New Roman" w:hAnsi="Times New Roman" w:cs="Times New Roman"/>
        </w:rPr>
        <w:t xml:space="preserve"> </w:t>
      </w:r>
      <w:r w:rsidRPr="00004568">
        <w:rPr>
          <w:rFonts w:ascii="Times New Roman" w:hAnsi="Times New Roman" w:cs="Times New Roman"/>
        </w:rPr>
        <w:t>with participants building on each other’s contributions. This can be especially useful when exploring institutional practices, as it can highlight both common experiences and points of difference</w:t>
      </w:r>
      <w:r w:rsidR="005963EA">
        <w:rPr>
          <w:rFonts w:ascii="Times New Roman" w:hAnsi="Times New Roman" w:cs="Times New Roman"/>
        </w:rPr>
        <w:t xml:space="preserve"> (</w:t>
      </w:r>
      <w:r w:rsidR="005963EA" w:rsidRPr="005963EA">
        <w:rPr>
          <w:rFonts w:ascii="Times New Roman" w:hAnsi="Times New Roman" w:cs="Times New Roman"/>
        </w:rPr>
        <w:t>Barbour, 2007</w:t>
      </w:r>
      <w:r w:rsidR="005963EA">
        <w:rPr>
          <w:rFonts w:ascii="Times New Roman" w:hAnsi="Times New Roman" w:cs="Times New Roman"/>
        </w:rPr>
        <w:t>)</w:t>
      </w:r>
      <w:r w:rsidRPr="00004568">
        <w:rPr>
          <w:rFonts w:ascii="Times New Roman" w:hAnsi="Times New Roman" w:cs="Times New Roman"/>
        </w:rPr>
        <w:t xml:space="preserve">. That said, their use needs to be handled carefully. </w:t>
      </w:r>
      <w:r w:rsidR="005963EA" w:rsidRPr="005963EA">
        <w:rPr>
          <w:rFonts w:ascii="Times New Roman" w:hAnsi="Times New Roman" w:cs="Times New Roman"/>
        </w:rPr>
        <w:t>However, ethical concerns such as confidentiality and participants’ willingness to express critical views in a group setting must be carefully considered (Wilkinson, 1998).</w:t>
      </w:r>
    </w:p>
    <w:p w14:paraId="59D165B3" w14:textId="55E7E157" w:rsidR="00004568" w:rsidRPr="00004568" w:rsidRDefault="005963EA" w:rsidP="00004568">
      <w:pPr>
        <w:spacing w:line="360" w:lineRule="auto"/>
        <w:rPr>
          <w:rFonts w:ascii="Times New Roman" w:hAnsi="Times New Roman" w:cs="Times New Roman"/>
        </w:rPr>
      </w:pPr>
      <w:r w:rsidRPr="005963EA">
        <w:rPr>
          <w:rFonts w:ascii="Times New Roman" w:hAnsi="Times New Roman" w:cs="Times New Roman"/>
        </w:rPr>
        <w:t xml:space="preserve">Bringing these tools together supports a triangulated approach, where quantitative and qualitative data complement each other (Lorenzini </w:t>
      </w:r>
      <w:r w:rsidRPr="005963EA">
        <w:rPr>
          <w:rFonts w:ascii="Times New Roman" w:hAnsi="Times New Roman" w:cs="Times New Roman"/>
          <w:i/>
          <w:iCs/>
        </w:rPr>
        <w:t>et al</w:t>
      </w:r>
      <w:r w:rsidR="005F278A">
        <w:rPr>
          <w:rFonts w:ascii="Times New Roman" w:hAnsi="Times New Roman" w:cs="Times New Roman"/>
          <w:i/>
          <w:iCs/>
        </w:rPr>
        <w:t>.</w:t>
      </w:r>
      <w:r w:rsidRPr="005963EA">
        <w:rPr>
          <w:rFonts w:ascii="Times New Roman" w:hAnsi="Times New Roman" w:cs="Times New Roman"/>
        </w:rPr>
        <w:t>, 2024).</w:t>
      </w:r>
      <w:r>
        <w:rPr>
          <w:rFonts w:ascii="Times New Roman" w:hAnsi="Times New Roman" w:cs="Times New Roman"/>
        </w:rPr>
        <w:t xml:space="preserve"> </w:t>
      </w:r>
      <w:r w:rsidR="00004568" w:rsidRPr="00004568">
        <w:rPr>
          <w:rFonts w:ascii="Times New Roman" w:hAnsi="Times New Roman" w:cs="Times New Roman"/>
        </w:rPr>
        <w:t xml:space="preserve">The questionnaire provides a broader overview of patterns and relationships, while interviews and focus groups add depth and context. This helps strengthen the overall study, as findings can be compared across methods. </w:t>
      </w:r>
      <w:r w:rsidR="009D78D4" w:rsidRPr="009D78D4">
        <w:rPr>
          <w:rFonts w:ascii="Times New Roman" w:hAnsi="Times New Roman" w:cs="Times New Roman"/>
        </w:rPr>
        <w:t>For example, survey findings can be explored further through interviews to provide context</w:t>
      </w:r>
      <w:r w:rsidR="009D78D4">
        <w:rPr>
          <w:rFonts w:ascii="Times New Roman" w:hAnsi="Times New Roman" w:cs="Times New Roman"/>
        </w:rPr>
        <w:t xml:space="preserve">. </w:t>
      </w:r>
    </w:p>
    <w:p w14:paraId="56E97472" w14:textId="77777777" w:rsidR="009D78D4" w:rsidRDefault="009D78D4" w:rsidP="00004568">
      <w:pPr>
        <w:spacing w:line="360" w:lineRule="auto"/>
        <w:rPr>
          <w:rFonts w:ascii="Times New Roman" w:hAnsi="Times New Roman" w:cs="Times New Roman"/>
        </w:rPr>
      </w:pPr>
      <w:r w:rsidRPr="009D78D4">
        <w:rPr>
          <w:rFonts w:ascii="Times New Roman" w:hAnsi="Times New Roman" w:cs="Times New Roman"/>
        </w:rPr>
        <w:t xml:space="preserve">Each tool presents limitations. Questionnaires may be affected by response bias, which can reduce the accuracy of self-reported data (Ingram, 2023; Lorenzini et al., 2024). Interviews provide richer detail but are time-intensive and typically involve smaller samples, limiting generalisability (Chand, 2025). Focus groups may also be influenced by group dynamics, requiring careful facilitation and reflexive practice to manage these effects (Ning </w:t>
      </w:r>
      <w:r w:rsidRPr="005F278A">
        <w:rPr>
          <w:rFonts w:ascii="Times New Roman" w:hAnsi="Times New Roman" w:cs="Times New Roman"/>
          <w:i/>
          <w:iCs/>
        </w:rPr>
        <w:t>et al</w:t>
      </w:r>
      <w:r w:rsidRPr="009D78D4">
        <w:rPr>
          <w:rFonts w:ascii="Times New Roman" w:hAnsi="Times New Roman" w:cs="Times New Roman"/>
        </w:rPr>
        <w:t xml:space="preserve">., 2024; Korzenevica </w:t>
      </w:r>
      <w:r w:rsidRPr="005F278A">
        <w:rPr>
          <w:rFonts w:ascii="Times New Roman" w:hAnsi="Times New Roman" w:cs="Times New Roman"/>
          <w:i/>
          <w:iCs/>
        </w:rPr>
        <w:t>et al</w:t>
      </w:r>
      <w:r w:rsidRPr="009D78D4">
        <w:rPr>
          <w:rFonts w:ascii="Times New Roman" w:hAnsi="Times New Roman" w:cs="Times New Roman"/>
        </w:rPr>
        <w:t>., 2025).</w:t>
      </w:r>
    </w:p>
    <w:p w14:paraId="3428EBFE" w14:textId="5F0C74B4" w:rsidR="00004568" w:rsidRDefault="00004568" w:rsidP="00004568">
      <w:pPr>
        <w:spacing w:line="360" w:lineRule="auto"/>
        <w:rPr>
          <w:rFonts w:ascii="Times New Roman" w:hAnsi="Times New Roman" w:cs="Times New Roman"/>
        </w:rPr>
      </w:pPr>
      <w:r w:rsidRPr="00004568">
        <w:rPr>
          <w:rFonts w:ascii="Times New Roman" w:hAnsi="Times New Roman" w:cs="Times New Roman"/>
        </w:rPr>
        <w:t>Overall, the tools selected allow for both the capture of measurable aspects of student well-being and a deeper understanding of the experiences that sit behind these patterns. By combining quantitative and qualitative methods, the study is better placed to develop a more complete and nuanced picture of how institutional practices shape student well-being within Welsh FE, while maintaining both methodological rigour and ethical awareness.</w:t>
      </w:r>
    </w:p>
    <w:p w14:paraId="22590F11" w14:textId="77777777" w:rsidR="00CB0692" w:rsidRPr="00CB0692" w:rsidRDefault="00CB0692" w:rsidP="00CB0692">
      <w:pPr>
        <w:pStyle w:val="Heading2"/>
      </w:pPr>
      <w:bookmarkStart w:id="24" w:name="_Toc227595739"/>
      <w:r w:rsidRPr="00CB0692">
        <w:lastRenderedPageBreak/>
        <w:t>Data analysis</w:t>
      </w:r>
      <w:bookmarkEnd w:id="24"/>
      <w:r w:rsidRPr="00CB0692">
        <w:t xml:space="preserve"> </w:t>
      </w:r>
    </w:p>
    <w:p w14:paraId="191709E0" w14:textId="4E474861" w:rsidR="00004568" w:rsidRPr="00004568" w:rsidRDefault="00004568" w:rsidP="00004568">
      <w:pPr>
        <w:spacing w:line="360" w:lineRule="auto"/>
        <w:rPr>
          <w:rFonts w:ascii="Times New Roman" w:hAnsi="Times New Roman" w:cs="Times New Roman"/>
        </w:rPr>
      </w:pPr>
      <w:r w:rsidRPr="00004568">
        <w:rPr>
          <w:rFonts w:ascii="Times New Roman" w:hAnsi="Times New Roman" w:cs="Times New Roman"/>
        </w:rPr>
        <w:t>For this study, a mixed-methods approach to data analysis will also be used, bringing together quantitative statistical analysis with qualitative thematic analysis</w:t>
      </w:r>
      <w:r w:rsidR="00FF0976">
        <w:rPr>
          <w:rFonts w:ascii="Times New Roman" w:hAnsi="Times New Roman" w:cs="Times New Roman"/>
        </w:rPr>
        <w:t xml:space="preserve">, </w:t>
      </w:r>
      <w:r w:rsidR="007715C2" w:rsidRPr="007715C2">
        <w:rPr>
          <w:rFonts w:ascii="Times New Roman" w:hAnsi="Times New Roman" w:cs="Times New Roman"/>
        </w:rPr>
        <w:t>(Creswell and Plano</w:t>
      </w:r>
      <w:r w:rsidR="005F278A">
        <w:rPr>
          <w:rFonts w:ascii="Times New Roman" w:hAnsi="Times New Roman" w:cs="Times New Roman"/>
        </w:rPr>
        <w:t>-</w:t>
      </w:r>
      <w:r w:rsidR="007715C2" w:rsidRPr="007715C2">
        <w:rPr>
          <w:rFonts w:ascii="Times New Roman" w:hAnsi="Times New Roman" w:cs="Times New Roman"/>
        </w:rPr>
        <w:t>Clark, 2018; Braun and Clarke, 2006; Bryman, 2016).</w:t>
      </w:r>
      <w:r w:rsidR="00674DBC">
        <w:rPr>
          <w:rFonts w:ascii="Times New Roman" w:hAnsi="Times New Roman" w:cs="Times New Roman"/>
        </w:rPr>
        <w:t xml:space="preserve"> </w:t>
      </w:r>
      <w:r w:rsidRPr="00004568">
        <w:rPr>
          <w:rFonts w:ascii="Times New Roman" w:hAnsi="Times New Roman" w:cs="Times New Roman"/>
        </w:rPr>
        <w:t xml:space="preserve">The quantitative data collected through the student questionnaire will be analysed using a combination of descriptive and, where appropriate, inferential statistical methods, supported by software such as SPSS. To begin with, descriptive statistics, including means, frequencies and percentages, will be used to summarise patterns in student responses. This will help provide an overview of key areas such as levels of perceived stress, motivation, and experiences of monitoring practices, </w:t>
      </w:r>
      <w:r w:rsidR="007715C2">
        <w:rPr>
          <w:rFonts w:ascii="Times New Roman" w:hAnsi="Times New Roman" w:cs="Times New Roman"/>
        </w:rPr>
        <w:t>(</w:t>
      </w:r>
      <w:r w:rsidR="007715C2" w:rsidRPr="007715C2">
        <w:rPr>
          <w:rFonts w:ascii="Times New Roman" w:hAnsi="Times New Roman" w:cs="Times New Roman"/>
        </w:rPr>
        <w:t>Cohen, Manion and Morrison, 2018)</w:t>
      </w:r>
      <w:r w:rsidR="007715C2">
        <w:rPr>
          <w:rFonts w:ascii="Times New Roman" w:hAnsi="Times New Roman" w:cs="Times New Roman"/>
        </w:rPr>
        <w:t>.</w:t>
      </w:r>
      <w:r w:rsidRPr="00004568">
        <w:rPr>
          <w:rFonts w:ascii="Times New Roman" w:hAnsi="Times New Roman" w:cs="Times New Roman"/>
        </w:rPr>
        <w:t xml:space="preserve"> Where appropriate, inferential analysis, such as correlations, may be used to explore relationships between variables, for example the link between the intensity of attendance monitoring and reported levels of well-being. This allows for patterns and trends to be identified, which can then be explored further through the qualitative data</w:t>
      </w:r>
      <w:r w:rsidR="007715C2">
        <w:rPr>
          <w:rFonts w:ascii="Times New Roman" w:hAnsi="Times New Roman" w:cs="Times New Roman"/>
        </w:rPr>
        <w:t xml:space="preserve"> (</w:t>
      </w:r>
      <w:r w:rsidR="007715C2" w:rsidRPr="007715C2">
        <w:rPr>
          <w:rFonts w:ascii="Times New Roman" w:hAnsi="Times New Roman" w:cs="Times New Roman"/>
        </w:rPr>
        <w:t>Bryman, 2016; Jebb, Ng and Tay, 2021).</w:t>
      </w:r>
      <w:r w:rsidRPr="00004568">
        <w:rPr>
          <w:rFonts w:ascii="Times New Roman" w:hAnsi="Times New Roman" w:cs="Times New Roman"/>
        </w:rPr>
        <w:t xml:space="preserve"> However, it is recognised that statistical analysis has its limits, particularly in capturing the complexity of lived experience, so findings will be interpreted carefully and without making causal claims.</w:t>
      </w:r>
    </w:p>
    <w:p w14:paraId="23E28B93" w14:textId="34487BA4" w:rsidR="00004568" w:rsidRPr="00004568" w:rsidRDefault="00004568" w:rsidP="00004568">
      <w:pPr>
        <w:spacing w:line="360" w:lineRule="auto"/>
        <w:rPr>
          <w:rFonts w:ascii="Times New Roman" w:hAnsi="Times New Roman" w:cs="Times New Roman"/>
        </w:rPr>
      </w:pPr>
      <w:r w:rsidRPr="00004568">
        <w:rPr>
          <w:rFonts w:ascii="Times New Roman" w:hAnsi="Times New Roman" w:cs="Times New Roman"/>
        </w:rPr>
        <w:t>To build on this, qualitative data from the semi-structured interviews (and any focus groups used) will be analysed using reflexive thematic analysis, following the approach outlined by Braun and Clarke (20</w:t>
      </w:r>
      <w:r w:rsidR="007715C2">
        <w:rPr>
          <w:rFonts w:ascii="Times New Roman" w:hAnsi="Times New Roman" w:cs="Times New Roman"/>
        </w:rPr>
        <w:t>21</w:t>
      </w:r>
      <w:r w:rsidRPr="00004568">
        <w:rPr>
          <w:rFonts w:ascii="Times New Roman" w:hAnsi="Times New Roman" w:cs="Times New Roman"/>
        </w:rPr>
        <w:t>). This method is well suited to exploring participants’ experiences and the meanings they attach to them, allowing themes to develop from the data itself rather than being imposed in advance. The process will begin with familiarisation, through repeated reading of transcripts, followed by systematic coding to identify key features of the data. These codes will then be grouped into broader themes that reflect shared patterns across participants, such as experiences of pressure, perceptions of support, or tensions between care and control within institutional practices.</w:t>
      </w:r>
    </w:p>
    <w:p w14:paraId="45115EE5" w14:textId="1131640C" w:rsidR="00004568" w:rsidRPr="00004568" w:rsidRDefault="00004568" w:rsidP="00004568">
      <w:pPr>
        <w:spacing w:line="360" w:lineRule="auto"/>
        <w:rPr>
          <w:rFonts w:ascii="Times New Roman" w:hAnsi="Times New Roman" w:cs="Times New Roman"/>
        </w:rPr>
      </w:pPr>
      <w:r w:rsidRPr="00004568">
        <w:rPr>
          <w:rFonts w:ascii="Times New Roman" w:hAnsi="Times New Roman" w:cs="Times New Roman"/>
        </w:rPr>
        <w:t>Reflexive thematic analysis fits well with the interpretivist element of the study, as it recognises that themes are not simply found, but are shaped through the researcher’s engagement with the data. Because of this, reflexivity will be an important part of the process</w:t>
      </w:r>
      <w:r w:rsidR="00F257D2">
        <w:rPr>
          <w:rFonts w:ascii="Times New Roman" w:hAnsi="Times New Roman" w:cs="Times New Roman"/>
        </w:rPr>
        <w:t xml:space="preserve"> (</w:t>
      </w:r>
      <w:r w:rsidR="00F257D2" w:rsidRPr="00F257D2">
        <w:rPr>
          <w:rFonts w:ascii="Times New Roman" w:hAnsi="Times New Roman" w:cs="Times New Roman"/>
        </w:rPr>
        <w:t>Denzin and Lincoln, 2018</w:t>
      </w:r>
      <w:r w:rsidR="00F257D2">
        <w:rPr>
          <w:rFonts w:ascii="Times New Roman" w:hAnsi="Times New Roman" w:cs="Times New Roman"/>
        </w:rPr>
        <w:t>).</w:t>
      </w:r>
      <w:r w:rsidRPr="00004568">
        <w:rPr>
          <w:rFonts w:ascii="Times New Roman" w:hAnsi="Times New Roman" w:cs="Times New Roman"/>
        </w:rPr>
        <w:t xml:space="preserve"> Ongoing reflection will be used to consider how my own position within FE may influence interpretation, helping to maintain transparency and strengthen the credibility of the findings.</w:t>
      </w:r>
    </w:p>
    <w:p w14:paraId="46723E86" w14:textId="6C618214" w:rsidR="00004568" w:rsidRPr="00004568" w:rsidRDefault="00004568" w:rsidP="00004568">
      <w:pPr>
        <w:spacing w:line="360" w:lineRule="auto"/>
        <w:rPr>
          <w:rFonts w:ascii="Times New Roman" w:hAnsi="Times New Roman" w:cs="Times New Roman"/>
        </w:rPr>
      </w:pPr>
      <w:r w:rsidRPr="00004568">
        <w:rPr>
          <w:rFonts w:ascii="Times New Roman" w:hAnsi="Times New Roman" w:cs="Times New Roman"/>
        </w:rPr>
        <w:lastRenderedPageBreak/>
        <w:t xml:space="preserve">The integration of quantitative and qualitative analysis will take place through triangulation, where findings from each method are brought together and considered alongside one another. For example, patterns identified in the survey data can be explored in more depth through the qualitative themes, </w:t>
      </w:r>
      <w:r w:rsidR="00674DBC">
        <w:rPr>
          <w:rFonts w:ascii="Times New Roman" w:hAnsi="Times New Roman" w:cs="Times New Roman"/>
        </w:rPr>
        <w:t>(</w:t>
      </w:r>
      <w:r w:rsidR="00F257D2" w:rsidRPr="00F257D2">
        <w:rPr>
          <w:rFonts w:ascii="Times New Roman" w:hAnsi="Times New Roman" w:cs="Times New Roman"/>
        </w:rPr>
        <w:t>Bryman, 2016).</w:t>
      </w:r>
    </w:p>
    <w:p w14:paraId="27D57186" w14:textId="4C9D539B" w:rsidR="00004568" w:rsidRPr="00004568" w:rsidRDefault="00004568" w:rsidP="00004568">
      <w:pPr>
        <w:spacing w:line="360" w:lineRule="auto"/>
        <w:rPr>
          <w:rFonts w:ascii="Times New Roman" w:hAnsi="Times New Roman" w:cs="Times New Roman"/>
        </w:rPr>
      </w:pPr>
      <w:r w:rsidRPr="00004568">
        <w:rPr>
          <w:rFonts w:ascii="Times New Roman" w:hAnsi="Times New Roman" w:cs="Times New Roman"/>
        </w:rPr>
        <w:t>Overall, the chosen approaches to data analysis are well aligned with the aims of the study. They allow for both breadth and depth of understanding, while maintaining methodological rigour and a strong emphasis on reflexivity. This study aims to explore how monitoring, tracking and accountability practices within Welsh FE shape students’ emotional and psychological well-being. By using a mixed-methods, pragmatic</w:t>
      </w:r>
      <w:r w:rsidR="00F257D2">
        <w:rPr>
          <w:rFonts w:ascii="Times New Roman" w:hAnsi="Times New Roman" w:cs="Times New Roman"/>
        </w:rPr>
        <w:t xml:space="preserve"> </w:t>
      </w:r>
      <w:r w:rsidRPr="00004568">
        <w:rPr>
          <w:rFonts w:ascii="Times New Roman" w:hAnsi="Times New Roman" w:cs="Times New Roman"/>
        </w:rPr>
        <w:t>interpretivist approach, it brings together both patterns and lived experiences to move beyond individual explanations of well-being and instead highlight the role of institutional structures. The intention is to generate insights that are grounded in context and that can support more ethical, supportive and student-centred approaches in practice, while maintaining a clear commitment to participant protection and responsible research.</w:t>
      </w:r>
    </w:p>
    <w:p w14:paraId="796D7A80" w14:textId="77777777" w:rsidR="006D0BA0" w:rsidRDefault="006D0BA0" w:rsidP="006D0BA0">
      <w:pPr>
        <w:rPr>
          <w:rFonts w:ascii="Times New Roman" w:hAnsi="Times New Roman" w:cs="Times New Roman"/>
        </w:rPr>
      </w:pPr>
    </w:p>
    <w:p w14:paraId="14BD4DDD" w14:textId="77777777" w:rsidR="003751E6" w:rsidRDefault="003751E6" w:rsidP="006D0BA0">
      <w:pPr>
        <w:rPr>
          <w:rFonts w:ascii="Times New Roman" w:hAnsi="Times New Roman" w:cs="Times New Roman"/>
        </w:rPr>
      </w:pPr>
    </w:p>
    <w:p w14:paraId="43FC3BC6" w14:textId="77777777" w:rsidR="003751E6" w:rsidRDefault="003751E6" w:rsidP="006D0BA0">
      <w:pPr>
        <w:rPr>
          <w:rFonts w:ascii="Times New Roman" w:hAnsi="Times New Roman" w:cs="Times New Roman"/>
        </w:rPr>
      </w:pPr>
    </w:p>
    <w:p w14:paraId="6505917B" w14:textId="77777777" w:rsidR="003751E6" w:rsidRDefault="003751E6" w:rsidP="006D0BA0">
      <w:pPr>
        <w:rPr>
          <w:rFonts w:ascii="Times New Roman" w:hAnsi="Times New Roman" w:cs="Times New Roman"/>
        </w:rPr>
      </w:pPr>
    </w:p>
    <w:p w14:paraId="39460893" w14:textId="77777777" w:rsidR="003751E6" w:rsidRDefault="003751E6" w:rsidP="006D0BA0">
      <w:pPr>
        <w:rPr>
          <w:rFonts w:ascii="Times New Roman" w:hAnsi="Times New Roman" w:cs="Times New Roman"/>
        </w:rPr>
      </w:pPr>
    </w:p>
    <w:p w14:paraId="44B9477A" w14:textId="77777777" w:rsidR="003751E6" w:rsidRDefault="003751E6" w:rsidP="006D0BA0">
      <w:pPr>
        <w:rPr>
          <w:rFonts w:ascii="Times New Roman" w:hAnsi="Times New Roman" w:cs="Times New Roman"/>
        </w:rPr>
      </w:pPr>
    </w:p>
    <w:p w14:paraId="4B15DDCB" w14:textId="77777777" w:rsidR="003751E6" w:rsidRDefault="003751E6" w:rsidP="006D0BA0">
      <w:pPr>
        <w:rPr>
          <w:rFonts w:ascii="Times New Roman" w:hAnsi="Times New Roman" w:cs="Times New Roman"/>
        </w:rPr>
      </w:pPr>
    </w:p>
    <w:p w14:paraId="604D6F18" w14:textId="77777777" w:rsidR="003751E6" w:rsidRDefault="003751E6" w:rsidP="006D0BA0">
      <w:pPr>
        <w:rPr>
          <w:rFonts w:ascii="Times New Roman" w:hAnsi="Times New Roman" w:cs="Times New Roman"/>
        </w:rPr>
      </w:pPr>
    </w:p>
    <w:p w14:paraId="7DF9E040" w14:textId="77777777" w:rsidR="003751E6" w:rsidRDefault="003751E6" w:rsidP="006D0BA0">
      <w:pPr>
        <w:rPr>
          <w:rFonts w:ascii="Times New Roman" w:hAnsi="Times New Roman" w:cs="Times New Roman"/>
        </w:rPr>
      </w:pPr>
    </w:p>
    <w:p w14:paraId="4F39FB4D" w14:textId="77777777" w:rsidR="003751E6" w:rsidRDefault="003751E6" w:rsidP="006D0BA0">
      <w:pPr>
        <w:rPr>
          <w:rFonts w:ascii="Times New Roman" w:hAnsi="Times New Roman" w:cs="Times New Roman"/>
        </w:rPr>
      </w:pPr>
    </w:p>
    <w:p w14:paraId="5C57E729" w14:textId="77777777" w:rsidR="003751E6" w:rsidRDefault="003751E6" w:rsidP="006D0BA0">
      <w:pPr>
        <w:rPr>
          <w:rFonts w:ascii="Times New Roman" w:hAnsi="Times New Roman" w:cs="Times New Roman"/>
        </w:rPr>
      </w:pPr>
    </w:p>
    <w:p w14:paraId="04580BB2" w14:textId="77777777" w:rsidR="003751E6" w:rsidRDefault="003751E6" w:rsidP="006D0BA0">
      <w:pPr>
        <w:rPr>
          <w:rFonts w:ascii="Times New Roman" w:hAnsi="Times New Roman" w:cs="Times New Roman"/>
        </w:rPr>
      </w:pPr>
    </w:p>
    <w:p w14:paraId="6CE010C4" w14:textId="77777777" w:rsidR="003751E6" w:rsidRDefault="003751E6" w:rsidP="006D0BA0">
      <w:pPr>
        <w:rPr>
          <w:rFonts w:ascii="Times New Roman" w:hAnsi="Times New Roman" w:cs="Times New Roman"/>
        </w:rPr>
      </w:pPr>
    </w:p>
    <w:p w14:paraId="1BF8734A" w14:textId="77777777" w:rsidR="003751E6" w:rsidRDefault="003751E6" w:rsidP="006D0BA0">
      <w:pPr>
        <w:rPr>
          <w:rFonts w:ascii="Times New Roman" w:hAnsi="Times New Roman" w:cs="Times New Roman"/>
        </w:rPr>
      </w:pPr>
    </w:p>
    <w:p w14:paraId="2B9A3DC0" w14:textId="77777777" w:rsidR="003751E6" w:rsidRDefault="003751E6" w:rsidP="006D0BA0">
      <w:pPr>
        <w:rPr>
          <w:rFonts w:ascii="Times New Roman" w:hAnsi="Times New Roman" w:cs="Times New Roman"/>
        </w:rPr>
      </w:pPr>
    </w:p>
    <w:p w14:paraId="7AA1F30A" w14:textId="68FE4CE6" w:rsidR="006D0BA0" w:rsidRPr="00F257D2" w:rsidRDefault="008D2DDA" w:rsidP="008D2DDA">
      <w:pPr>
        <w:pStyle w:val="Heading2"/>
        <w:rPr>
          <w:rFonts w:ascii="Times New Roman" w:hAnsi="Times New Roman" w:cs="Times New Roman"/>
          <w:sz w:val="24"/>
          <w:szCs w:val="24"/>
        </w:rPr>
      </w:pPr>
      <w:bookmarkStart w:id="25" w:name="_Toc227595740"/>
      <w:r w:rsidRPr="008D2DDA">
        <w:lastRenderedPageBreak/>
        <w:t>References</w:t>
      </w:r>
      <w:bookmarkEnd w:id="25"/>
      <w:r w:rsidRPr="008D2DDA">
        <w:t xml:space="preserve"> </w:t>
      </w:r>
    </w:p>
    <w:p w14:paraId="0DD2086D" w14:textId="37EA2DF2" w:rsidR="005963EA" w:rsidRPr="00F52BFD" w:rsidRDefault="005963EA" w:rsidP="00F52BFD">
      <w:pPr>
        <w:spacing w:after="0" w:line="360" w:lineRule="auto"/>
        <w:ind w:left="360"/>
        <w:rPr>
          <w:rFonts w:ascii="Times New Roman" w:eastAsia="Times New Roman" w:hAnsi="Times New Roman" w:cs="Times New Roman"/>
          <w:kern w:val="0"/>
          <w:lang w:eastAsia="en-GB"/>
          <w14:ligatures w14:val="none"/>
        </w:rPr>
      </w:pPr>
      <w:r w:rsidRPr="00F52BFD">
        <w:rPr>
          <w:rFonts w:ascii="Times New Roman" w:eastAsia="Times New Roman" w:hAnsi="Times New Roman" w:cs="Times New Roman"/>
          <w:kern w:val="0"/>
          <w:lang w:eastAsia="en-GB"/>
          <w14:ligatures w14:val="none"/>
        </w:rPr>
        <w:t xml:space="preserve">Barbour, R. (2007) </w:t>
      </w:r>
      <w:r w:rsidRPr="00F52BFD">
        <w:rPr>
          <w:rFonts w:ascii="Times New Roman" w:eastAsia="Times New Roman" w:hAnsi="Times New Roman" w:cs="Times New Roman"/>
          <w:i/>
          <w:iCs/>
          <w:kern w:val="0"/>
          <w:lang w:eastAsia="en-GB"/>
          <w14:ligatures w14:val="none"/>
        </w:rPr>
        <w:t>Doing Focus Groups</w:t>
      </w:r>
      <w:r w:rsidRPr="00F52BFD">
        <w:rPr>
          <w:rFonts w:ascii="Times New Roman" w:eastAsia="Times New Roman" w:hAnsi="Times New Roman" w:cs="Times New Roman"/>
          <w:kern w:val="0"/>
          <w:lang w:eastAsia="en-GB"/>
          <w14:ligatures w14:val="none"/>
        </w:rPr>
        <w:t xml:space="preserve">. London: </w:t>
      </w:r>
      <w:r w:rsidR="00463B81" w:rsidRPr="00F52BFD">
        <w:rPr>
          <w:rFonts w:ascii="Times New Roman" w:eastAsia="Times New Roman" w:hAnsi="Times New Roman" w:cs="Times New Roman"/>
          <w:kern w:val="0"/>
          <w:lang w:eastAsia="en-GB"/>
          <w14:ligatures w14:val="none"/>
        </w:rPr>
        <w:t>Sage Publications</w:t>
      </w:r>
    </w:p>
    <w:p w14:paraId="2351E365" w14:textId="62B010C3" w:rsidR="005F278A" w:rsidRPr="00F52BFD" w:rsidRDefault="005F278A" w:rsidP="00F52BFD">
      <w:pPr>
        <w:spacing w:line="360" w:lineRule="auto"/>
        <w:ind w:left="360"/>
        <w:rPr>
          <w:rFonts w:ascii="Times New Roman" w:hAnsi="Times New Roman" w:cs="Times New Roman"/>
        </w:rPr>
      </w:pPr>
      <w:r w:rsidRPr="00F52BFD">
        <w:rPr>
          <w:rFonts w:ascii="Times New Roman" w:hAnsi="Times New Roman" w:cs="Times New Roman"/>
        </w:rPr>
        <w:t xml:space="preserve">Buckler, S. and Moore, H. (2023) </w:t>
      </w:r>
      <w:r w:rsidRPr="00F52BFD">
        <w:rPr>
          <w:rFonts w:ascii="Times New Roman" w:hAnsi="Times New Roman" w:cs="Times New Roman"/>
          <w:i/>
          <w:iCs/>
        </w:rPr>
        <w:t>Essentials of Research Methods in Education</w:t>
      </w:r>
      <w:r w:rsidRPr="00F52BFD">
        <w:rPr>
          <w:rFonts w:ascii="Times New Roman" w:hAnsi="Times New Roman" w:cs="Times New Roman"/>
        </w:rPr>
        <w:t>. London: Sage Publications. Available</w:t>
      </w:r>
      <w:r w:rsidR="004B3136" w:rsidRPr="00F52BFD">
        <w:rPr>
          <w:rFonts w:ascii="Times New Roman" w:hAnsi="Times New Roman" w:cs="Times New Roman"/>
        </w:rPr>
        <w:t xml:space="preserve"> at</w:t>
      </w:r>
      <w:r w:rsidRPr="00F52BFD">
        <w:rPr>
          <w:rFonts w:ascii="Times New Roman" w:hAnsi="Times New Roman" w:cs="Times New Roman"/>
        </w:rPr>
        <w:t>: VitalSource.</w:t>
      </w:r>
    </w:p>
    <w:p w14:paraId="38BA66C6" w14:textId="77777777" w:rsidR="00463B81" w:rsidRPr="00F52BFD" w:rsidRDefault="005820EE" w:rsidP="00F52BFD">
      <w:pPr>
        <w:spacing w:line="360" w:lineRule="auto"/>
        <w:ind w:left="360"/>
        <w:rPr>
          <w:rFonts w:ascii="Times New Roman" w:hAnsi="Times New Roman" w:cs="Times New Roman"/>
        </w:rPr>
      </w:pPr>
      <w:r w:rsidRPr="00F52BFD">
        <w:rPr>
          <w:rFonts w:ascii="Times New Roman" w:hAnsi="Times New Roman" w:cs="Times New Roman"/>
        </w:rPr>
        <w:t xml:space="preserve">Brinkmann, S.  and Kvale, S. (2015) </w:t>
      </w:r>
      <w:r w:rsidRPr="00F52BFD">
        <w:rPr>
          <w:rFonts w:ascii="Times New Roman" w:hAnsi="Times New Roman" w:cs="Times New Roman"/>
          <w:i/>
          <w:iCs/>
        </w:rPr>
        <w:t>Interviews: Learning the craft of qualitative research interviewing</w:t>
      </w:r>
      <w:r w:rsidRPr="00F52BFD">
        <w:rPr>
          <w:rFonts w:ascii="Times New Roman" w:hAnsi="Times New Roman" w:cs="Times New Roman"/>
        </w:rPr>
        <w:t xml:space="preserve">. 3rd edn. Thousand Oaks, CA: </w:t>
      </w:r>
      <w:r w:rsidR="00463B81" w:rsidRPr="00F52BFD">
        <w:rPr>
          <w:rFonts w:ascii="Times New Roman" w:hAnsi="Times New Roman" w:cs="Times New Roman"/>
        </w:rPr>
        <w:t>Sage Publications</w:t>
      </w:r>
    </w:p>
    <w:p w14:paraId="6DEBEE4E" w14:textId="23316347" w:rsidR="006D47A7" w:rsidRPr="00F52BFD" w:rsidRDefault="005F278A" w:rsidP="00F52BFD">
      <w:pPr>
        <w:spacing w:line="360" w:lineRule="auto"/>
        <w:ind w:left="360"/>
        <w:rPr>
          <w:rFonts w:ascii="Times New Roman" w:hAnsi="Times New Roman" w:cs="Times New Roman"/>
        </w:rPr>
      </w:pPr>
      <w:r w:rsidRPr="00F52BFD">
        <w:rPr>
          <w:rFonts w:ascii="Times New Roman" w:hAnsi="Times New Roman" w:cs="Times New Roman"/>
        </w:rPr>
        <w:t xml:space="preserve">British Educational Research Association (2018) </w:t>
      </w:r>
      <w:r w:rsidRPr="00F52BFD">
        <w:rPr>
          <w:rFonts w:ascii="Times New Roman" w:hAnsi="Times New Roman" w:cs="Times New Roman"/>
          <w:i/>
          <w:iCs/>
        </w:rPr>
        <w:t>Ethical guidelines for educational research</w:t>
      </w:r>
      <w:r w:rsidRPr="00F52BFD">
        <w:rPr>
          <w:rFonts w:ascii="Times New Roman" w:hAnsi="Times New Roman" w:cs="Times New Roman"/>
        </w:rPr>
        <w:t>. 4th edn. London: BERA. Available at:</w:t>
      </w:r>
      <w:r w:rsidR="005A23E3" w:rsidRPr="00F52BFD">
        <w:rPr>
          <w:rFonts w:ascii="Times New Roman" w:hAnsi="Times New Roman" w:cs="Times New Roman"/>
        </w:rPr>
        <w:t xml:space="preserve"> </w:t>
      </w:r>
      <w:hyperlink r:id="rId9" w:anchor="responsibilities-sponsors" w:history="1">
        <w:r w:rsidR="005A23E3" w:rsidRPr="00F52BFD">
          <w:rPr>
            <w:rStyle w:val="Hyperlink"/>
            <w:rFonts w:ascii="Times New Roman" w:hAnsi="Times New Roman" w:cs="Times New Roman"/>
          </w:rPr>
          <w:t>Ethical Guidelines for Educational Research, fifth edition (2024) | BERA</w:t>
        </w:r>
      </w:hyperlink>
      <w:r w:rsidR="005A23E3" w:rsidRPr="00F52BFD">
        <w:rPr>
          <w:rFonts w:ascii="Times New Roman" w:hAnsi="Times New Roman" w:cs="Times New Roman"/>
        </w:rPr>
        <w:t xml:space="preserve"> (Accessed 20/04/26). </w:t>
      </w:r>
    </w:p>
    <w:p w14:paraId="32D5C82C" w14:textId="77777777" w:rsidR="005F278A" w:rsidRPr="00F52BFD" w:rsidRDefault="007715C2" w:rsidP="00F52BFD">
      <w:pPr>
        <w:spacing w:after="0" w:line="360" w:lineRule="auto"/>
        <w:ind w:left="360"/>
        <w:rPr>
          <w:rFonts w:ascii="Times New Roman" w:hAnsi="Times New Roman" w:cs="Times New Roman"/>
        </w:rPr>
      </w:pPr>
      <w:r w:rsidRPr="00F52BFD">
        <w:rPr>
          <w:rFonts w:ascii="Times New Roman" w:eastAsia="Times New Roman" w:hAnsi="Times New Roman" w:cs="Times New Roman"/>
          <w:kern w:val="0"/>
          <w:lang w:eastAsia="en-GB"/>
          <w14:ligatures w14:val="none"/>
        </w:rPr>
        <w:t xml:space="preserve">Braun, V. and Clarke, V. (2021) </w:t>
      </w:r>
      <w:r w:rsidRPr="00F52BFD">
        <w:rPr>
          <w:rFonts w:ascii="Times New Roman" w:eastAsia="Times New Roman" w:hAnsi="Times New Roman" w:cs="Times New Roman"/>
          <w:i/>
          <w:iCs/>
          <w:kern w:val="0"/>
          <w:lang w:eastAsia="en-GB"/>
          <w14:ligatures w14:val="none"/>
        </w:rPr>
        <w:t>Thematic analysis: A practical guide</w:t>
      </w:r>
      <w:r w:rsidRPr="00F52BFD">
        <w:rPr>
          <w:rFonts w:ascii="Times New Roman" w:eastAsia="Times New Roman" w:hAnsi="Times New Roman" w:cs="Times New Roman"/>
          <w:kern w:val="0"/>
          <w:lang w:eastAsia="en-GB"/>
          <w14:ligatures w14:val="none"/>
        </w:rPr>
        <w:t xml:space="preserve">. London: </w:t>
      </w:r>
      <w:r w:rsidR="005F278A" w:rsidRPr="00F52BFD">
        <w:rPr>
          <w:rFonts w:ascii="Times New Roman" w:eastAsia="Times New Roman" w:hAnsi="Times New Roman" w:cs="Times New Roman"/>
          <w:kern w:val="0"/>
          <w:lang w:eastAsia="en-GB"/>
          <w14:ligatures w14:val="none"/>
        </w:rPr>
        <w:t>Sage Publications</w:t>
      </w:r>
    </w:p>
    <w:p w14:paraId="11252FF4" w14:textId="7D0B3AA5" w:rsidR="005963EA" w:rsidRPr="00F52BFD" w:rsidRDefault="00BC63E8" w:rsidP="00F52BFD">
      <w:pPr>
        <w:spacing w:after="0" w:line="360" w:lineRule="auto"/>
        <w:ind w:left="360"/>
        <w:rPr>
          <w:rFonts w:ascii="Times New Roman" w:hAnsi="Times New Roman" w:cs="Times New Roman"/>
        </w:rPr>
      </w:pPr>
      <w:r w:rsidRPr="00F52BFD">
        <w:rPr>
          <w:rFonts w:ascii="Times New Roman" w:hAnsi="Times New Roman" w:cs="Times New Roman"/>
        </w:rPr>
        <w:t xml:space="preserve">Bryman, A. (2016) </w:t>
      </w:r>
      <w:r w:rsidRPr="00F52BFD">
        <w:rPr>
          <w:rFonts w:ascii="Times New Roman" w:hAnsi="Times New Roman" w:cs="Times New Roman"/>
          <w:i/>
          <w:iCs/>
        </w:rPr>
        <w:t>Social research methods</w:t>
      </w:r>
      <w:r w:rsidRPr="00F52BFD">
        <w:rPr>
          <w:rFonts w:ascii="Times New Roman" w:hAnsi="Times New Roman" w:cs="Times New Roman"/>
        </w:rPr>
        <w:t>. 5th edn. Oxford: Oxford University Press</w:t>
      </w:r>
      <w:r w:rsidR="005A23E3" w:rsidRPr="00F52BFD">
        <w:rPr>
          <w:rFonts w:ascii="Times New Roman" w:hAnsi="Times New Roman" w:cs="Times New Roman"/>
        </w:rPr>
        <w:t>.</w:t>
      </w:r>
    </w:p>
    <w:p w14:paraId="686668EC" w14:textId="2AC397C4" w:rsidR="005963EA" w:rsidRPr="00F52BFD" w:rsidRDefault="005963EA" w:rsidP="00F52BFD">
      <w:pPr>
        <w:spacing w:line="360" w:lineRule="auto"/>
        <w:ind w:left="360"/>
        <w:rPr>
          <w:rFonts w:ascii="Times New Roman" w:hAnsi="Times New Roman" w:cs="Times New Roman"/>
        </w:rPr>
      </w:pPr>
      <w:r w:rsidRPr="00F52BFD">
        <w:rPr>
          <w:rStyle w:val="Strong"/>
          <w:rFonts w:ascii="Times New Roman" w:eastAsiaTheme="majorEastAsia" w:hAnsi="Times New Roman" w:cs="Times New Roman"/>
          <w:b w:val="0"/>
          <w:bCs w:val="0"/>
        </w:rPr>
        <w:t>Chand, S.P. (2025)</w:t>
      </w:r>
      <w:r w:rsidRPr="00F52BFD">
        <w:rPr>
          <w:rFonts w:ascii="Times New Roman" w:hAnsi="Times New Roman" w:cs="Times New Roman"/>
          <w:b/>
          <w:bCs/>
        </w:rPr>
        <w:t xml:space="preserve"> ‘</w:t>
      </w:r>
      <w:r w:rsidRPr="00F52BFD">
        <w:rPr>
          <w:rFonts w:ascii="Times New Roman" w:hAnsi="Times New Roman" w:cs="Times New Roman"/>
        </w:rPr>
        <w:t xml:space="preserve">Methods of data collection in qualitative research: interviews, focus groups, observations, and document analysis’, </w:t>
      </w:r>
      <w:r w:rsidRPr="00F52BFD">
        <w:rPr>
          <w:rStyle w:val="Emphasis"/>
          <w:rFonts w:ascii="Times New Roman" w:eastAsiaTheme="majorEastAsia" w:hAnsi="Times New Roman" w:cs="Times New Roman"/>
        </w:rPr>
        <w:t>Advances in Educational Research and Evaluation</w:t>
      </w:r>
      <w:r w:rsidRPr="00F52BFD">
        <w:rPr>
          <w:rFonts w:ascii="Times New Roman" w:hAnsi="Times New Roman" w:cs="Times New Roman"/>
        </w:rPr>
        <w:t xml:space="preserve">, 6(1), pp. 303–317. </w:t>
      </w:r>
      <w:r w:rsidRPr="00F52BFD">
        <w:rPr>
          <w:rFonts w:ascii="Times New Roman" w:hAnsi="Times New Roman" w:cs="Times New Roman"/>
        </w:rPr>
        <w:br/>
        <w:t>Available at: https://www.syncsci.com/journal/AERE/article/view/AERE.2025.01.001 (Accessed: 20</w:t>
      </w:r>
      <w:r w:rsidR="004B3136" w:rsidRPr="00F52BFD">
        <w:rPr>
          <w:rFonts w:ascii="Times New Roman" w:hAnsi="Times New Roman" w:cs="Times New Roman"/>
        </w:rPr>
        <w:t>/04/</w:t>
      </w:r>
      <w:r w:rsidRPr="00F52BFD">
        <w:rPr>
          <w:rFonts w:ascii="Times New Roman" w:hAnsi="Times New Roman" w:cs="Times New Roman"/>
        </w:rPr>
        <w:t>26).</w:t>
      </w:r>
    </w:p>
    <w:p w14:paraId="1DFC02A7" w14:textId="50FB60D3" w:rsidR="008D2DDA" w:rsidRPr="00F52BFD" w:rsidRDefault="00463B81" w:rsidP="00F52BFD">
      <w:pPr>
        <w:spacing w:line="360" w:lineRule="auto"/>
        <w:ind w:left="360"/>
        <w:rPr>
          <w:rFonts w:ascii="Times New Roman" w:hAnsi="Times New Roman" w:cs="Times New Roman"/>
        </w:rPr>
      </w:pPr>
      <w:r w:rsidRPr="00F52BFD">
        <w:rPr>
          <w:rFonts w:ascii="Times New Roman" w:hAnsi="Times New Roman" w:cs="Times New Roman"/>
        </w:rPr>
        <w:t xml:space="preserve">Cohen, L., Manion, L. and Morrison, K. </w:t>
      </w:r>
      <w:r w:rsidR="008D2DDA" w:rsidRPr="00F52BFD">
        <w:rPr>
          <w:rFonts w:ascii="Times New Roman" w:hAnsi="Times New Roman" w:cs="Times New Roman"/>
        </w:rPr>
        <w:t xml:space="preserve">(2018) </w:t>
      </w:r>
      <w:r w:rsidR="008D2DDA" w:rsidRPr="00F52BFD">
        <w:rPr>
          <w:rFonts w:ascii="Times New Roman" w:hAnsi="Times New Roman" w:cs="Times New Roman"/>
          <w:i/>
          <w:iCs/>
        </w:rPr>
        <w:t>Research methods in education</w:t>
      </w:r>
      <w:r w:rsidR="008D2DDA" w:rsidRPr="00F52BFD">
        <w:rPr>
          <w:rFonts w:ascii="Times New Roman" w:hAnsi="Times New Roman" w:cs="Times New Roman"/>
        </w:rPr>
        <w:t>. 8th edn. London: Routledge. Available at</w:t>
      </w:r>
      <w:r w:rsidR="004B3136" w:rsidRPr="00F52BFD">
        <w:rPr>
          <w:rFonts w:ascii="Times New Roman" w:hAnsi="Times New Roman" w:cs="Times New Roman"/>
        </w:rPr>
        <w:t>:</w:t>
      </w:r>
      <w:r w:rsidR="008D2DDA" w:rsidRPr="00F52BFD">
        <w:rPr>
          <w:rFonts w:ascii="Times New Roman" w:hAnsi="Times New Roman" w:cs="Times New Roman"/>
        </w:rPr>
        <w:t xml:space="preserve"> </w:t>
      </w:r>
      <w:hyperlink r:id="rId10" w:history="1">
        <w:r w:rsidR="008D2DDA" w:rsidRPr="00F52BFD">
          <w:rPr>
            <w:rStyle w:val="Hyperlink"/>
            <w:rFonts w:ascii="Times New Roman" w:hAnsi="Times New Roman" w:cs="Times New Roman"/>
          </w:rPr>
          <w:t>Full details and actions for Research methods in education</w:t>
        </w:r>
      </w:hyperlink>
      <w:r w:rsidR="008D2DDA" w:rsidRPr="00F52BFD">
        <w:rPr>
          <w:rFonts w:ascii="Times New Roman" w:hAnsi="Times New Roman" w:cs="Times New Roman"/>
        </w:rPr>
        <w:t xml:space="preserve">  </w:t>
      </w:r>
      <w:r w:rsidR="005A23E3" w:rsidRPr="00F52BFD">
        <w:rPr>
          <w:rFonts w:ascii="Times New Roman" w:hAnsi="Times New Roman" w:cs="Times New Roman"/>
        </w:rPr>
        <w:t>(</w:t>
      </w:r>
      <w:r w:rsidR="004B3136" w:rsidRPr="00F52BFD">
        <w:rPr>
          <w:rFonts w:ascii="Times New Roman" w:hAnsi="Times New Roman" w:cs="Times New Roman"/>
        </w:rPr>
        <w:t>A</w:t>
      </w:r>
      <w:r w:rsidR="008D2DDA" w:rsidRPr="00F52BFD">
        <w:rPr>
          <w:rFonts w:ascii="Times New Roman" w:hAnsi="Times New Roman" w:cs="Times New Roman"/>
        </w:rPr>
        <w:t>ccessed 01/03/26</w:t>
      </w:r>
      <w:r w:rsidR="005A23E3" w:rsidRPr="00F52BFD">
        <w:rPr>
          <w:rFonts w:ascii="Times New Roman" w:hAnsi="Times New Roman" w:cs="Times New Roman"/>
        </w:rPr>
        <w:t>).</w:t>
      </w:r>
    </w:p>
    <w:p w14:paraId="328AD3B2" w14:textId="18FF7903" w:rsidR="00A140F3" w:rsidRPr="00F52BFD" w:rsidRDefault="00A140F3" w:rsidP="00F52BFD">
      <w:pPr>
        <w:spacing w:line="360" w:lineRule="auto"/>
        <w:ind w:left="360"/>
        <w:rPr>
          <w:rFonts w:ascii="Times New Roman" w:hAnsi="Times New Roman" w:cs="Times New Roman"/>
        </w:rPr>
      </w:pPr>
      <w:r w:rsidRPr="00F52BFD">
        <w:rPr>
          <w:rFonts w:ascii="Times New Roman" w:hAnsi="Times New Roman" w:cs="Times New Roman"/>
        </w:rPr>
        <w:t>Coe, R. (2025) </w:t>
      </w:r>
      <w:r w:rsidRPr="00F52BFD">
        <w:rPr>
          <w:rFonts w:ascii="Times New Roman" w:hAnsi="Times New Roman" w:cs="Times New Roman"/>
          <w:i/>
          <w:iCs/>
        </w:rPr>
        <w:t>Research Methods and Methodologies in Education</w:t>
      </w:r>
      <w:r w:rsidRPr="00F52BFD">
        <w:rPr>
          <w:rFonts w:ascii="Times New Roman" w:hAnsi="Times New Roman" w:cs="Times New Roman"/>
        </w:rPr>
        <w:t xml:space="preserve">. 4th edition. </w:t>
      </w:r>
      <w:r w:rsidR="005F278A" w:rsidRPr="00F52BFD">
        <w:rPr>
          <w:rFonts w:ascii="Times New Roman" w:hAnsi="Times New Roman" w:cs="Times New Roman"/>
        </w:rPr>
        <w:t xml:space="preserve">Sage Publications. </w:t>
      </w:r>
      <w:r w:rsidR="00F4344D" w:rsidRPr="00F52BFD">
        <w:rPr>
          <w:rFonts w:ascii="Times New Roman" w:hAnsi="Times New Roman" w:cs="Times New Roman"/>
        </w:rPr>
        <w:t xml:space="preserve">Available </w:t>
      </w:r>
      <w:r w:rsidR="004B3136" w:rsidRPr="00F52BFD">
        <w:rPr>
          <w:rFonts w:ascii="Times New Roman" w:hAnsi="Times New Roman" w:cs="Times New Roman"/>
        </w:rPr>
        <w:t>at</w:t>
      </w:r>
      <w:r w:rsidR="00F4344D" w:rsidRPr="00F52BFD">
        <w:rPr>
          <w:rFonts w:ascii="Times New Roman" w:hAnsi="Times New Roman" w:cs="Times New Roman"/>
        </w:rPr>
        <w:t xml:space="preserve">: VitalSource Bookshelf. </w:t>
      </w:r>
      <w:r w:rsidRPr="00F52BFD">
        <w:rPr>
          <w:rFonts w:ascii="Times New Roman" w:hAnsi="Times New Roman" w:cs="Times New Roman"/>
        </w:rPr>
        <w:t xml:space="preserve"> </w:t>
      </w:r>
    </w:p>
    <w:p w14:paraId="20E05BD1" w14:textId="7A26CAD2" w:rsidR="008D2DDA" w:rsidRPr="00F52BFD" w:rsidRDefault="008D2DDA" w:rsidP="00F52BFD">
      <w:pPr>
        <w:spacing w:line="360" w:lineRule="auto"/>
        <w:ind w:left="360"/>
        <w:rPr>
          <w:rFonts w:ascii="Times New Roman" w:hAnsi="Times New Roman" w:cs="Times New Roman"/>
        </w:rPr>
      </w:pPr>
      <w:r w:rsidRPr="00F52BFD">
        <w:rPr>
          <w:rFonts w:ascii="Times New Roman" w:hAnsi="Times New Roman" w:cs="Times New Roman"/>
        </w:rPr>
        <w:t xml:space="preserve">Creswell, J.W. and Plano Clark, V.L. (2018) </w:t>
      </w:r>
      <w:r w:rsidRPr="00F52BFD">
        <w:rPr>
          <w:rFonts w:ascii="Times New Roman" w:hAnsi="Times New Roman" w:cs="Times New Roman"/>
          <w:i/>
          <w:iCs/>
        </w:rPr>
        <w:t>Designing and conducting mixed methods research</w:t>
      </w:r>
      <w:r w:rsidRPr="00F52BFD">
        <w:rPr>
          <w:rFonts w:ascii="Times New Roman" w:hAnsi="Times New Roman" w:cs="Times New Roman"/>
        </w:rPr>
        <w:t xml:space="preserve">. 3rd edn. Thousand Oaks, CA: </w:t>
      </w:r>
      <w:r w:rsidR="005F278A" w:rsidRPr="00F52BFD">
        <w:rPr>
          <w:rFonts w:ascii="Times New Roman" w:hAnsi="Times New Roman" w:cs="Times New Roman"/>
        </w:rPr>
        <w:t>Sage Publications</w:t>
      </w:r>
      <w:r w:rsidRPr="00F52BFD">
        <w:rPr>
          <w:rFonts w:ascii="Times New Roman" w:hAnsi="Times New Roman" w:cs="Times New Roman"/>
        </w:rPr>
        <w:t xml:space="preserve">. </w:t>
      </w:r>
    </w:p>
    <w:p w14:paraId="7F32FCE1" w14:textId="699DDA3A" w:rsidR="00E87D60" w:rsidRPr="00F52BFD" w:rsidRDefault="005F278A" w:rsidP="00F52BFD">
      <w:pPr>
        <w:spacing w:line="360" w:lineRule="auto"/>
        <w:ind w:left="360"/>
        <w:rPr>
          <w:rFonts w:ascii="Times New Roman" w:hAnsi="Times New Roman" w:cs="Times New Roman"/>
        </w:rPr>
      </w:pPr>
      <w:r w:rsidRPr="00F52BFD">
        <w:rPr>
          <w:rFonts w:ascii="Times New Roman" w:hAnsi="Times New Roman" w:cs="Times New Roman"/>
        </w:rPr>
        <w:t>Data Protection Act 2018. London: The Stationery Office.</w:t>
      </w:r>
      <w:r w:rsidR="005A23E3" w:rsidRPr="00F52BFD">
        <w:rPr>
          <w:rFonts w:ascii="Times New Roman" w:hAnsi="Times New Roman" w:cs="Times New Roman"/>
        </w:rPr>
        <w:t xml:space="preserve"> </w:t>
      </w:r>
      <w:r w:rsidRPr="00F52BFD">
        <w:rPr>
          <w:rFonts w:ascii="Times New Roman" w:hAnsi="Times New Roman" w:cs="Times New Roman"/>
        </w:rPr>
        <w:t>Available</w:t>
      </w:r>
      <w:r w:rsidR="005A23E3" w:rsidRPr="00F52BFD">
        <w:rPr>
          <w:rFonts w:ascii="Times New Roman" w:hAnsi="Times New Roman" w:cs="Times New Roman"/>
        </w:rPr>
        <w:t xml:space="preserve"> at: </w:t>
      </w:r>
      <w:hyperlink r:id="rId11" w:history="1">
        <w:r w:rsidR="005A23E3" w:rsidRPr="00F52BFD">
          <w:rPr>
            <w:rStyle w:val="Hyperlink"/>
            <w:rFonts w:ascii="Times New Roman" w:hAnsi="Times New Roman" w:cs="Times New Roman"/>
          </w:rPr>
          <w:t>Data Protection Act 2018</w:t>
        </w:r>
      </w:hyperlink>
      <w:r w:rsidR="005A23E3" w:rsidRPr="00F52BFD">
        <w:rPr>
          <w:rFonts w:ascii="Times New Roman" w:hAnsi="Times New Roman" w:cs="Times New Roman"/>
        </w:rPr>
        <w:t xml:space="preserve"> (Accessed 01/04/26). </w:t>
      </w:r>
    </w:p>
    <w:p w14:paraId="4E07525D" w14:textId="014B9768" w:rsidR="008D2DDA" w:rsidRPr="00F52BFD" w:rsidRDefault="008D2DDA" w:rsidP="00F52BFD">
      <w:pPr>
        <w:spacing w:line="360" w:lineRule="auto"/>
        <w:ind w:left="360"/>
        <w:rPr>
          <w:rFonts w:ascii="Times New Roman" w:hAnsi="Times New Roman" w:cs="Times New Roman"/>
        </w:rPr>
      </w:pPr>
      <w:r w:rsidRPr="00F52BFD">
        <w:rPr>
          <w:rFonts w:ascii="Times New Roman" w:hAnsi="Times New Roman" w:cs="Times New Roman"/>
        </w:rPr>
        <w:t xml:space="preserve">Denzin, N.K. and Lincoln, Y.S. (2018) </w:t>
      </w:r>
      <w:r w:rsidRPr="00F52BFD">
        <w:rPr>
          <w:rFonts w:ascii="Times New Roman" w:hAnsi="Times New Roman" w:cs="Times New Roman"/>
          <w:i/>
          <w:iCs/>
        </w:rPr>
        <w:t>The SAGE handbook of qualitative research</w:t>
      </w:r>
      <w:r w:rsidRPr="00F52BFD">
        <w:rPr>
          <w:rFonts w:ascii="Times New Roman" w:hAnsi="Times New Roman" w:cs="Times New Roman"/>
        </w:rPr>
        <w:t xml:space="preserve">. 5th edn. Thousand Oaks, CA: </w:t>
      </w:r>
      <w:r w:rsidR="00463B81" w:rsidRPr="00F52BFD">
        <w:rPr>
          <w:rFonts w:ascii="Times New Roman" w:hAnsi="Times New Roman" w:cs="Times New Roman"/>
        </w:rPr>
        <w:t>Sage Publications</w:t>
      </w:r>
      <w:r w:rsidRPr="00F52BFD">
        <w:rPr>
          <w:rFonts w:ascii="Times New Roman" w:hAnsi="Times New Roman" w:cs="Times New Roman"/>
        </w:rPr>
        <w:t xml:space="preserve">. </w:t>
      </w:r>
    </w:p>
    <w:p w14:paraId="794588DB" w14:textId="1BD238B7" w:rsidR="008C4EE0" w:rsidRPr="00F52BFD" w:rsidRDefault="008C4EE0" w:rsidP="00F52BFD">
      <w:pPr>
        <w:spacing w:line="360" w:lineRule="auto"/>
        <w:ind w:left="360"/>
        <w:rPr>
          <w:rFonts w:ascii="Times New Roman" w:hAnsi="Times New Roman" w:cs="Times New Roman"/>
        </w:rPr>
      </w:pPr>
      <w:r w:rsidRPr="00F52BFD">
        <w:rPr>
          <w:rFonts w:ascii="Times New Roman" w:hAnsi="Times New Roman" w:cs="Times New Roman"/>
        </w:rPr>
        <w:lastRenderedPageBreak/>
        <w:t>Flick, U. (2019). </w:t>
      </w:r>
      <w:r w:rsidRPr="00F52BFD">
        <w:rPr>
          <w:rFonts w:ascii="Times New Roman" w:hAnsi="Times New Roman" w:cs="Times New Roman"/>
          <w:i/>
          <w:iCs/>
        </w:rPr>
        <w:t>The SAGE handbook of qualitative data collection</w:t>
      </w:r>
      <w:r w:rsidRPr="00F52BFD">
        <w:rPr>
          <w:rFonts w:ascii="Times New Roman" w:hAnsi="Times New Roman" w:cs="Times New Roman"/>
        </w:rPr>
        <w:t xml:space="preserve"> (First edition.). </w:t>
      </w:r>
      <w:r w:rsidR="005F278A" w:rsidRPr="00F52BFD">
        <w:rPr>
          <w:rFonts w:ascii="Times New Roman" w:hAnsi="Times New Roman" w:cs="Times New Roman"/>
        </w:rPr>
        <w:t>Sage Publications</w:t>
      </w:r>
      <w:r w:rsidRPr="00F52BFD">
        <w:rPr>
          <w:rFonts w:ascii="Times New Roman" w:hAnsi="Times New Roman" w:cs="Times New Roman"/>
        </w:rPr>
        <w:t>. Available at</w:t>
      </w:r>
      <w:r w:rsidR="004B3136" w:rsidRPr="00F52BFD">
        <w:rPr>
          <w:rFonts w:ascii="Times New Roman" w:hAnsi="Times New Roman" w:cs="Times New Roman"/>
        </w:rPr>
        <w:t>:</w:t>
      </w:r>
      <w:r w:rsidRPr="00F52BFD">
        <w:rPr>
          <w:rFonts w:ascii="Times New Roman" w:hAnsi="Times New Roman" w:cs="Times New Roman"/>
        </w:rPr>
        <w:t xml:space="preserve"> </w:t>
      </w:r>
      <w:hyperlink r:id="rId12" w:history="1">
        <w:r w:rsidRPr="00F52BFD">
          <w:rPr>
            <w:rStyle w:val="Hyperlink"/>
            <w:rFonts w:ascii="Times New Roman" w:hAnsi="Times New Roman" w:cs="Times New Roman"/>
          </w:rPr>
          <w:t>Sage Reference - The SAGE Handbook of Qualitative Data Collection</w:t>
        </w:r>
      </w:hyperlink>
      <w:r w:rsidRPr="00F52BFD">
        <w:rPr>
          <w:rFonts w:ascii="Times New Roman" w:hAnsi="Times New Roman" w:cs="Times New Roman"/>
        </w:rPr>
        <w:t xml:space="preserve"> </w:t>
      </w:r>
      <w:r w:rsidR="00046F8B" w:rsidRPr="00F52BFD">
        <w:rPr>
          <w:rFonts w:ascii="Times New Roman" w:hAnsi="Times New Roman" w:cs="Times New Roman"/>
        </w:rPr>
        <w:t>(</w:t>
      </w:r>
      <w:r w:rsidRPr="00F52BFD">
        <w:rPr>
          <w:rFonts w:ascii="Times New Roman" w:hAnsi="Times New Roman" w:cs="Times New Roman"/>
        </w:rPr>
        <w:t>Accessed 14/04/26</w:t>
      </w:r>
      <w:r w:rsidR="00046F8B" w:rsidRPr="00F52BFD">
        <w:rPr>
          <w:rFonts w:ascii="Times New Roman" w:hAnsi="Times New Roman" w:cs="Times New Roman"/>
        </w:rPr>
        <w:t>)</w:t>
      </w:r>
    </w:p>
    <w:p w14:paraId="11407AAF" w14:textId="53D85DE6" w:rsidR="00BF6CED" w:rsidRPr="00F52BFD" w:rsidRDefault="00BF6CED" w:rsidP="00F52BFD">
      <w:pPr>
        <w:spacing w:line="360" w:lineRule="auto"/>
        <w:ind w:left="360"/>
        <w:rPr>
          <w:rFonts w:ascii="Times New Roman" w:hAnsi="Times New Roman" w:cs="Times New Roman"/>
        </w:rPr>
      </w:pPr>
      <w:r w:rsidRPr="00F52BFD">
        <w:rPr>
          <w:rFonts w:ascii="Times New Roman" w:hAnsi="Times New Roman" w:cs="Times New Roman"/>
        </w:rPr>
        <w:t xml:space="preserve">Guba, E.G. and Lincoln, Y.S. (1994) ‘Competing paradigms in qualitative research’, in Denzin, N.K. and Lincoln, Y.S. (eds.) </w:t>
      </w:r>
      <w:r w:rsidRPr="00F52BFD">
        <w:rPr>
          <w:rFonts w:ascii="Times New Roman" w:hAnsi="Times New Roman" w:cs="Times New Roman"/>
          <w:i/>
          <w:iCs/>
        </w:rPr>
        <w:t>Handbook of qualitative research</w:t>
      </w:r>
      <w:r w:rsidRPr="00F52BFD">
        <w:rPr>
          <w:rFonts w:ascii="Times New Roman" w:hAnsi="Times New Roman" w:cs="Times New Roman"/>
        </w:rPr>
        <w:t xml:space="preserve">. Thousand Oaks, CA: </w:t>
      </w:r>
      <w:r w:rsidR="00463B81" w:rsidRPr="00F52BFD">
        <w:rPr>
          <w:rFonts w:ascii="Times New Roman" w:hAnsi="Times New Roman" w:cs="Times New Roman"/>
        </w:rPr>
        <w:t>Sage Publications</w:t>
      </w:r>
      <w:r w:rsidRPr="00F52BFD">
        <w:rPr>
          <w:rFonts w:ascii="Times New Roman" w:hAnsi="Times New Roman" w:cs="Times New Roman"/>
        </w:rPr>
        <w:t xml:space="preserve">, pp. 105–117. </w:t>
      </w:r>
      <w:r w:rsidR="00046F8B" w:rsidRPr="00F52BFD">
        <w:rPr>
          <w:rFonts w:ascii="Times New Roman" w:hAnsi="Times New Roman" w:cs="Times New Roman"/>
        </w:rPr>
        <w:t xml:space="preserve"> </w:t>
      </w:r>
    </w:p>
    <w:p w14:paraId="35C75855" w14:textId="0BC9DDCC" w:rsidR="005963EA" w:rsidRPr="00F52BFD" w:rsidRDefault="005963EA" w:rsidP="00F52BFD">
      <w:pPr>
        <w:spacing w:after="0" w:line="360" w:lineRule="auto"/>
        <w:ind w:left="360"/>
        <w:rPr>
          <w:rFonts w:ascii="Times New Roman" w:eastAsia="Times New Roman" w:hAnsi="Times New Roman" w:cs="Times New Roman"/>
          <w:kern w:val="0"/>
          <w:lang w:eastAsia="en-GB"/>
          <w14:ligatures w14:val="none"/>
        </w:rPr>
      </w:pPr>
      <w:r w:rsidRPr="00F52BFD">
        <w:rPr>
          <w:rFonts w:ascii="Times New Roman" w:eastAsia="Times New Roman" w:hAnsi="Times New Roman" w:cs="Times New Roman"/>
          <w:kern w:val="0"/>
          <w:lang w:eastAsia="en-GB"/>
          <w14:ligatures w14:val="none"/>
        </w:rPr>
        <w:t xml:space="preserve">Ingram, O. (2023) ‘What is response bias – types and examples’, </w:t>
      </w:r>
      <w:r w:rsidRPr="00F52BFD">
        <w:rPr>
          <w:rFonts w:ascii="Times New Roman" w:eastAsia="Times New Roman" w:hAnsi="Times New Roman" w:cs="Times New Roman"/>
          <w:i/>
          <w:iCs/>
          <w:kern w:val="0"/>
          <w:lang w:eastAsia="en-GB"/>
          <w14:ligatures w14:val="none"/>
        </w:rPr>
        <w:t>Research Prospect</w:t>
      </w:r>
      <w:r w:rsidRPr="00F52BFD">
        <w:rPr>
          <w:rFonts w:ascii="Times New Roman" w:eastAsia="Times New Roman" w:hAnsi="Times New Roman" w:cs="Times New Roman"/>
          <w:kern w:val="0"/>
          <w:lang w:eastAsia="en-GB"/>
          <w14:ligatures w14:val="none"/>
        </w:rPr>
        <w:t>.</w:t>
      </w:r>
      <w:r w:rsidRPr="00F52BFD">
        <w:rPr>
          <w:rFonts w:ascii="Times New Roman" w:eastAsia="Times New Roman" w:hAnsi="Times New Roman" w:cs="Times New Roman"/>
          <w:kern w:val="0"/>
          <w:lang w:eastAsia="en-GB"/>
          <w14:ligatures w14:val="none"/>
        </w:rPr>
        <w:br/>
        <w:t>Available at: https://www.researchprospect.com/what-is-response-bias/ (Accessed: 20</w:t>
      </w:r>
      <w:r w:rsidR="004B3136" w:rsidRPr="00F52BFD">
        <w:rPr>
          <w:rFonts w:ascii="Times New Roman" w:eastAsia="Times New Roman" w:hAnsi="Times New Roman" w:cs="Times New Roman"/>
          <w:kern w:val="0"/>
          <w:lang w:eastAsia="en-GB"/>
          <w14:ligatures w14:val="none"/>
        </w:rPr>
        <w:t>/04/</w:t>
      </w:r>
      <w:r w:rsidRPr="00F52BFD">
        <w:rPr>
          <w:rFonts w:ascii="Times New Roman" w:eastAsia="Times New Roman" w:hAnsi="Times New Roman" w:cs="Times New Roman"/>
          <w:kern w:val="0"/>
          <w:lang w:eastAsia="en-GB"/>
          <w14:ligatures w14:val="none"/>
        </w:rPr>
        <w:t xml:space="preserve">26). </w:t>
      </w:r>
    </w:p>
    <w:p w14:paraId="4DDAA843" w14:textId="6AD6890A" w:rsidR="008D2DDA" w:rsidRPr="00F52BFD" w:rsidRDefault="008D2DDA" w:rsidP="00F52BFD">
      <w:pPr>
        <w:spacing w:line="360" w:lineRule="auto"/>
        <w:ind w:left="360"/>
        <w:rPr>
          <w:rFonts w:ascii="Times New Roman" w:hAnsi="Times New Roman" w:cs="Times New Roman"/>
        </w:rPr>
      </w:pPr>
      <w:r w:rsidRPr="00F52BFD">
        <w:rPr>
          <w:rFonts w:ascii="Times New Roman" w:hAnsi="Times New Roman" w:cs="Times New Roman"/>
        </w:rPr>
        <w:t xml:space="preserve">Joshi, A., Kale, S., Chandel, S. and Pal, D.K. (2015) ‘Likert scale: explored and explained’, </w:t>
      </w:r>
      <w:r w:rsidRPr="00F52BFD">
        <w:rPr>
          <w:rFonts w:ascii="Times New Roman" w:hAnsi="Times New Roman" w:cs="Times New Roman"/>
          <w:i/>
          <w:iCs/>
        </w:rPr>
        <w:t>British Journal of Applied Science &amp; Technology</w:t>
      </w:r>
      <w:r w:rsidRPr="00F52BFD">
        <w:rPr>
          <w:rFonts w:ascii="Times New Roman" w:hAnsi="Times New Roman" w:cs="Times New Roman"/>
        </w:rPr>
        <w:t>, 7(4), pp. 396–403. Available at</w:t>
      </w:r>
      <w:r w:rsidR="004B3136" w:rsidRPr="00F52BFD">
        <w:rPr>
          <w:rFonts w:ascii="Times New Roman" w:hAnsi="Times New Roman" w:cs="Times New Roman"/>
        </w:rPr>
        <w:t>:</w:t>
      </w:r>
      <w:r w:rsidRPr="00F52BFD">
        <w:rPr>
          <w:rFonts w:ascii="Times New Roman" w:hAnsi="Times New Roman" w:cs="Times New Roman"/>
        </w:rPr>
        <w:t xml:space="preserve"> </w:t>
      </w:r>
      <w:hyperlink r:id="rId13" w:history="1">
        <w:r w:rsidRPr="00F52BFD">
          <w:rPr>
            <w:rStyle w:val="Hyperlink"/>
            <w:rFonts w:ascii="Times New Roman" w:hAnsi="Times New Roman" w:cs="Times New Roman"/>
          </w:rPr>
          <w:t>5a7cc366dd963113c6923ac4a73c3286ab22.pdf</w:t>
        </w:r>
      </w:hyperlink>
      <w:r w:rsidRPr="00F52BFD">
        <w:rPr>
          <w:rFonts w:ascii="Times New Roman" w:hAnsi="Times New Roman" w:cs="Times New Roman"/>
        </w:rPr>
        <w:t xml:space="preserve"> </w:t>
      </w:r>
      <w:r w:rsidR="00046F8B" w:rsidRPr="00F52BFD">
        <w:rPr>
          <w:rFonts w:ascii="Times New Roman" w:hAnsi="Times New Roman" w:cs="Times New Roman"/>
        </w:rPr>
        <w:t>(</w:t>
      </w:r>
      <w:r w:rsidRPr="00F52BFD">
        <w:rPr>
          <w:rFonts w:ascii="Times New Roman" w:hAnsi="Times New Roman" w:cs="Times New Roman"/>
        </w:rPr>
        <w:t>Accessed 01/04/26</w:t>
      </w:r>
      <w:r w:rsidR="00046F8B" w:rsidRPr="00F52BFD">
        <w:rPr>
          <w:rFonts w:ascii="Times New Roman" w:hAnsi="Times New Roman" w:cs="Times New Roman"/>
        </w:rPr>
        <w:t>).</w:t>
      </w:r>
    </w:p>
    <w:p w14:paraId="7DF2DC64" w14:textId="6AEB0860" w:rsidR="00294FA4" w:rsidRPr="00F52BFD" w:rsidRDefault="00294FA4" w:rsidP="00F52BFD">
      <w:pPr>
        <w:spacing w:after="0" w:line="360" w:lineRule="auto"/>
        <w:ind w:left="360"/>
        <w:rPr>
          <w:rFonts w:ascii="Times New Roman" w:eastAsia="Times New Roman" w:hAnsi="Times New Roman" w:cs="Times New Roman"/>
          <w:kern w:val="0"/>
          <w:lang w:eastAsia="en-GB"/>
          <w14:ligatures w14:val="none"/>
        </w:rPr>
      </w:pPr>
      <w:r w:rsidRPr="00F52BFD">
        <w:rPr>
          <w:rFonts w:ascii="Times New Roman" w:eastAsia="Times New Roman" w:hAnsi="Times New Roman" w:cs="Times New Roman"/>
          <w:kern w:val="0"/>
          <w:lang w:eastAsia="en-GB"/>
          <w14:ligatures w14:val="none"/>
        </w:rPr>
        <w:t>Korzenevica, M., Lemma, E.F., Esukuku, D.E., Hossain, F., Musyoka, M.M., Nowicki, S. and Bukachi, S.A. (2025) ‘Participation, inclusion and reflexivity in multi</w:t>
      </w:r>
      <w:r w:rsidRPr="00F52BFD">
        <w:rPr>
          <w:rFonts w:ascii="Times New Roman" w:eastAsia="Times New Roman" w:hAnsi="Times New Roman" w:cs="Times New Roman"/>
          <w:kern w:val="0"/>
          <w:lang w:eastAsia="en-GB"/>
          <w14:ligatures w14:val="none"/>
        </w:rPr>
        <w:noBreakHyphen/>
        <w:t xml:space="preserve">step focus group discussions’, </w:t>
      </w:r>
      <w:r w:rsidRPr="00F52BFD">
        <w:rPr>
          <w:rFonts w:ascii="Times New Roman" w:eastAsia="Times New Roman" w:hAnsi="Times New Roman" w:cs="Times New Roman"/>
          <w:i/>
          <w:iCs/>
          <w:kern w:val="0"/>
          <w:lang w:eastAsia="en-GB"/>
          <w14:ligatures w14:val="none"/>
        </w:rPr>
        <w:t>Area</w:t>
      </w:r>
      <w:r w:rsidRPr="00F52BFD">
        <w:rPr>
          <w:rFonts w:ascii="Times New Roman" w:eastAsia="Times New Roman" w:hAnsi="Times New Roman" w:cs="Times New Roman"/>
          <w:kern w:val="0"/>
          <w:lang w:eastAsia="en-GB"/>
          <w14:ligatures w14:val="none"/>
        </w:rPr>
        <w:t>.</w:t>
      </w:r>
      <w:r w:rsidRPr="00F52BFD">
        <w:rPr>
          <w:rFonts w:ascii="Times New Roman" w:eastAsia="Times New Roman" w:hAnsi="Times New Roman" w:cs="Times New Roman"/>
          <w:kern w:val="0"/>
          <w:lang w:eastAsia="en-GB"/>
          <w14:ligatures w14:val="none"/>
        </w:rPr>
        <w:br/>
        <w:t>Available at: https://rgs-ibg.onlinelibrary.wiley.com/doi/10.1111/area.70008 (Accessed: 20</w:t>
      </w:r>
      <w:r w:rsidR="00B3043C" w:rsidRPr="00F52BFD">
        <w:rPr>
          <w:rFonts w:ascii="Times New Roman" w:eastAsia="Times New Roman" w:hAnsi="Times New Roman" w:cs="Times New Roman"/>
          <w:kern w:val="0"/>
          <w:lang w:eastAsia="en-GB"/>
          <w14:ligatures w14:val="none"/>
        </w:rPr>
        <w:t>/04/</w:t>
      </w:r>
      <w:r w:rsidRPr="00F52BFD">
        <w:rPr>
          <w:rFonts w:ascii="Times New Roman" w:eastAsia="Times New Roman" w:hAnsi="Times New Roman" w:cs="Times New Roman"/>
          <w:kern w:val="0"/>
          <w:lang w:eastAsia="en-GB"/>
          <w14:ligatures w14:val="none"/>
        </w:rPr>
        <w:t>26).</w:t>
      </w:r>
    </w:p>
    <w:p w14:paraId="73B3A851" w14:textId="4D0BE14C" w:rsidR="005963EA" w:rsidRPr="00F52BFD" w:rsidRDefault="005963EA" w:rsidP="00F52BFD">
      <w:pPr>
        <w:spacing w:after="0" w:line="360" w:lineRule="auto"/>
        <w:ind w:left="360"/>
        <w:rPr>
          <w:rFonts w:ascii="Times New Roman" w:eastAsia="Times New Roman" w:hAnsi="Times New Roman" w:cs="Times New Roman"/>
          <w:kern w:val="0"/>
          <w:lang w:eastAsia="en-GB"/>
          <w14:ligatures w14:val="none"/>
        </w:rPr>
      </w:pPr>
      <w:r w:rsidRPr="00F52BFD">
        <w:rPr>
          <w:rFonts w:ascii="Times New Roman" w:eastAsia="Times New Roman" w:hAnsi="Times New Roman" w:cs="Times New Roman"/>
          <w:kern w:val="0"/>
          <w:lang w:eastAsia="en-GB"/>
          <w14:ligatures w14:val="none"/>
        </w:rPr>
        <w:t>Lorenzini, E., Osorio</w:t>
      </w:r>
      <w:r w:rsidRPr="00F52BFD">
        <w:rPr>
          <w:rFonts w:ascii="Times New Roman" w:eastAsia="Times New Roman" w:hAnsi="Times New Roman" w:cs="Times New Roman"/>
          <w:kern w:val="0"/>
          <w:lang w:eastAsia="en-GB"/>
          <w14:ligatures w14:val="none"/>
        </w:rPr>
        <w:noBreakHyphen/>
        <w:t>Galeano, S.P., Schmidt, C.R. and Cañon</w:t>
      </w:r>
      <w:r w:rsidRPr="00F52BFD">
        <w:rPr>
          <w:rFonts w:ascii="Times New Roman" w:eastAsia="Times New Roman" w:hAnsi="Times New Roman" w:cs="Times New Roman"/>
          <w:kern w:val="0"/>
          <w:lang w:eastAsia="en-GB"/>
          <w14:ligatures w14:val="none"/>
        </w:rPr>
        <w:noBreakHyphen/>
        <w:t>Montañez, W</w:t>
      </w:r>
      <w:r w:rsidR="00A61802" w:rsidRPr="00F52BFD">
        <w:rPr>
          <w:rFonts w:ascii="Times New Roman" w:eastAsia="Times New Roman" w:hAnsi="Times New Roman" w:cs="Times New Roman"/>
          <w:kern w:val="0"/>
          <w:lang w:eastAsia="en-GB"/>
          <w14:ligatures w14:val="none"/>
        </w:rPr>
        <w:t>.</w:t>
      </w:r>
      <w:r w:rsidRPr="00F52BFD">
        <w:rPr>
          <w:rFonts w:ascii="Times New Roman" w:eastAsia="Times New Roman" w:hAnsi="Times New Roman" w:cs="Times New Roman"/>
          <w:kern w:val="0"/>
          <w:lang w:eastAsia="en-GB"/>
          <w14:ligatures w14:val="none"/>
        </w:rPr>
        <w:t xml:space="preserve"> (2024) ‘Practical guide to achieve rigor and data integration in mixed methods research’, </w:t>
      </w:r>
      <w:r w:rsidRPr="00F52BFD">
        <w:rPr>
          <w:rFonts w:ascii="Times New Roman" w:eastAsia="Times New Roman" w:hAnsi="Times New Roman" w:cs="Times New Roman"/>
          <w:i/>
          <w:iCs/>
          <w:kern w:val="0"/>
          <w:lang w:eastAsia="en-GB"/>
          <w14:ligatures w14:val="none"/>
        </w:rPr>
        <w:t>Investigación y Educación en Enfermería</w:t>
      </w:r>
      <w:r w:rsidRPr="00F52BFD">
        <w:rPr>
          <w:rFonts w:ascii="Times New Roman" w:eastAsia="Times New Roman" w:hAnsi="Times New Roman" w:cs="Times New Roman"/>
          <w:kern w:val="0"/>
          <w:lang w:eastAsia="en-GB"/>
          <w14:ligatures w14:val="none"/>
        </w:rPr>
        <w:t xml:space="preserve">, 42(3), e02. </w:t>
      </w:r>
      <w:r w:rsidRPr="00F52BFD">
        <w:rPr>
          <w:rFonts w:ascii="Times New Roman" w:eastAsia="Times New Roman" w:hAnsi="Times New Roman" w:cs="Times New Roman"/>
          <w:kern w:val="0"/>
          <w:lang w:eastAsia="en-GB"/>
          <w14:ligatures w14:val="none"/>
        </w:rPr>
        <w:br/>
        <w:t>Available at: https://pmc.ncbi.nlm.nih.gov/articles/PMC11625485/ (Accessed: 20</w:t>
      </w:r>
      <w:r w:rsidR="00B3043C" w:rsidRPr="00F52BFD">
        <w:rPr>
          <w:rFonts w:ascii="Times New Roman" w:eastAsia="Times New Roman" w:hAnsi="Times New Roman" w:cs="Times New Roman"/>
          <w:kern w:val="0"/>
          <w:lang w:eastAsia="en-GB"/>
          <w14:ligatures w14:val="none"/>
        </w:rPr>
        <w:t>/04/</w:t>
      </w:r>
      <w:r w:rsidRPr="00F52BFD">
        <w:rPr>
          <w:rFonts w:ascii="Times New Roman" w:eastAsia="Times New Roman" w:hAnsi="Times New Roman" w:cs="Times New Roman"/>
          <w:kern w:val="0"/>
          <w:lang w:eastAsia="en-GB"/>
          <w14:ligatures w14:val="none"/>
        </w:rPr>
        <w:t>26).</w:t>
      </w:r>
    </w:p>
    <w:p w14:paraId="02F07A94" w14:textId="50BED5C4" w:rsidR="00BC63E8" w:rsidRPr="00F52BFD" w:rsidRDefault="00BC63E8" w:rsidP="00F52BFD">
      <w:pPr>
        <w:spacing w:line="360" w:lineRule="auto"/>
        <w:ind w:left="360"/>
        <w:rPr>
          <w:rFonts w:ascii="Times New Roman" w:hAnsi="Times New Roman" w:cs="Times New Roman"/>
        </w:rPr>
      </w:pPr>
      <w:r w:rsidRPr="00F52BFD">
        <w:rPr>
          <w:rFonts w:ascii="Times New Roman" w:hAnsi="Times New Roman" w:cs="Times New Roman"/>
        </w:rPr>
        <w:t xml:space="preserve">Mason, J. (2002) </w:t>
      </w:r>
      <w:r w:rsidRPr="00F52BFD">
        <w:rPr>
          <w:rFonts w:ascii="Times New Roman" w:hAnsi="Times New Roman" w:cs="Times New Roman"/>
          <w:i/>
          <w:iCs/>
        </w:rPr>
        <w:t>Qualitative researching</w:t>
      </w:r>
      <w:r w:rsidRPr="00F52BFD">
        <w:rPr>
          <w:rFonts w:ascii="Times New Roman" w:hAnsi="Times New Roman" w:cs="Times New Roman"/>
        </w:rPr>
        <w:t xml:space="preserve">. 2nd edn. London: </w:t>
      </w:r>
      <w:r w:rsidR="00463B81" w:rsidRPr="00F52BFD">
        <w:rPr>
          <w:rFonts w:ascii="Times New Roman" w:hAnsi="Times New Roman" w:cs="Times New Roman"/>
        </w:rPr>
        <w:t>Sage Publications</w:t>
      </w:r>
      <w:r w:rsidRPr="00F52BFD">
        <w:rPr>
          <w:rFonts w:ascii="Times New Roman" w:hAnsi="Times New Roman" w:cs="Times New Roman"/>
        </w:rPr>
        <w:t xml:space="preserve">. </w:t>
      </w:r>
    </w:p>
    <w:p w14:paraId="219870AF" w14:textId="0DB1F0E8" w:rsidR="00294FA4" w:rsidRPr="00F52BFD" w:rsidRDefault="00294FA4" w:rsidP="00F52BFD">
      <w:pPr>
        <w:spacing w:after="0" w:line="360" w:lineRule="auto"/>
        <w:ind w:left="360"/>
        <w:rPr>
          <w:rFonts w:ascii="Times New Roman" w:eastAsia="Times New Roman" w:hAnsi="Times New Roman" w:cs="Times New Roman"/>
          <w:kern w:val="0"/>
          <w:lang w:eastAsia="en-GB"/>
          <w14:ligatures w14:val="none"/>
        </w:rPr>
      </w:pPr>
      <w:r w:rsidRPr="00F52BFD">
        <w:rPr>
          <w:rFonts w:ascii="Times New Roman" w:eastAsia="Times New Roman" w:hAnsi="Times New Roman" w:cs="Times New Roman"/>
          <w:kern w:val="0"/>
          <w:lang w:eastAsia="en-GB"/>
          <w14:ligatures w14:val="none"/>
        </w:rPr>
        <w:t xml:space="preserve">Ning, X., Liu, Y., Miao, J.L. and Li, W.L. (2024) ‘Enhancing the potentials of the focus group discussion: engaging frequently neglected but essential situational factors for analysing data’, </w:t>
      </w:r>
      <w:r w:rsidRPr="00F52BFD">
        <w:rPr>
          <w:rFonts w:ascii="Times New Roman" w:eastAsia="Times New Roman" w:hAnsi="Times New Roman" w:cs="Times New Roman"/>
          <w:i/>
          <w:iCs/>
          <w:kern w:val="0"/>
          <w:lang w:eastAsia="en-GB"/>
          <w14:ligatures w14:val="none"/>
        </w:rPr>
        <w:t>International Journal of Qualitative Methods</w:t>
      </w:r>
      <w:r w:rsidRPr="00F52BFD">
        <w:rPr>
          <w:rFonts w:ascii="Times New Roman" w:eastAsia="Times New Roman" w:hAnsi="Times New Roman" w:cs="Times New Roman"/>
          <w:kern w:val="0"/>
          <w:lang w:eastAsia="en-GB"/>
          <w14:ligatures w14:val="none"/>
        </w:rPr>
        <w:t>, 23, pp. 1–11.</w:t>
      </w:r>
      <w:r w:rsidRPr="00F52BFD">
        <w:rPr>
          <w:rFonts w:ascii="Times New Roman" w:eastAsia="Times New Roman" w:hAnsi="Times New Roman" w:cs="Times New Roman"/>
          <w:kern w:val="0"/>
          <w:lang w:eastAsia="en-GB"/>
          <w14:ligatures w14:val="none"/>
        </w:rPr>
        <w:br/>
        <w:t>Available at: https://journals.sagepub.com/doi/10.1177/16094069241306332 (Accessed: 20</w:t>
      </w:r>
      <w:r w:rsidR="004B3136" w:rsidRPr="00F52BFD">
        <w:rPr>
          <w:rFonts w:ascii="Times New Roman" w:eastAsia="Times New Roman" w:hAnsi="Times New Roman" w:cs="Times New Roman"/>
          <w:kern w:val="0"/>
          <w:lang w:eastAsia="en-GB"/>
          <w14:ligatures w14:val="none"/>
        </w:rPr>
        <w:t>/04/</w:t>
      </w:r>
      <w:r w:rsidRPr="00F52BFD">
        <w:rPr>
          <w:rFonts w:ascii="Times New Roman" w:eastAsia="Times New Roman" w:hAnsi="Times New Roman" w:cs="Times New Roman"/>
          <w:kern w:val="0"/>
          <w:lang w:eastAsia="en-GB"/>
          <w14:ligatures w14:val="none"/>
        </w:rPr>
        <w:t>26).</w:t>
      </w:r>
    </w:p>
    <w:p w14:paraId="14662D34" w14:textId="355F3601" w:rsidR="006D47A7" w:rsidRPr="00F52BFD" w:rsidRDefault="006D47A7" w:rsidP="00F52BFD">
      <w:pPr>
        <w:spacing w:line="360" w:lineRule="auto"/>
        <w:ind w:left="360"/>
        <w:rPr>
          <w:rFonts w:ascii="Times New Roman" w:hAnsi="Times New Roman" w:cs="Times New Roman"/>
        </w:rPr>
      </w:pPr>
      <w:r w:rsidRPr="00F52BFD">
        <w:rPr>
          <w:rFonts w:ascii="Times New Roman" w:hAnsi="Times New Roman" w:cs="Times New Roman"/>
        </w:rPr>
        <w:t>Patton, M. Q. (2015). </w:t>
      </w:r>
      <w:r w:rsidRPr="00F52BFD">
        <w:rPr>
          <w:rFonts w:ascii="Times New Roman" w:hAnsi="Times New Roman" w:cs="Times New Roman"/>
          <w:i/>
          <w:iCs/>
        </w:rPr>
        <w:t>Qualitative research and evaluation methods</w:t>
      </w:r>
      <w:r w:rsidRPr="00F52BFD">
        <w:rPr>
          <w:rFonts w:ascii="Times New Roman" w:hAnsi="Times New Roman" w:cs="Times New Roman"/>
        </w:rPr>
        <w:t xml:space="preserve"> (4th edition.). </w:t>
      </w:r>
      <w:r w:rsidR="00463B81" w:rsidRPr="00F52BFD">
        <w:rPr>
          <w:rFonts w:ascii="Times New Roman" w:hAnsi="Times New Roman" w:cs="Times New Roman"/>
        </w:rPr>
        <w:t>Sage Publications</w:t>
      </w:r>
      <w:r w:rsidRPr="00F52BFD">
        <w:rPr>
          <w:rFonts w:ascii="Times New Roman" w:hAnsi="Times New Roman" w:cs="Times New Roman"/>
        </w:rPr>
        <w:t>. Available at</w:t>
      </w:r>
      <w:r w:rsidR="004B3136" w:rsidRPr="00F52BFD">
        <w:rPr>
          <w:rFonts w:ascii="Times New Roman" w:hAnsi="Times New Roman" w:cs="Times New Roman"/>
        </w:rPr>
        <w:t>:</w:t>
      </w:r>
      <w:r w:rsidRPr="00F52BFD">
        <w:rPr>
          <w:rFonts w:ascii="Times New Roman" w:hAnsi="Times New Roman" w:cs="Times New Roman"/>
        </w:rPr>
        <w:t xml:space="preserve"> </w:t>
      </w:r>
      <w:hyperlink r:id="rId14" w:history="1">
        <w:r w:rsidRPr="00F52BFD">
          <w:rPr>
            <w:rStyle w:val="Hyperlink"/>
            <w:rFonts w:ascii="Times New Roman" w:hAnsi="Times New Roman" w:cs="Times New Roman"/>
          </w:rPr>
          <w:t>Full details and actions for Qualitative research &amp; evaluation methods: integrating theory and practice</w:t>
        </w:r>
      </w:hyperlink>
      <w:r w:rsidRPr="00F52BFD">
        <w:rPr>
          <w:rFonts w:ascii="Times New Roman" w:hAnsi="Times New Roman" w:cs="Times New Roman"/>
        </w:rPr>
        <w:t xml:space="preserve"> </w:t>
      </w:r>
      <w:r w:rsidR="00046F8B" w:rsidRPr="00F52BFD">
        <w:rPr>
          <w:rFonts w:ascii="Times New Roman" w:hAnsi="Times New Roman" w:cs="Times New Roman"/>
        </w:rPr>
        <w:t>(</w:t>
      </w:r>
      <w:r w:rsidR="004B3136" w:rsidRPr="00F52BFD">
        <w:rPr>
          <w:rFonts w:ascii="Times New Roman" w:hAnsi="Times New Roman" w:cs="Times New Roman"/>
        </w:rPr>
        <w:t>A</w:t>
      </w:r>
      <w:r w:rsidRPr="00F52BFD">
        <w:rPr>
          <w:rFonts w:ascii="Times New Roman" w:hAnsi="Times New Roman" w:cs="Times New Roman"/>
        </w:rPr>
        <w:t>ccessed 14/04/26</w:t>
      </w:r>
      <w:r w:rsidR="00046F8B" w:rsidRPr="00F52BFD">
        <w:rPr>
          <w:rFonts w:ascii="Times New Roman" w:hAnsi="Times New Roman" w:cs="Times New Roman"/>
        </w:rPr>
        <w:t>).</w:t>
      </w:r>
      <w:r w:rsidRPr="00F52BFD">
        <w:rPr>
          <w:rFonts w:ascii="Times New Roman" w:hAnsi="Times New Roman" w:cs="Times New Roman"/>
        </w:rPr>
        <w:t xml:space="preserve"> </w:t>
      </w:r>
    </w:p>
    <w:p w14:paraId="25373367" w14:textId="5F028E11" w:rsidR="00287393" w:rsidRPr="00F52BFD" w:rsidRDefault="00A61802" w:rsidP="00F52BFD">
      <w:pPr>
        <w:spacing w:line="360" w:lineRule="auto"/>
        <w:ind w:left="360"/>
        <w:rPr>
          <w:rFonts w:ascii="Times New Roman" w:hAnsi="Times New Roman" w:cs="Times New Roman"/>
        </w:rPr>
      </w:pPr>
      <w:r w:rsidRPr="00F52BFD">
        <w:rPr>
          <w:rFonts w:ascii="Times New Roman" w:hAnsi="Times New Roman" w:cs="Times New Roman"/>
        </w:rPr>
        <w:lastRenderedPageBreak/>
        <w:t xml:space="preserve">Palaiologou, I., Needham, D. and Male, T. (2016) </w:t>
      </w:r>
      <w:r w:rsidRPr="00F52BFD">
        <w:rPr>
          <w:rFonts w:ascii="Times New Roman" w:hAnsi="Times New Roman" w:cs="Times New Roman"/>
          <w:i/>
          <w:iCs/>
        </w:rPr>
        <w:t>Doing research in education: theory and practice</w:t>
      </w:r>
      <w:r w:rsidRPr="00F52BFD">
        <w:rPr>
          <w:rFonts w:ascii="Times New Roman" w:hAnsi="Times New Roman" w:cs="Times New Roman"/>
        </w:rPr>
        <w:t>. 1st edn. London: Sage Publications</w:t>
      </w:r>
      <w:r w:rsidR="00287393" w:rsidRPr="00F52BFD">
        <w:rPr>
          <w:rFonts w:ascii="Times New Roman" w:hAnsi="Times New Roman" w:cs="Times New Roman"/>
        </w:rPr>
        <w:t>. Available at</w:t>
      </w:r>
      <w:r w:rsidR="004B3136" w:rsidRPr="00F52BFD">
        <w:rPr>
          <w:rFonts w:ascii="Times New Roman" w:hAnsi="Times New Roman" w:cs="Times New Roman"/>
        </w:rPr>
        <w:t>:</w:t>
      </w:r>
      <w:r w:rsidR="00287393" w:rsidRPr="00F52BFD">
        <w:rPr>
          <w:rFonts w:ascii="Times New Roman" w:hAnsi="Times New Roman" w:cs="Times New Roman"/>
        </w:rPr>
        <w:t xml:space="preserve"> </w:t>
      </w:r>
      <w:hyperlink r:id="rId15" w:history="1">
        <w:r w:rsidR="00287393" w:rsidRPr="00F52BFD">
          <w:rPr>
            <w:rStyle w:val="Hyperlink"/>
            <w:rFonts w:ascii="Times New Roman" w:hAnsi="Times New Roman" w:cs="Times New Roman"/>
          </w:rPr>
          <w:t>VitalSource Bookshelf: Doing Research in Education</w:t>
        </w:r>
      </w:hyperlink>
      <w:r w:rsidR="00287393" w:rsidRPr="00F52BFD">
        <w:rPr>
          <w:rFonts w:ascii="Times New Roman" w:hAnsi="Times New Roman" w:cs="Times New Roman"/>
        </w:rPr>
        <w:t xml:space="preserve"> </w:t>
      </w:r>
      <w:r w:rsidR="00046F8B" w:rsidRPr="00F52BFD">
        <w:rPr>
          <w:rFonts w:ascii="Times New Roman" w:hAnsi="Times New Roman" w:cs="Times New Roman"/>
        </w:rPr>
        <w:t>(</w:t>
      </w:r>
      <w:r w:rsidR="004B3136" w:rsidRPr="00F52BFD">
        <w:rPr>
          <w:rFonts w:ascii="Times New Roman" w:hAnsi="Times New Roman" w:cs="Times New Roman"/>
        </w:rPr>
        <w:t>A</w:t>
      </w:r>
      <w:r w:rsidR="00287393" w:rsidRPr="00F52BFD">
        <w:rPr>
          <w:rFonts w:ascii="Times New Roman" w:hAnsi="Times New Roman" w:cs="Times New Roman"/>
        </w:rPr>
        <w:t>ccessed 16/04/26</w:t>
      </w:r>
      <w:r w:rsidR="00046F8B" w:rsidRPr="00F52BFD">
        <w:rPr>
          <w:rFonts w:ascii="Times New Roman" w:hAnsi="Times New Roman" w:cs="Times New Roman"/>
        </w:rPr>
        <w:t>).</w:t>
      </w:r>
    </w:p>
    <w:p w14:paraId="1ABF1028" w14:textId="5BAFAF50" w:rsidR="008D2DDA" w:rsidRPr="00F52BFD" w:rsidRDefault="008D2DDA" w:rsidP="00F52BFD">
      <w:pPr>
        <w:spacing w:line="360" w:lineRule="auto"/>
        <w:ind w:left="360"/>
        <w:rPr>
          <w:rFonts w:ascii="Times New Roman" w:hAnsi="Times New Roman" w:cs="Times New Roman"/>
        </w:rPr>
      </w:pPr>
      <w:r w:rsidRPr="00F52BFD">
        <w:rPr>
          <w:rFonts w:ascii="Times New Roman" w:hAnsi="Times New Roman" w:cs="Times New Roman"/>
        </w:rPr>
        <w:t xml:space="preserve">Rahman, M.S. (2017) </w:t>
      </w:r>
      <w:r w:rsidRPr="00F52BFD">
        <w:rPr>
          <w:rFonts w:ascii="Times New Roman" w:hAnsi="Times New Roman" w:cs="Times New Roman"/>
          <w:i/>
          <w:iCs/>
        </w:rPr>
        <w:t>The advantages and disadvantages of using qualitative and quantitative approaches and methods in language testing and assessment research</w:t>
      </w:r>
      <w:r w:rsidRPr="00F52BFD">
        <w:rPr>
          <w:rFonts w:ascii="Times New Roman" w:hAnsi="Times New Roman" w:cs="Times New Roman"/>
        </w:rPr>
        <w:t>. Journal of Education and Learning, 6(1), pp. 102–112.</w:t>
      </w:r>
      <w:r w:rsidR="00B3043C" w:rsidRPr="00F52BFD">
        <w:rPr>
          <w:rFonts w:ascii="Times New Roman" w:hAnsi="Times New Roman" w:cs="Times New Roman"/>
        </w:rPr>
        <w:t xml:space="preserve"> </w:t>
      </w:r>
    </w:p>
    <w:p w14:paraId="624C2BCE" w14:textId="15396D21" w:rsidR="00C5363F" w:rsidRPr="00F52BFD" w:rsidRDefault="00C5363F" w:rsidP="00F52BFD">
      <w:pPr>
        <w:spacing w:line="360" w:lineRule="auto"/>
        <w:ind w:left="360"/>
        <w:rPr>
          <w:rFonts w:ascii="Times New Roman" w:hAnsi="Times New Roman" w:cs="Times New Roman"/>
        </w:rPr>
      </w:pPr>
      <w:r w:rsidRPr="00F52BFD">
        <w:rPr>
          <w:rFonts w:ascii="Times New Roman" w:hAnsi="Times New Roman" w:cs="Times New Roman"/>
        </w:rPr>
        <w:t>Renshaw, T. L. Long, A. C. J. and Cook, C. R. (2015)</w:t>
      </w:r>
      <w:r w:rsidRPr="00F52BFD">
        <w:rPr>
          <w:rFonts w:ascii="Times New Roman" w:hAnsi="Times New Roman" w:cs="Times New Roman"/>
        </w:rPr>
        <w:br/>
      </w:r>
      <w:r w:rsidRPr="00F52BFD">
        <w:rPr>
          <w:rFonts w:ascii="Times New Roman" w:hAnsi="Times New Roman" w:cs="Times New Roman"/>
          <w:i/>
          <w:iCs/>
        </w:rPr>
        <w:t>Assessing adolescents’ positive psychological functioning at school: Development and validation of the Student Subjective Wellbeing Questionnaire.</w:t>
      </w:r>
      <w:r w:rsidRPr="00F52BFD">
        <w:rPr>
          <w:rFonts w:ascii="Times New Roman" w:hAnsi="Times New Roman" w:cs="Times New Roman"/>
        </w:rPr>
        <w:br/>
        <w:t>School Psychology Quarterly, 30(4), pp. 534–552.</w:t>
      </w:r>
      <w:r w:rsidR="004B3136" w:rsidRPr="00F52BFD">
        <w:rPr>
          <w:rFonts w:ascii="Times New Roman" w:hAnsi="Times New Roman" w:cs="Times New Roman"/>
        </w:rPr>
        <w:t xml:space="preserve"> Available at:</w:t>
      </w:r>
      <w:r w:rsidRPr="00F52BFD">
        <w:rPr>
          <w:rFonts w:ascii="Times New Roman" w:hAnsi="Times New Roman" w:cs="Times New Roman"/>
        </w:rPr>
        <w:br/>
      </w:r>
      <w:hyperlink r:id="rId16" w:history="1">
        <w:r w:rsidRPr="00F52BFD">
          <w:rPr>
            <w:rStyle w:val="Hyperlink"/>
            <w:rFonts w:ascii="Times New Roman" w:hAnsi="Times New Roman" w:cs="Times New Roman"/>
          </w:rPr>
          <w:t>https://doi.org/10.1037/spq0000088</w:t>
        </w:r>
      </w:hyperlink>
      <w:r w:rsidRPr="00F52BFD">
        <w:rPr>
          <w:rFonts w:ascii="Times New Roman" w:hAnsi="Times New Roman" w:cs="Times New Roman"/>
        </w:rPr>
        <w:t xml:space="preserve"> </w:t>
      </w:r>
      <w:r w:rsidR="00046F8B" w:rsidRPr="00F52BFD">
        <w:rPr>
          <w:rFonts w:ascii="Times New Roman" w:hAnsi="Times New Roman" w:cs="Times New Roman"/>
        </w:rPr>
        <w:t xml:space="preserve">(Accessed 01/04/26). </w:t>
      </w:r>
    </w:p>
    <w:p w14:paraId="278B5C49" w14:textId="236DBD85" w:rsidR="008C4EE0" w:rsidRPr="00F52BFD" w:rsidRDefault="008C4EE0" w:rsidP="00F52BFD">
      <w:pPr>
        <w:spacing w:line="360" w:lineRule="auto"/>
        <w:ind w:left="360"/>
        <w:rPr>
          <w:rFonts w:ascii="Times New Roman" w:hAnsi="Times New Roman" w:cs="Times New Roman"/>
        </w:rPr>
      </w:pPr>
      <w:r w:rsidRPr="00F52BFD">
        <w:rPr>
          <w:rFonts w:ascii="Times New Roman" w:hAnsi="Times New Roman" w:cs="Times New Roman"/>
        </w:rPr>
        <w:t>Salda</w:t>
      </w:r>
      <w:r w:rsidR="00046F8B" w:rsidRPr="00F52BFD">
        <w:rPr>
          <w:rFonts w:ascii="Times New Roman" w:hAnsi="Times New Roman" w:cs="Times New Roman"/>
        </w:rPr>
        <w:t>n</w:t>
      </w:r>
      <w:r w:rsidRPr="00F52BFD">
        <w:rPr>
          <w:rFonts w:ascii="Times New Roman" w:hAnsi="Times New Roman" w:cs="Times New Roman"/>
        </w:rPr>
        <w:t xml:space="preserve">a, J. (2016) </w:t>
      </w:r>
      <w:r w:rsidRPr="00F52BFD">
        <w:rPr>
          <w:rFonts w:ascii="Times New Roman" w:hAnsi="Times New Roman" w:cs="Times New Roman"/>
          <w:i/>
          <w:iCs/>
        </w:rPr>
        <w:t>The coding manual for qualitative researchers</w:t>
      </w:r>
      <w:r w:rsidRPr="00F52BFD">
        <w:rPr>
          <w:rFonts w:ascii="Times New Roman" w:hAnsi="Times New Roman" w:cs="Times New Roman"/>
        </w:rPr>
        <w:t xml:space="preserve">. 3rd edn. London: </w:t>
      </w:r>
      <w:r w:rsidR="005F278A" w:rsidRPr="00F52BFD">
        <w:rPr>
          <w:rFonts w:ascii="Times New Roman" w:hAnsi="Times New Roman" w:cs="Times New Roman"/>
        </w:rPr>
        <w:t>Sage Publications</w:t>
      </w:r>
      <w:r w:rsidR="00046F8B" w:rsidRPr="00F52BFD">
        <w:rPr>
          <w:rFonts w:ascii="Times New Roman" w:hAnsi="Times New Roman" w:cs="Times New Roman"/>
        </w:rPr>
        <w:t xml:space="preserve">. </w:t>
      </w:r>
    </w:p>
    <w:p w14:paraId="2EDB7CC3" w14:textId="3FA3F59F" w:rsidR="008D2DDA" w:rsidRPr="00F52BFD" w:rsidRDefault="008D2DDA" w:rsidP="00F52BFD">
      <w:pPr>
        <w:spacing w:line="360" w:lineRule="auto"/>
        <w:ind w:left="360"/>
        <w:rPr>
          <w:rFonts w:ascii="Times New Roman" w:hAnsi="Times New Roman" w:cs="Times New Roman"/>
        </w:rPr>
      </w:pPr>
      <w:r w:rsidRPr="00F52BFD">
        <w:rPr>
          <w:rFonts w:ascii="Times New Roman" w:hAnsi="Times New Roman" w:cs="Times New Roman"/>
        </w:rPr>
        <w:t xml:space="preserve">Oranga, J. and Matere, A. (2025) </w:t>
      </w:r>
      <w:r w:rsidRPr="00F52BFD">
        <w:rPr>
          <w:rFonts w:ascii="Times New Roman" w:hAnsi="Times New Roman" w:cs="Times New Roman"/>
          <w:i/>
          <w:iCs/>
        </w:rPr>
        <w:t>Quantitative research: Types, advantages, generalizability and limitations</w:t>
      </w:r>
      <w:r w:rsidRPr="00F52BFD">
        <w:rPr>
          <w:rFonts w:ascii="Times New Roman" w:hAnsi="Times New Roman" w:cs="Times New Roman"/>
        </w:rPr>
        <w:t>. Open Access Library Journal, 12, e13694.</w:t>
      </w:r>
    </w:p>
    <w:p w14:paraId="6C840304" w14:textId="0F741161" w:rsidR="00E87D60" w:rsidRPr="00F52BFD" w:rsidRDefault="00E87D60" w:rsidP="00F52BFD">
      <w:pPr>
        <w:spacing w:line="360" w:lineRule="auto"/>
        <w:ind w:left="360"/>
        <w:rPr>
          <w:rFonts w:ascii="Times New Roman" w:hAnsi="Times New Roman" w:cs="Times New Roman"/>
          <w:u w:val="single"/>
        </w:rPr>
      </w:pPr>
      <w:r w:rsidRPr="00F52BFD">
        <w:rPr>
          <w:rFonts w:ascii="Times New Roman" w:hAnsi="Times New Roman" w:cs="Times New Roman"/>
          <w:u w:val="single"/>
        </w:rPr>
        <w:t xml:space="preserve">University of Wales Trinity Saint David (2023) </w:t>
      </w:r>
      <w:r w:rsidRPr="00F52BFD">
        <w:rPr>
          <w:rFonts w:ascii="Times New Roman" w:hAnsi="Times New Roman" w:cs="Times New Roman"/>
          <w:i/>
          <w:iCs/>
          <w:u w:val="single"/>
        </w:rPr>
        <w:t>Research ethics policy and procedures</w:t>
      </w:r>
      <w:r w:rsidRPr="00F52BFD">
        <w:rPr>
          <w:rFonts w:ascii="Times New Roman" w:hAnsi="Times New Roman" w:cs="Times New Roman"/>
          <w:u w:val="single"/>
        </w:rPr>
        <w:t xml:space="preserve">. Available at: </w:t>
      </w:r>
      <w:hyperlink r:id="rId17" w:tgtFrame="_new" w:history="1">
        <w:r w:rsidRPr="00F52BFD">
          <w:rPr>
            <w:rStyle w:val="Hyperlink"/>
            <w:rFonts w:ascii="Times New Roman" w:hAnsi="Times New Roman" w:cs="Times New Roman"/>
          </w:rPr>
          <w:t>https://www.uwtsd.ac.uk</w:t>
        </w:r>
      </w:hyperlink>
      <w:r w:rsidR="00046F8B" w:rsidRPr="00F52BFD">
        <w:rPr>
          <w:rFonts w:ascii="Times New Roman" w:hAnsi="Times New Roman" w:cs="Times New Roman"/>
        </w:rPr>
        <w:t xml:space="preserve"> (Accessed 02/04/26). </w:t>
      </w:r>
    </w:p>
    <w:p w14:paraId="3F634876" w14:textId="735E4EFA" w:rsidR="005963EA" w:rsidRPr="00F52BFD" w:rsidRDefault="005963EA" w:rsidP="00F52BFD">
      <w:pPr>
        <w:spacing w:after="0" w:line="360" w:lineRule="auto"/>
        <w:ind w:left="360"/>
        <w:rPr>
          <w:rFonts w:ascii="Times New Roman" w:eastAsia="Times New Roman" w:hAnsi="Times New Roman" w:cs="Times New Roman"/>
          <w:kern w:val="0"/>
          <w:lang w:eastAsia="en-GB"/>
          <w14:ligatures w14:val="none"/>
        </w:rPr>
      </w:pPr>
      <w:r w:rsidRPr="00F52BFD">
        <w:rPr>
          <w:rFonts w:ascii="Times New Roman" w:eastAsia="Times New Roman" w:hAnsi="Times New Roman" w:cs="Times New Roman"/>
          <w:kern w:val="0"/>
          <w:lang w:eastAsia="en-GB"/>
          <w14:ligatures w14:val="none"/>
        </w:rPr>
        <w:t>Wilkinson, S. (1998) ‘Focus groups in feminist research: Power, interaction, and the co</w:t>
      </w:r>
      <w:r w:rsidRPr="00F52BFD">
        <w:rPr>
          <w:rFonts w:ascii="Times New Roman" w:eastAsia="Times New Roman" w:hAnsi="Times New Roman" w:cs="Times New Roman"/>
          <w:kern w:val="0"/>
          <w:lang w:eastAsia="en-GB"/>
          <w14:ligatures w14:val="none"/>
        </w:rPr>
        <w:noBreakHyphen/>
        <w:t xml:space="preserve">construction of meaning’, </w:t>
      </w:r>
      <w:r w:rsidRPr="00F52BFD">
        <w:rPr>
          <w:rFonts w:ascii="Times New Roman" w:eastAsia="Times New Roman" w:hAnsi="Times New Roman" w:cs="Times New Roman"/>
          <w:i/>
          <w:iCs/>
          <w:kern w:val="0"/>
          <w:lang w:eastAsia="en-GB"/>
          <w14:ligatures w14:val="none"/>
        </w:rPr>
        <w:t>Women’s Studies International Forum</w:t>
      </w:r>
      <w:r w:rsidRPr="00F52BFD">
        <w:rPr>
          <w:rFonts w:ascii="Times New Roman" w:eastAsia="Times New Roman" w:hAnsi="Times New Roman" w:cs="Times New Roman"/>
          <w:kern w:val="0"/>
          <w:lang w:eastAsia="en-GB"/>
          <w14:ligatures w14:val="none"/>
        </w:rPr>
        <w:t xml:space="preserve">, 21(1),Available at: </w:t>
      </w:r>
      <w:hyperlink r:id="rId18" w:history="1">
        <w:r w:rsidRPr="00F52BFD">
          <w:rPr>
            <w:rStyle w:val="Hyperlink"/>
            <w:rFonts w:ascii="Times New Roman" w:eastAsia="Times New Roman" w:hAnsi="Times New Roman" w:cs="Times New Roman"/>
            <w:kern w:val="0"/>
            <w:lang w:eastAsia="en-GB"/>
            <w14:ligatures w14:val="none"/>
          </w:rPr>
          <w:t>Focus groups in feminist research: Power, interaction, and the co-construction of meaning - ScienceDirect</w:t>
        </w:r>
      </w:hyperlink>
      <w:r w:rsidRPr="00F52BFD">
        <w:rPr>
          <w:rFonts w:ascii="Times New Roman" w:eastAsia="Times New Roman" w:hAnsi="Times New Roman" w:cs="Times New Roman"/>
          <w:kern w:val="0"/>
          <w:lang w:eastAsia="en-GB"/>
          <w14:ligatures w14:val="none"/>
        </w:rPr>
        <w:t xml:space="preserve"> (Accessed 12/04/26).</w:t>
      </w:r>
    </w:p>
    <w:p w14:paraId="05E6FC4B" w14:textId="2B9D31C5" w:rsidR="00C5363F" w:rsidRPr="00F52BFD" w:rsidRDefault="00C5363F" w:rsidP="00F52BFD">
      <w:pPr>
        <w:spacing w:line="360" w:lineRule="auto"/>
        <w:ind w:left="360"/>
        <w:rPr>
          <w:rFonts w:ascii="Times New Roman" w:hAnsi="Times New Roman" w:cs="Times New Roman"/>
        </w:rPr>
      </w:pPr>
      <w:r w:rsidRPr="00F52BFD">
        <w:rPr>
          <w:rFonts w:ascii="Times New Roman" w:hAnsi="Times New Roman" w:cs="Times New Roman"/>
        </w:rPr>
        <w:t>Zadworna, M., Kossakowska, K. and Renshaw, T.L. (2023)</w:t>
      </w:r>
      <w:r w:rsidRPr="00F52BFD">
        <w:rPr>
          <w:rFonts w:ascii="Times New Roman" w:hAnsi="Times New Roman" w:cs="Times New Roman"/>
        </w:rPr>
        <w:br/>
      </w:r>
      <w:r w:rsidRPr="00F52BFD">
        <w:rPr>
          <w:rFonts w:ascii="Times New Roman" w:hAnsi="Times New Roman" w:cs="Times New Roman"/>
          <w:i/>
          <w:iCs/>
        </w:rPr>
        <w:t>Measuring subjective wellbeing in a school context: A Polish version of the Student Subjective Wellbeing Questionnaire.</w:t>
      </w:r>
      <w:r w:rsidRPr="00F52BFD">
        <w:rPr>
          <w:rFonts w:ascii="Times New Roman" w:hAnsi="Times New Roman" w:cs="Times New Roman"/>
        </w:rPr>
        <w:br/>
        <w:t>School Mental Health, 15(1), pp. 231–246.</w:t>
      </w:r>
      <w:r w:rsidR="004B3136" w:rsidRPr="00F52BFD">
        <w:rPr>
          <w:rFonts w:ascii="Times New Roman" w:hAnsi="Times New Roman" w:cs="Times New Roman"/>
        </w:rPr>
        <w:t xml:space="preserve"> Available at:</w:t>
      </w:r>
      <w:r w:rsidRPr="00F52BFD">
        <w:rPr>
          <w:rFonts w:ascii="Times New Roman" w:hAnsi="Times New Roman" w:cs="Times New Roman"/>
        </w:rPr>
        <w:br/>
      </w:r>
      <w:hyperlink r:id="rId19" w:history="1">
        <w:r w:rsidRPr="00F52BFD">
          <w:rPr>
            <w:rStyle w:val="Hyperlink"/>
            <w:rFonts w:ascii="Times New Roman" w:hAnsi="Times New Roman" w:cs="Times New Roman"/>
          </w:rPr>
          <w:t>https://doi.org/10.1007/s12310-022-09546-x</w:t>
        </w:r>
      </w:hyperlink>
      <w:r w:rsidRPr="00F52BFD">
        <w:rPr>
          <w:rFonts w:ascii="Times New Roman" w:hAnsi="Times New Roman" w:cs="Times New Roman"/>
        </w:rPr>
        <w:t xml:space="preserve"> </w:t>
      </w:r>
      <w:r w:rsidR="00046F8B" w:rsidRPr="00F52BFD">
        <w:rPr>
          <w:rFonts w:ascii="Times New Roman" w:hAnsi="Times New Roman" w:cs="Times New Roman"/>
        </w:rPr>
        <w:t>(</w:t>
      </w:r>
      <w:r w:rsidR="004B3136" w:rsidRPr="00F52BFD">
        <w:rPr>
          <w:rFonts w:ascii="Times New Roman" w:hAnsi="Times New Roman" w:cs="Times New Roman"/>
        </w:rPr>
        <w:t>A</w:t>
      </w:r>
      <w:r w:rsidR="00046F8B" w:rsidRPr="00F52BFD">
        <w:rPr>
          <w:rFonts w:ascii="Times New Roman" w:hAnsi="Times New Roman" w:cs="Times New Roman"/>
        </w:rPr>
        <w:t xml:space="preserve">ccessed 20/04/26). </w:t>
      </w:r>
    </w:p>
    <w:p w14:paraId="400E1589" w14:textId="77777777" w:rsidR="008D2DDA" w:rsidRPr="008D2DDA" w:rsidRDefault="008D2DDA" w:rsidP="00F52BFD">
      <w:pPr>
        <w:spacing w:line="360" w:lineRule="auto"/>
      </w:pPr>
    </w:p>
    <w:p w14:paraId="4437A147" w14:textId="77777777" w:rsidR="00F03FBB" w:rsidRPr="00335607" w:rsidRDefault="00F03FBB" w:rsidP="00F52BFD">
      <w:pPr>
        <w:spacing w:line="360" w:lineRule="auto"/>
        <w:rPr>
          <w:rFonts w:ascii="Times New Roman" w:hAnsi="Times New Roman" w:cs="Times New Roman"/>
          <w:vanish/>
        </w:rPr>
      </w:pPr>
      <w:r w:rsidRPr="00335607">
        <w:rPr>
          <w:rFonts w:ascii="Times New Roman" w:hAnsi="Times New Roman" w:cs="Times New Roman"/>
          <w:vanish/>
        </w:rPr>
        <w:t>Top of Form</w:t>
      </w:r>
    </w:p>
    <w:p w14:paraId="2532EF52" w14:textId="77777777" w:rsidR="00F03FBB" w:rsidRPr="00335607" w:rsidRDefault="00F03FBB" w:rsidP="00F52BFD">
      <w:pPr>
        <w:spacing w:line="360" w:lineRule="auto"/>
        <w:rPr>
          <w:rFonts w:ascii="Times New Roman" w:hAnsi="Times New Roman" w:cs="Times New Roman"/>
        </w:rPr>
      </w:pPr>
    </w:p>
    <w:p w14:paraId="2E13DE0E" w14:textId="77777777" w:rsidR="00F03FBB" w:rsidRPr="00335607" w:rsidRDefault="00F03FBB" w:rsidP="00F52BFD">
      <w:pPr>
        <w:spacing w:line="360" w:lineRule="auto"/>
        <w:rPr>
          <w:rFonts w:ascii="Times New Roman" w:hAnsi="Times New Roman" w:cs="Times New Roman"/>
          <w:vanish/>
        </w:rPr>
      </w:pPr>
      <w:r w:rsidRPr="00335607">
        <w:rPr>
          <w:rFonts w:ascii="Times New Roman" w:hAnsi="Times New Roman" w:cs="Times New Roman"/>
          <w:vanish/>
        </w:rPr>
        <w:t>Bottom of Form</w:t>
      </w:r>
    </w:p>
    <w:p w14:paraId="1F5D8E1C" w14:textId="77777777" w:rsidR="00F03FBB" w:rsidRPr="00335607" w:rsidRDefault="00F03FBB" w:rsidP="00F52BFD">
      <w:pPr>
        <w:spacing w:line="360" w:lineRule="auto"/>
        <w:rPr>
          <w:rFonts w:ascii="Times New Roman" w:hAnsi="Times New Roman" w:cs="Times New Roman"/>
        </w:rPr>
      </w:pPr>
    </w:p>
    <w:p w14:paraId="09EC93E0" w14:textId="77777777" w:rsidR="00F03FBB" w:rsidRPr="00335607" w:rsidRDefault="00F03FBB" w:rsidP="00F52BFD">
      <w:pPr>
        <w:spacing w:line="360" w:lineRule="auto"/>
        <w:rPr>
          <w:rFonts w:ascii="Times New Roman" w:hAnsi="Times New Roman" w:cs="Times New Roman"/>
        </w:rPr>
      </w:pPr>
    </w:p>
    <w:p w14:paraId="51564E70" w14:textId="77777777" w:rsidR="00F03FBB" w:rsidRPr="00335607" w:rsidRDefault="00F03FBB" w:rsidP="00F52BFD">
      <w:pPr>
        <w:spacing w:line="360" w:lineRule="auto"/>
        <w:rPr>
          <w:rFonts w:ascii="Times New Roman" w:hAnsi="Times New Roman" w:cs="Times New Roman"/>
        </w:rPr>
      </w:pPr>
    </w:p>
    <w:sectPr w:rsidR="00F03FBB" w:rsidRPr="0033560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66FEC" w14:textId="77777777" w:rsidR="008D2DDA" w:rsidRDefault="008D2DDA" w:rsidP="008D2DDA">
      <w:pPr>
        <w:spacing w:after="0" w:line="240" w:lineRule="auto"/>
      </w:pPr>
      <w:r>
        <w:separator/>
      </w:r>
    </w:p>
  </w:endnote>
  <w:endnote w:type="continuationSeparator" w:id="0">
    <w:p w14:paraId="61878B95" w14:textId="77777777" w:rsidR="008D2DDA" w:rsidRDefault="008D2DDA" w:rsidP="008D2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811698"/>
      <w:docPartObj>
        <w:docPartGallery w:val="Page Numbers (Bottom of Page)"/>
        <w:docPartUnique/>
      </w:docPartObj>
    </w:sdtPr>
    <w:sdtEndPr>
      <w:rPr>
        <w:noProof/>
      </w:rPr>
    </w:sdtEndPr>
    <w:sdtContent>
      <w:p w14:paraId="259E4EBE" w14:textId="2FC51FB7" w:rsidR="008D2DDA" w:rsidRDefault="008D2DDA">
        <w:pPr>
          <w:pStyle w:val="Footer"/>
          <w:jc w:val="right"/>
        </w:pPr>
        <w:r>
          <w:fldChar w:fldCharType="begin"/>
        </w:r>
        <w:r>
          <w:instrText xml:space="preserve"> PAGE   \* MERGEFORMAT </w:instrText>
        </w:r>
        <w:r>
          <w:fldChar w:fldCharType="separate"/>
        </w:r>
        <w:r w:rsidR="000F5D4B">
          <w:rPr>
            <w:noProof/>
          </w:rPr>
          <w:t>10</w:t>
        </w:r>
        <w:r>
          <w:rPr>
            <w:noProof/>
          </w:rPr>
          <w:fldChar w:fldCharType="end"/>
        </w:r>
      </w:p>
    </w:sdtContent>
  </w:sdt>
  <w:p w14:paraId="6F9EC039" w14:textId="77777777" w:rsidR="008D2DDA" w:rsidRDefault="008D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30F78" w14:textId="77777777" w:rsidR="008D2DDA" w:rsidRDefault="008D2DDA" w:rsidP="008D2DDA">
      <w:pPr>
        <w:spacing w:after="0" w:line="240" w:lineRule="auto"/>
      </w:pPr>
      <w:r>
        <w:separator/>
      </w:r>
    </w:p>
  </w:footnote>
  <w:footnote w:type="continuationSeparator" w:id="0">
    <w:p w14:paraId="6B6A2C28" w14:textId="77777777" w:rsidR="008D2DDA" w:rsidRDefault="008D2DDA" w:rsidP="008D2D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CE3"/>
    <w:multiLevelType w:val="multilevel"/>
    <w:tmpl w:val="0C18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A1CBF"/>
    <w:multiLevelType w:val="hybridMultilevel"/>
    <w:tmpl w:val="C6846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79670F"/>
    <w:multiLevelType w:val="hybridMultilevel"/>
    <w:tmpl w:val="DF101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BB"/>
    <w:rsid w:val="00004568"/>
    <w:rsid w:val="00042AC4"/>
    <w:rsid w:val="00046F8B"/>
    <w:rsid w:val="00062A2B"/>
    <w:rsid w:val="000F5D4B"/>
    <w:rsid w:val="001425A5"/>
    <w:rsid w:val="001C1EF4"/>
    <w:rsid w:val="001C45D3"/>
    <w:rsid w:val="00217833"/>
    <w:rsid w:val="00245959"/>
    <w:rsid w:val="00287393"/>
    <w:rsid w:val="00294FA4"/>
    <w:rsid w:val="00335607"/>
    <w:rsid w:val="003529BB"/>
    <w:rsid w:val="003751E6"/>
    <w:rsid w:val="003E1DF3"/>
    <w:rsid w:val="00414827"/>
    <w:rsid w:val="00463B81"/>
    <w:rsid w:val="004A362A"/>
    <w:rsid w:val="004B3136"/>
    <w:rsid w:val="004F2AFB"/>
    <w:rsid w:val="00577752"/>
    <w:rsid w:val="005820EE"/>
    <w:rsid w:val="0059218D"/>
    <w:rsid w:val="005963EA"/>
    <w:rsid w:val="005A23E3"/>
    <w:rsid w:val="005F1FBD"/>
    <w:rsid w:val="005F278A"/>
    <w:rsid w:val="006047D5"/>
    <w:rsid w:val="00674DBC"/>
    <w:rsid w:val="00680C28"/>
    <w:rsid w:val="006D0BA0"/>
    <w:rsid w:val="006D47A7"/>
    <w:rsid w:val="007715C2"/>
    <w:rsid w:val="008B315B"/>
    <w:rsid w:val="008C4EE0"/>
    <w:rsid w:val="008D2DDA"/>
    <w:rsid w:val="00976FAC"/>
    <w:rsid w:val="009D78D4"/>
    <w:rsid w:val="00A05346"/>
    <w:rsid w:val="00A120C9"/>
    <w:rsid w:val="00A140F3"/>
    <w:rsid w:val="00A53FBB"/>
    <w:rsid w:val="00A61802"/>
    <w:rsid w:val="00B3043C"/>
    <w:rsid w:val="00B540B7"/>
    <w:rsid w:val="00BA1661"/>
    <w:rsid w:val="00BA2BEA"/>
    <w:rsid w:val="00BC63E8"/>
    <w:rsid w:val="00BF2C39"/>
    <w:rsid w:val="00BF4714"/>
    <w:rsid w:val="00BF6CED"/>
    <w:rsid w:val="00C04559"/>
    <w:rsid w:val="00C5363F"/>
    <w:rsid w:val="00CB0692"/>
    <w:rsid w:val="00E87D60"/>
    <w:rsid w:val="00EB4AA4"/>
    <w:rsid w:val="00ED03FE"/>
    <w:rsid w:val="00EE6D12"/>
    <w:rsid w:val="00F03FBB"/>
    <w:rsid w:val="00F257D2"/>
    <w:rsid w:val="00F3055B"/>
    <w:rsid w:val="00F311E0"/>
    <w:rsid w:val="00F4344D"/>
    <w:rsid w:val="00F52BFD"/>
    <w:rsid w:val="00F7546C"/>
    <w:rsid w:val="00FB39D9"/>
    <w:rsid w:val="00FC2282"/>
    <w:rsid w:val="00FC48A8"/>
    <w:rsid w:val="00FF0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E470"/>
  <w15:chartTrackingRefBased/>
  <w15:docId w15:val="{F287D2CA-7323-4966-A939-1C7A07B4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3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3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F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F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F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3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FBB"/>
    <w:rPr>
      <w:rFonts w:eastAsiaTheme="majorEastAsia" w:cstheme="majorBidi"/>
      <w:color w:val="272727" w:themeColor="text1" w:themeTint="D8"/>
    </w:rPr>
  </w:style>
  <w:style w:type="paragraph" w:styleId="Title">
    <w:name w:val="Title"/>
    <w:basedOn w:val="Normal"/>
    <w:next w:val="Normal"/>
    <w:link w:val="TitleChar"/>
    <w:uiPriority w:val="10"/>
    <w:qFormat/>
    <w:rsid w:val="00F03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FBB"/>
    <w:pPr>
      <w:spacing w:before="160"/>
      <w:jc w:val="center"/>
    </w:pPr>
    <w:rPr>
      <w:i/>
      <w:iCs/>
      <w:color w:val="404040" w:themeColor="text1" w:themeTint="BF"/>
    </w:rPr>
  </w:style>
  <w:style w:type="character" w:customStyle="1" w:styleId="QuoteChar">
    <w:name w:val="Quote Char"/>
    <w:basedOn w:val="DefaultParagraphFont"/>
    <w:link w:val="Quote"/>
    <w:uiPriority w:val="29"/>
    <w:rsid w:val="00F03FBB"/>
    <w:rPr>
      <w:i/>
      <w:iCs/>
      <w:color w:val="404040" w:themeColor="text1" w:themeTint="BF"/>
    </w:rPr>
  </w:style>
  <w:style w:type="paragraph" w:styleId="ListParagraph">
    <w:name w:val="List Paragraph"/>
    <w:basedOn w:val="Normal"/>
    <w:uiPriority w:val="34"/>
    <w:qFormat/>
    <w:rsid w:val="00F03FBB"/>
    <w:pPr>
      <w:ind w:left="720"/>
      <w:contextualSpacing/>
    </w:pPr>
  </w:style>
  <w:style w:type="character" w:styleId="IntenseEmphasis">
    <w:name w:val="Intense Emphasis"/>
    <w:basedOn w:val="DefaultParagraphFont"/>
    <w:uiPriority w:val="21"/>
    <w:qFormat/>
    <w:rsid w:val="00F03FBB"/>
    <w:rPr>
      <w:i/>
      <w:iCs/>
      <w:color w:val="0F4761" w:themeColor="accent1" w:themeShade="BF"/>
    </w:rPr>
  </w:style>
  <w:style w:type="paragraph" w:styleId="IntenseQuote">
    <w:name w:val="Intense Quote"/>
    <w:basedOn w:val="Normal"/>
    <w:next w:val="Normal"/>
    <w:link w:val="IntenseQuoteChar"/>
    <w:uiPriority w:val="30"/>
    <w:qFormat/>
    <w:rsid w:val="00F03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FBB"/>
    <w:rPr>
      <w:i/>
      <w:iCs/>
      <w:color w:val="0F4761" w:themeColor="accent1" w:themeShade="BF"/>
    </w:rPr>
  </w:style>
  <w:style w:type="character" w:styleId="IntenseReference">
    <w:name w:val="Intense Reference"/>
    <w:basedOn w:val="DefaultParagraphFont"/>
    <w:uiPriority w:val="32"/>
    <w:qFormat/>
    <w:rsid w:val="00F03FBB"/>
    <w:rPr>
      <w:b/>
      <w:bCs/>
      <w:smallCaps/>
      <w:color w:val="0F4761" w:themeColor="accent1" w:themeShade="BF"/>
      <w:spacing w:val="5"/>
    </w:rPr>
  </w:style>
  <w:style w:type="paragraph" w:styleId="Header">
    <w:name w:val="header"/>
    <w:basedOn w:val="Normal"/>
    <w:link w:val="HeaderChar"/>
    <w:uiPriority w:val="99"/>
    <w:unhideWhenUsed/>
    <w:rsid w:val="008D2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DDA"/>
  </w:style>
  <w:style w:type="paragraph" w:styleId="Footer">
    <w:name w:val="footer"/>
    <w:basedOn w:val="Normal"/>
    <w:link w:val="FooterChar"/>
    <w:uiPriority w:val="99"/>
    <w:unhideWhenUsed/>
    <w:rsid w:val="008D2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DDA"/>
  </w:style>
  <w:style w:type="character" w:styleId="Hyperlink">
    <w:name w:val="Hyperlink"/>
    <w:basedOn w:val="DefaultParagraphFont"/>
    <w:uiPriority w:val="99"/>
    <w:unhideWhenUsed/>
    <w:rsid w:val="008D2DDA"/>
    <w:rPr>
      <w:color w:val="467886" w:themeColor="hyperlink"/>
      <w:u w:val="single"/>
    </w:rPr>
  </w:style>
  <w:style w:type="paragraph" w:styleId="TOCHeading">
    <w:name w:val="TOC Heading"/>
    <w:basedOn w:val="Heading1"/>
    <w:next w:val="Normal"/>
    <w:uiPriority w:val="39"/>
    <w:unhideWhenUsed/>
    <w:qFormat/>
    <w:rsid w:val="008D2DD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D2DDA"/>
    <w:pPr>
      <w:spacing w:after="100"/>
      <w:ind w:left="240"/>
    </w:pPr>
  </w:style>
  <w:style w:type="character" w:customStyle="1" w:styleId="UnresolvedMention">
    <w:name w:val="Unresolved Mention"/>
    <w:basedOn w:val="DefaultParagraphFont"/>
    <w:uiPriority w:val="99"/>
    <w:semiHidden/>
    <w:unhideWhenUsed/>
    <w:rsid w:val="006D47A7"/>
    <w:rPr>
      <w:color w:val="605E5C"/>
      <w:shd w:val="clear" w:color="auto" w:fill="E1DFDD"/>
    </w:rPr>
  </w:style>
  <w:style w:type="character" w:styleId="Strong">
    <w:name w:val="Strong"/>
    <w:basedOn w:val="DefaultParagraphFont"/>
    <w:uiPriority w:val="22"/>
    <w:qFormat/>
    <w:rsid w:val="005963EA"/>
    <w:rPr>
      <w:b/>
      <w:bCs/>
    </w:rPr>
  </w:style>
  <w:style w:type="character" w:styleId="Emphasis">
    <w:name w:val="Emphasis"/>
    <w:basedOn w:val="DefaultParagraphFont"/>
    <w:uiPriority w:val="20"/>
    <w:qFormat/>
    <w:rsid w:val="005963EA"/>
    <w:rPr>
      <w:i/>
      <w:iCs/>
    </w:rPr>
  </w:style>
  <w:style w:type="paragraph" w:styleId="NormalWeb">
    <w:name w:val="Normal (Web)"/>
    <w:basedOn w:val="Normal"/>
    <w:uiPriority w:val="99"/>
    <w:semiHidden/>
    <w:unhideWhenUsed/>
    <w:rsid w:val="005963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51727">
      <w:bodyDiv w:val="1"/>
      <w:marLeft w:val="0"/>
      <w:marRight w:val="0"/>
      <w:marTop w:val="0"/>
      <w:marBottom w:val="0"/>
      <w:divBdr>
        <w:top w:val="none" w:sz="0" w:space="0" w:color="auto"/>
        <w:left w:val="none" w:sz="0" w:space="0" w:color="auto"/>
        <w:bottom w:val="none" w:sz="0" w:space="0" w:color="auto"/>
        <w:right w:val="none" w:sz="0" w:space="0" w:color="auto"/>
      </w:divBdr>
      <w:divsChild>
        <w:div w:id="1779449737">
          <w:marLeft w:val="0"/>
          <w:marRight w:val="0"/>
          <w:marTop w:val="0"/>
          <w:marBottom w:val="0"/>
          <w:divBdr>
            <w:top w:val="none" w:sz="0" w:space="0" w:color="auto"/>
            <w:left w:val="none" w:sz="0" w:space="0" w:color="auto"/>
            <w:bottom w:val="none" w:sz="0" w:space="0" w:color="auto"/>
            <w:right w:val="none" w:sz="0" w:space="0" w:color="auto"/>
          </w:divBdr>
        </w:div>
      </w:divsChild>
    </w:div>
    <w:div w:id="47187239">
      <w:bodyDiv w:val="1"/>
      <w:marLeft w:val="0"/>
      <w:marRight w:val="0"/>
      <w:marTop w:val="0"/>
      <w:marBottom w:val="0"/>
      <w:divBdr>
        <w:top w:val="none" w:sz="0" w:space="0" w:color="auto"/>
        <w:left w:val="none" w:sz="0" w:space="0" w:color="auto"/>
        <w:bottom w:val="none" w:sz="0" w:space="0" w:color="auto"/>
        <w:right w:val="none" w:sz="0" w:space="0" w:color="auto"/>
      </w:divBdr>
      <w:divsChild>
        <w:div w:id="1359424792">
          <w:marLeft w:val="0"/>
          <w:marRight w:val="0"/>
          <w:marTop w:val="0"/>
          <w:marBottom w:val="0"/>
          <w:divBdr>
            <w:top w:val="none" w:sz="0" w:space="0" w:color="auto"/>
            <w:left w:val="none" w:sz="0" w:space="0" w:color="auto"/>
            <w:bottom w:val="none" w:sz="0" w:space="0" w:color="auto"/>
            <w:right w:val="none" w:sz="0" w:space="0" w:color="auto"/>
          </w:divBdr>
          <w:divsChild>
            <w:div w:id="1123959484">
              <w:marLeft w:val="0"/>
              <w:marRight w:val="0"/>
              <w:marTop w:val="0"/>
              <w:marBottom w:val="0"/>
              <w:divBdr>
                <w:top w:val="none" w:sz="0" w:space="0" w:color="auto"/>
                <w:left w:val="none" w:sz="0" w:space="0" w:color="auto"/>
                <w:bottom w:val="none" w:sz="0" w:space="0" w:color="auto"/>
                <w:right w:val="none" w:sz="0" w:space="0" w:color="auto"/>
              </w:divBdr>
              <w:divsChild>
                <w:div w:id="1936816759">
                  <w:marLeft w:val="0"/>
                  <w:marRight w:val="0"/>
                  <w:marTop w:val="0"/>
                  <w:marBottom w:val="0"/>
                  <w:divBdr>
                    <w:top w:val="none" w:sz="0" w:space="0" w:color="auto"/>
                    <w:left w:val="none" w:sz="0" w:space="0" w:color="auto"/>
                    <w:bottom w:val="none" w:sz="0" w:space="0" w:color="auto"/>
                    <w:right w:val="none" w:sz="0" w:space="0" w:color="auto"/>
                  </w:divBdr>
                  <w:divsChild>
                    <w:div w:id="873542889">
                      <w:marLeft w:val="0"/>
                      <w:marRight w:val="0"/>
                      <w:marTop w:val="0"/>
                      <w:marBottom w:val="0"/>
                      <w:divBdr>
                        <w:top w:val="none" w:sz="0" w:space="0" w:color="auto"/>
                        <w:left w:val="none" w:sz="0" w:space="0" w:color="auto"/>
                        <w:bottom w:val="none" w:sz="0" w:space="0" w:color="auto"/>
                        <w:right w:val="none" w:sz="0" w:space="0" w:color="auto"/>
                      </w:divBdr>
                      <w:divsChild>
                        <w:div w:id="486362989">
                          <w:marLeft w:val="0"/>
                          <w:marRight w:val="0"/>
                          <w:marTop w:val="0"/>
                          <w:marBottom w:val="0"/>
                          <w:divBdr>
                            <w:top w:val="none" w:sz="0" w:space="0" w:color="auto"/>
                            <w:left w:val="none" w:sz="0" w:space="0" w:color="auto"/>
                            <w:bottom w:val="none" w:sz="0" w:space="0" w:color="auto"/>
                            <w:right w:val="none" w:sz="0" w:space="0" w:color="auto"/>
                          </w:divBdr>
                          <w:divsChild>
                            <w:div w:id="310142237">
                              <w:marLeft w:val="0"/>
                              <w:marRight w:val="0"/>
                              <w:marTop w:val="0"/>
                              <w:marBottom w:val="0"/>
                              <w:divBdr>
                                <w:top w:val="none" w:sz="0" w:space="0" w:color="auto"/>
                                <w:left w:val="none" w:sz="0" w:space="0" w:color="auto"/>
                                <w:bottom w:val="none" w:sz="0" w:space="0" w:color="auto"/>
                                <w:right w:val="none" w:sz="0" w:space="0" w:color="auto"/>
                              </w:divBdr>
                              <w:divsChild>
                                <w:div w:id="15119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49667">
      <w:bodyDiv w:val="1"/>
      <w:marLeft w:val="0"/>
      <w:marRight w:val="0"/>
      <w:marTop w:val="0"/>
      <w:marBottom w:val="0"/>
      <w:divBdr>
        <w:top w:val="none" w:sz="0" w:space="0" w:color="auto"/>
        <w:left w:val="none" w:sz="0" w:space="0" w:color="auto"/>
        <w:bottom w:val="none" w:sz="0" w:space="0" w:color="auto"/>
        <w:right w:val="none" w:sz="0" w:space="0" w:color="auto"/>
      </w:divBdr>
      <w:divsChild>
        <w:div w:id="1249000165">
          <w:marLeft w:val="0"/>
          <w:marRight w:val="0"/>
          <w:marTop w:val="0"/>
          <w:marBottom w:val="0"/>
          <w:divBdr>
            <w:top w:val="none" w:sz="0" w:space="0" w:color="auto"/>
            <w:left w:val="none" w:sz="0" w:space="0" w:color="auto"/>
            <w:bottom w:val="none" w:sz="0" w:space="0" w:color="auto"/>
            <w:right w:val="none" w:sz="0" w:space="0" w:color="auto"/>
          </w:divBdr>
        </w:div>
      </w:divsChild>
    </w:div>
    <w:div w:id="136190444">
      <w:bodyDiv w:val="1"/>
      <w:marLeft w:val="0"/>
      <w:marRight w:val="0"/>
      <w:marTop w:val="0"/>
      <w:marBottom w:val="0"/>
      <w:divBdr>
        <w:top w:val="none" w:sz="0" w:space="0" w:color="auto"/>
        <w:left w:val="none" w:sz="0" w:space="0" w:color="auto"/>
        <w:bottom w:val="none" w:sz="0" w:space="0" w:color="auto"/>
        <w:right w:val="none" w:sz="0" w:space="0" w:color="auto"/>
      </w:divBdr>
      <w:divsChild>
        <w:div w:id="715932266">
          <w:marLeft w:val="0"/>
          <w:marRight w:val="0"/>
          <w:marTop w:val="0"/>
          <w:marBottom w:val="0"/>
          <w:divBdr>
            <w:top w:val="none" w:sz="0" w:space="0" w:color="auto"/>
            <w:left w:val="none" w:sz="0" w:space="0" w:color="auto"/>
            <w:bottom w:val="none" w:sz="0" w:space="0" w:color="auto"/>
            <w:right w:val="none" w:sz="0" w:space="0" w:color="auto"/>
          </w:divBdr>
        </w:div>
      </w:divsChild>
    </w:div>
    <w:div w:id="144319763">
      <w:bodyDiv w:val="1"/>
      <w:marLeft w:val="0"/>
      <w:marRight w:val="0"/>
      <w:marTop w:val="0"/>
      <w:marBottom w:val="0"/>
      <w:divBdr>
        <w:top w:val="none" w:sz="0" w:space="0" w:color="auto"/>
        <w:left w:val="none" w:sz="0" w:space="0" w:color="auto"/>
        <w:bottom w:val="none" w:sz="0" w:space="0" w:color="auto"/>
        <w:right w:val="none" w:sz="0" w:space="0" w:color="auto"/>
      </w:divBdr>
    </w:div>
    <w:div w:id="148985804">
      <w:bodyDiv w:val="1"/>
      <w:marLeft w:val="0"/>
      <w:marRight w:val="0"/>
      <w:marTop w:val="0"/>
      <w:marBottom w:val="0"/>
      <w:divBdr>
        <w:top w:val="none" w:sz="0" w:space="0" w:color="auto"/>
        <w:left w:val="none" w:sz="0" w:space="0" w:color="auto"/>
        <w:bottom w:val="none" w:sz="0" w:space="0" w:color="auto"/>
        <w:right w:val="none" w:sz="0" w:space="0" w:color="auto"/>
      </w:divBdr>
      <w:divsChild>
        <w:div w:id="916792172">
          <w:marLeft w:val="0"/>
          <w:marRight w:val="0"/>
          <w:marTop w:val="0"/>
          <w:marBottom w:val="0"/>
          <w:divBdr>
            <w:top w:val="none" w:sz="0" w:space="0" w:color="auto"/>
            <w:left w:val="none" w:sz="0" w:space="0" w:color="auto"/>
            <w:bottom w:val="none" w:sz="0" w:space="0" w:color="auto"/>
            <w:right w:val="none" w:sz="0" w:space="0" w:color="auto"/>
          </w:divBdr>
        </w:div>
      </w:divsChild>
    </w:div>
    <w:div w:id="215120677">
      <w:bodyDiv w:val="1"/>
      <w:marLeft w:val="0"/>
      <w:marRight w:val="0"/>
      <w:marTop w:val="0"/>
      <w:marBottom w:val="0"/>
      <w:divBdr>
        <w:top w:val="none" w:sz="0" w:space="0" w:color="auto"/>
        <w:left w:val="none" w:sz="0" w:space="0" w:color="auto"/>
        <w:bottom w:val="none" w:sz="0" w:space="0" w:color="auto"/>
        <w:right w:val="none" w:sz="0" w:space="0" w:color="auto"/>
      </w:divBdr>
      <w:divsChild>
        <w:div w:id="478574400">
          <w:marLeft w:val="0"/>
          <w:marRight w:val="0"/>
          <w:marTop w:val="0"/>
          <w:marBottom w:val="0"/>
          <w:divBdr>
            <w:top w:val="none" w:sz="0" w:space="0" w:color="auto"/>
            <w:left w:val="none" w:sz="0" w:space="0" w:color="auto"/>
            <w:bottom w:val="none" w:sz="0" w:space="0" w:color="auto"/>
            <w:right w:val="none" w:sz="0" w:space="0" w:color="auto"/>
          </w:divBdr>
        </w:div>
      </w:divsChild>
    </w:div>
    <w:div w:id="227035467">
      <w:bodyDiv w:val="1"/>
      <w:marLeft w:val="0"/>
      <w:marRight w:val="0"/>
      <w:marTop w:val="0"/>
      <w:marBottom w:val="0"/>
      <w:divBdr>
        <w:top w:val="none" w:sz="0" w:space="0" w:color="auto"/>
        <w:left w:val="none" w:sz="0" w:space="0" w:color="auto"/>
        <w:bottom w:val="none" w:sz="0" w:space="0" w:color="auto"/>
        <w:right w:val="none" w:sz="0" w:space="0" w:color="auto"/>
      </w:divBdr>
    </w:div>
    <w:div w:id="281154142">
      <w:bodyDiv w:val="1"/>
      <w:marLeft w:val="0"/>
      <w:marRight w:val="0"/>
      <w:marTop w:val="0"/>
      <w:marBottom w:val="0"/>
      <w:divBdr>
        <w:top w:val="none" w:sz="0" w:space="0" w:color="auto"/>
        <w:left w:val="none" w:sz="0" w:space="0" w:color="auto"/>
        <w:bottom w:val="none" w:sz="0" w:space="0" w:color="auto"/>
        <w:right w:val="none" w:sz="0" w:space="0" w:color="auto"/>
      </w:divBdr>
    </w:div>
    <w:div w:id="315230452">
      <w:bodyDiv w:val="1"/>
      <w:marLeft w:val="0"/>
      <w:marRight w:val="0"/>
      <w:marTop w:val="0"/>
      <w:marBottom w:val="0"/>
      <w:divBdr>
        <w:top w:val="none" w:sz="0" w:space="0" w:color="auto"/>
        <w:left w:val="none" w:sz="0" w:space="0" w:color="auto"/>
        <w:bottom w:val="none" w:sz="0" w:space="0" w:color="auto"/>
        <w:right w:val="none" w:sz="0" w:space="0" w:color="auto"/>
      </w:divBdr>
      <w:divsChild>
        <w:div w:id="2060350723">
          <w:marLeft w:val="0"/>
          <w:marRight w:val="0"/>
          <w:marTop w:val="0"/>
          <w:marBottom w:val="0"/>
          <w:divBdr>
            <w:top w:val="none" w:sz="0" w:space="0" w:color="auto"/>
            <w:left w:val="none" w:sz="0" w:space="0" w:color="auto"/>
            <w:bottom w:val="none" w:sz="0" w:space="0" w:color="auto"/>
            <w:right w:val="none" w:sz="0" w:space="0" w:color="auto"/>
          </w:divBdr>
        </w:div>
      </w:divsChild>
    </w:div>
    <w:div w:id="339043637">
      <w:bodyDiv w:val="1"/>
      <w:marLeft w:val="0"/>
      <w:marRight w:val="0"/>
      <w:marTop w:val="0"/>
      <w:marBottom w:val="0"/>
      <w:divBdr>
        <w:top w:val="none" w:sz="0" w:space="0" w:color="auto"/>
        <w:left w:val="none" w:sz="0" w:space="0" w:color="auto"/>
        <w:bottom w:val="none" w:sz="0" w:space="0" w:color="auto"/>
        <w:right w:val="none" w:sz="0" w:space="0" w:color="auto"/>
      </w:divBdr>
    </w:div>
    <w:div w:id="397823148">
      <w:bodyDiv w:val="1"/>
      <w:marLeft w:val="0"/>
      <w:marRight w:val="0"/>
      <w:marTop w:val="0"/>
      <w:marBottom w:val="0"/>
      <w:divBdr>
        <w:top w:val="none" w:sz="0" w:space="0" w:color="auto"/>
        <w:left w:val="none" w:sz="0" w:space="0" w:color="auto"/>
        <w:bottom w:val="none" w:sz="0" w:space="0" w:color="auto"/>
        <w:right w:val="none" w:sz="0" w:space="0" w:color="auto"/>
      </w:divBdr>
    </w:div>
    <w:div w:id="408969908">
      <w:bodyDiv w:val="1"/>
      <w:marLeft w:val="0"/>
      <w:marRight w:val="0"/>
      <w:marTop w:val="0"/>
      <w:marBottom w:val="0"/>
      <w:divBdr>
        <w:top w:val="none" w:sz="0" w:space="0" w:color="auto"/>
        <w:left w:val="none" w:sz="0" w:space="0" w:color="auto"/>
        <w:bottom w:val="none" w:sz="0" w:space="0" w:color="auto"/>
        <w:right w:val="none" w:sz="0" w:space="0" w:color="auto"/>
      </w:divBdr>
    </w:div>
    <w:div w:id="436828551">
      <w:bodyDiv w:val="1"/>
      <w:marLeft w:val="0"/>
      <w:marRight w:val="0"/>
      <w:marTop w:val="0"/>
      <w:marBottom w:val="0"/>
      <w:divBdr>
        <w:top w:val="none" w:sz="0" w:space="0" w:color="auto"/>
        <w:left w:val="none" w:sz="0" w:space="0" w:color="auto"/>
        <w:bottom w:val="none" w:sz="0" w:space="0" w:color="auto"/>
        <w:right w:val="none" w:sz="0" w:space="0" w:color="auto"/>
      </w:divBdr>
      <w:divsChild>
        <w:div w:id="1975089902">
          <w:marLeft w:val="0"/>
          <w:marRight w:val="0"/>
          <w:marTop w:val="0"/>
          <w:marBottom w:val="0"/>
          <w:divBdr>
            <w:top w:val="none" w:sz="0" w:space="0" w:color="auto"/>
            <w:left w:val="none" w:sz="0" w:space="0" w:color="auto"/>
            <w:bottom w:val="none" w:sz="0" w:space="0" w:color="auto"/>
            <w:right w:val="none" w:sz="0" w:space="0" w:color="auto"/>
          </w:divBdr>
        </w:div>
      </w:divsChild>
    </w:div>
    <w:div w:id="438568307">
      <w:bodyDiv w:val="1"/>
      <w:marLeft w:val="0"/>
      <w:marRight w:val="0"/>
      <w:marTop w:val="0"/>
      <w:marBottom w:val="0"/>
      <w:divBdr>
        <w:top w:val="none" w:sz="0" w:space="0" w:color="auto"/>
        <w:left w:val="none" w:sz="0" w:space="0" w:color="auto"/>
        <w:bottom w:val="none" w:sz="0" w:space="0" w:color="auto"/>
        <w:right w:val="none" w:sz="0" w:space="0" w:color="auto"/>
      </w:divBdr>
    </w:div>
    <w:div w:id="449396003">
      <w:bodyDiv w:val="1"/>
      <w:marLeft w:val="0"/>
      <w:marRight w:val="0"/>
      <w:marTop w:val="0"/>
      <w:marBottom w:val="0"/>
      <w:divBdr>
        <w:top w:val="none" w:sz="0" w:space="0" w:color="auto"/>
        <w:left w:val="none" w:sz="0" w:space="0" w:color="auto"/>
        <w:bottom w:val="none" w:sz="0" w:space="0" w:color="auto"/>
        <w:right w:val="none" w:sz="0" w:space="0" w:color="auto"/>
      </w:divBdr>
    </w:div>
    <w:div w:id="503977562">
      <w:bodyDiv w:val="1"/>
      <w:marLeft w:val="0"/>
      <w:marRight w:val="0"/>
      <w:marTop w:val="0"/>
      <w:marBottom w:val="0"/>
      <w:divBdr>
        <w:top w:val="none" w:sz="0" w:space="0" w:color="auto"/>
        <w:left w:val="none" w:sz="0" w:space="0" w:color="auto"/>
        <w:bottom w:val="none" w:sz="0" w:space="0" w:color="auto"/>
        <w:right w:val="none" w:sz="0" w:space="0" w:color="auto"/>
      </w:divBdr>
      <w:divsChild>
        <w:div w:id="810489074">
          <w:marLeft w:val="0"/>
          <w:marRight w:val="0"/>
          <w:marTop w:val="0"/>
          <w:marBottom w:val="0"/>
          <w:divBdr>
            <w:top w:val="none" w:sz="0" w:space="0" w:color="auto"/>
            <w:left w:val="none" w:sz="0" w:space="0" w:color="auto"/>
            <w:bottom w:val="none" w:sz="0" w:space="0" w:color="auto"/>
            <w:right w:val="none" w:sz="0" w:space="0" w:color="auto"/>
          </w:divBdr>
        </w:div>
      </w:divsChild>
    </w:div>
    <w:div w:id="547686017">
      <w:bodyDiv w:val="1"/>
      <w:marLeft w:val="0"/>
      <w:marRight w:val="0"/>
      <w:marTop w:val="0"/>
      <w:marBottom w:val="0"/>
      <w:divBdr>
        <w:top w:val="none" w:sz="0" w:space="0" w:color="auto"/>
        <w:left w:val="none" w:sz="0" w:space="0" w:color="auto"/>
        <w:bottom w:val="none" w:sz="0" w:space="0" w:color="auto"/>
        <w:right w:val="none" w:sz="0" w:space="0" w:color="auto"/>
      </w:divBdr>
      <w:divsChild>
        <w:div w:id="988747385">
          <w:marLeft w:val="0"/>
          <w:marRight w:val="0"/>
          <w:marTop w:val="0"/>
          <w:marBottom w:val="0"/>
          <w:divBdr>
            <w:top w:val="none" w:sz="0" w:space="0" w:color="auto"/>
            <w:left w:val="none" w:sz="0" w:space="0" w:color="auto"/>
            <w:bottom w:val="none" w:sz="0" w:space="0" w:color="auto"/>
            <w:right w:val="none" w:sz="0" w:space="0" w:color="auto"/>
          </w:divBdr>
        </w:div>
      </w:divsChild>
    </w:div>
    <w:div w:id="647638539">
      <w:bodyDiv w:val="1"/>
      <w:marLeft w:val="0"/>
      <w:marRight w:val="0"/>
      <w:marTop w:val="0"/>
      <w:marBottom w:val="0"/>
      <w:divBdr>
        <w:top w:val="none" w:sz="0" w:space="0" w:color="auto"/>
        <w:left w:val="none" w:sz="0" w:space="0" w:color="auto"/>
        <w:bottom w:val="none" w:sz="0" w:space="0" w:color="auto"/>
        <w:right w:val="none" w:sz="0" w:space="0" w:color="auto"/>
      </w:divBdr>
      <w:divsChild>
        <w:div w:id="263653284">
          <w:marLeft w:val="0"/>
          <w:marRight w:val="0"/>
          <w:marTop w:val="0"/>
          <w:marBottom w:val="0"/>
          <w:divBdr>
            <w:top w:val="none" w:sz="0" w:space="0" w:color="auto"/>
            <w:left w:val="none" w:sz="0" w:space="0" w:color="auto"/>
            <w:bottom w:val="none" w:sz="0" w:space="0" w:color="auto"/>
            <w:right w:val="none" w:sz="0" w:space="0" w:color="auto"/>
          </w:divBdr>
        </w:div>
      </w:divsChild>
    </w:div>
    <w:div w:id="685715644">
      <w:bodyDiv w:val="1"/>
      <w:marLeft w:val="0"/>
      <w:marRight w:val="0"/>
      <w:marTop w:val="0"/>
      <w:marBottom w:val="0"/>
      <w:divBdr>
        <w:top w:val="none" w:sz="0" w:space="0" w:color="auto"/>
        <w:left w:val="none" w:sz="0" w:space="0" w:color="auto"/>
        <w:bottom w:val="none" w:sz="0" w:space="0" w:color="auto"/>
        <w:right w:val="none" w:sz="0" w:space="0" w:color="auto"/>
      </w:divBdr>
    </w:div>
    <w:div w:id="691683216">
      <w:bodyDiv w:val="1"/>
      <w:marLeft w:val="0"/>
      <w:marRight w:val="0"/>
      <w:marTop w:val="0"/>
      <w:marBottom w:val="0"/>
      <w:divBdr>
        <w:top w:val="none" w:sz="0" w:space="0" w:color="auto"/>
        <w:left w:val="none" w:sz="0" w:space="0" w:color="auto"/>
        <w:bottom w:val="none" w:sz="0" w:space="0" w:color="auto"/>
        <w:right w:val="none" w:sz="0" w:space="0" w:color="auto"/>
      </w:divBdr>
      <w:divsChild>
        <w:div w:id="18430144">
          <w:marLeft w:val="0"/>
          <w:marRight w:val="0"/>
          <w:marTop w:val="0"/>
          <w:marBottom w:val="0"/>
          <w:divBdr>
            <w:top w:val="none" w:sz="0" w:space="0" w:color="auto"/>
            <w:left w:val="none" w:sz="0" w:space="0" w:color="auto"/>
            <w:bottom w:val="none" w:sz="0" w:space="0" w:color="auto"/>
            <w:right w:val="none" w:sz="0" w:space="0" w:color="auto"/>
          </w:divBdr>
        </w:div>
      </w:divsChild>
    </w:div>
    <w:div w:id="745306334">
      <w:bodyDiv w:val="1"/>
      <w:marLeft w:val="0"/>
      <w:marRight w:val="0"/>
      <w:marTop w:val="0"/>
      <w:marBottom w:val="0"/>
      <w:divBdr>
        <w:top w:val="none" w:sz="0" w:space="0" w:color="auto"/>
        <w:left w:val="none" w:sz="0" w:space="0" w:color="auto"/>
        <w:bottom w:val="none" w:sz="0" w:space="0" w:color="auto"/>
        <w:right w:val="none" w:sz="0" w:space="0" w:color="auto"/>
      </w:divBdr>
      <w:divsChild>
        <w:div w:id="1494679646">
          <w:marLeft w:val="0"/>
          <w:marRight w:val="0"/>
          <w:marTop w:val="0"/>
          <w:marBottom w:val="0"/>
          <w:divBdr>
            <w:top w:val="none" w:sz="0" w:space="0" w:color="auto"/>
            <w:left w:val="none" w:sz="0" w:space="0" w:color="auto"/>
            <w:bottom w:val="none" w:sz="0" w:space="0" w:color="auto"/>
            <w:right w:val="none" w:sz="0" w:space="0" w:color="auto"/>
          </w:divBdr>
        </w:div>
      </w:divsChild>
    </w:div>
    <w:div w:id="813833396">
      <w:bodyDiv w:val="1"/>
      <w:marLeft w:val="0"/>
      <w:marRight w:val="0"/>
      <w:marTop w:val="0"/>
      <w:marBottom w:val="0"/>
      <w:divBdr>
        <w:top w:val="none" w:sz="0" w:space="0" w:color="auto"/>
        <w:left w:val="none" w:sz="0" w:space="0" w:color="auto"/>
        <w:bottom w:val="none" w:sz="0" w:space="0" w:color="auto"/>
        <w:right w:val="none" w:sz="0" w:space="0" w:color="auto"/>
      </w:divBdr>
    </w:div>
    <w:div w:id="850340647">
      <w:bodyDiv w:val="1"/>
      <w:marLeft w:val="0"/>
      <w:marRight w:val="0"/>
      <w:marTop w:val="0"/>
      <w:marBottom w:val="0"/>
      <w:divBdr>
        <w:top w:val="none" w:sz="0" w:space="0" w:color="auto"/>
        <w:left w:val="none" w:sz="0" w:space="0" w:color="auto"/>
        <w:bottom w:val="none" w:sz="0" w:space="0" w:color="auto"/>
        <w:right w:val="none" w:sz="0" w:space="0" w:color="auto"/>
      </w:divBdr>
    </w:div>
    <w:div w:id="889651618">
      <w:bodyDiv w:val="1"/>
      <w:marLeft w:val="0"/>
      <w:marRight w:val="0"/>
      <w:marTop w:val="0"/>
      <w:marBottom w:val="0"/>
      <w:divBdr>
        <w:top w:val="none" w:sz="0" w:space="0" w:color="auto"/>
        <w:left w:val="none" w:sz="0" w:space="0" w:color="auto"/>
        <w:bottom w:val="none" w:sz="0" w:space="0" w:color="auto"/>
        <w:right w:val="none" w:sz="0" w:space="0" w:color="auto"/>
      </w:divBdr>
    </w:div>
    <w:div w:id="892354197">
      <w:bodyDiv w:val="1"/>
      <w:marLeft w:val="0"/>
      <w:marRight w:val="0"/>
      <w:marTop w:val="0"/>
      <w:marBottom w:val="0"/>
      <w:divBdr>
        <w:top w:val="none" w:sz="0" w:space="0" w:color="auto"/>
        <w:left w:val="none" w:sz="0" w:space="0" w:color="auto"/>
        <w:bottom w:val="none" w:sz="0" w:space="0" w:color="auto"/>
        <w:right w:val="none" w:sz="0" w:space="0" w:color="auto"/>
      </w:divBdr>
    </w:div>
    <w:div w:id="899635598">
      <w:bodyDiv w:val="1"/>
      <w:marLeft w:val="0"/>
      <w:marRight w:val="0"/>
      <w:marTop w:val="0"/>
      <w:marBottom w:val="0"/>
      <w:divBdr>
        <w:top w:val="none" w:sz="0" w:space="0" w:color="auto"/>
        <w:left w:val="none" w:sz="0" w:space="0" w:color="auto"/>
        <w:bottom w:val="none" w:sz="0" w:space="0" w:color="auto"/>
        <w:right w:val="none" w:sz="0" w:space="0" w:color="auto"/>
      </w:divBdr>
      <w:divsChild>
        <w:div w:id="202182688">
          <w:marLeft w:val="0"/>
          <w:marRight w:val="0"/>
          <w:marTop w:val="0"/>
          <w:marBottom w:val="0"/>
          <w:divBdr>
            <w:top w:val="none" w:sz="0" w:space="0" w:color="auto"/>
            <w:left w:val="none" w:sz="0" w:space="0" w:color="auto"/>
            <w:bottom w:val="none" w:sz="0" w:space="0" w:color="auto"/>
            <w:right w:val="none" w:sz="0" w:space="0" w:color="auto"/>
          </w:divBdr>
        </w:div>
      </w:divsChild>
    </w:div>
    <w:div w:id="923539636">
      <w:bodyDiv w:val="1"/>
      <w:marLeft w:val="0"/>
      <w:marRight w:val="0"/>
      <w:marTop w:val="0"/>
      <w:marBottom w:val="0"/>
      <w:divBdr>
        <w:top w:val="none" w:sz="0" w:space="0" w:color="auto"/>
        <w:left w:val="none" w:sz="0" w:space="0" w:color="auto"/>
        <w:bottom w:val="none" w:sz="0" w:space="0" w:color="auto"/>
        <w:right w:val="none" w:sz="0" w:space="0" w:color="auto"/>
      </w:divBdr>
    </w:div>
    <w:div w:id="925112602">
      <w:bodyDiv w:val="1"/>
      <w:marLeft w:val="0"/>
      <w:marRight w:val="0"/>
      <w:marTop w:val="0"/>
      <w:marBottom w:val="0"/>
      <w:divBdr>
        <w:top w:val="none" w:sz="0" w:space="0" w:color="auto"/>
        <w:left w:val="none" w:sz="0" w:space="0" w:color="auto"/>
        <w:bottom w:val="none" w:sz="0" w:space="0" w:color="auto"/>
        <w:right w:val="none" w:sz="0" w:space="0" w:color="auto"/>
      </w:divBdr>
    </w:div>
    <w:div w:id="943344574">
      <w:bodyDiv w:val="1"/>
      <w:marLeft w:val="0"/>
      <w:marRight w:val="0"/>
      <w:marTop w:val="0"/>
      <w:marBottom w:val="0"/>
      <w:divBdr>
        <w:top w:val="none" w:sz="0" w:space="0" w:color="auto"/>
        <w:left w:val="none" w:sz="0" w:space="0" w:color="auto"/>
        <w:bottom w:val="none" w:sz="0" w:space="0" w:color="auto"/>
        <w:right w:val="none" w:sz="0" w:space="0" w:color="auto"/>
      </w:divBdr>
      <w:divsChild>
        <w:div w:id="1906336927">
          <w:marLeft w:val="0"/>
          <w:marRight w:val="0"/>
          <w:marTop w:val="0"/>
          <w:marBottom w:val="0"/>
          <w:divBdr>
            <w:top w:val="none" w:sz="0" w:space="0" w:color="auto"/>
            <w:left w:val="none" w:sz="0" w:space="0" w:color="auto"/>
            <w:bottom w:val="none" w:sz="0" w:space="0" w:color="auto"/>
            <w:right w:val="none" w:sz="0" w:space="0" w:color="auto"/>
          </w:divBdr>
          <w:divsChild>
            <w:div w:id="1401096702">
              <w:marLeft w:val="0"/>
              <w:marRight w:val="0"/>
              <w:marTop w:val="0"/>
              <w:marBottom w:val="0"/>
              <w:divBdr>
                <w:top w:val="none" w:sz="0" w:space="0" w:color="auto"/>
                <w:left w:val="none" w:sz="0" w:space="0" w:color="auto"/>
                <w:bottom w:val="none" w:sz="0" w:space="0" w:color="auto"/>
                <w:right w:val="none" w:sz="0" w:space="0" w:color="auto"/>
              </w:divBdr>
              <w:divsChild>
                <w:div w:id="487015204">
                  <w:marLeft w:val="0"/>
                  <w:marRight w:val="0"/>
                  <w:marTop w:val="0"/>
                  <w:marBottom w:val="0"/>
                  <w:divBdr>
                    <w:top w:val="none" w:sz="0" w:space="0" w:color="auto"/>
                    <w:left w:val="none" w:sz="0" w:space="0" w:color="auto"/>
                    <w:bottom w:val="none" w:sz="0" w:space="0" w:color="auto"/>
                    <w:right w:val="none" w:sz="0" w:space="0" w:color="auto"/>
                  </w:divBdr>
                  <w:divsChild>
                    <w:div w:id="361790033">
                      <w:marLeft w:val="0"/>
                      <w:marRight w:val="0"/>
                      <w:marTop w:val="0"/>
                      <w:marBottom w:val="0"/>
                      <w:divBdr>
                        <w:top w:val="none" w:sz="0" w:space="0" w:color="auto"/>
                        <w:left w:val="none" w:sz="0" w:space="0" w:color="auto"/>
                        <w:bottom w:val="none" w:sz="0" w:space="0" w:color="auto"/>
                        <w:right w:val="none" w:sz="0" w:space="0" w:color="auto"/>
                      </w:divBdr>
                      <w:divsChild>
                        <w:div w:id="1260140965">
                          <w:marLeft w:val="0"/>
                          <w:marRight w:val="0"/>
                          <w:marTop w:val="0"/>
                          <w:marBottom w:val="0"/>
                          <w:divBdr>
                            <w:top w:val="none" w:sz="0" w:space="0" w:color="auto"/>
                            <w:left w:val="none" w:sz="0" w:space="0" w:color="auto"/>
                            <w:bottom w:val="none" w:sz="0" w:space="0" w:color="auto"/>
                            <w:right w:val="none" w:sz="0" w:space="0" w:color="auto"/>
                          </w:divBdr>
                          <w:divsChild>
                            <w:div w:id="1812406997">
                              <w:marLeft w:val="0"/>
                              <w:marRight w:val="0"/>
                              <w:marTop w:val="0"/>
                              <w:marBottom w:val="0"/>
                              <w:divBdr>
                                <w:top w:val="none" w:sz="0" w:space="0" w:color="auto"/>
                                <w:left w:val="none" w:sz="0" w:space="0" w:color="auto"/>
                                <w:bottom w:val="none" w:sz="0" w:space="0" w:color="auto"/>
                                <w:right w:val="none" w:sz="0" w:space="0" w:color="auto"/>
                              </w:divBdr>
                              <w:divsChild>
                                <w:div w:id="911625217">
                                  <w:marLeft w:val="0"/>
                                  <w:marRight w:val="0"/>
                                  <w:marTop w:val="0"/>
                                  <w:marBottom w:val="0"/>
                                  <w:divBdr>
                                    <w:top w:val="none" w:sz="0" w:space="0" w:color="auto"/>
                                    <w:left w:val="none" w:sz="0" w:space="0" w:color="auto"/>
                                    <w:bottom w:val="none" w:sz="0" w:space="0" w:color="auto"/>
                                    <w:right w:val="none" w:sz="0" w:space="0" w:color="auto"/>
                                  </w:divBdr>
                                  <w:divsChild>
                                    <w:div w:id="156193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997842">
          <w:marLeft w:val="0"/>
          <w:marRight w:val="0"/>
          <w:marTop w:val="0"/>
          <w:marBottom w:val="0"/>
          <w:divBdr>
            <w:top w:val="none" w:sz="0" w:space="0" w:color="auto"/>
            <w:left w:val="none" w:sz="0" w:space="0" w:color="auto"/>
            <w:bottom w:val="none" w:sz="0" w:space="0" w:color="auto"/>
            <w:right w:val="none" w:sz="0" w:space="0" w:color="auto"/>
          </w:divBdr>
          <w:divsChild>
            <w:div w:id="1357610567">
              <w:marLeft w:val="0"/>
              <w:marRight w:val="0"/>
              <w:marTop w:val="0"/>
              <w:marBottom w:val="0"/>
              <w:divBdr>
                <w:top w:val="none" w:sz="0" w:space="0" w:color="auto"/>
                <w:left w:val="none" w:sz="0" w:space="0" w:color="auto"/>
                <w:bottom w:val="none" w:sz="0" w:space="0" w:color="auto"/>
                <w:right w:val="none" w:sz="0" w:space="0" w:color="auto"/>
              </w:divBdr>
              <w:divsChild>
                <w:div w:id="338776575">
                  <w:marLeft w:val="0"/>
                  <w:marRight w:val="0"/>
                  <w:marTop w:val="0"/>
                  <w:marBottom w:val="0"/>
                  <w:divBdr>
                    <w:top w:val="none" w:sz="0" w:space="0" w:color="auto"/>
                    <w:left w:val="none" w:sz="0" w:space="0" w:color="auto"/>
                    <w:bottom w:val="none" w:sz="0" w:space="0" w:color="auto"/>
                    <w:right w:val="none" w:sz="0" w:space="0" w:color="auto"/>
                  </w:divBdr>
                  <w:divsChild>
                    <w:div w:id="1648436571">
                      <w:marLeft w:val="0"/>
                      <w:marRight w:val="0"/>
                      <w:marTop w:val="0"/>
                      <w:marBottom w:val="0"/>
                      <w:divBdr>
                        <w:top w:val="none" w:sz="0" w:space="0" w:color="auto"/>
                        <w:left w:val="none" w:sz="0" w:space="0" w:color="auto"/>
                        <w:bottom w:val="none" w:sz="0" w:space="0" w:color="auto"/>
                        <w:right w:val="none" w:sz="0" w:space="0" w:color="auto"/>
                      </w:divBdr>
                      <w:divsChild>
                        <w:div w:id="62022172">
                          <w:marLeft w:val="0"/>
                          <w:marRight w:val="0"/>
                          <w:marTop w:val="0"/>
                          <w:marBottom w:val="0"/>
                          <w:divBdr>
                            <w:top w:val="none" w:sz="0" w:space="0" w:color="auto"/>
                            <w:left w:val="none" w:sz="0" w:space="0" w:color="auto"/>
                            <w:bottom w:val="none" w:sz="0" w:space="0" w:color="auto"/>
                            <w:right w:val="none" w:sz="0" w:space="0" w:color="auto"/>
                          </w:divBdr>
                          <w:divsChild>
                            <w:div w:id="1445418784">
                              <w:marLeft w:val="0"/>
                              <w:marRight w:val="0"/>
                              <w:marTop w:val="0"/>
                              <w:marBottom w:val="0"/>
                              <w:divBdr>
                                <w:top w:val="none" w:sz="0" w:space="0" w:color="auto"/>
                                <w:left w:val="none" w:sz="0" w:space="0" w:color="auto"/>
                                <w:bottom w:val="none" w:sz="0" w:space="0" w:color="auto"/>
                                <w:right w:val="none" w:sz="0" w:space="0" w:color="auto"/>
                              </w:divBdr>
                              <w:divsChild>
                                <w:div w:id="74671597">
                                  <w:marLeft w:val="0"/>
                                  <w:marRight w:val="0"/>
                                  <w:marTop w:val="0"/>
                                  <w:marBottom w:val="0"/>
                                  <w:divBdr>
                                    <w:top w:val="none" w:sz="0" w:space="0" w:color="auto"/>
                                    <w:left w:val="none" w:sz="0" w:space="0" w:color="auto"/>
                                    <w:bottom w:val="none" w:sz="0" w:space="0" w:color="auto"/>
                                    <w:right w:val="none" w:sz="0" w:space="0" w:color="auto"/>
                                  </w:divBdr>
                                  <w:divsChild>
                                    <w:div w:id="442656545">
                                      <w:marLeft w:val="0"/>
                                      <w:marRight w:val="0"/>
                                      <w:marTop w:val="0"/>
                                      <w:marBottom w:val="0"/>
                                      <w:divBdr>
                                        <w:top w:val="none" w:sz="0" w:space="0" w:color="auto"/>
                                        <w:left w:val="none" w:sz="0" w:space="0" w:color="auto"/>
                                        <w:bottom w:val="none" w:sz="0" w:space="0" w:color="auto"/>
                                        <w:right w:val="none" w:sz="0" w:space="0" w:color="auto"/>
                                      </w:divBdr>
                                      <w:divsChild>
                                        <w:div w:id="2064521512">
                                          <w:marLeft w:val="0"/>
                                          <w:marRight w:val="0"/>
                                          <w:marTop w:val="0"/>
                                          <w:marBottom w:val="0"/>
                                          <w:divBdr>
                                            <w:top w:val="none" w:sz="0" w:space="0" w:color="auto"/>
                                            <w:left w:val="none" w:sz="0" w:space="0" w:color="auto"/>
                                            <w:bottom w:val="none" w:sz="0" w:space="0" w:color="auto"/>
                                            <w:right w:val="none" w:sz="0" w:space="0" w:color="auto"/>
                                          </w:divBdr>
                                          <w:divsChild>
                                            <w:div w:id="287590094">
                                              <w:marLeft w:val="0"/>
                                              <w:marRight w:val="0"/>
                                              <w:marTop w:val="0"/>
                                              <w:marBottom w:val="0"/>
                                              <w:divBdr>
                                                <w:top w:val="none" w:sz="0" w:space="0" w:color="auto"/>
                                                <w:left w:val="none" w:sz="0" w:space="0" w:color="auto"/>
                                                <w:bottom w:val="none" w:sz="0" w:space="0" w:color="auto"/>
                                                <w:right w:val="none" w:sz="0" w:space="0" w:color="auto"/>
                                              </w:divBdr>
                                              <w:divsChild>
                                                <w:div w:id="14374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2559397">
      <w:bodyDiv w:val="1"/>
      <w:marLeft w:val="0"/>
      <w:marRight w:val="0"/>
      <w:marTop w:val="0"/>
      <w:marBottom w:val="0"/>
      <w:divBdr>
        <w:top w:val="none" w:sz="0" w:space="0" w:color="auto"/>
        <w:left w:val="none" w:sz="0" w:space="0" w:color="auto"/>
        <w:bottom w:val="none" w:sz="0" w:space="0" w:color="auto"/>
        <w:right w:val="none" w:sz="0" w:space="0" w:color="auto"/>
      </w:divBdr>
    </w:div>
    <w:div w:id="1051929119">
      <w:bodyDiv w:val="1"/>
      <w:marLeft w:val="0"/>
      <w:marRight w:val="0"/>
      <w:marTop w:val="0"/>
      <w:marBottom w:val="0"/>
      <w:divBdr>
        <w:top w:val="none" w:sz="0" w:space="0" w:color="auto"/>
        <w:left w:val="none" w:sz="0" w:space="0" w:color="auto"/>
        <w:bottom w:val="none" w:sz="0" w:space="0" w:color="auto"/>
        <w:right w:val="none" w:sz="0" w:space="0" w:color="auto"/>
      </w:divBdr>
    </w:div>
    <w:div w:id="1089813742">
      <w:bodyDiv w:val="1"/>
      <w:marLeft w:val="0"/>
      <w:marRight w:val="0"/>
      <w:marTop w:val="0"/>
      <w:marBottom w:val="0"/>
      <w:divBdr>
        <w:top w:val="none" w:sz="0" w:space="0" w:color="auto"/>
        <w:left w:val="none" w:sz="0" w:space="0" w:color="auto"/>
        <w:bottom w:val="none" w:sz="0" w:space="0" w:color="auto"/>
        <w:right w:val="none" w:sz="0" w:space="0" w:color="auto"/>
      </w:divBdr>
    </w:div>
    <w:div w:id="1133212352">
      <w:bodyDiv w:val="1"/>
      <w:marLeft w:val="0"/>
      <w:marRight w:val="0"/>
      <w:marTop w:val="0"/>
      <w:marBottom w:val="0"/>
      <w:divBdr>
        <w:top w:val="none" w:sz="0" w:space="0" w:color="auto"/>
        <w:left w:val="none" w:sz="0" w:space="0" w:color="auto"/>
        <w:bottom w:val="none" w:sz="0" w:space="0" w:color="auto"/>
        <w:right w:val="none" w:sz="0" w:space="0" w:color="auto"/>
      </w:divBdr>
      <w:divsChild>
        <w:div w:id="871575981">
          <w:marLeft w:val="0"/>
          <w:marRight w:val="0"/>
          <w:marTop w:val="0"/>
          <w:marBottom w:val="0"/>
          <w:divBdr>
            <w:top w:val="none" w:sz="0" w:space="0" w:color="auto"/>
            <w:left w:val="none" w:sz="0" w:space="0" w:color="auto"/>
            <w:bottom w:val="none" w:sz="0" w:space="0" w:color="auto"/>
            <w:right w:val="none" w:sz="0" w:space="0" w:color="auto"/>
          </w:divBdr>
        </w:div>
      </w:divsChild>
    </w:div>
    <w:div w:id="1233197568">
      <w:bodyDiv w:val="1"/>
      <w:marLeft w:val="0"/>
      <w:marRight w:val="0"/>
      <w:marTop w:val="0"/>
      <w:marBottom w:val="0"/>
      <w:divBdr>
        <w:top w:val="none" w:sz="0" w:space="0" w:color="auto"/>
        <w:left w:val="none" w:sz="0" w:space="0" w:color="auto"/>
        <w:bottom w:val="none" w:sz="0" w:space="0" w:color="auto"/>
        <w:right w:val="none" w:sz="0" w:space="0" w:color="auto"/>
      </w:divBdr>
      <w:divsChild>
        <w:div w:id="1835755195">
          <w:marLeft w:val="0"/>
          <w:marRight w:val="0"/>
          <w:marTop w:val="0"/>
          <w:marBottom w:val="0"/>
          <w:divBdr>
            <w:top w:val="none" w:sz="0" w:space="0" w:color="auto"/>
            <w:left w:val="none" w:sz="0" w:space="0" w:color="auto"/>
            <w:bottom w:val="none" w:sz="0" w:space="0" w:color="auto"/>
            <w:right w:val="none" w:sz="0" w:space="0" w:color="auto"/>
          </w:divBdr>
        </w:div>
      </w:divsChild>
    </w:div>
    <w:div w:id="1285649996">
      <w:bodyDiv w:val="1"/>
      <w:marLeft w:val="0"/>
      <w:marRight w:val="0"/>
      <w:marTop w:val="0"/>
      <w:marBottom w:val="0"/>
      <w:divBdr>
        <w:top w:val="none" w:sz="0" w:space="0" w:color="auto"/>
        <w:left w:val="none" w:sz="0" w:space="0" w:color="auto"/>
        <w:bottom w:val="none" w:sz="0" w:space="0" w:color="auto"/>
        <w:right w:val="none" w:sz="0" w:space="0" w:color="auto"/>
      </w:divBdr>
      <w:divsChild>
        <w:div w:id="1587959676">
          <w:marLeft w:val="0"/>
          <w:marRight w:val="0"/>
          <w:marTop w:val="0"/>
          <w:marBottom w:val="0"/>
          <w:divBdr>
            <w:top w:val="none" w:sz="0" w:space="0" w:color="auto"/>
            <w:left w:val="none" w:sz="0" w:space="0" w:color="auto"/>
            <w:bottom w:val="none" w:sz="0" w:space="0" w:color="auto"/>
            <w:right w:val="none" w:sz="0" w:space="0" w:color="auto"/>
          </w:divBdr>
        </w:div>
      </w:divsChild>
    </w:div>
    <w:div w:id="1292782148">
      <w:bodyDiv w:val="1"/>
      <w:marLeft w:val="0"/>
      <w:marRight w:val="0"/>
      <w:marTop w:val="0"/>
      <w:marBottom w:val="0"/>
      <w:divBdr>
        <w:top w:val="none" w:sz="0" w:space="0" w:color="auto"/>
        <w:left w:val="none" w:sz="0" w:space="0" w:color="auto"/>
        <w:bottom w:val="none" w:sz="0" w:space="0" w:color="auto"/>
        <w:right w:val="none" w:sz="0" w:space="0" w:color="auto"/>
      </w:divBdr>
      <w:divsChild>
        <w:div w:id="1942225348">
          <w:marLeft w:val="0"/>
          <w:marRight w:val="0"/>
          <w:marTop w:val="0"/>
          <w:marBottom w:val="0"/>
          <w:divBdr>
            <w:top w:val="none" w:sz="0" w:space="0" w:color="auto"/>
            <w:left w:val="none" w:sz="0" w:space="0" w:color="auto"/>
            <w:bottom w:val="none" w:sz="0" w:space="0" w:color="auto"/>
            <w:right w:val="none" w:sz="0" w:space="0" w:color="auto"/>
          </w:divBdr>
        </w:div>
      </w:divsChild>
    </w:div>
    <w:div w:id="1325283447">
      <w:bodyDiv w:val="1"/>
      <w:marLeft w:val="0"/>
      <w:marRight w:val="0"/>
      <w:marTop w:val="0"/>
      <w:marBottom w:val="0"/>
      <w:divBdr>
        <w:top w:val="none" w:sz="0" w:space="0" w:color="auto"/>
        <w:left w:val="none" w:sz="0" w:space="0" w:color="auto"/>
        <w:bottom w:val="none" w:sz="0" w:space="0" w:color="auto"/>
        <w:right w:val="none" w:sz="0" w:space="0" w:color="auto"/>
      </w:divBdr>
    </w:div>
    <w:div w:id="1340812175">
      <w:bodyDiv w:val="1"/>
      <w:marLeft w:val="0"/>
      <w:marRight w:val="0"/>
      <w:marTop w:val="0"/>
      <w:marBottom w:val="0"/>
      <w:divBdr>
        <w:top w:val="none" w:sz="0" w:space="0" w:color="auto"/>
        <w:left w:val="none" w:sz="0" w:space="0" w:color="auto"/>
        <w:bottom w:val="none" w:sz="0" w:space="0" w:color="auto"/>
        <w:right w:val="none" w:sz="0" w:space="0" w:color="auto"/>
      </w:divBdr>
      <w:divsChild>
        <w:div w:id="1036926702">
          <w:marLeft w:val="0"/>
          <w:marRight w:val="0"/>
          <w:marTop w:val="0"/>
          <w:marBottom w:val="0"/>
          <w:divBdr>
            <w:top w:val="none" w:sz="0" w:space="0" w:color="auto"/>
            <w:left w:val="none" w:sz="0" w:space="0" w:color="auto"/>
            <w:bottom w:val="none" w:sz="0" w:space="0" w:color="auto"/>
            <w:right w:val="none" w:sz="0" w:space="0" w:color="auto"/>
          </w:divBdr>
        </w:div>
      </w:divsChild>
    </w:div>
    <w:div w:id="1422219400">
      <w:bodyDiv w:val="1"/>
      <w:marLeft w:val="0"/>
      <w:marRight w:val="0"/>
      <w:marTop w:val="0"/>
      <w:marBottom w:val="0"/>
      <w:divBdr>
        <w:top w:val="none" w:sz="0" w:space="0" w:color="auto"/>
        <w:left w:val="none" w:sz="0" w:space="0" w:color="auto"/>
        <w:bottom w:val="none" w:sz="0" w:space="0" w:color="auto"/>
        <w:right w:val="none" w:sz="0" w:space="0" w:color="auto"/>
      </w:divBdr>
    </w:div>
    <w:div w:id="1453549097">
      <w:bodyDiv w:val="1"/>
      <w:marLeft w:val="0"/>
      <w:marRight w:val="0"/>
      <w:marTop w:val="0"/>
      <w:marBottom w:val="0"/>
      <w:divBdr>
        <w:top w:val="none" w:sz="0" w:space="0" w:color="auto"/>
        <w:left w:val="none" w:sz="0" w:space="0" w:color="auto"/>
        <w:bottom w:val="none" w:sz="0" w:space="0" w:color="auto"/>
        <w:right w:val="none" w:sz="0" w:space="0" w:color="auto"/>
      </w:divBdr>
      <w:divsChild>
        <w:div w:id="530339445">
          <w:marLeft w:val="0"/>
          <w:marRight w:val="0"/>
          <w:marTop w:val="0"/>
          <w:marBottom w:val="0"/>
          <w:divBdr>
            <w:top w:val="none" w:sz="0" w:space="0" w:color="auto"/>
            <w:left w:val="none" w:sz="0" w:space="0" w:color="auto"/>
            <w:bottom w:val="none" w:sz="0" w:space="0" w:color="auto"/>
            <w:right w:val="none" w:sz="0" w:space="0" w:color="auto"/>
          </w:divBdr>
        </w:div>
      </w:divsChild>
    </w:div>
    <w:div w:id="1468006611">
      <w:bodyDiv w:val="1"/>
      <w:marLeft w:val="0"/>
      <w:marRight w:val="0"/>
      <w:marTop w:val="0"/>
      <w:marBottom w:val="0"/>
      <w:divBdr>
        <w:top w:val="none" w:sz="0" w:space="0" w:color="auto"/>
        <w:left w:val="none" w:sz="0" w:space="0" w:color="auto"/>
        <w:bottom w:val="none" w:sz="0" w:space="0" w:color="auto"/>
        <w:right w:val="none" w:sz="0" w:space="0" w:color="auto"/>
      </w:divBdr>
      <w:divsChild>
        <w:div w:id="381442664">
          <w:marLeft w:val="0"/>
          <w:marRight w:val="0"/>
          <w:marTop w:val="0"/>
          <w:marBottom w:val="0"/>
          <w:divBdr>
            <w:top w:val="none" w:sz="0" w:space="0" w:color="auto"/>
            <w:left w:val="none" w:sz="0" w:space="0" w:color="auto"/>
            <w:bottom w:val="none" w:sz="0" w:space="0" w:color="auto"/>
            <w:right w:val="none" w:sz="0" w:space="0" w:color="auto"/>
          </w:divBdr>
          <w:divsChild>
            <w:div w:id="129791562">
              <w:marLeft w:val="0"/>
              <w:marRight w:val="0"/>
              <w:marTop w:val="0"/>
              <w:marBottom w:val="0"/>
              <w:divBdr>
                <w:top w:val="none" w:sz="0" w:space="0" w:color="auto"/>
                <w:left w:val="none" w:sz="0" w:space="0" w:color="auto"/>
                <w:bottom w:val="none" w:sz="0" w:space="0" w:color="auto"/>
                <w:right w:val="none" w:sz="0" w:space="0" w:color="auto"/>
              </w:divBdr>
              <w:divsChild>
                <w:div w:id="1148791244">
                  <w:marLeft w:val="0"/>
                  <w:marRight w:val="0"/>
                  <w:marTop w:val="0"/>
                  <w:marBottom w:val="0"/>
                  <w:divBdr>
                    <w:top w:val="none" w:sz="0" w:space="0" w:color="auto"/>
                    <w:left w:val="none" w:sz="0" w:space="0" w:color="auto"/>
                    <w:bottom w:val="none" w:sz="0" w:space="0" w:color="auto"/>
                    <w:right w:val="none" w:sz="0" w:space="0" w:color="auto"/>
                  </w:divBdr>
                  <w:divsChild>
                    <w:div w:id="800460526">
                      <w:marLeft w:val="0"/>
                      <w:marRight w:val="0"/>
                      <w:marTop w:val="0"/>
                      <w:marBottom w:val="0"/>
                      <w:divBdr>
                        <w:top w:val="none" w:sz="0" w:space="0" w:color="auto"/>
                        <w:left w:val="none" w:sz="0" w:space="0" w:color="auto"/>
                        <w:bottom w:val="none" w:sz="0" w:space="0" w:color="auto"/>
                        <w:right w:val="none" w:sz="0" w:space="0" w:color="auto"/>
                      </w:divBdr>
                      <w:divsChild>
                        <w:div w:id="1012996346">
                          <w:marLeft w:val="0"/>
                          <w:marRight w:val="0"/>
                          <w:marTop w:val="0"/>
                          <w:marBottom w:val="0"/>
                          <w:divBdr>
                            <w:top w:val="none" w:sz="0" w:space="0" w:color="auto"/>
                            <w:left w:val="none" w:sz="0" w:space="0" w:color="auto"/>
                            <w:bottom w:val="none" w:sz="0" w:space="0" w:color="auto"/>
                            <w:right w:val="none" w:sz="0" w:space="0" w:color="auto"/>
                          </w:divBdr>
                          <w:divsChild>
                            <w:div w:id="1900550831">
                              <w:marLeft w:val="0"/>
                              <w:marRight w:val="0"/>
                              <w:marTop w:val="0"/>
                              <w:marBottom w:val="0"/>
                              <w:divBdr>
                                <w:top w:val="none" w:sz="0" w:space="0" w:color="auto"/>
                                <w:left w:val="none" w:sz="0" w:space="0" w:color="auto"/>
                                <w:bottom w:val="none" w:sz="0" w:space="0" w:color="auto"/>
                                <w:right w:val="none" w:sz="0" w:space="0" w:color="auto"/>
                              </w:divBdr>
                              <w:divsChild>
                                <w:div w:id="1180510067">
                                  <w:marLeft w:val="0"/>
                                  <w:marRight w:val="0"/>
                                  <w:marTop w:val="0"/>
                                  <w:marBottom w:val="0"/>
                                  <w:divBdr>
                                    <w:top w:val="none" w:sz="0" w:space="0" w:color="auto"/>
                                    <w:left w:val="none" w:sz="0" w:space="0" w:color="auto"/>
                                    <w:bottom w:val="none" w:sz="0" w:space="0" w:color="auto"/>
                                    <w:right w:val="none" w:sz="0" w:space="0" w:color="auto"/>
                                  </w:divBdr>
                                  <w:divsChild>
                                    <w:div w:id="16444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0590331">
          <w:marLeft w:val="0"/>
          <w:marRight w:val="0"/>
          <w:marTop w:val="0"/>
          <w:marBottom w:val="0"/>
          <w:divBdr>
            <w:top w:val="none" w:sz="0" w:space="0" w:color="auto"/>
            <w:left w:val="none" w:sz="0" w:space="0" w:color="auto"/>
            <w:bottom w:val="none" w:sz="0" w:space="0" w:color="auto"/>
            <w:right w:val="none" w:sz="0" w:space="0" w:color="auto"/>
          </w:divBdr>
          <w:divsChild>
            <w:div w:id="1136293811">
              <w:marLeft w:val="0"/>
              <w:marRight w:val="0"/>
              <w:marTop w:val="0"/>
              <w:marBottom w:val="0"/>
              <w:divBdr>
                <w:top w:val="none" w:sz="0" w:space="0" w:color="auto"/>
                <w:left w:val="none" w:sz="0" w:space="0" w:color="auto"/>
                <w:bottom w:val="none" w:sz="0" w:space="0" w:color="auto"/>
                <w:right w:val="none" w:sz="0" w:space="0" w:color="auto"/>
              </w:divBdr>
              <w:divsChild>
                <w:div w:id="974289463">
                  <w:marLeft w:val="0"/>
                  <w:marRight w:val="0"/>
                  <w:marTop w:val="0"/>
                  <w:marBottom w:val="0"/>
                  <w:divBdr>
                    <w:top w:val="none" w:sz="0" w:space="0" w:color="auto"/>
                    <w:left w:val="none" w:sz="0" w:space="0" w:color="auto"/>
                    <w:bottom w:val="none" w:sz="0" w:space="0" w:color="auto"/>
                    <w:right w:val="none" w:sz="0" w:space="0" w:color="auto"/>
                  </w:divBdr>
                  <w:divsChild>
                    <w:div w:id="279337525">
                      <w:marLeft w:val="0"/>
                      <w:marRight w:val="0"/>
                      <w:marTop w:val="0"/>
                      <w:marBottom w:val="0"/>
                      <w:divBdr>
                        <w:top w:val="none" w:sz="0" w:space="0" w:color="auto"/>
                        <w:left w:val="none" w:sz="0" w:space="0" w:color="auto"/>
                        <w:bottom w:val="none" w:sz="0" w:space="0" w:color="auto"/>
                        <w:right w:val="none" w:sz="0" w:space="0" w:color="auto"/>
                      </w:divBdr>
                      <w:divsChild>
                        <w:div w:id="786582944">
                          <w:marLeft w:val="0"/>
                          <w:marRight w:val="0"/>
                          <w:marTop w:val="0"/>
                          <w:marBottom w:val="0"/>
                          <w:divBdr>
                            <w:top w:val="none" w:sz="0" w:space="0" w:color="auto"/>
                            <w:left w:val="none" w:sz="0" w:space="0" w:color="auto"/>
                            <w:bottom w:val="none" w:sz="0" w:space="0" w:color="auto"/>
                            <w:right w:val="none" w:sz="0" w:space="0" w:color="auto"/>
                          </w:divBdr>
                          <w:divsChild>
                            <w:div w:id="1240477507">
                              <w:marLeft w:val="0"/>
                              <w:marRight w:val="0"/>
                              <w:marTop w:val="0"/>
                              <w:marBottom w:val="0"/>
                              <w:divBdr>
                                <w:top w:val="none" w:sz="0" w:space="0" w:color="auto"/>
                                <w:left w:val="none" w:sz="0" w:space="0" w:color="auto"/>
                                <w:bottom w:val="none" w:sz="0" w:space="0" w:color="auto"/>
                                <w:right w:val="none" w:sz="0" w:space="0" w:color="auto"/>
                              </w:divBdr>
                              <w:divsChild>
                                <w:div w:id="2129006785">
                                  <w:marLeft w:val="0"/>
                                  <w:marRight w:val="0"/>
                                  <w:marTop w:val="0"/>
                                  <w:marBottom w:val="0"/>
                                  <w:divBdr>
                                    <w:top w:val="none" w:sz="0" w:space="0" w:color="auto"/>
                                    <w:left w:val="none" w:sz="0" w:space="0" w:color="auto"/>
                                    <w:bottom w:val="none" w:sz="0" w:space="0" w:color="auto"/>
                                    <w:right w:val="none" w:sz="0" w:space="0" w:color="auto"/>
                                  </w:divBdr>
                                  <w:divsChild>
                                    <w:div w:id="2086149702">
                                      <w:marLeft w:val="0"/>
                                      <w:marRight w:val="0"/>
                                      <w:marTop w:val="0"/>
                                      <w:marBottom w:val="0"/>
                                      <w:divBdr>
                                        <w:top w:val="none" w:sz="0" w:space="0" w:color="auto"/>
                                        <w:left w:val="none" w:sz="0" w:space="0" w:color="auto"/>
                                        <w:bottom w:val="none" w:sz="0" w:space="0" w:color="auto"/>
                                        <w:right w:val="none" w:sz="0" w:space="0" w:color="auto"/>
                                      </w:divBdr>
                                      <w:divsChild>
                                        <w:div w:id="1732383695">
                                          <w:marLeft w:val="0"/>
                                          <w:marRight w:val="0"/>
                                          <w:marTop w:val="0"/>
                                          <w:marBottom w:val="0"/>
                                          <w:divBdr>
                                            <w:top w:val="none" w:sz="0" w:space="0" w:color="auto"/>
                                            <w:left w:val="none" w:sz="0" w:space="0" w:color="auto"/>
                                            <w:bottom w:val="none" w:sz="0" w:space="0" w:color="auto"/>
                                            <w:right w:val="none" w:sz="0" w:space="0" w:color="auto"/>
                                          </w:divBdr>
                                          <w:divsChild>
                                            <w:div w:id="804617931">
                                              <w:marLeft w:val="0"/>
                                              <w:marRight w:val="0"/>
                                              <w:marTop w:val="0"/>
                                              <w:marBottom w:val="0"/>
                                              <w:divBdr>
                                                <w:top w:val="none" w:sz="0" w:space="0" w:color="auto"/>
                                                <w:left w:val="none" w:sz="0" w:space="0" w:color="auto"/>
                                                <w:bottom w:val="none" w:sz="0" w:space="0" w:color="auto"/>
                                                <w:right w:val="none" w:sz="0" w:space="0" w:color="auto"/>
                                              </w:divBdr>
                                              <w:divsChild>
                                                <w:div w:id="163094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0318516">
      <w:bodyDiv w:val="1"/>
      <w:marLeft w:val="0"/>
      <w:marRight w:val="0"/>
      <w:marTop w:val="0"/>
      <w:marBottom w:val="0"/>
      <w:divBdr>
        <w:top w:val="none" w:sz="0" w:space="0" w:color="auto"/>
        <w:left w:val="none" w:sz="0" w:space="0" w:color="auto"/>
        <w:bottom w:val="none" w:sz="0" w:space="0" w:color="auto"/>
        <w:right w:val="none" w:sz="0" w:space="0" w:color="auto"/>
      </w:divBdr>
    </w:div>
    <w:div w:id="1549756627">
      <w:bodyDiv w:val="1"/>
      <w:marLeft w:val="0"/>
      <w:marRight w:val="0"/>
      <w:marTop w:val="0"/>
      <w:marBottom w:val="0"/>
      <w:divBdr>
        <w:top w:val="none" w:sz="0" w:space="0" w:color="auto"/>
        <w:left w:val="none" w:sz="0" w:space="0" w:color="auto"/>
        <w:bottom w:val="none" w:sz="0" w:space="0" w:color="auto"/>
        <w:right w:val="none" w:sz="0" w:space="0" w:color="auto"/>
      </w:divBdr>
    </w:div>
    <w:div w:id="1562672238">
      <w:bodyDiv w:val="1"/>
      <w:marLeft w:val="0"/>
      <w:marRight w:val="0"/>
      <w:marTop w:val="0"/>
      <w:marBottom w:val="0"/>
      <w:divBdr>
        <w:top w:val="none" w:sz="0" w:space="0" w:color="auto"/>
        <w:left w:val="none" w:sz="0" w:space="0" w:color="auto"/>
        <w:bottom w:val="none" w:sz="0" w:space="0" w:color="auto"/>
        <w:right w:val="none" w:sz="0" w:space="0" w:color="auto"/>
      </w:divBdr>
    </w:div>
    <w:div w:id="1570385075">
      <w:bodyDiv w:val="1"/>
      <w:marLeft w:val="0"/>
      <w:marRight w:val="0"/>
      <w:marTop w:val="0"/>
      <w:marBottom w:val="0"/>
      <w:divBdr>
        <w:top w:val="none" w:sz="0" w:space="0" w:color="auto"/>
        <w:left w:val="none" w:sz="0" w:space="0" w:color="auto"/>
        <w:bottom w:val="none" w:sz="0" w:space="0" w:color="auto"/>
        <w:right w:val="none" w:sz="0" w:space="0" w:color="auto"/>
      </w:divBdr>
      <w:divsChild>
        <w:div w:id="778253608">
          <w:marLeft w:val="0"/>
          <w:marRight w:val="0"/>
          <w:marTop w:val="0"/>
          <w:marBottom w:val="0"/>
          <w:divBdr>
            <w:top w:val="none" w:sz="0" w:space="0" w:color="auto"/>
            <w:left w:val="none" w:sz="0" w:space="0" w:color="auto"/>
            <w:bottom w:val="none" w:sz="0" w:space="0" w:color="auto"/>
            <w:right w:val="none" w:sz="0" w:space="0" w:color="auto"/>
          </w:divBdr>
        </w:div>
      </w:divsChild>
    </w:div>
    <w:div w:id="1593050326">
      <w:bodyDiv w:val="1"/>
      <w:marLeft w:val="0"/>
      <w:marRight w:val="0"/>
      <w:marTop w:val="0"/>
      <w:marBottom w:val="0"/>
      <w:divBdr>
        <w:top w:val="none" w:sz="0" w:space="0" w:color="auto"/>
        <w:left w:val="none" w:sz="0" w:space="0" w:color="auto"/>
        <w:bottom w:val="none" w:sz="0" w:space="0" w:color="auto"/>
        <w:right w:val="none" w:sz="0" w:space="0" w:color="auto"/>
      </w:divBdr>
    </w:div>
    <w:div w:id="1593707256">
      <w:bodyDiv w:val="1"/>
      <w:marLeft w:val="0"/>
      <w:marRight w:val="0"/>
      <w:marTop w:val="0"/>
      <w:marBottom w:val="0"/>
      <w:divBdr>
        <w:top w:val="none" w:sz="0" w:space="0" w:color="auto"/>
        <w:left w:val="none" w:sz="0" w:space="0" w:color="auto"/>
        <w:bottom w:val="none" w:sz="0" w:space="0" w:color="auto"/>
        <w:right w:val="none" w:sz="0" w:space="0" w:color="auto"/>
      </w:divBdr>
    </w:div>
    <w:div w:id="1605380380">
      <w:bodyDiv w:val="1"/>
      <w:marLeft w:val="0"/>
      <w:marRight w:val="0"/>
      <w:marTop w:val="0"/>
      <w:marBottom w:val="0"/>
      <w:divBdr>
        <w:top w:val="none" w:sz="0" w:space="0" w:color="auto"/>
        <w:left w:val="none" w:sz="0" w:space="0" w:color="auto"/>
        <w:bottom w:val="none" w:sz="0" w:space="0" w:color="auto"/>
        <w:right w:val="none" w:sz="0" w:space="0" w:color="auto"/>
      </w:divBdr>
    </w:div>
    <w:div w:id="1611352313">
      <w:bodyDiv w:val="1"/>
      <w:marLeft w:val="0"/>
      <w:marRight w:val="0"/>
      <w:marTop w:val="0"/>
      <w:marBottom w:val="0"/>
      <w:divBdr>
        <w:top w:val="none" w:sz="0" w:space="0" w:color="auto"/>
        <w:left w:val="none" w:sz="0" w:space="0" w:color="auto"/>
        <w:bottom w:val="none" w:sz="0" w:space="0" w:color="auto"/>
        <w:right w:val="none" w:sz="0" w:space="0" w:color="auto"/>
      </w:divBdr>
      <w:divsChild>
        <w:div w:id="2033453449">
          <w:marLeft w:val="0"/>
          <w:marRight w:val="0"/>
          <w:marTop w:val="0"/>
          <w:marBottom w:val="0"/>
          <w:divBdr>
            <w:top w:val="none" w:sz="0" w:space="0" w:color="auto"/>
            <w:left w:val="none" w:sz="0" w:space="0" w:color="auto"/>
            <w:bottom w:val="none" w:sz="0" w:space="0" w:color="auto"/>
            <w:right w:val="none" w:sz="0" w:space="0" w:color="auto"/>
          </w:divBdr>
        </w:div>
      </w:divsChild>
    </w:div>
    <w:div w:id="1614628873">
      <w:bodyDiv w:val="1"/>
      <w:marLeft w:val="0"/>
      <w:marRight w:val="0"/>
      <w:marTop w:val="0"/>
      <w:marBottom w:val="0"/>
      <w:divBdr>
        <w:top w:val="none" w:sz="0" w:space="0" w:color="auto"/>
        <w:left w:val="none" w:sz="0" w:space="0" w:color="auto"/>
        <w:bottom w:val="none" w:sz="0" w:space="0" w:color="auto"/>
        <w:right w:val="none" w:sz="0" w:space="0" w:color="auto"/>
      </w:divBdr>
      <w:divsChild>
        <w:div w:id="236207634">
          <w:marLeft w:val="0"/>
          <w:marRight w:val="0"/>
          <w:marTop w:val="0"/>
          <w:marBottom w:val="0"/>
          <w:divBdr>
            <w:top w:val="none" w:sz="0" w:space="0" w:color="auto"/>
            <w:left w:val="none" w:sz="0" w:space="0" w:color="auto"/>
            <w:bottom w:val="none" w:sz="0" w:space="0" w:color="auto"/>
            <w:right w:val="none" w:sz="0" w:space="0" w:color="auto"/>
          </w:divBdr>
        </w:div>
      </w:divsChild>
    </w:div>
    <w:div w:id="1641961134">
      <w:bodyDiv w:val="1"/>
      <w:marLeft w:val="0"/>
      <w:marRight w:val="0"/>
      <w:marTop w:val="0"/>
      <w:marBottom w:val="0"/>
      <w:divBdr>
        <w:top w:val="none" w:sz="0" w:space="0" w:color="auto"/>
        <w:left w:val="none" w:sz="0" w:space="0" w:color="auto"/>
        <w:bottom w:val="none" w:sz="0" w:space="0" w:color="auto"/>
        <w:right w:val="none" w:sz="0" w:space="0" w:color="auto"/>
      </w:divBdr>
    </w:div>
    <w:div w:id="1648821969">
      <w:bodyDiv w:val="1"/>
      <w:marLeft w:val="0"/>
      <w:marRight w:val="0"/>
      <w:marTop w:val="0"/>
      <w:marBottom w:val="0"/>
      <w:divBdr>
        <w:top w:val="none" w:sz="0" w:space="0" w:color="auto"/>
        <w:left w:val="none" w:sz="0" w:space="0" w:color="auto"/>
        <w:bottom w:val="none" w:sz="0" w:space="0" w:color="auto"/>
        <w:right w:val="none" w:sz="0" w:space="0" w:color="auto"/>
      </w:divBdr>
    </w:div>
    <w:div w:id="1676956593">
      <w:bodyDiv w:val="1"/>
      <w:marLeft w:val="0"/>
      <w:marRight w:val="0"/>
      <w:marTop w:val="0"/>
      <w:marBottom w:val="0"/>
      <w:divBdr>
        <w:top w:val="none" w:sz="0" w:space="0" w:color="auto"/>
        <w:left w:val="none" w:sz="0" w:space="0" w:color="auto"/>
        <w:bottom w:val="none" w:sz="0" w:space="0" w:color="auto"/>
        <w:right w:val="none" w:sz="0" w:space="0" w:color="auto"/>
      </w:divBdr>
      <w:divsChild>
        <w:div w:id="548541537">
          <w:marLeft w:val="0"/>
          <w:marRight w:val="0"/>
          <w:marTop w:val="0"/>
          <w:marBottom w:val="0"/>
          <w:divBdr>
            <w:top w:val="none" w:sz="0" w:space="0" w:color="auto"/>
            <w:left w:val="none" w:sz="0" w:space="0" w:color="auto"/>
            <w:bottom w:val="none" w:sz="0" w:space="0" w:color="auto"/>
            <w:right w:val="none" w:sz="0" w:space="0" w:color="auto"/>
          </w:divBdr>
        </w:div>
      </w:divsChild>
    </w:div>
    <w:div w:id="1690906127">
      <w:bodyDiv w:val="1"/>
      <w:marLeft w:val="0"/>
      <w:marRight w:val="0"/>
      <w:marTop w:val="0"/>
      <w:marBottom w:val="0"/>
      <w:divBdr>
        <w:top w:val="none" w:sz="0" w:space="0" w:color="auto"/>
        <w:left w:val="none" w:sz="0" w:space="0" w:color="auto"/>
        <w:bottom w:val="none" w:sz="0" w:space="0" w:color="auto"/>
        <w:right w:val="none" w:sz="0" w:space="0" w:color="auto"/>
      </w:divBdr>
    </w:div>
    <w:div w:id="1719474461">
      <w:bodyDiv w:val="1"/>
      <w:marLeft w:val="0"/>
      <w:marRight w:val="0"/>
      <w:marTop w:val="0"/>
      <w:marBottom w:val="0"/>
      <w:divBdr>
        <w:top w:val="none" w:sz="0" w:space="0" w:color="auto"/>
        <w:left w:val="none" w:sz="0" w:space="0" w:color="auto"/>
        <w:bottom w:val="none" w:sz="0" w:space="0" w:color="auto"/>
        <w:right w:val="none" w:sz="0" w:space="0" w:color="auto"/>
      </w:divBdr>
      <w:divsChild>
        <w:div w:id="1052651282">
          <w:marLeft w:val="0"/>
          <w:marRight w:val="0"/>
          <w:marTop w:val="0"/>
          <w:marBottom w:val="0"/>
          <w:divBdr>
            <w:top w:val="none" w:sz="0" w:space="0" w:color="auto"/>
            <w:left w:val="none" w:sz="0" w:space="0" w:color="auto"/>
            <w:bottom w:val="none" w:sz="0" w:space="0" w:color="auto"/>
            <w:right w:val="none" w:sz="0" w:space="0" w:color="auto"/>
          </w:divBdr>
        </w:div>
      </w:divsChild>
    </w:div>
    <w:div w:id="1764522329">
      <w:bodyDiv w:val="1"/>
      <w:marLeft w:val="0"/>
      <w:marRight w:val="0"/>
      <w:marTop w:val="0"/>
      <w:marBottom w:val="0"/>
      <w:divBdr>
        <w:top w:val="none" w:sz="0" w:space="0" w:color="auto"/>
        <w:left w:val="none" w:sz="0" w:space="0" w:color="auto"/>
        <w:bottom w:val="none" w:sz="0" w:space="0" w:color="auto"/>
        <w:right w:val="none" w:sz="0" w:space="0" w:color="auto"/>
      </w:divBdr>
      <w:divsChild>
        <w:div w:id="1944995310">
          <w:marLeft w:val="0"/>
          <w:marRight w:val="0"/>
          <w:marTop w:val="0"/>
          <w:marBottom w:val="0"/>
          <w:divBdr>
            <w:top w:val="none" w:sz="0" w:space="0" w:color="auto"/>
            <w:left w:val="none" w:sz="0" w:space="0" w:color="auto"/>
            <w:bottom w:val="none" w:sz="0" w:space="0" w:color="auto"/>
            <w:right w:val="none" w:sz="0" w:space="0" w:color="auto"/>
          </w:divBdr>
        </w:div>
      </w:divsChild>
    </w:div>
    <w:div w:id="1768773885">
      <w:bodyDiv w:val="1"/>
      <w:marLeft w:val="0"/>
      <w:marRight w:val="0"/>
      <w:marTop w:val="0"/>
      <w:marBottom w:val="0"/>
      <w:divBdr>
        <w:top w:val="none" w:sz="0" w:space="0" w:color="auto"/>
        <w:left w:val="none" w:sz="0" w:space="0" w:color="auto"/>
        <w:bottom w:val="none" w:sz="0" w:space="0" w:color="auto"/>
        <w:right w:val="none" w:sz="0" w:space="0" w:color="auto"/>
      </w:divBdr>
    </w:div>
    <w:div w:id="1815364816">
      <w:bodyDiv w:val="1"/>
      <w:marLeft w:val="0"/>
      <w:marRight w:val="0"/>
      <w:marTop w:val="0"/>
      <w:marBottom w:val="0"/>
      <w:divBdr>
        <w:top w:val="none" w:sz="0" w:space="0" w:color="auto"/>
        <w:left w:val="none" w:sz="0" w:space="0" w:color="auto"/>
        <w:bottom w:val="none" w:sz="0" w:space="0" w:color="auto"/>
        <w:right w:val="none" w:sz="0" w:space="0" w:color="auto"/>
      </w:divBdr>
      <w:divsChild>
        <w:div w:id="1319769936">
          <w:marLeft w:val="0"/>
          <w:marRight w:val="0"/>
          <w:marTop w:val="0"/>
          <w:marBottom w:val="0"/>
          <w:divBdr>
            <w:top w:val="none" w:sz="0" w:space="0" w:color="auto"/>
            <w:left w:val="none" w:sz="0" w:space="0" w:color="auto"/>
            <w:bottom w:val="none" w:sz="0" w:space="0" w:color="auto"/>
            <w:right w:val="none" w:sz="0" w:space="0" w:color="auto"/>
          </w:divBdr>
        </w:div>
      </w:divsChild>
    </w:div>
    <w:div w:id="1825705879">
      <w:bodyDiv w:val="1"/>
      <w:marLeft w:val="0"/>
      <w:marRight w:val="0"/>
      <w:marTop w:val="0"/>
      <w:marBottom w:val="0"/>
      <w:divBdr>
        <w:top w:val="none" w:sz="0" w:space="0" w:color="auto"/>
        <w:left w:val="none" w:sz="0" w:space="0" w:color="auto"/>
        <w:bottom w:val="none" w:sz="0" w:space="0" w:color="auto"/>
        <w:right w:val="none" w:sz="0" w:space="0" w:color="auto"/>
      </w:divBdr>
      <w:divsChild>
        <w:div w:id="313997592">
          <w:marLeft w:val="0"/>
          <w:marRight w:val="0"/>
          <w:marTop w:val="0"/>
          <w:marBottom w:val="0"/>
          <w:divBdr>
            <w:top w:val="none" w:sz="0" w:space="0" w:color="auto"/>
            <w:left w:val="none" w:sz="0" w:space="0" w:color="auto"/>
            <w:bottom w:val="none" w:sz="0" w:space="0" w:color="auto"/>
            <w:right w:val="none" w:sz="0" w:space="0" w:color="auto"/>
          </w:divBdr>
        </w:div>
      </w:divsChild>
    </w:div>
    <w:div w:id="1835144380">
      <w:bodyDiv w:val="1"/>
      <w:marLeft w:val="0"/>
      <w:marRight w:val="0"/>
      <w:marTop w:val="0"/>
      <w:marBottom w:val="0"/>
      <w:divBdr>
        <w:top w:val="none" w:sz="0" w:space="0" w:color="auto"/>
        <w:left w:val="none" w:sz="0" w:space="0" w:color="auto"/>
        <w:bottom w:val="none" w:sz="0" w:space="0" w:color="auto"/>
        <w:right w:val="none" w:sz="0" w:space="0" w:color="auto"/>
      </w:divBdr>
      <w:divsChild>
        <w:div w:id="562983610">
          <w:marLeft w:val="0"/>
          <w:marRight w:val="0"/>
          <w:marTop w:val="0"/>
          <w:marBottom w:val="0"/>
          <w:divBdr>
            <w:top w:val="none" w:sz="0" w:space="0" w:color="auto"/>
            <w:left w:val="none" w:sz="0" w:space="0" w:color="auto"/>
            <w:bottom w:val="none" w:sz="0" w:space="0" w:color="auto"/>
            <w:right w:val="none" w:sz="0" w:space="0" w:color="auto"/>
          </w:divBdr>
        </w:div>
      </w:divsChild>
    </w:div>
    <w:div w:id="1840727611">
      <w:bodyDiv w:val="1"/>
      <w:marLeft w:val="0"/>
      <w:marRight w:val="0"/>
      <w:marTop w:val="0"/>
      <w:marBottom w:val="0"/>
      <w:divBdr>
        <w:top w:val="none" w:sz="0" w:space="0" w:color="auto"/>
        <w:left w:val="none" w:sz="0" w:space="0" w:color="auto"/>
        <w:bottom w:val="none" w:sz="0" w:space="0" w:color="auto"/>
        <w:right w:val="none" w:sz="0" w:space="0" w:color="auto"/>
      </w:divBdr>
    </w:div>
    <w:div w:id="1860045664">
      <w:bodyDiv w:val="1"/>
      <w:marLeft w:val="0"/>
      <w:marRight w:val="0"/>
      <w:marTop w:val="0"/>
      <w:marBottom w:val="0"/>
      <w:divBdr>
        <w:top w:val="none" w:sz="0" w:space="0" w:color="auto"/>
        <w:left w:val="none" w:sz="0" w:space="0" w:color="auto"/>
        <w:bottom w:val="none" w:sz="0" w:space="0" w:color="auto"/>
        <w:right w:val="none" w:sz="0" w:space="0" w:color="auto"/>
      </w:divBdr>
    </w:div>
    <w:div w:id="1882473370">
      <w:bodyDiv w:val="1"/>
      <w:marLeft w:val="0"/>
      <w:marRight w:val="0"/>
      <w:marTop w:val="0"/>
      <w:marBottom w:val="0"/>
      <w:divBdr>
        <w:top w:val="none" w:sz="0" w:space="0" w:color="auto"/>
        <w:left w:val="none" w:sz="0" w:space="0" w:color="auto"/>
        <w:bottom w:val="none" w:sz="0" w:space="0" w:color="auto"/>
        <w:right w:val="none" w:sz="0" w:space="0" w:color="auto"/>
      </w:divBdr>
      <w:divsChild>
        <w:div w:id="1219167485">
          <w:marLeft w:val="0"/>
          <w:marRight w:val="0"/>
          <w:marTop w:val="0"/>
          <w:marBottom w:val="0"/>
          <w:divBdr>
            <w:top w:val="none" w:sz="0" w:space="0" w:color="auto"/>
            <w:left w:val="none" w:sz="0" w:space="0" w:color="auto"/>
            <w:bottom w:val="none" w:sz="0" w:space="0" w:color="auto"/>
            <w:right w:val="none" w:sz="0" w:space="0" w:color="auto"/>
          </w:divBdr>
        </w:div>
      </w:divsChild>
    </w:div>
    <w:div w:id="1895657542">
      <w:bodyDiv w:val="1"/>
      <w:marLeft w:val="0"/>
      <w:marRight w:val="0"/>
      <w:marTop w:val="0"/>
      <w:marBottom w:val="0"/>
      <w:divBdr>
        <w:top w:val="none" w:sz="0" w:space="0" w:color="auto"/>
        <w:left w:val="none" w:sz="0" w:space="0" w:color="auto"/>
        <w:bottom w:val="none" w:sz="0" w:space="0" w:color="auto"/>
        <w:right w:val="none" w:sz="0" w:space="0" w:color="auto"/>
      </w:divBdr>
      <w:divsChild>
        <w:div w:id="1851292413">
          <w:marLeft w:val="0"/>
          <w:marRight w:val="0"/>
          <w:marTop w:val="0"/>
          <w:marBottom w:val="0"/>
          <w:divBdr>
            <w:top w:val="none" w:sz="0" w:space="0" w:color="auto"/>
            <w:left w:val="none" w:sz="0" w:space="0" w:color="auto"/>
            <w:bottom w:val="none" w:sz="0" w:space="0" w:color="auto"/>
            <w:right w:val="none" w:sz="0" w:space="0" w:color="auto"/>
          </w:divBdr>
          <w:divsChild>
            <w:div w:id="1030760684">
              <w:marLeft w:val="0"/>
              <w:marRight w:val="0"/>
              <w:marTop w:val="0"/>
              <w:marBottom w:val="0"/>
              <w:divBdr>
                <w:top w:val="none" w:sz="0" w:space="0" w:color="auto"/>
                <w:left w:val="none" w:sz="0" w:space="0" w:color="auto"/>
                <w:bottom w:val="none" w:sz="0" w:space="0" w:color="auto"/>
                <w:right w:val="none" w:sz="0" w:space="0" w:color="auto"/>
              </w:divBdr>
              <w:divsChild>
                <w:div w:id="1490825795">
                  <w:marLeft w:val="0"/>
                  <w:marRight w:val="0"/>
                  <w:marTop w:val="0"/>
                  <w:marBottom w:val="0"/>
                  <w:divBdr>
                    <w:top w:val="none" w:sz="0" w:space="0" w:color="auto"/>
                    <w:left w:val="none" w:sz="0" w:space="0" w:color="auto"/>
                    <w:bottom w:val="none" w:sz="0" w:space="0" w:color="auto"/>
                    <w:right w:val="none" w:sz="0" w:space="0" w:color="auto"/>
                  </w:divBdr>
                  <w:divsChild>
                    <w:div w:id="1716656245">
                      <w:marLeft w:val="0"/>
                      <w:marRight w:val="0"/>
                      <w:marTop w:val="0"/>
                      <w:marBottom w:val="0"/>
                      <w:divBdr>
                        <w:top w:val="none" w:sz="0" w:space="0" w:color="auto"/>
                        <w:left w:val="none" w:sz="0" w:space="0" w:color="auto"/>
                        <w:bottom w:val="none" w:sz="0" w:space="0" w:color="auto"/>
                        <w:right w:val="none" w:sz="0" w:space="0" w:color="auto"/>
                      </w:divBdr>
                      <w:divsChild>
                        <w:div w:id="442575821">
                          <w:marLeft w:val="0"/>
                          <w:marRight w:val="0"/>
                          <w:marTop w:val="0"/>
                          <w:marBottom w:val="0"/>
                          <w:divBdr>
                            <w:top w:val="none" w:sz="0" w:space="0" w:color="auto"/>
                            <w:left w:val="none" w:sz="0" w:space="0" w:color="auto"/>
                            <w:bottom w:val="none" w:sz="0" w:space="0" w:color="auto"/>
                            <w:right w:val="none" w:sz="0" w:space="0" w:color="auto"/>
                          </w:divBdr>
                          <w:divsChild>
                            <w:div w:id="949245181">
                              <w:marLeft w:val="0"/>
                              <w:marRight w:val="0"/>
                              <w:marTop w:val="0"/>
                              <w:marBottom w:val="0"/>
                              <w:divBdr>
                                <w:top w:val="none" w:sz="0" w:space="0" w:color="auto"/>
                                <w:left w:val="none" w:sz="0" w:space="0" w:color="auto"/>
                                <w:bottom w:val="none" w:sz="0" w:space="0" w:color="auto"/>
                                <w:right w:val="none" w:sz="0" w:space="0" w:color="auto"/>
                              </w:divBdr>
                              <w:divsChild>
                                <w:div w:id="3740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620119">
      <w:bodyDiv w:val="1"/>
      <w:marLeft w:val="0"/>
      <w:marRight w:val="0"/>
      <w:marTop w:val="0"/>
      <w:marBottom w:val="0"/>
      <w:divBdr>
        <w:top w:val="none" w:sz="0" w:space="0" w:color="auto"/>
        <w:left w:val="none" w:sz="0" w:space="0" w:color="auto"/>
        <w:bottom w:val="none" w:sz="0" w:space="0" w:color="auto"/>
        <w:right w:val="none" w:sz="0" w:space="0" w:color="auto"/>
      </w:divBdr>
    </w:div>
    <w:div w:id="1935166203">
      <w:bodyDiv w:val="1"/>
      <w:marLeft w:val="0"/>
      <w:marRight w:val="0"/>
      <w:marTop w:val="0"/>
      <w:marBottom w:val="0"/>
      <w:divBdr>
        <w:top w:val="none" w:sz="0" w:space="0" w:color="auto"/>
        <w:left w:val="none" w:sz="0" w:space="0" w:color="auto"/>
        <w:bottom w:val="none" w:sz="0" w:space="0" w:color="auto"/>
        <w:right w:val="none" w:sz="0" w:space="0" w:color="auto"/>
      </w:divBdr>
      <w:divsChild>
        <w:div w:id="491917119">
          <w:marLeft w:val="0"/>
          <w:marRight w:val="0"/>
          <w:marTop w:val="0"/>
          <w:marBottom w:val="0"/>
          <w:divBdr>
            <w:top w:val="none" w:sz="0" w:space="0" w:color="auto"/>
            <w:left w:val="none" w:sz="0" w:space="0" w:color="auto"/>
            <w:bottom w:val="none" w:sz="0" w:space="0" w:color="auto"/>
            <w:right w:val="none" w:sz="0" w:space="0" w:color="auto"/>
          </w:divBdr>
        </w:div>
      </w:divsChild>
    </w:div>
    <w:div w:id="1963458595">
      <w:bodyDiv w:val="1"/>
      <w:marLeft w:val="0"/>
      <w:marRight w:val="0"/>
      <w:marTop w:val="0"/>
      <w:marBottom w:val="0"/>
      <w:divBdr>
        <w:top w:val="none" w:sz="0" w:space="0" w:color="auto"/>
        <w:left w:val="none" w:sz="0" w:space="0" w:color="auto"/>
        <w:bottom w:val="none" w:sz="0" w:space="0" w:color="auto"/>
        <w:right w:val="none" w:sz="0" w:space="0" w:color="auto"/>
      </w:divBdr>
      <w:divsChild>
        <w:div w:id="2081561882">
          <w:marLeft w:val="0"/>
          <w:marRight w:val="0"/>
          <w:marTop w:val="0"/>
          <w:marBottom w:val="0"/>
          <w:divBdr>
            <w:top w:val="none" w:sz="0" w:space="0" w:color="auto"/>
            <w:left w:val="none" w:sz="0" w:space="0" w:color="auto"/>
            <w:bottom w:val="none" w:sz="0" w:space="0" w:color="auto"/>
            <w:right w:val="none" w:sz="0" w:space="0" w:color="auto"/>
          </w:divBdr>
        </w:div>
      </w:divsChild>
    </w:div>
    <w:div w:id="2031292747">
      <w:bodyDiv w:val="1"/>
      <w:marLeft w:val="0"/>
      <w:marRight w:val="0"/>
      <w:marTop w:val="0"/>
      <w:marBottom w:val="0"/>
      <w:divBdr>
        <w:top w:val="none" w:sz="0" w:space="0" w:color="auto"/>
        <w:left w:val="none" w:sz="0" w:space="0" w:color="auto"/>
        <w:bottom w:val="none" w:sz="0" w:space="0" w:color="auto"/>
        <w:right w:val="none" w:sz="0" w:space="0" w:color="auto"/>
      </w:divBdr>
    </w:div>
    <w:div w:id="2076320671">
      <w:bodyDiv w:val="1"/>
      <w:marLeft w:val="0"/>
      <w:marRight w:val="0"/>
      <w:marTop w:val="0"/>
      <w:marBottom w:val="0"/>
      <w:divBdr>
        <w:top w:val="none" w:sz="0" w:space="0" w:color="auto"/>
        <w:left w:val="none" w:sz="0" w:space="0" w:color="auto"/>
        <w:bottom w:val="none" w:sz="0" w:space="0" w:color="auto"/>
        <w:right w:val="none" w:sz="0" w:space="0" w:color="auto"/>
      </w:divBdr>
    </w:div>
    <w:div w:id="2078893075">
      <w:bodyDiv w:val="1"/>
      <w:marLeft w:val="0"/>
      <w:marRight w:val="0"/>
      <w:marTop w:val="0"/>
      <w:marBottom w:val="0"/>
      <w:divBdr>
        <w:top w:val="none" w:sz="0" w:space="0" w:color="auto"/>
        <w:left w:val="none" w:sz="0" w:space="0" w:color="auto"/>
        <w:bottom w:val="none" w:sz="0" w:space="0" w:color="auto"/>
        <w:right w:val="none" w:sz="0" w:space="0" w:color="auto"/>
      </w:divBdr>
    </w:div>
    <w:div w:id="2095125478">
      <w:bodyDiv w:val="1"/>
      <w:marLeft w:val="0"/>
      <w:marRight w:val="0"/>
      <w:marTop w:val="0"/>
      <w:marBottom w:val="0"/>
      <w:divBdr>
        <w:top w:val="none" w:sz="0" w:space="0" w:color="auto"/>
        <w:left w:val="none" w:sz="0" w:space="0" w:color="auto"/>
        <w:bottom w:val="none" w:sz="0" w:space="0" w:color="auto"/>
        <w:right w:val="none" w:sz="0" w:space="0" w:color="auto"/>
      </w:divBdr>
      <w:divsChild>
        <w:div w:id="128667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class.aspete.gr/modules/document/file.php/EPPAIK269/5a7cc366dd963113c6923ac4a73c3286ab22.pdf" TargetMode="External"/><Relationship Id="rId18" Type="http://schemas.openxmlformats.org/officeDocument/2006/relationships/hyperlink" Target="https://www.sciencedirect.com/science/article/abs/pii/S02775395970008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k-sagepub-com.uwtsd.idm.oclc.org/hnbk/edvol/the-sage-handbook-of-qualitative-data-collection/toc" TargetMode="External"/><Relationship Id="rId17" Type="http://schemas.openxmlformats.org/officeDocument/2006/relationships/hyperlink" Target="https://www.uwtsd.ac.uk" TargetMode="External"/><Relationship Id="rId2" Type="http://schemas.openxmlformats.org/officeDocument/2006/relationships/numbering" Target="numbering.xml"/><Relationship Id="rId16" Type="http://schemas.openxmlformats.org/officeDocument/2006/relationships/hyperlink" Target="https://doi.org/10.1037/spq000008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8/12/section/3" TargetMode="External"/><Relationship Id="rId5" Type="http://schemas.openxmlformats.org/officeDocument/2006/relationships/webSettings" Target="webSettings.xml"/><Relationship Id="rId15" Type="http://schemas.openxmlformats.org/officeDocument/2006/relationships/hyperlink" Target="https://bookshelf.vitalsource.com/reader/books/9781473944084/epubcfi/6/24%5b%3Bvnd.vst.idref%3Ds9781473921832.i266%5d!/4/2%5bs9781473921832.i266%5d/22%5bs9781473921832.i317%5d/12%5bs9781473921832.i318%5d/4/12/1:320%5bate%2C%20wh%5d" TargetMode="External"/><Relationship Id="rId10" Type="http://schemas.openxmlformats.org/officeDocument/2006/relationships/hyperlink" Target="https://www-vlebooks-com.uwtsd.idm.oclc.org/Product/Index/1010573?page=0&amp;startBookmarkId=-1" TargetMode="External"/><Relationship Id="rId19" Type="http://schemas.openxmlformats.org/officeDocument/2006/relationships/hyperlink" Target="https://doi.org/10.1007/s12310-022-09546-x"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fifth-edition-2024-online" TargetMode="External"/><Relationship Id="rId14" Type="http://schemas.openxmlformats.org/officeDocument/2006/relationships/hyperlink" Target="https://www-vlebooks-com.uwtsd.idm.oclc.org/Product/Index/952318?page=0&amp;startBookmarkId=-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83909-F27C-450D-BF32-6CB2FA7AB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5171</Words>
  <Characters>29481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dc:creator>
  <cp:keywords/>
  <dc:description/>
  <cp:lastModifiedBy>Sarah Rees</cp:lastModifiedBy>
  <cp:revision>2</cp:revision>
  <dcterms:created xsi:type="dcterms:W3CDTF">2026-04-28T08:46:00Z</dcterms:created>
  <dcterms:modified xsi:type="dcterms:W3CDTF">2026-04-28T08:46:00Z</dcterms:modified>
</cp:coreProperties>
</file>