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A22EBB8" wp14:paraId="0A09ED0D" wp14:textId="26711225">
      <w:pPr>
        <w:pStyle w:val="Heading1"/>
        <w:keepNext w:val="1"/>
        <w:keepLines w:val="1"/>
        <w:spacing w:before="322" w:beforeAutospacing="off" w:after="322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Component</w:t>
      </w: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1: </w:t>
      </w:r>
      <w:r w:rsidRPr="6A22EBB8" w:rsidR="33C68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Round the table group </w:t>
      </w:r>
      <w:r w:rsidRPr="6A22EBB8" w:rsidR="33C68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discussion</w:t>
      </w:r>
    </w:p>
    <w:p xmlns:wp14="http://schemas.microsoft.com/office/word/2010/wordml" w:rsidP="6A22EBB8" wp14:paraId="2E43966A" wp14:textId="7B7268A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Saima Sadiq</w:t>
      </w:r>
    </w:p>
    <w:p xmlns:wp14="http://schemas.microsoft.com/office/word/2010/wordml" w:rsidP="6A22EBB8" wp14:paraId="18246B71" wp14:textId="7A76773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2410753</w:t>
      </w:r>
    </w:p>
    <w:p xmlns:wp14="http://schemas.microsoft.com/office/word/2010/wordml" w:rsidP="6A22EBB8" wp14:paraId="49967910" wp14:textId="61A4CFE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Module </w:t>
      </w: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– </w:t>
      </w:r>
      <w:r w:rsidRPr="6A22EBB8" w:rsidR="44DE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Protecting</w:t>
      </w:r>
      <w:r w:rsidRPr="6A22EBB8" w:rsidR="44DE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supporting families in health and care</w:t>
      </w:r>
    </w:p>
    <w:p xmlns:wp14="http://schemas.microsoft.com/office/word/2010/wordml" w:rsidP="6A22EBB8" wp14:paraId="001A5578" wp14:textId="17CCD7F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 – BMHP502</w:t>
      </w:r>
      <w:r w:rsidRPr="6A22EBB8" w:rsidR="1B7B4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</w:p>
    <w:p xmlns:wp14="http://schemas.microsoft.com/office/word/2010/wordml" w:rsidP="6A22EBB8" wp14:paraId="1F51CE2F" wp14:textId="3C486D6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22EBB8" w:rsidR="181C9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Lecture – Robert Nartowski</w:t>
      </w:r>
    </w:p>
    <w:p xmlns:wp14="http://schemas.microsoft.com/office/word/2010/wordml" wp14:paraId="2C078E63" wp14:textId="131511A7"/>
    <w:p w:rsidR="6A22EBB8" w:rsidRDefault="6A22EBB8" w14:paraId="48F96560" w14:textId="6360BA79"/>
    <w:p w:rsidR="6A22EBB8" w:rsidRDefault="6A22EBB8" w14:paraId="12B66B80" w14:textId="389682A5"/>
    <w:p w:rsidR="6A22EBB8" w:rsidRDefault="6A22EBB8" w14:paraId="3504A0B1" w14:textId="608863E5"/>
    <w:p w:rsidR="6A22EBB8" w:rsidRDefault="6A22EBB8" w14:paraId="2CDF3EC9" w14:textId="0CB46C1E"/>
    <w:p w:rsidR="6A22EBB8" w:rsidRDefault="6A22EBB8" w14:paraId="409F41AB" w14:textId="1164BE1C"/>
    <w:p w:rsidR="6A22EBB8" w:rsidRDefault="6A22EBB8" w14:paraId="4B9A3412" w14:textId="5D1DD7A6"/>
    <w:p w:rsidR="6A22EBB8" w:rsidRDefault="6A22EBB8" w14:paraId="19AE33EA" w14:textId="22D17895"/>
    <w:p w:rsidR="6A22EBB8" w:rsidRDefault="6A22EBB8" w14:paraId="0068FB05" w14:textId="58B247DE"/>
    <w:p w:rsidR="6A22EBB8" w:rsidRDefault="6A22EBB8" w14:paraId="485E6D16" w14:textId="2CEE15EC"/>
    <w:p w:rsidR="6A22EBB8" w:rsidRDefault="6A22EBB8" w14:paraId="457D0079" w14:textId="4F5354A1"/>
    <w:p w:rsidR="6A22EBB8" w:rsidRDefault="6A22EBB8" w14:paraId="15D804BC" w14:textId="58F9750A"/>
    <w:p w:rsidR="6A22EBB8" w:rsidRDefault="6A22EBB8" w14:paraId="3426FC08" w14:textId="0D7DCA02"/>
    <w:p w:rsidR="6A22EBB8" w:rsidRDefault="6A22EBB8" w14:paraId="422F944C" w14:textId="61895637"/>
    <w:p w:rsidR="6A22EBB8" w:rsidRDefault="6A22EBB8" w14:paraId="040BC9C1" w14:textId="6EEF9187"/>
    <w:p w:rsidR="6A22EBB8" w:rsidRDefault="6A22EBB8" w14:paraId="61F51EB6" w14:textId="3B3F76AE"/>
    <w:p w:rsidR="6A22EBB8" w:rsidRDefault="6A22EBB8" w14:paraId="53AC4A10" w14:textId="5DA927E6"/>
    <w:p w:rsidR="6A22EBB8" w:rsidRDefault="6A22EBB8" w14:paraId="16905592" w14:textId="457224C7"/>
    <w:p w:rsidR="081E803F" w:rsidRDefault="081E803F" w14:paraId="1BFFEF7B" w14:textId="4AD6C2AD">
      <w:r w:rsidR="081E803F">
        <w:rPr/>
        <w:t>References</w:t>
      </w:r>
    </w:p>
    <w:p w:rsidR="661B1C9A" w:rsidRDefault="661B1C9A" w14:paraId="7207AE44" w14:textId="6F94B161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Brandon, M., Sidebotham, P., Belderson, P., Dodsworth, J., Bailey, S., Black, J. and Ellis, C. (2020)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Complexity and challenge: A triennial analysis of serious case reviews 2014–2017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London: Department for Education.</w:t>
      </w:r>
    </w:p>
    <w:p w:rsidR="661B1C9A" w:rsidRDefault="661B1C9A" w14:paraId="5F7964DE" w14:textId="1105C45B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Children Act 1989. (1989)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Chapter 41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London: HMSO.</w:t>
      </w:r>
    </w:p>
    <w:p w:rsidR="661B1C9A" w:rsidRDefault="661B1C9A" w14:paraId="1E16599D" w14:textId="2B2D8786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Children Act 2004. (2004)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Chapter 31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London: HMSO.</w:t>
      </w:r>
    </w:p>
    <w:p w:rsidR="661B1C9A" w:rsidRDefault="661B1C9A" w14:paraId="599332E8" w14:textId="5196A4C9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Department for Education (2023)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Working Together to Safeguard Children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London: Department for Education.</w:t>
      </w:r>
    </w:p>
    <w:p w:rsidR="661B1C9A" w:rsidRDefault="661B1C9A" w14:paraId="018373A8" w14:textId="48280C71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Felitti, V.J., Anda, R.F., Nordenberg, D., Williamson, D.F., Spitz, A.M., Edwards, V., Koss, M.P. and Marks, J.S. (1998) ‘Relationship of childhood abuse and household dysfunction to many of the leading causes of death in adults’,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American Journal of Preventive Medicine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, 14(4), pp. 245–258.</w:t>
      </w:r>
    </w:p>
    <w:p w:rsidR="661B1C9A" w:rsidRDefault="661B1C9A" w14:paraId="57B5A87A" w14:textId="0BEA7C5B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Hughes, K., Bellis, M.A., Hardcastle, K.A., Sethi, D., Butchart, A., Mikton, C., Jones, L. and Dunne, M.P. (2017) ‘The effect of multiple adverse childhood experiences on health: a systematic review and meta-analysis’,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Lancet Public Health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, 2(8), pp. e356–e366.</w:t>
      </w:r>
    </w:p>
    <w:p w:rsidR="661B1C9A" w:rsidRDefault="661B1C9A" w14:paraId="0368BEDF" w14:textId="0CDA967C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Laming, H. (2003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Victoria Climbié Inquiry Report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London: The Stationery Office.</w:t>
      </w:r>
    </w:p>
    <w:p w:rsidR="661B1C9A" w:rsidRDefault="661B1C9A" w14:paraId="6016031F" w14:textId="335F6903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Munro, E. (2011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Munro Review of Child Protection: Final Report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London: Department 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for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Education.</w:t>
      </w:r>
    </w:p>
    <w:p w:rsidR="661B1C9A" w:rsidRDefault="661B1C9A" w14:paraId="40A6ED57" w14:textId="68BACC69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Public Health Wales (2015)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Adverse Childhood Experiences and their Impact on Health-Harming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Behavior's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in the Welsh Adult Population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Cardiff: Public Health Wales.</w:t>
      </w:r>
    </w:p>
    <w:p w:rsidR="661B1C9A" w:rsidRDefault="661B1C9A" w14:paraId="7DD4EF15" w14:textId="7AF73761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Trevithick, P. (2012).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Social Work Skills and Knowledge: A Practice Handbook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3rd 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edn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Maidenhead: Open University Press.</w:t>
      </w:r>
    </w:p>
    <w:p w:rsidR="661B1C9A" w:rsidRDefault="661B1C9A" w14:paraId="07972257" w14:textId="1F1EC016"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UNICEF (1989) </w:t>
      </w:r>
      <w:r w:rsidRPr="6A22EBB8" w:rsidR="661B1C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United Nations Convention on the Rights of the Child</w:t>
      </w:r>
      <w:r w:rsidRPr="6A22EBB8" w:rsidR="661B1C9A">
        <w:rPr>
          <w:rFonts w:ascii="Aptos" w:hAnsi="Aptos" w:eastAsia="Aptos" w:cs="Aptos"/>
          <w:noProof w:val="0"/>
          <w:sz w:val="24"/>
          <w:szCs w:val="24"/>
          <w:lang w:val="en-US"/>
        </w:rPr>
        <w:t>. New York: United Nations.</w:t>
      </w:r>
    </w:p>
    <w:p w:rsidR="6A22EBB8" w:rsidRDefault="6A22EBB8" w14:paraId="0E173A72" w14:textId="2B3DD65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49E44"/>
    <w:rsid w:val="081E803F"/>
    <w:rsid w:val="1075F33D"/>
    <w:rsid w:val="181C99EA"/>
    <w:rsid w:val="1B7B48E5"/>
    <w:rsid w:val="2C1A7A79"/>
    <w:rsid w:val="33C68C1B"/>
    <w:rsid w:val="37B49E44"/>
    <w:rsid w:val="4496B4BA"/>
    <w:rsid w:val="44DE8ACB"/>
    <w:rsid w:val="661B1C9A"/>
    <w:rsid w:val="6A22EBB8"/>
    <w:rsid w:val="6E06CEDD"/>
    <w:rsid w:val="747862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DB52B"/>
  <w15:chartTrackingRefBased/>
  <w15:docId w15:val="{1D469FC2-3EE2-4B75-B826-101967EE24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A22EBB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2026-06-21T17:31:52.0530127Z</dcterms:created>
  <dcterms:modified xsi:type="dcterms:W3CDTF">2026-06-21T17:44:20.7474614Z</dcterms:modified>
  <dc:creator>Saima Sadiq (2410753)</dc:creator>
  <lastModifiedBy>Saima Sadiq (2410753)</lastModifiedBy>
</coreProperties>
</file>