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16A306" w14:textId="54D6B84E" w:rsidR="00A2033B" w:rsidRDefault="00A2033B" w:rsidP="00D434DA">
      <w:pPr>
        <w:spacing w:line="360" w:lineRule="auto"/>
        <w:jc w:val="both"/>
        <w:rPr>
          <w:rFonts w:ascii="Times New Roman" w:hAnsi="Times New Roman" w:cs="Times New Roman"/>
          <w:b/>
          <w:sz w:val="24"/>
          <w:szCs w:val="24"/>
        </w:rPr>
      </w:pPr>
    </w:p>
    <w:p w14:paraId="595168EB" w14:textId="4C6965FF" w:rsidR="00A2033B" w:rsidRDefault="00A2033B" w:rsidP="00A2033B">
      <w:pPr>
        <w:pStyle w:val="Title"/>
      </w:pPr>
      <w:r>
        <w:rPr>
          <w:noProof/>
          <w:lang w:eastAsia="en-IN"/>
        </w:rPr>
        <w:drawing>
          <wp:anchor distT="0" distB="0" distL="114300" distR="114300" simplePos="0" relativeHeight="251659264" behindDoc="0" locked="0" layoutInCell="1" allowOverlap="1" wp14:anchorId="09532EBD" wp14:editId="6B0E9472">
            <wp:simplePos x="0" y="0"/>
            <wp:positionH relativeFrom="margin">
              <wp:posOffset>1065530</wp:posOffset>
            </wp:positionH>
            <wp:positionV relativeFrom="paragraph">
              <wp:posOffset>461950</wp:posOffset>
            </wp:positionV>
            <wp:extent cx="3597910" cy="1440180"/>
            <wp:effectExtent l="0" t="0" r="2540" b="7620"/>
            <wp:wrapTopAndBottom/>
            <wp:docPr id="1042466133"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466133" name="Picture 1" descr="A close-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anchor>
        </w:drawing>
      </w:r>
    </w:p>
    <w:p w14:paraId="7219CEE6" w14:textId="77777777" w:rsidR="00A2033B" w:rsidRPr="00A2033B" w:rsidRDefault="00A2033B" w:rsidP="00A2033B"/>
    <w:p w14:paraId="54C46403" w14:textId="24779092" w:rsidR="00A2033B" w:rsidRDefault="00006F86" w:rsidP="00A2033B">
      <w:pPr>
        <w:pStyle w:val="Title"/>
        <w:jc w:val="center"/>
      </w:pPr>
      <w:r w:rsidRPr="00D434DA">
        <w:t xml:space="preserve">A Study on the Analysis of Unilever's Financial Performance </w:t>
      </w:r>
    </w:p>
    <w:p w14:paraId="69EA6620" w14:textId="77777777" w:rsidR="00A2033B" w:rsidRDefault="00A2033B" w:rsidP="00A2033B">
      <w:pPr>
        <w:spacing w:line="360" w:lineRule="auto"/>
        <w:jc w:val="center"/>
        <w:rPr>
          <w:rFonts w:ascii="Times New Roman" w:hAnsi="Times New Roman" w:cs="Times New Roman"/>
          <w:b/>
          <w:sz w:val="24"/>
          <w:szCs w:val="24"/>
        </w:rPr>
      </w:pPr>
    </w:p>
    <w:p w14:paraId="0DBAB9E8" w14:textId="77777777" w:rsidR="00A2033B" w:rsidRDefault="00A2033B" w:rsidP="00A2033B">
      <w:pPr>
        <w:spacing w:line="360" w:lineRule="auto"/>
        <w:jc w:val="center"/>
        <w:rPr>
          <w:rFonts w:ascii="Times New Roman" w:hAnsi="Times New Roman" w:cs="Times New Roman"/>
          <w:b/>
          <w:sz w:val="24"/>
          <w:szCs w:val="24"/>
        </w:rPr>
      </w:pPr>
    </w:p>
    <w:p w14:paraId="02543A31" w14:textId="77777777" w:rsidR="00A2033B" w:rsidRDefault="00A2033B" w:rsidP="00A2033B">
      <w:pPr>
        <w:spacing w:line="360" w:lineRule="auto"/>
        <w:jc w:val="center"/>
        <w:rPr>
          <w:rFonts w:ascii="Times New Roman" w:hAnsi="Times New Roman" w:cs="Times New Roman"/>
          <w:b/>
          <w:sz w:val="24"/>
          <w:szCs w:val="24"/>
        </w:rPr>
      </w:pPr>
    </w:p>
    <w:p w14:paraId="35426F77" w14:textId="77777777" w:rsidR="00A2033B" w:rsidRDefault="00A2033B" w:rsidP="00A2033B">
      <w:pPr>
        <w:spacing w:line="360" w:lineRule="auto"/>
        <w:jc w:val="center"/>
        <w:rPr>
          <w:rFonts w:ascii="Times New Roman" w:hAnsi="Times New Roman" w:cs="Times New Roman"/>
          <w:b/>
          <w:sz w:val="24"/>
          <w:szCs w:val="24"/>
        </w:rPr>
      </w:pPr>
    </w:p>
    <w:p w14:paraId="2FC9A595" w14:textId="77777777" w:rsidR="00A2033B" w:rsidRDefault="00A2033B" w:rsidP="00A2033B">
      <w:pPr>
        <w:spacing w:line="360" w:lineRule="auto"/>
        <w:jc w:val="center"/>
        <w:rPr>
          <w:rFonts w:ascii="Times New Roman" w:hAnsi="Times New Roman" w:cs="Times New Roman"/>
          <w:b/>
          <w:sz w:val="24"/>
          <w:szCs w:val="24"/>
        </w:rPr>
      </w:pPr>
    </w:p>
    <w:p w14:paraId="7A728199" w14:textId="50BB0704" w:rsidR="00A2033B" w:rsidRDefault="00A2033B" w:rsidP="00A2033B">
      <w:pPr>
        <w:jc w:val="center"/>
        <w:rPr>
          <w:rFonts w:ascii="Times New Roman" w:hAnsi="Times New Roman" w:cs="Times New Roman"/>
          <w:b/>
          <w:sz w:val="24"/>
          <w:szCs w:val="24"/>
        </w:rPr>
      </w:pPr>
      <w:r>
        <w:rPr>
          <w:rFonts w:ascii="Times New Roman" w:hAnsi="Times New Roman" w:cs="Times New Roman"/>
          <w:b/>
          <w:sz w:val="24"/>
          <w:szCs w:val="24"/>
        </w:rPr>
        <w:t>Student name: Prashant Suresh Tiwari</w:t>
      </w:r>
    </w:p>
    <w:p w14:paraId="42787F03" w14:textId="77777777" w:rsidR="00A2033B" w:rsidRDefault="00A2033B" w:rsidP="00A2033B">
      <w:pPr>
        <w:jc w:val="center"/>
        <w:rPr>
          <w:rFonts w:ascii="Times New Roman" w:hAnsi="Times New Roman" w:cs="Times New Roman"/>
          <w:b/>
          <w:sz w:val="24"/>
          <w:szCs w:val="24"/>
        </w:rPr>
      </w:pPr>
      <w:r>
        <w:rPr>
          <w:rFonts w:ascii="Times New Roman" w:hAnsi="Times New Roman" w:cs="Times New Roman"/>
          <w:b/>
          <w:sz w:val="24"/>
          <w:szCs w:val="24"/>
        </w:rPr>
        <w:t>Student id: 2320593</w:t>
      </w:r>
    </w:p>
    <w:p w14:paraId="6F656D75" w14:textId="18E642AD" w:rsidR="00A2033B" w:rsidRDefault="00A2033B" w:rsidP="00A2033B">
      <w:pPr>
        <w:jc w:val="center"/>
        <w:rPr>
          <w:rFonts w:ascii="Times New Roman" w:hAnsi="Times New Roman" w:cs="Times New Roman"/>
          <w:b/>
          <w:sz w:val="24"/>
          <w:szCs w:val="24"/>
        </w:rPr>
      </w:pPr>
      <w:r>
        <w:rPr>
          <w:rFonts w:ascii="Times New Roman" w:hAnsi="Times New Roman" w:cs="Times New Roman"/>
          <w:b/>
          <w:sz w:val="24"/>
          <w:szCs w:val="24"/>
        </w:rPr>
        <w:t>Modul</w:t>
      </w:r>
      <w:r w:rsidR="003D7793">
        <w:rPr>
          <w:rFonts w:ascii="Times New Roman" w:hAnsi="Times New Roman" w:cs="Times New Roman"/>
          <w:b/>
          <w:sz w:val="24"/>
          <w:szCs w:val="24"/>
        </w:rPr>
        <w:t>e</w:t>
      </w:r>
      <w:r>
        <w:rPr>
          <w:rFonts w:ascii="Times New Roman" w:hAnsi="Times New Roman" w:cs="Times New Roman"/>
          <w:b/>
          <w:sz w:val="24"/>
          <w:szCs w:val="24"/>
        </w:rPr>
        <w:t>: Corporate Finance (LCMB7005)</w:t>
      </w:r>
    </w:p>
    <w:p w14:paraId="1F300A95" w14:textId="5E9B30C3" w:rsidR="00A2033B" w:rsidRDefault="00A2033B" w:rsidP="00A2033B">
      <w:pPr>
        <w:jc w:val="center"/>
        <w:rPr>
          <w:rFonts w:ascii="Times New Roman" w:hAnsi="Times New Roman" w:cs="Times New Roman"/>
          <w:b/>
          <w:sz w:val="24"/>
          <w:szCs w:val="24"/>
        </w:rPr>
      </w:pPr>
      <w:r>
        <w:rPr>
          <w:rFonts w:ascii="Times New Roman" w:hAnsi="Times New Roman" w:cs="Times New Roman"/>
          <w:b/>
          <w:sz w:val="24"/>
          <w:szCs w:val="24"/>
        </w:rPr>
        <w:t>Programme: MBA Banking and Finance</w:t>
      </w:r>
    </w:p>
    <w:p w14:paraId="57ADAA80" w14:textId="77777777" w:rsidR="00A2033B" w:rsidRDefault="00A2033B" w:rsidP="00A2033B">
      <w:pPr>
        <w:jc w:val="center"/>
        <w:rPr>
          <w:rFonts w:ascii="Times New Roman" w:hAnsi="Times New Roman" w:cs="Times New Roman"/>
          <w:b/>
          <w:sz w:val="24"/>
          <w:szCs w:val="24"/>
        </w:rPr>
      </w:pPr>
      <w:r>
        <w:rPr>
          <w:rFonts w:ascii="Times New Roman" w:hAnsi="Times New Roman" w:cs="Times New Roman"/>
          <w:b/>
          <w:sz w:val="24"/>
          <w:szCs w:val="24"/>
        </w:rPr>
        <w:t xml:space="preserve">Lecturer: </w:t>
      </w:r>
      <w:proofErr w:type="spellStart"/>
      <w:r>
        <w:rPr>
          <w:rFonts w:ascii="Times New Roman" w:hAnsi="Times New Roman" w:cs="Times New Roman"/>
          <w:b/>
          <w:sz w:val="24"/>
          <w:szCs w:val="24"/>
        </w:rPr>
        <w:t>Dr.</w:t>
      </w:r>
      <w:proofErr w:type="spellEnd"/>
      <w:r>
        <w:rPr>
          <w:rFonts w:ascii="Times New Roman" w:hAnsi="Times New Roman" w:cs="Times New Roman"/>
          <w:b/>
          <w:sz w:val="24"/>
          <w:szCs w:val="24"/>
        </w:rPr>
        <w:t xml:space="preserve"> Jio Miao</w:t>
      </w:r>
    </w:p>
    <w:p w14:paraId="2D4FA7E0" w14:textId="3208F5AD" w:rsidR="00A2033B" w:rsidRDefault="00A2033B" w:rsidP="00A2033B">
      <w:pPr>
        <w:jc w:val="center"/>
        <w:rPr>
          <w:rFonts w:ascii="Times New Roman" w:hAnsi="Times New Roman" w:cs="Times New Roman"/>
          <w:b/>
          <w:sz w:val="24"/>
          <w:szCs w:val="24"/>
        </w:rPr>
      </w:pPr>
      <w:r>
        <w:rPr>
          <w:rFonts w:ascii="Times New Roman" w:hAnsi="Times New Roman" w:cs="Times New Roman"/>
          <w:b/>
          <w:sz w:val="24"/>
          <w:szCs w:val="24"/>
        </w:rPr>
        <w:t>Word count: ~ 5400</w:t>
      </w:r>
    </w:p>
    <w:p w14:paraId="049C956E" w14:textId="5AA71A6D" w:rsidR="00006F86" w:rsidRPr="00D434DA" w:rsidRDefault="00A2033B" w:rsidP="00A2033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006F86" w:rsidRPr="00D434DA">
        <w:rPr>
          <w:rFonts w:ascii="Times New Roman" w:hAnsi="Times New Roman" w:cs="Times New Roman"/>
          <w:b/>
          <w:sz w:val="24"/>
          <w:szCs w:val="24"/>
        </w:rPr>
        <w:br w:type="page"/>
      </w:r>
    </w:p>
    <w:sdt>
      <w:sdtPr>
        <w:rPr>
          <w:rFonts w:ascii="Times New Roman" w:eastAsiaTheme="minorHAnsi" w:hAnsi="Times New Roman" w:cs="Times New Roman"/>
          <w:b w:val="0"/>
          <w:bCs w:val="0"/>
          <w:color w:val="auto"/>
          <w:sz w:val="24"/>
          <w:szCs w:val="24"/>
          <w:lang w:val="en-IN" w:eastAsia="en-US"/>
        </w:rPr>
        <w:id w:val="-882328248"/>
        <w:docPartObj>
          <w:docPartGallery w:val="Table of Contents"/>
          <w:docPartUnique/>
        </w:docPartObj>
      </w:sdtPr>
      <w:sdtEndPr>
        <w:rPr>
          <w:noProof/>
        </w:rPr>
      </w:sdtEndPr>
      <w:sdtContent>
        <w:p w14:paraId="3BF9B012" w14:textId="11758D26" w:rsidR="00006F86" w:rsidRPr="00D434DA" w:rsidRDefault="00006F86" w:rsidP="00D434DA">
          <w:pPr>
            <w:pStyle w:val="TOCHeading"/>
            <w:spacing w:line="360" w:lineRule="auto"/>
            <w:jc w:val="both"/>
            <w:rPr>
              <w:rFonts w:ascii="Times New Roman" w:hAnsi="Times New Roman" w:cs="Times New Roman"/>
              <w:color w:val="auto"/>
              <w:sz w:val="24"/>
              <w:szCs w:val="24"/>
            </w:rPr>
          </w:pPr>
          <w:r w:rsidRPr="00D434DA">
            <w:rPr>
              <w:rFonts w:ascii="Times New Roman" w:hAnsi="Times New Roman" w:cs="Times New Roman"/>
              <w:color w:val="auto"/>
              <w:sz w:val="24"/>
              <w:szCs w:val="24"/>
            </w:rPr>
            <w:t>Table of Contents</w:t>
          </w:r>
        </w:p>
        <w:p w14:paraId="5C818A3E" w14:textId="2F62CE13" w:rsidR="00A2033B" w:rsidRDefault="00006F86">
          <w:pPr>
            <w:pStyle w:val="TOC1"/>
            <w:tabs>
              <w:tab w:val="right" w:leader="dot" w:pos="9016"/>
            </w:tabs>
            <w:rPr>
              <w:rFonts w:eastAsiaTheme="minorEastAsia"/>
              <w:noProof/>
              <w:kern w:val="2"/>
              <w:sz w:val="24"/>
              <w:szCs w:val="24"/>
              <w:lang w:val="en-GB" w:eastAsia="zh-CN"/>
              <w14:ligatures w14:val="standardContextual"/>
            </w:rPr>
          </w:pPr>
          <w:r w:rsidRPr="00D434DA">
            <w:rPr>
              <w:rFonts w:ascii="Times New Roman" w:hAnsi="Times New Roman" w:cs="Times New Roman"/>
              <w:sz w:val="24"/>
              <w:szCs w:val="24"/>
            </w:rPr>
            <w:fldChar w:fldCharType="begin"/>
          </w:r>
          <w:r w:rsidRPr="00D434DA">
            <w:rPr>
              <w:rFonts w:ascii="Times New Roman" w:hAnsi="Times New Roman" w:cs="Times New Roman"/>
              <w:sz w:val="24"/>
              <w:szCs w:val="24"/>
            </w:rPr>
            <w:instrText xml:space="preserve"> TOC \o "1-3" \h \z \u </w:instrText>
          </w:r>
          <w:r w:rsidRPr="00D434DA">
            <w:rPr>
              <w:rFonts w:ascii="Times New Roman" w:hAnsi="Times New Roman" w:cs="Times New Roman"/>
              <w:sz w:val="24"/>
              <w:szCs w:val="24"/>
            </w:rPr>
            <w:fldChar w:fldCharType="separate"/>
          </w:r>
          <w:hyperlink w:anchor="_Toc174694194" w:history="1">
            <w:r w:rsidR="00A2033B" w:rsidRPr="0007166C">
              <w:rPr>
                <w:rStyle w:val="Hyperlink"/>
                <w:rFonts w:ascii="Times New Roman" w:hAnsi="Times New Roman" w:cs="Times New Roman"/>
                <w:noProof/>
              </w:rPr>
              <w:t>Part A: Introduction</w:t>
            </w:r>
            <w:r w:rsidR="00A2033B">
              <w:rPr>
                <w:noProof/>
                <w:webHidden/>
              </w:rPr>
              <w:tab/>
            </w:r>
            <w:r w:rsidR="00A2033B">
              <w:rPr>
                <w:noProof/>
                <w:webHidden/>
              </w:rPr>
              <w:fldChar w:fldCharType="begin"/>
            </w:r>
            <w:r w:rsidR="00A2033B">
              <w:rPr>
                <w:noProof/>
                <w:webHidden/>
              </w:rPr>
              <w:instrText xml:space="preserve"> PAGEREF _Toc174694194 \h </w:instrText>
            </w:r>
            <w:r w:rsidR="00A2033B">
              <w:rPr>
                <w:noProof/>
                <w:webHidden/>
              </w:rPr>
            </w:r>
            <w:r w:rsidR="00A2033B">
              <w:rPr>
                <w:noProof/>
                <w:webHidden/>
              </w:rPr>
              <w:fldChar w:fldCharType="separate"/>
            </w:r>
            <w:r w:rsidR="00017436">
              <w:rPr>
                <w:noProof/>
                <w:webHidden/>
              </w:rPr>
              <w:t>3</w:t>
            </w:r>
            <w:r w:rsidR="00A2033B">
              <w:rPr>
                <w:noProof/>
                <w:webHidden/>
              </w:rPr>
              <w:fldChar w:fldCharType="end"/>
            </w:r>
          </w:hyperlink>
        </w:p>
        <w:p w14:paraId="70A15CB0" w14:textId="327716F1" w:rsidR="00A2033B" w:rsidRDefault="00AC6BAD">
          <w:pPr>
            <w:pStyle w:val="TOC1"/>
            <w:tabs>
              <w:tab w:val="right" w:leader="dot" w:pos="9016"/>
            </w:tabs>
            <w:rPr>
              <w:rFonts w:eastAsiaTheme="minorEastAsia"/>
              <w:noProof/>
              <w:kern w:val="2"/>
              <w:sz w:val="24"/>
              <w:szCs w:val="24"/>
              <w:lang w:val="en-GB" w:eastAsia="zh-CN"/>
              <w14:ligatures w14:val="standardContextual"/>
            </w:rPr>
          </w:pPr>
          <w:hyperlink w:anchor="_Toc174694195" w:history="1">
            <w:r w:rsidR="00A2033B" w:rsidRPr="0007166C">
              <w:rPr>
                <w:rStyle w:val="Hyperlink"/>
                <w:rFonts w:ascii="Times New Roman" w:hAnsi="Times New Roman" w:cs="Times New Roman"/>
                <w:noProof/>
              </w:rPr>
              <w:t>Part B: Financial performance and alternative capital structure considerations</w:t>
            </w:r>
            <w:r w:rsidR="00A2033B">
              <w:rPr>
                <w:noProof/>
                <w:webHidden/>
              </w:rPr>
              <w:tab/>
            </w:r>
            <w:r w:rsidR="00A2033B">
              <w:rPr>
                <w:noProof/>
                <w:webHidden/>
              </w:rPr>
              <w:fldChar w:fldCharType="begin"/>
            </w:r>
            <w:r w:rsidR="00A2033B">
              <w:rPr>
                <w:noProof/>
                <w:webHidden/>
              </w:rPr>
              <w:instrText xml:space="preserve"> PAGEREF _Toc174694195 \h </w:instrText>
            </w:r>
            <w:r w:rsidR="00A2033B">
              <w:rPr>
                <w:noProof/>
                <w:webHidden/>
              </w:rPr>
            </w:r>
            <w:r w:rsidR="00A2033B">
              <w:rPr>
                <w:noProof/>
                <w:webHidden/>
              </w:rPr>
              <w:fldChar w:fldCharType="separate"/>
            </w:r>
            <w:r w:rsidR="00017436">
              <w:rPr>
                <w:noProof/>
                <w:webHidden/>
              </w:rPr>
              <w:t>4</w:t>
            </w:r>
            <w:r w:rsidR="00A2033B">
              <w:rPr>
                <w:noProof/>
                <w:webHidden/>
              </w:rPr>
              <w:fldChar w:fldCharType="end"/>
            </w:r>
          </w:hyperlink>
        </w:p>
        <w:p w14:paraId="796DC8EA" w14:textId="31401DB0" w:rsidR="00A2033B" w:rsidRDefault="00AC6BAD">
          <w:pPr>
            <w:pStyle w:val="TOC2"/>
            <w:tabs>
              <w:tab w:val="right" w:leader="dot" w:pos="9016"/>
            </w:tabs>
            <w:rPr>
              <w:rFonts w:eastAsiaTheme="minorEastAsia"/>
              <w:noProof/>
              <w:kern w:val="2"/>
              <w:sz w:val="24"/>
              <w:szCs w:val="24"/>
              <w:lang w:val="en-GB" w:eastAsia="zh-CN"/>
              <w14:ligatures w14:val="standardContextual"/>
            </w:rPr>
          </w:pPr>
          <w:hyperlink w:anchor="_Toc174694196" w:history="1">
            <w:r w:rsidR="00A2033B" w:rsidRPr="0007166C">
              <w:rPr>
                <w:rStyle w:val="Hyperlink"/>
                <w:rFonts w:ascii="Times New Roman" w:hAnsi="Times New Roman" w:cs="Times New Roman"/>
                <w:noProof/>
              </w:rPr>
              <w:t>B1: Corporation’s financial performance</w:t>
            </w:r>
            <w:r w:rsidR="00A2033B">
              <w:rPr>
                <w:noProof/>
                <w:webHidden/>
              </w:rPr>
              <w:tab/>
            </w:r>
            <w:r w:rsidR="00A2033B">
              <w:rPr>
                <w:noProof/>
                <w:webHidden/>
              </w:rPr>
              <w:fldChar w:fldCharType="begin"/>
            </w:r>
            <w:r w:rsidR="00A2033B">
              <w:rPr>
                <w:noProof/>
                <w:webHidden/>
              </w:rPr>
              <w:instrText xml:space="preserve"> PAGEREF _Toc174694196 \h </w:instrText>
            </w:r>
            <w:r w:rsidR="00A2033B">
              <w:rPr>
                <w:noProof/>
                <w:webHidden/>
              </w:rPr>
            </w:r>
            <w:r w:rsidR="00A2033B">
              <w:rPr>
                <w:noProof/>
                <w:webHidden/>
              </w:rPr>
              <w:fldChar w:fldCharType="separate"/>
            </w:r>
            <w:r w:rsidR="00017436">
              <w:rPr>
                <w:noProof/>
                <w:webHidden/>
              </w:rPr>
              <w:t>4</w:t>
            </w:r>
            <w:r w:rsidR="00A2033B">
              <w:rPr>
                <w:noProof/>
                <w:webHidden/>
              </w:rPr>
              <w:fldChar w:fldCharType="end"/>
            </w:r>
          </w:hyperlink>
        </w:p>
        <w:p w14:paraId="03C1B851" w14:textId="6D4A0D5A" w:rsidR="00A2033B" w:rsidRDefault="00AC6BAD">
          <w:pPr>
            <w:pStyle w:val="TOC2"/>
            <w:tabs>
              <w:tab w:val="right" w:leader="dot" w:pos="9016"/>
            </w:tabs>
            <w:rPr>
              <w:rFonts w:eastAsiaTheme="minorEastAsia"/>
              <w:noProof/>
              <w:kern w:val="2"/>
              <w:sz w:val="24"/>
              <w:szCs w:val="24"/>
              <w:lang w:val="en-GB" w:eastAsia="zh-CN"/>
              <w14:ligatures w14:val="standardContextual"/>
            </w:rPr>
          </w:pPr>
          <w:hyperlink w:anchor="_Toc174694197" w:history="1">
            <w:r w:rsidR="00A2033B" w:rsidRPr="0007166C">
              <w:rPr>
                <w:rStyle w:val="Hyperlink"/>
                <w:rFonts w:ascii="Times New Roman" w:hAnsi="Times New Roman" w:cs="Times New Roman"/>
                <w:noProof/>
              </w:rPr>
              <w:t>B2. Review of Alternative Capital Structure Theories and Their Implications</w:t>
            </w:r>
            <w:r w:rsidR="00A2033B">
              <w:rPr>
                <w:noProof/>
                <w:webHidden/>
              </w:rPr>
              <w:tab/>
            </w:r>
            <w:r w:rsidR="00A2033B">
              <w:rPr>
                <w:noProof/>
                <w:webHidden/>
              </w:rPr>
              <w:fldChar w:fldCharType="begin"/>
            </w:r>
            <w:r w:rsidR="00A2033B">
              <w:rPr>
                <w:noProof/>
                <w:webHidden/>
              </w:rPr>
              <w:instrText xml:space="preserve"> PAGEREF _Toc174694197 \h </w:instrText>
            </w:r>
            <w:r w:rsidR="00A2033B">
              <w:rPr>
                <w:noProof/>
                <w:webHidden/>
              </w:rPr>
            </w:r>
            <w:r w:rsidR="00A2033B">
              <w:rPr>
                <w:noProof/>
                <w:webHidden/>
              </w:rPr>
              <w:fldChar w:fldCharType="separate"/>
            </w:r>
            <w:r w:rsidR="00017436">
              <w:rPr>
                <w:noProof/>
                <w:webHidden/>
              </w:rPr>
              <w:t>12</w:t>
            </w:r>
            <w:r w:rsidR="00A2033B">
              <w:rPr>
                <w:noProof/>
                <w:webHidden/>
              </w:rPr>
              <w:fldChar w:fldCharType="end"/>
            </w:r>
          </w:hyperlink>
        </w:p>
        <w:p w14:paraId="39C89FEB" w14:textId="0EA33983" w:rsidR="00A2033B" w:rsidRDefault="00AC6BAD">
          <w:pPr>
            <w:pStyle w:val="TOC1"/>
            <w:tabs>
              <w:tab w:val="right" w:leader="dot" w:pos="9016"/>
            </w:tabs>
            <w:rPr>
              <w:rFonts w:eastAsiaTheme="minorEastAsia"/>
              <w:noProof/>
              <w:kern w:val="2"/>
              <w:sz w:val="24"/>
              <w:szCs w:val="24"/>
              <w:lang w:val="en-GB" w:eastAsia="zh-CN"/>
              <w14:ligatures w14:val="standardContextual"/>
            </w:rPr>
          </w:pPr>
          <w:hyperlink w:anchor="_Toc174694198" w:history="1">
            <w:r w:rsidR="00A2033B" w:rsidRPr="0007166C">
              <w:rPr>
                <w:rStyle w:val="Hyperlink"/>
                <w:rFonts w:ascii="Times New Roman" w:hAnsi="Times New Roman" w:cs="Times New Roman"/>
                <w:noProof/>
              </w:rPr>
              <w:t>Part C: Investment activities and dividend pay-out</w:t>
            </w:r>
            <w:r w:rsidR="00A2033B">
              <w:rPr>
                <w:noProof/>
                <w:webHidden/>
              </w:rPr>
              <w:tab/>
            </w:r>
            <w:r w:rsidR="00A2033B">
              <w:rPr>
                <w:noProof/>
                <w:webHidden/>
              </w:rPr>
              <w:fldChar w:fldCharType="begin"/>
            </w:r>
            <w:r w:rsidR="00A2033B">
              <w:rPr>
                <w:noProof/>
                <w:webHidden/>
              </w:rPr>
              <w:instrText xml:space="preserve"> PAGEREF _Toc174694198 \h </w:instrText>
            </w:r>
            <w:r w:rsidR="00A2033B">
              <w:rPr>
                <w:noProof/>
                <w:webHidden/>
              </w:rPr>
            </w:r>
            <w:r w:rsidR="00A2033B">
              <w:rPr>
                <w:noProof/>
                <w:webHidden/>
              </w:rPr>
              <w:fldChar w:fldCharType="separate"/>
            </w:r>
            <w:r w:rsidR="00017436">
              <w:rPr>
                <w:noProof/>
                <w:webHidden/>
              </w:rPr>
              <w:t>15</w:t>
            </w:r>
            <w:r w:rsidR="00A2033B">
              <w:rPr>
                <w:noProof/>
                <w:webHidden/>
              </w:rPr>
              <w:fldChar w:fldCharType="end"/>
            </w:r>
          </w:hyperlink>
        </w:p>
        <w:p w14:paraId="60ABBF74" w14:textId="48332526" w:rsidR="00A2033B" w:rsidRDefault="00AC6BAD">
          <w:pPr>
            <w:pStyle w:val="TOC1"/>
            <w:tabs>
              <w:tab w:val="right" w:leader="dot" w:pos="9016"/>
            </w:tabs>
            <w:rPr>
              <w:rFonts w:eastAsiaTheme="minorEastAsia"/>
              <w:noProof/>
              <w:kern w:val="2"/>
              <w:sz w:val="24"/>
              <w:szCs w:val="24"/>
              <w:lang w:val="en-GB" w:eastAsia="zh-CN"/>
              <w14:ligatures w14:val="standardContextual"/>
            </w:rPr>
          </w:pPr>
          <w:hyperlink w:anchor="_Toc174694199" w:history="1">
            <w:r w:rsidR="00A2033B" w:rsidRPr="0007166C">
              <w:rPr>
                <w:rStyle w:val="Hyperlink"/>
                <w:rFonts w:ascii="Times New Roman" w:hAnsi="Times New Roman" w:cs="Times New Roman"/>
                <w:noProof/>
              </w:rPr>
              <w:t>Conclusion</w:t>
            </w:r>
            <w:r w:rsidR="00A2033B">
              <w:rPr>
                <w:noProof/>
                <w:webHidden/>
              </w:rPr>
              <w:tab/>
            </w:r>
            <w:r w:rsidR="00A2033B">
              <w:rPr>
                <w:noProof/>
                <w:webHidden/>
              </w:rPr>
              <w:fldChar w:fldCharType="begin"/>
            </w:r>
            <w:r w:rsidR="00A2033B">
              <w:rPr>
                <w:noProof/>
                <w:webHidden/>
              </w:rPr>
              <w:instrText xml:space="preserve"> PAGEREF _Toc174694199 \h </w:instrText>
            </w:r>
            <w:r w:rsidR="00A2033B">
              <w:rPr>
                <w:noProof/>
                <w:webHidden/>
              </w:rPr>
            </w:r>
            <w:r w:rsidR="00A2033B">
              <w:rPr>
                <w:noProof/>
                <w:webHidden/>
              </w:rPr>
              <w:fldChar w:fldCharType="separate"/>
            </w:r>
            <w:r w:rsidR="00017436">
              <w:rPr>
                <w:noProof/>
                <w:webHidden/>
              </w:rPr>
              <w:t>22</w:t>
            </w:r>
            <w:r w:rsidR="00A2033B">
              <w:rPr>
                <w:noProof/>
                <w:webHidden/>
              </w:rPr>
              <w:fldChar w:fldCharType="end"/>
            </w:r>
          </w:hyperlink>
        </w:p>
        <w:p w14:paraId="37DCB11D" w14:textId="413EDD9E" w:rsidR="00A2033B" w:rsidRDefault="00AC6BAD">
          <w:pPr>
            <w:pStyle w:val="TOC1"/>
            <w:tabs>
              <w:tab w:val="right" w:leader="dot" w:pos="9016"/>
            </w:tabs>
            <w:rPr>
              <w:rFonts w:eastAsiaTheme="minorEastAsia"/>
              <w:noProof/>
              <w:kern w:val="2"/>
              <w:sz w:val="24"/>
              <w:szCs w:val="24"/>
              <w:lang w:val="en-GB" w:eastAsia="zh-CN"/>
              <w14:ligatures w14:val="standardContextual"/>
            </w:rPr>
          </w:pPr>
          <w:hyperlink w:anchor="_Toc174694200" w:history="1">
            <w:r w:rsidR="00A2033B" w:rsidRPr="0007166C">
              <w:rPr>
                <w:rStyle w:val="Hyperlink"/>
                <w:rFonts w:ascii="Times New Roman" w:hAnsi="Times New Roman" w:cs="Times New Roman"/>
                <w:noProof/>
              </w:rPr>
              <w:t>References</w:t>
            </w:r>
            <w:r w:rsidR="00A2033B">
              <w:rPr>
                <w:noProof/>
                <w:webHidden/>
              </w:rPr>
              <w:tab/>
            </w:r>
            <w:r w:rsidR="00A2033B">
              <w:rPr>
                <w:noProof/>
                <w:webHidden/>
              </w:rPr>
              <w:fldChar w:fldCharType="begin"/>
            </w:r>
            <w:r w:rsidR="00A2033B">
              <w:rPr>
                <w:noProof/>
                <w:webHidden/>
              </w:rPr>
              <w:instrText xml:space="preserve"> PAGEREF _Toc174694200 \h </w:instrText>
            </w:r>
            <w:r w:rsidR="00A2033B">
              <w:rPr>
                <w:noProof/>
                <w:webHidden/>
              </w:rPr>
            </w:r>
            <w:r w:rsidR="00A2033B">
              <w:rPr>
                <w:noProof/>
                <w:webHidden/>
              </w:rPr>
              <w:fldChar w:fldCharType="separate"/>
            </w:r>
            <w:r w:rsidR="00017436">
              <w:rPr>
                <w:noProof/>
                <w:webHidden/>
              </w:rPr>
              <w:t>23</w:t>
            </w:r>
            <w:r w:rsidR="00A2033B">
              <w:rPr>
                <w:noProof/>
                <w:webHidden/>
              </w:rPr>
              <w:fldChar w:fldCharType="end"/>
            </w:r>
          </w:hyperlink>
        </w:p>
        <w:p w14:paraId="2883758F" w14:textId="6C33EB72" w:rsidR="00A2033B" w:rsidRDefault="00AC6BAD">
          <w:pPr>
            <w:pStyle w:val="TOC1"/>
            <w:tabs>
              <w:tab w:val="right" w:leader="dot" w:pos="9016"/>
            </w:tabs>
            <w:rPr>
              <w:rFonts w:eastAsiaTheme="minorEastAsia"/>
              <w:noProof/>
              <w:kern w:val="2"/>
              <w:sz w:val="24"/>
              <w:szCs w:val="24"/>
              <w:lang w:val="en-GB" w:eastAsia="zh-CN"/>
              <w14:ligatures w14:val="standardContextual"/>
            </w:rPr>
          </w:pPr>
          <w:hyperlink w:anchor="_Toc174694201" w:history="1">
            <w:r w:rsidR="00A2033B" w:rsidRPr="0007166C">
              <w:rPr>
                <w:rStyle w:val="Hyperlink"/>
                <w:rFonts w:ascii="Times New Roman" w:hAnsi="Times New Roman" w:cs="Times New Roman"/>
                <w:noProof/>
              </w:rPr>
              <w:t>Appendices</w:t>
            </w:r>
            <w:r w:rsidR="00A2033B">
              <w:rPr>
                <w:noProof/>
                <w:webHidden/>
              </w:rPr>
              <w:tab/>
            </w:r>
            <w:r w:rsidR="00A2033B">
              <w:rPr>
                <w:noProof/>
                <w:webHidden/>
              </w:rPr>
              <w:fldChar w:fldCharType="begin"/>
            </w:r>
            <w:r w:rsidR="00A2033B">
              <w:rPr>
                <w:noProof/>
                <w:webHidden/>
              </w:rPr>
              <w:instrText xml:space="preserve"> PAGEREF _Toc174694201 \h </w:instrText>
            </w:r>
            <w:r w:rsidR="00A2033B">
              <w:rPr>
                <w:noProof/>
                <w:webHidden/>
              </w:rPr>
            </w:r>
            <w:r w:rsidR="00A2033B">
              <w:rPr>
                <w:noProof/>
                <w:webHidden/>
              </w:rPr>
              <w:fldChar w:fldCharType="separate"/>
            </w:r>
            <w:r w:rsidR="00017436">
              <w:rPr>
                <w:noProof/>
                <w:webHidden/>
              </w:rPr>
              <w:t>26</w:t>
            </w:r>
            <w:r w:rsidR="00A2033B">
              <w:rPr>
                <w:noProof/>
                <w:webHidden/>
              </w:rPr>
              <w:fldChar w:fldCharType="end"/>
            </w:r>
          </w:hyperlink>
        </w:p>
        <w:p w14:paraId="74E484B1" w14:textId="5641C87D" w:rsidR="00006F86" w:rsidRPr="00D434DA" w:rsidRDefault="00006F86"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noProof/>
              <w:sz w:val="24"/>
              <w:szCs w:val="24"/>
            </w:rPr>
            <w:fldChar w:fldCharType="end"/>
          </w:r>
        </w:p>
      </w:sdtContent>
    </w:sdt>
    <w:p w14:paraId="36CF39C8" w14:textId="4815BA65" w:rsidR="00006F86" w:rsidRPr="00D434DA" w:rsidRDefault="00006F86" w:rsidP="00D434DA">
      <w:pPr>
        <w:spacing w:line="360" w:lineRule="auto"/>
        <w:jc w:val="both"/>
        <w:rPr>
          <w:rFonts w:ascii="Times New Roman" w:eastAsiaTheme="majorEastAsia" w:hAnsi="Times New Roman" w:cs="Times New Roman"/>
          <w:b/>
          <w:bCs/>
          <w:sz w:val="24"/>
          <w:szCs w:val="24"/>
        </w:rPr>
      </w:pPr>
      <w:r w:rsidRPr="00D434DA">
        <w:rPr>
          <w:rFonts w:ascii="Times New Roman" w:hAnsi="Times New Roman" w:cs="Times New Roman"/>
          <w:b/>
          <w:sz w:val="24"/>
          <w:szCs w:val="24"/>
        </w:rPr>
        <w:br w:type="page"/>
      </w:r>
    </w:p>
    <w:p w14:paraId="6DF7271E" w14:textId="527D9523" w:rsidR="006B0FC7" w:rsidRPr="00D434DA" w:rsidRDefault="00070930" w:rsidP="00D434DA">
      <w:pPr>
        <w:pStyle w:val="Heading1"/>
        <w:spacing w:line="360" w:lineRule="auto"/>
        <w:jc w:val="both"/>
        <w:rPr>
          <w:rFonts w:ascii="Times New Roman" w:hAnsi="Times New Roman" w:cs="Times New Roman"/>
          <w:color w:val="auto"/>
          <w:sz w:val="24"/>
          <w:szCs w:val="24"/>
        </w:rPr>
      </w:pPr>
      <w:bookmarkStart w:id="0" w:name="_Toc174694194"/>
      <w:r w:rsidRPr="00D434DA">
        <w:rPr>
          <w:rFonts w:ascii="Times New Roman" w:hAnsi="Times New Roman" w:cs="Times New Roman"/>
          <w:color w:val="auto"/>
          <w:sz w:val="24"/>
          <w:szCs w:val="24"/>
        </w:rPr>
        <w:lastRenderedPageBreak/>
        <w:t xml:space="preserve">Part A: </w:t>
      </w:r>
      <w:r w:rsidR="006B0FC7" w:rsidRPr="00D434DA">
        <w:rPr>
          <w:rFonts w:ascii="Times New Roman" w:hAnsi="Times New Roman" w:cs="Times New Roman"/>
          <w:color w:val="auto"/>
          <w:sz w:val="24"/>
          <w:szCs w:val="24"/>
        </w:rPr>
        <w:t>Introduction</w:t>
      </w:r>
      <w:bookmarkEnd w:id="0"/>
    </w:p>
    <w:p w14:paraId="3DA4A1C9" w14:textId="22F7B18A" w:rsidR="006B0FC7" w:rsidRPr="00D434DA" w:rsidRDefault="002D0D0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 xml:space="preserve">Currently one of the largest consumer goods companies in the world, the Unilever company was set up in 1930 with the amalgamation of the British Lever Brothers – a soap making company and the Dutch Margarine Unie – a margarine manufacturing company. International Company established in London </w:t>
      </w:r>
      <w:r w:rsidR="00EB55C7" w:rsidRPr="00D434DA">
        <w:rPr>
          <w:rFonts w:ascii="Times New Roman" w:hAnsi="Times New Roman" w:cs="Times New Roman"/>
          <w:bCs/>
          <w:sz w:val="24"/>
          <w:szCs w:val="24"/>
        </w:rPr>
        <w:t>with brands</w:t>
      </w:r>
      <w:r w:rsidRPr="00D434DA">
        <w:rPr>
          <w:rFonts w:ascii="Times New Roman" w:hAnsi="Times New Roman" w:cs="Times New Roman"/>
          <w:bCs/>
          <w:sz w:val="24"/>
          <w:szCs w:val="24"/>
        </w:rPr>
        <w:t xml:space="preserve"> and products in more than 190 countries, with product varying from Food and beverages to beauty and personal cares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(Yang, 2023)</w:t>
      </w:r>
      <w:r w:rsidRPr="00D434DA">
        <w:rPr>
          <w:rFonts w:ascii="Times New Roman" w:hAnsi="Times New Roman" w:cs="Times New Roman"/>
          <w:bCs/>
          <w:sz w:val="24"/>
          <w:szCs w:val="24"/>
        </w:rPr>
        <w:t>.</w:t>
      </w:r>
    </w:p>
    <w:p w14:paraId="6FDF6778" w14:textId="77777777" w:rsidR="006B0FC7" w:rsidRPr="00D434DA" w:rsidRDefault="006B0FC7"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Key Corporate Events (2019-2023)</w:t>
      </w:r>
    </w:p>
    <w:p w14:paraId="6891636C" w14:textId="77777777" w:rsidR="006B0FC7" w:rsidRPr="00D434DA" w:rsidRDefault="006B0FC7" w:rsidP="00D434DA">
      <w:pPr>
        <w:spacing w:line="360" w:lineRule="auto"/>
        <w:jc w:val="both"/>
        <w:rPr>
          <w:rFonts w:ascii="Times New Roman" w:hAnsi="Times New Roman" w:cs="Times New Roman"/>
          <w:bCs/>
          <w:sz w:val="24"/>
          <w:szCs w:val="24"/>
        </w:rPr>
      </w:pPr>
      <w:r w:rsidRPr="00D434DA">
        <w:rPr>
          <w:rFonts w:ascii="Times New Roman" w:hAnsi="Times New Roman" w:cs="Times New Roman"/>
          <w:b/>
          <w:bCs/>
          <w:sz w:val="24"/>
          <w:szCs w:val="24"/>
        </w:rPr>
        <w:t>2019: Strategic Refocus and Management Changes</w:t>
      </w:r>
    </w:p>
    <w:p w14:paraId="2CA017C1" w14:textId="49B81F1A" w:rsidR="006B0FC7" w:rsidRPr="00D434DA" w:rsidRDefault="002D0D0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In 2019 Unilever remained strategic by fine-tuning its categories and markets with the capability of high growth rate</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(Lieu et al., 2021)</w:t>
      </w:r>
      <w:r w:rsidRPr="00D434DA">
        <w:rPr>
          <w:rFonts w:ascii="Times New Roman" w:hAnsi="Times New Roman" w:cs="Times New Roman"/>
          <w:bCs/>
          <w:sz w:val="24"/>
          <w:szCs w:val="24"/>
        </w:rPr>
        <w:t>. The company also tested public relations when it released a new direction of its work focused on the green economy and the calibrations of its offers assortment. As a result, this year has also witnessed a change in leadership in Unilever with Alan Jope succeeding Paul Polman in the position of Chief Executive Officer. With the appointment of Jope, a new era of corporate life of Unilever was initiated with more and more focus on sustainability and innovation</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(Hu and Zeng, 2024)</w:t>
      </w:r>
      <w:r w:rsidRPr="00D434DA">
        <w:rPr>
          <w:rFonts w:ascii="Times New Roman" w:hAnsi="Times New Roman" w:cs="Times New Roman"/>
          <w:bCs/>
          <w:sz w:val="24"/>
          <w:szCs w:val="24"/>
        </w:rPr>
        <w:t>.</w:t>
      </w:r>
    </w:p>
    <w:p w14:paraId="14BC01B6" w14:textId="77777777" w:rsidR="006B0FC7" w:rsidRPr="00D434DA" w:rsidRDefault="006B0FC7" w:rsidP="00D434DA">
      <w:pPr>
        <w:spacing w:line="360" w:lineRule="auto"/>
        <w:jc w:val="both"/>
        <w:rPr>
          <w:rFonts w:ascii="Times New Roman" w:hAnsi="Times New Roman" w:cs="Times New Roman"/>
          <w:bCs/>
          <w:sz w:val="24"/>
          <w:szCs w:val="24"/>
        </w:rPr>
      </w:pPr>
      <w:r w:rsidRPr="00D434DA">
        <w:rPr>
          <w:rFonts w:ascii="Times New Roman" w:hAnsi="Times New Roman" w:cs="Times New Roman"/>
          <w:b/>
          <w:bCs/>
          <w:sz w:val="24"/>
          <w:szCs w:val="24"/>
        </w:rPr>
        <w:t>2020: COVID-19 Pandemic Impact and Strategic Decisions</w:t>
      </w:r>
    </w:p>
    <w:p w14:paraId="0B9A583F" w14:textId="279C428E" w:rsidR="006B0FC7" w:rsidRPr="00D434DA" w:rsidRDefault="002D0D0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Global business operations, in especially Unilever, were affected by the outbreak of COVID-19 that began early 2020</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(Lieu et al., 2021)</w:t>
      </w:r>
      <w:r w:rsidRPr="00D434DA">
        <w:rPr>
          <w:rFonts w:ascii="Times New Roman" w:hAnsi="Times New Roman" w:cs="Times New Roman"/>
          <w:bCs/>
          <w:sz w:val="24"/>
          <w:szCs w:val="24"/>
        </w:rPr>
        <w:t>. The company faced crises in supply chain management, and changes in consumers’ buying behaviors. In turn, Unilever stepped up its digitalisation agenda alongside a push for products that connected with health and hygiene in a pandemic period. Nonetheless, the financial outcomes of Unilever did not suffer significantly from the crisis, which proves the company’s ability to cope in a critical situation</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(Yang, 2023)</w:t>
      </w:r>
      <w:r w:rsidRPr="00D434DA">
        <w:rPr>
          <w:rFonts w:ascii="Times New Roman" w:hAnsi="Times New Roman" w:cs="Times New Roman"/>
          <w:bCs/>
          <w:sz w:val="24"/>
          <w:szCs w:val="24"/>
        </w:rPr>
        <w:t>.</w:t>
      </w:r>
    </w:p>
    <w:p w14:paraId="3B38140C" w14:textId="77777777" w:rsidR="006B0FC7" w:rsidRPr="00D434DA" w:rsidRDefault="006B0FC7" w:rsidP="00D434DA">
      <w:pPr>
        <w:spacing w:line="360" w:lineRule="auto"/>
        <w:jc w:val="both"/>
        <w:rPr>
          <w:rFonts w:ascii="Times New Roman" w:hAnsi="Times New Roman" w:cs="Times New Roman"/>
          <w:bCs/>
          <w:sz w:val="24"/>
          <w:szCs w:val="24"/>
        </w:rPr>
      </w:pPr>
      <w:r w:rsidRPr="00D434DA">
        <w:rPr>
          <w:rFonts w:ascii="Times New Roman" w:hAnsi="Times New Roman" w:cs="Times New Roman"/>
          <w:b/>
          <w:bCs/>
          <w:sz w:val="24"/>
          <w:szCs w:val="24"/>
        </w:rPr>
        <w:t>2021: Divestitures and Sustainability Initiatives</w:t>
      </w:r>
    </w:p>
    <w:p w14:paraId="7165DBCF" w14:textId="3FA25CF3" w:rsidR="006B0FC7" w:rsidRPr="00D434DA" w:rsidRDefault="002D0D0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In the year 2021, Unilever’s strategic agenda remained focused with the company engaged in divesting non-strategic businesses in a bid to orient the firm on its core competency segments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(Modreanu et al., 2022)</w:t>
      </w:r>
      <w:r w:rsidRPr="00D434DA">
        <w:rPr>
          <w:rFonts w:ascii="Times New Roman" w:hAnsi="Times New Roman" w:cs="Times New Roman"/>
          <w:bCs/>
          <w:sz w:val="24"/>
          <w:szCs w:val="24"/>
        </w:rPr>
        <w:t>. Some of these consist of divesture in its tea division by selling it to CVC capital partners for euro 4. 5 billion. This was a component of a larger plan to promote health, wellness, and the overall sustainable living. Also, Unilever achieved some important developmental goals in sustainability; and ensured its mission of decreasing the firm’s environmental impact on the earth</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(Hu and Zeng, 2024)</w:t>
      </w:r>
      <w:r w:rsidRPr="00D434DA">
        <w:rPr>
          <w:rFonts w:ascii="Times New Roman" w:hAnsi="Times New Roman" w:cs="Times New Roman"/>
          <w:bCs/>
          <w:sz w:val="24"/>
          <w:szCs w:val="24"/>
        </w:rPr>
        <w:t>.</w:t>
      </w:r>
    </w:p>
    <w:p w14:paraId="6BAE9107" w14:textId="77777777" w:rsidR="006B0FC7" w:rsidRPr="00D434DA" w:rsidRDefault="006B0FC7" w:rsidP="00D434DA">
      <w:pPr>
        <w:spacing w:line="360" w:lineRule="auto"/>
        <w:jc w:val="both"/>
        <w:rPr>
          <w:rFonts w:ascii="Times New Roman" w:hAnsi="Times New Roman" w:cs="Times New Roman"/>
          <w:bCs/>
          <w:sz w:val="24"/>
          <w:szCs w:val="24"/>
        </w:rPr>
      </w:pPr>
      <w:r w:rsidRPr="00D434DA">
        <w:rPr>
          <w:rFonts w:ascii="Times New Roman" w:hAnsi="Times New Roman" w:cs="Times New Roman"/>
          <w:b/>
          <w:bCs/>
          <w:sz w:val="24"/>
          <w:szCs w:val="24"/>
        </w:rPr>
        <w:lastRenderedPageBreak/>
        <w:t>2022: Leadership Transition and Innovation Focus</w:t>
      </w:r>
    </w:p>
    <w:p w14:paraId="22FEAB10" w14:textId="7FA47FE3" w:rsidR="006B0FC7" w:rsidRPr="00D434DA" w:rsidRDefault="002D0D0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Later in the year 2022, another leadership change notice emerged at Unilever as Hein Schumacher took over as the Chief Executive Officer after replacing Alan Jope</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(Modreanu et al., 2022)</w:t>
      </w:r>
      <w:r w:rsidRPr="00D434DA">
        <w:rPr>
          <w:rFonts w:ascii="Times New Roman" w:hAnsi="Times New Roman" w:cs="Times New Roman"/>
          <w:bCs/>
          <w:sz w:val="24"/>
          <w:szCs w:val="24"/>
        </w:rPr>
        <w:t>. As with the previously listed changes, this transition served as a step in the development of this company’s strategies to boost its growth rates and stimulate innovation</w:t>
      </w:r>
      <w:r w:rsidR="006B0FC7" w:rsidRPr="00D434DA">
        <w:rPr>
          <w:rFonts w:ascii="Times New Roman" w:hAnsi="Times New Roman" w:cs="Times New Roman"/>
          <w:bCs/>
          <w:sz w:val="24"/>
          <w:szCs w:val="24"/>
        </w:rPr>
        <w:t xml:space="preserve">. </w:t>
      </w:r>
      <w:r w:rsidR="007F2184" w:rsidRPr="00D434DA">
        <w:rPr>
          <w:rFonts w:ascii="Times New Roman" w:hAnsi="Times New Roman" w:cs="Times New Roman"/>
          <w:bCs/>
          <w:sz w:val="24"/>
          <w:szCs w:val="24"/>
        </w:rPr>
        <w:t>During Schumacher tenure as the CEO of Unilever, the company remained strategic in the adoption of digital technologies and sustainable product development as strategies aimed at improving its market competitiveness and to adapt to changing customer needs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(Yang, 2023)</w:t>
      </w:r>
      <w:r w:rsidR="007F2184" w:rsidRPr="00D434DA">
        <w:rPr>
          <w:rFonts w:ascii="Times New Roman" w:hAnsi="Times New Roman" w:cs="Times New Roman"/>
          <w:bCs/>
          <w:sz w:val="24"/>
          <w:szCs w:val="24"/>
        </w:rPr>
        <w:t>.</w:t>
      </w:r>
    </w:p>
    <w:p w14:paraId="1EF53F7C" w14:textId="77777777" w:rsidR="006B0FC7" w:rsidRPr="00D434DA" w:rsidRDefault="006B0FC7" w:rsidP="00D434DA">
      <w:pPr>
        <w:spacing w:line="360" w:lineRule="auto"/>
        <w:jc w:val="both"/>
        <w:rPr>
          <w:rFonts w:ascii="Times New Roman" w:hAnsi="Times New Roman" w:cs="Times New Roman"/>
          <w:bCs/>
          <w:sz w:val="24"/>
          <w:szCs w:val="24"/>
        </w:rPr>
      </w:pPr>
      <w:r w:rsidRPr="00D434DA">
        <w:rPr>
          <w:rFonts w:ascii="Times New Roman" w:hAnsi="Times New Roman" w:cs="Times New Roman"/>
          <w:b/>
          <w:bCs/>
          <w:sz w:val="24"/>
          <w:szCs w:val="24"/>
        </w:rPr>
        <w:t>2023: Financial Performance and Strategic Investments</w:t>
      </w:r>
    </w:p>
    <w:p w14:paraId="41913424" w14:textId="1C919E2A" w:rsidR="006B0FC7" w:rsidRPr="00D434DA" w:rsidRDefault="007F2184"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In 2023, Unilever continued overall financial progress and introduced several valuable investments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(Modreanu et al., 2022)</w:t>
      </w:r>
      <w:r w:rsidRPr="00D434DA">
        <w:rPr>
          <w:rFonts w:ascii="Times New Roman" w:hAnsi="Times New Roman" w:cs="Times New Roman"/>
          <w:bCs/>
          <w:sz w:val="24"/>
          <w:szCs w:val="24"/>
        </w:rPr>
        <w:t>. The company strategy that was implemented here was the attempt to strengthen the market position in the overseas countries and diversification of the product portfolio. Unilever was also able to maintain its sustainability objectives, such as the crusade to eliminate plastic and enhancing the company’s supply chain. It made continuous dividend declarations for the year and invested in projects, which would yield long-term health returns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(Hu and Zeng, 2024)</w:t>
      </w:r>
      <w:r w:rsidRPr="00D434DA">
        <w:rPr>
          <w:rFonts w:ascii="Times New Roman" w:hAnsi="Times New Roman" w:cs="Times New Roman"/>
          <w:bCs/>
          <w:sz w:val="24"/>
          <w:szCs w:val="24"/>
        </w:rPr>
        <w:t>.</w:t>
      </w:r>
    </w:p>
    <w:p w14:paraId="7A8A167A" w14:textId="2AF96DB3" w:rsidR="00370E80" w:rsidRPr="00D434DA" w:rsidRDefault="00370E80" w:rsidP="00D434DA">
      <w:pPr>
        <w:pStyle w:val="Heading1"/>
        <w:spacing w:line="360" w:lineRule="auto"/>
        <w:jc w:val="both"/>
        <w:rPr>
          <w:rFonts w:ascii="Times New Roman" w:hAnsi="Times New Roman" w:cs="Times New Roman"/>
          <w:color w:val="auto"/>
          <w:sz w:val="24"/>
          <w:szCs w:val="24"/>
        </w:rPr>
      </w:pPr>
      <w:bookmarkStart w:id="1" w:name="_Toc174694195"/>
      <w:r w:rsidRPr="00D434DA">
        <w:rPr>
          <w:rFonts w:ascii="Times New Roman" w:hAnsi="Times New Roman" w:cs="Times New Roman"/>
          <w:color w:val="auto"/>
          <w:sz w:val="24"/>
          <w:szCs w:val="24"/>
        </w:rPr>
        <w:t>Part B</w:t>
      </w:r>
      <w:r w:rsidR="00070930" w:rsidRPr="00D434DA">
        <w:rPr>
          <w:rFonts w:ascii="Times New Roman" w:hAnsi="Times New Roman" w:cs="Times New Roman"/>
          <w:color w:val="auto"/>
          <w:sz w:val="24"/>
          <w:szCs w:val="24"/>
        </w:rPr>
        <w:t>: Financial performance and alternative capital structure considerations</w:t>
      </w:r>
      <w:bookmarkEnd w:id="1"/>
    </w:p>
    <w:p w14:paraId="1E8D3883" w14:textId="2F046782" w:rsidR="00370E80" w:rsidRPr="00D434DA" w:rsidRDefault="00070930" w:rsidP="00D434DA">
      <w:pPr>
        <w:pStyle w:val="Heading2"/>
        <w:spacing w:line="360" w:lineRule="auto"/>
        <w:jc w:val="both"/>
        <w:rPr>
          <w:rFonts w:ascii="Times New Roman" w:hAnsi="Times New Roman" w:cs="Times New Roman"/>
          <w:color w:val="auto"/>
          <w:sz w:val="24"/>
          <w:szCs w:val="24"/>
        </w:rPr>
      </w:pPr>
      <w:bookmarkStart w:id="2" w:name="_Toc174694196"/>
      <w:r w:rsidRPr="00D434DA">
        <w:rPr>
          <w:rFonts w:ascii="Times New Roman" w:hAnsi="Times New Roman" w:cs="Times New Roman"/>
          <w:color w:val="auto"/>
          <w:sz w:val="24"/>
          <w:szCs w:val="24"/>
        </w:rPr>
        <w:t>B1: Corporation’s financial performance</w:t>
      </w:r>
      <w:bookmarkEnd w:id="2"/>
    </w:p>
    <w:p w14:paraId="2ABDCC89" w14:textId="77777777" w:rsidR="0082516A" w:rsidRPr="00D434DA" w:rsidRDefault="00370E80"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 xml:space="preserve">1. </w:t>
      </w:r>
      <w:r w:rsidR="0082516A" w:rsidRPr="00D434DA">
        <w:rPr>
          <w:rFonts w:ascii="Times New Roman" w:hAnsi="Times New Roman" w:cs="Times New Roman"/>
          <w:b/>
          <w:bCs/>
          <w:sz w:val="24"/>
          <w:szCs w:val="24"/>
        </w:rPr>
        <w:t>Liquidity Ratios</w:t>
      </w:r>
    </w:p>
    <w:p w14:paraId="4E5C8088" w14:textId="7170B0B8" w:rsidR="0082516A" w:rsidRPr="00D434DA" w:rsidRDefault="00A830D2"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Liquidity ratios are used to determine the efficiency of a firm to pay off its near term dues. The commonly used liquidity ratios include the current ratio and the quick ratio.</w:t>
      </w:r>
    </w:p>
    <w:p w14:paraId="4DBBB64D" w14:textId="77777777" w:rsidR="0082516A" w:rsidRPr="00D434DA" w:rsidRDefault="0082516A"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Current Ratio</w:t>
      </w:r>
    </w:p>
    <w:p w14:paraId="354D7A18" w14:textId="695AB643" w:rsidR="0082516A" w:rsidRPr="00D434DA" w:rsidRDefault="0082516A"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The current ratio is c</w:t>
      </w:r>
      <w:r w:rsidR="00532754" w:rsidRPr="00D434DA">
        <w:rPr>
          <w:rFonts w:ascii="Times New Roman" w:hAnsi="Times New Roman" w:cs="Times New Roman"/>
          <w:sz w:val="24"/>
          <w:szCs w:val="24"/>
        </w:rPr>
        <w:t>omputed</w:t>
      </w:r>
      <w:r w:rsidRPr="00D434DA">
        <w:rPr>
          <w:rFonts w:ascii="Times New Roman" w:hAnsi="Times New Roman" w:cs="Times New Roman"/>
          <w:sz w:val="24"/>
          <w:szCs w:val="24"/>
        </w:rPr>
        <w:t xml:space="preserve"> as</w:t>
      </w:r>
      <w:r w:rsidR="00532754" w:rsidRPr="00D434DA">
        <w:rPr>
          <w:rFonts w:ascii="Times New Roman" w:hAnsi="Times New Roman" w:cs="Times New Roman"/>
          <w:sz w:val="24"/>
          <w:szCs w:val="24"/>
        </w:rPr>
        <w:t xml:space="preserve"> follows</w:t>
      </w:r>
      <w:r w:rsidRPr="00D434DA">
        <w:rPr>
          <w:rFonts w:ascii="Times New Roman" w:hAnsi="Times New Roman" w:cs="Times New Roman"/>
          <w:sz w:val="24"/>
          <w:szCs w:val="24"/>
        </w:rPr>
        <w:t>:</w:t>
      </w:r>
    </w:p>
    <w:p w14:paraId="7851C78D" w14:textId="3F08148E" w:rsidR="0082516A" w:rsidRPr="00D434DA" w:rsidRDefault="0082516A"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 </w:t>
      </w:r>
      <m:oMath>
        <m:r>
          <m:rPr>
            <m:sty m:val="p"/>
          </m:rPr>
          <w:rPr>
            <w:rFonts w:ascii="Cambria Math" w:hAnsi="Cambria Math" w:cs="Times New Roman"/>
            <w:sz w:val="24"/>
            <w:szCs w:val="24"/>
          </w:rPr>
          <m:t>Current Ratio=</m:t>
        </m:r>
        <m:f>
          <m:fPr>
            <m:ctrlPr>
              <w:rPr>
                <w:rFonts w:ascii="Cambria Math" w:hAnsi="Cambria Math" w:cs="Times New Roman"/>
                <w:sz w:val="24"/>
                <w:szCs w:val="24"/>
              </w:rPr>
            </m:ctrlPr>
          </m:fPr>
          <m:num>
            <m:r>
              <m:rPr>
                <m:sty m:val="p"/>
              </m:rPr>
              <w:rPr>
                <w:rFonts w:ascii="Cambria Math" w:hAnsi="Cambria Math" w:cs="Times New Roman"/>
                <w:sz w:val="24"/>
                <w:szCs w:val="24"/>
              </w:rPr>
              <m:t>Current Assets</m:t>
            </m:r>
          </m:num>
          <m:den>
            <m:r>
              <m:rPr>
                <m:sty m:val="p"/>
              </m:rPr>
              <w:rPr>
                <w:rFonts w:ascii="Cambria Math" w:hAnsi="Cambria Math" w:cs="Times New Roman"/>
                <w:sz w:val="24"/>
                <w:szCs w:val="24"/>
              </w:rPr>
              <m:t>Current Liabilities</m:t>
            </m:r>
          </m:den>
        </m:f>
      </m:oMath>
    </w:p>
    <w:tbl>
      <w:tblPr>
        <w:tblStyle w:val="TableGrid"/>
        <w:tblW w:w="0" w:type="auto"/>
        <w:tblInd w:w="250" w:type="dxa"/>
        <w:tblLook w:val="04A0" w:firstRow="1" w:lastRow="0" w:firstColumn="1" w:lastColumn="0" w:noHBand="0" w:noVBand="1"/>
      </w:tblPr>
      <w:tblGrid>
        <w:gridCol w:w="723"/>
        <w:gridCol w:w="2876"/>
        <w:gridCol w:w="3263"/>
        <w:gridCol w:w="1676"/>
      </w:tblGrid>
      <w:tr w:rsidR="00D434DA" w:rsidRPr="00D434DA" w14:paraId="7A736FF1" w14:textId="77777777" w:rsidTr="00070930">
        <w:tc>
          <w:tcPr>
            <w:tcW w:w="473" w:type="dxa"/>
            <w:shd w:val="clear" w:color="auto" w:fill="FDE9D9" w:themeFill="accent6" w:themeFillTint="33"/>
            <w:hideMark/>
          </w:tcPr>
          <w:p w14:paraId="74616E72"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Year</w:t>
            </w:r>
          </w:p>
        </w:tc>
        <w:tc>
          <w:tcPr>
            <w:tcW w:w="0" w:type="auto"/>
            <w:shd w:val="clear" w:color="auto" w:fill="FDE9D9" w:themeFill="accent6" w:themeFillTint="33"/>
            <w:hideMark/>
          </w:tcPr>
          <w:p w14:paraId="58D6FFED"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Current Assets (€ million)</w:t>
            </w:r>
          </w:p>
        </w:tc>
        <w:tc>
          <w:tcPr>
            <w:tcW w:w="0" w:type="auto"/>
            <w:shd w:val="clear" w:color="auto" w:fill="FDE9D9" w:themeFill="accent6" w:themeFillTint="33"/>
            <w:hideMark/>
          </w:tcPr>
          <w:p w14:paraId="4B251252"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Current Liabilities (€ million)</w:t>
            </w:r>
          </w:p>
        </w:tc>
        <w:tc>
          <w:tcPr>
            <w:tcW w:w="0" w:type="auto"/>
            <w:shd w:val="clear" w:color="auto" w:fill="FDE9D9" w:themeFill="accent6" w:themeFillTint="33"/>
            <w:hideMark/>
          </w:tcPr>
          <w:p w14:paraId="683CAADB"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Current Ratio</w:t>
            </w:r>
          </w:p>
        </w:tc>
      </w:tr>
      <w:tr w:rsidR="00D434DA" w:rsidRPr="00D434DA" w14:paraId="5D7DC6FE" w14:textId="77777777" w:rsidTr="00070930">
        <w:tc>
          <w:tcPr>
            <w:tcW w:w="473" w:type="dxa"/>
            <w:shd w:val="clear" w:color="auto" w:fill="DAEEF3" w:themeFill="accent5" w:themeFillTint="33"/>
            <w:hideMark/>
          </w:tcPr>
          <w:p w14:paraId="399A6F55"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2019</w:t>
            </w:r>
          </w:p>
        </w:tc>
        <w:tc>
          <w:tcPr>
            <w:tcW w:w="0" w:type="auto"/>
            <w:shd w:val="clear" w:color="auto" w:fill="DAEEF3" w:themeFill="accent5" w:themeFillTint="33"/>
            <w:hideMark/>
          </w:tcPr>
          <w:p w14:paraId="74ADD03D"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13,648</w:t>
            </w:r>
          </w:p>
        </w:tc>
        <w:tc>
          <w:tcPr>
            <w:tcW w:w="0" w:type="auto"/>
            <w:shd w:val="clear" w:color="auto" w:fill="DAEEF3" w:themeFill="accent5" w:themeFillTint="33"/>
            <w:hideMark/>
          </w:tcPr>
          <w:p w14:paraId="4B1AB57C"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18,356</w:t>
            </w:r>
          </w:p>
        </w:tc>
        <w:tc>
          <w:tcPr>
            <w:tcW w:w="0" w:type="auto"/>
            <w:shd w:val="clear" w:color="auto" w:fill="DAEEF3" w:themeFill="accent5" w:themeFillTint="33"/>
            <w:hideMark/>
          </w:tcPr>
          <w:p w14:paraId="5AB143AA"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0.74</w:t>
            </w:r>
          </w:p>
        </w:tc>
      </w:tr>
      <w:tr w:rsidR="00D434DA" w:rsidRPr="00D434DA" w14:paraId="305E4E31" w14:textId="77777777" w:rsidTr="00070930">
        <w:tc>
          <w:tcPr>
            <w:tcW w:w="473" w:type="dxa"/>
            <w:shd w:val="clear" w:color="auto" w:fill="DAEEF3" w:themeFill="accent5" w:themeFillTint="33"/>
            <w:hideMark/>
          </w:tcPr>
          <w:p w14:paraId="3D47F03D"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lastRenderedPageBreak/>
              <w:t>2020</w:t>
            </w:r>
          </w:p>
        </w:tc>
        <w:tc>
          <w:tcPr>
            <w:tcW w:w="0" w:type="auto"/>
            <w:shd w:val="clear" w:color="auto" w:fill="DAEEF3" w:themeFill="accent5" w:themeFillTint="33"/>
            <w:hideMark/>
          </w:tcPr>
          <w:p w14:paraId="0BD8389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13,781</w:t>
            </w:r>
          </w:p>
        </w:tc>
        <w:tc>
          <w:tcPr>
            <w:tcW w:w="0" w:type="auto"/>
            <w:shd w:val="clear" w:color="auto" w:fill="DAEEF3" w:themeFill="accent5" w:themeFillTint="33"/>
            <w:hideMark/>
          </w:tcPr>
          <w:p w14:paraId="00FED57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20,314</w:t>
            </w:r>
          </w:p>
        </w:tc>
        <w:tc>
          <w:tcPr>
            <w:tcW w:w="0" w:type="auto"/>
            <w:shd w:val="clear" w:color="auto" w:fill="DAEEF3" w:themeFill="accent5" w:themeFillTint="33"/>
            <w:hideMark/>
          </w:tcPr>
          <w:p w14:paraId="4B4EFD75"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0.68</w:t>
            </w:r>
          </w:p>
        </w:tc>
      </w:tr>
      <w:tr w:rsidR="00D434DA" w:rsidRPr="00D434DA" w14:paraId="271AFB60" w14:textId="77777777" w:rsidTr="00070930">
        <w:tc>
          <w:tcPr>
            <w:tcW w:w="473" w:type="dxa"/>
            <w:shd w:val="clear" w:color="auto" w:fill="DAEEF3" w:themeFill="accent5" w:themeFillTint="33"/>
            <w:hideMark/>
          </w:tcPr>
          <w:p w14:paraId="2CEA873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2021</w:t>
            </w:r>
          </w:p>
        </w:tc>
        <w:tc>
          <w:tcPr>
            <w:tcW w:w="0" w:type="auto"/>
            <w:shd w:val="clear" w:color="auto" w:fill="DAEEF3" w:themeFill="accent5" w:themeFillTint="33"/>
            <w:hideMark/>
          </w:tcPr>
          <w:p w14:paraId="3C513107"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15,948</w:t>
            </w:r>
          </w:p>
        </w:tc>
        <w:tc>
          <w:tcPr>
            <w:tcW w:w="0" w:type="auto"/>
            <w:shd w:val="clear" w:color="auto" w:fill="DAEEF3" w:themeFill="accent5" w:themeFillTint="33"/>
            <w:hideMark/>
          </w:tcPr>
          <w:p w14:paraId="11D2A54C"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20,969</w:t>
            </w:r>
          </w:p>
        </w:tc>
        <w:tc>
          <w:tcPr>
            <w:tcW w:w="0" w:type="auto"/>
            <w:shd w:val="clear" w:color="auto" w:fill="DAEEF3" w:themeFill="accent5" w:themeFillTint="33"/>
            <w:hideMark/>
          </w:tcPr>
          <w:p w14:paraId="591C2096"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0.76</w:t>
            </w:r>
          </w:p>
        </w:tc>
      </w:tr>
      <w:tr w:rsidR="00D434DA" w:rsidRPr="00D434DA" w14:paraId="191124E7" w14:textId="77777777" w:rsidTr="00070930">
        <w:tc>
          <w:tcPr>
            <w:tcW w:w="473" w:type="dxa"/>
            <w:shd w:val="clear" w:color="auto" w:fill="DAEEF3" w:themeFill="accent5" w:themeFillTint="33"/>
            <w:hideMark/>
          </w:tcPr>
          <w:p w14:paraId="512A6665"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2022</w:t>
            </w:r>
          </w:p>
        </w:tc>
        <w:tc>
          <w:tcPr>
            <w:tcW w:w="0" w:type="auto"/>
            <w:shd w:val="clear" w:color="auto" w:fill="DAEEF3" w:themeFill="accent5" w:themeFillTint="33"/>
            <w:hideMark/>
          </w:tcPr>
          <w:p w14:paraId="62A70655"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16,218</w:t>
            </w:r>
          </w:p>
        </w:tc>
        <w:tc>
          <w:tcPr>
            <w:tcW w:w="0" w:type="auto"/>
            <w:shd w:val="clear" w:color="auto" w:fill="DAEEF3" w:themeFill="accent5" w:themeFillTint="33"/>
            <w:hideMark/>
          </w:tcPr>
          <w:p w14:paraId="3CAADC52"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22,373</w:t>
            </w:r>
          </w:p>
        </w:tc>
        <w:tc>
          <w:tcPr>
            <w:tcW w:w="0" w:type="auto"/>
            <w:shd w:val="clear" w:color="auto" w:fill="DAEEF3" w:themeFill="accent5" w:themeFillTint="33"/>
            <w:hideMark/>
          </w:tcPr>
          <w:p w14:paraId="01D30FC8"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0.73</w:t>
            </w:r>
          </w:p>
        </w:tc>
      </w:tr>
      <w:tr w:rsidR="00D434DA" w:rsidRPr="00D434DA" w14:paraId="2B750D9A" w14:textId="77777777" w:rsidTr="00070930">
        <w:tc>
          <w:tcPr>
            <w:tcW w:w="473" w:type="dxa"/>
            <w:shd w:val="clear" w:color="auto" w:fill="DAEEF3" w:themeFill="accent5" w:themeFillTint="33"/>
            <w:hideMark/>
          </w:tcPr>
          <w:p w14:paraId="41C1831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2023</w:t>
            </w:r>
          </w:p>
        </w:tc>
        <w:tc>
          <w:tcPr>
            <w:tcW w:w="0" w:type="auto"/>
            <w:shd w:val="clear" w:color="auto" w:fill="DAEEF3" w:themeFill="accent5" w:themeFillTint="33"/>
            <w:hideMark/>
          </w:tcPr>
          <w:p w14:paraId="37CE0927"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16,980</w:t>
            </w:r>
          </w:p>
        </w:tc>
        <w:tc>
          <w:tcPr>
            <w:tcW w:w="0" w:type="auto"/>
            <w:shd w:val="clear" w:color="auto" w:fill="DAEEF3" w:themeFill="accent5" w:themeFillTint="33"/>
            <w:hideMark/>
          </w:tcPr>
          <w:p w14:paraId="7641FF2C"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21,877</w:t>
            </w:r>
          </w:p>
        </w:tc>
        <w:tc>
          <w:tcPr>
            <w:tcW w:w="0" w:type="auto"/>
            <w:shd w:val="clear" w:color="auto" w:fill="DAEEF3" w:themeFill="accent5" w:themeFillTint="33"/>
            <w:hideMark/>
          </w:tcPr>
          <w:p w14:paraId="5CE72B4D"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0.78</w:t>
            </w:r>
          </w:p>
        </w:tc>
      </w:tr>
    </w:tbl>
    <w:p w14:paraId="0892E272" w14:textId="492EAE10" w:rsidR="00370E80" w:rsidRPr="00D434DA" w:rsidRDefault="00A0417F"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The current ratio, which reveals the extent to which a company can effectively pay its short-term debts using its short-term resources, was used to determine the subject firm’s liquid position at specific time intervals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(Dang Khanh, 2024)</w:t>
      </w:r>
      <w:r w:rsidRPr="00D434DA">
        <w:rPr>
          <w:rFonts w:ascii="Times New Roman" w:hAnsi="Times New Roman" w:cs="Times New Roman"/>
          <w:bCs/>
          <w:sz w:val="24"/>
          <w:szCs w:val="24"/>
        </w:rPr>
        <w:t>. Remarkably, the current ratio has not remained constant for Unilever over the last five years, which denotes the changes in the organisation’s liquidity and efficiency in covering short term liabilities. The current ratio in 2019 was 0.74, which implied that for Every Euro’s current liabilities, Unilever had 74 cents in current assets, which perhaps was stretched in terms of liquidity. Such tendency was maintained up to year 2020 with a relatively lesser rate of 0.68, also pointing to problems with regard to filling short-term liabilities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(Basu, 2020)</w:t>
      </w:r>
      <w:r w:rsidRPr="00D434DA">
        <w:rPr>
          <w:rFonts w:ascii="Times New Roman" w:hAnsi="Times New Roman" w:cs="Times New Roman"/>
          <w:bCs/>
          <w:sz w:val="24"/>
          <w:szCs w:val="24"/>
        </w:rPr>
        <w:t>.</w:t>
      </w:r>
    </w:p>
    <w:p w14:paraId="0605E6DD" w14:textId="4EF7AAA1" w:rsidR="00370E80" w:rsidRPr="00D434DA" w:rsidRDefault="00791CA4"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The current ratio was slightly better in 2021 and stood at 0.76, which indicate a minor improvement in amount of liquidity. Nevertheless, this positive shift did not reach to a more satisfactory level as the ratio declined to 0.73 in 2022</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(Dang Khanh, 2024)</w:t>
      </w:r>
      <w:r w:rsidRPr="00D434DA">
        <w:rPr>
          <w:rFonts w:ascii="Times New Roman" w:hAnsi="Times New Roman" w:cs="Times New Roman"/>
          <w:bCs/>
          <w:sz w:val="24"/>
          <w:szCs w:val="24"/>
        </w:rPr>
        <w:t>. Based on the current available financial statements, it means that by 2023, Unilever current ratio was at 0.78, the highest compared to data observed over the period, showing a better liquidity stance. This improvement analyses the better capacity of the firm in covering the short-term liabilities signifying improved management of current assets and liabilities. Nonetheless, when taking the overall picture of managing liquidity up to 2023 into consideration, there is a clear tendency toward improvement</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(Iglesias et al., 2023)</w:t>
      </w:r>
      <w:r w:rsidRPr="00D434DA">
        <w:rPr>
          <w:rFonts w:ascii="Times New Roman" w:hAnsi="Times New Roman" w:cs="Times New Roman"/>
          <w:bCs/>
          <w:sz w:val="24"/>
          <w:szCs w:val="24"/>
        </w:rPr>
        <w:t>.</w:t>
      </w:r>
    </w:p>
    <w:p w14:paraId="2B766FA6" w14:textId="77777777" w:rsidR="0082516A" w:rsidRPr="00D434DA" w:rsidRDefault="0082516A"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Quick Ratio</w:t>
      </w:r>
    </w:p>
    <w:p w14:paraId="79A5F217" w14:textId="1AAD6463" w:rsidR="0082516A" w:rsidRPr="00D434DA" w:rsidRDefault="0082516A"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The quick ratio is </w:t>
      </w:r>
      <w:r w:rsidR="00461A6F" w:rsidRPr="00D434DA">
        <w:rPr>
          <w:rFonts w:ascii="Times New Roman" w:hAnsi="Times New Roman" w:cs="Times New Roman"/>
          <w:sz w:val="24"/>
          <w:szCs w:val="24"/>
        </w:rPr>
        <w:t>determined</w:t>
      </w:r>
      <w:r w:rsidRPr="00D434DA">
        <w:rPr>
          <w:rFonts w:ascii="Times New Roman" w:hAnsi="Times New Roman" w:cs="Times New Roman"/>
          <w:sz w:val="24"/>
          <w:szCs w:val="24"/>
        </w:rPr>
        <w:t xml:space="preserve"> </w:t>
      </w:r>
      <w:r w:rsidR="00461A6F" w:rsidRPr="00D434DA">
        <w:rPr>
          <w:rFonts w:ascii="Times New Roman" w:hAnsi="Times New Roman" w:cs="Times New Roman"/>
          <w:sz w:val="24"/>
          <w:szCs w:val="24"/>
        </w:rPr>
        <w:t>by the following formula</w:t>
      </w:r>
      <w:r w:rsidRPr="00D434DA">
        <w:rPr>
          <w:rFonts w:ascii="Times New Roman" w:hAnsi="Times New Roman" w:cs="Times New Roman"/>
          <w:sz w:val="24"/>
          <w:szCs w:val="24"/>
        </w:rPr>
        <w:t>:</w:t>
      </w:r>
    </w:p>
    <w:p w14:paraId="6E4564CC" w14:textId="1418320E" w:rsidR="0082516A" w:rsidRPr="00D434DA" w:rsidRDefault="0082516A"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 </w:t>
      </w:r>
      <m:oMath>
        <m:r>
          <m:rPr>
            <m:sty m:val="p"/>
          </m:rPr>
          <w:rPr>
            <w:rFonts w:ascii="Cambria Math" w:hAnsi="Cambria Math" w:cs="Times New Roman"/>
            <w:sz w:val="24"/>
            <w:szCs w:val="24"/>
          </w:rPr>
          <m:t>Quick Ratio=</m:t>
        </m:r>
        <m:f>
          <m:fPr>
            <m:ctrlPr>
              <w:rPr>
                <w:rFonts w:ascii="Cambria Math" w:hAnsi="Cambria Math" w:cs="Times New Roman"/>
                <w:sz w:val="24"/>
                <w:szCs w:val="24"/>
              </w:rPr>
            </m:ctrlPr>
          </m:fPr>
          <m:num>
            <m:r>
              <m:rPr>
                <m:sty m:val="p"/>
              </m:rPr>
              <w:rPr>
                <w:rFonts w:ascii="Cambria Math" w:hAnsi="Cambria Math" w:cs="Times New Roman"/>
                <w:sz w:val="24"/>
                <w:szCs w:val="24"/>
              </w:rPr>
              <m:t>Current Assets-Inventories</m:t>
            </m:r>
          </m:num>
          <m:den>
            <m:r>
              <m:rPr>
                <m:sty m:val="p"/>
              </m:rPr>
              <w:rPr>
                <w:rFonts w:ascii="Cambria Math" w:hAnsi="Cambria Math" w:cs="Times New Roman"/>
                <w:sz w:val="24"/>
                <w:szCs w:val="24"/>
              </w:rPr>
              <m:t>Current Liabilities</m:t>
            </m:r>
          </m:den>
        </m:f>
      </m:oMath>
    </w:p>
    <w:tbl>
      <w:tblPr>
        <w:tblStyle w:val="TableGrid"/>
        <w:tblW w:w="0" w:type="auto"/>
        <w:tblInd w:w="392" w:type="dxa"/>
        <w:tblLook w:val="04A0" w:firstRow="1" w:lastRow="0" w:firstColumn="1" w:lastColumn="0" w:noHBand="0" w:noVBand="1"/>
      </w:tblPr>
      <w:tblGrid>
        <w:gridCol w:w="723"/>
        <w:gridCol w:w="2876"/>
        <w:gridCol w:w="2496"/>
        <w:gridCol w:w="1463"/>
      </w:tblGrid>
      <w:tr w:rsidR="00D434DA" w:rsidRPr="00D434DA" w14:paraId="2FE1FA90" w14:textId="77777777" w:rsidTr="00070930">
        <w:tc>
          <w:tcPr>
            <w:tcW w:w="331" w:type="dxa"/>
            <w:shd w:val="clear" w:color="auto" w:fill="FDE9D9" w:themeFill="accent6" w:themeFillTint="33"/>
            <w:hideMark/>
          </w:tcPr>
          <w:p w14:paraId="7738DD78"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Year</w:t>
            </w:r>
          </w:p>
        </w:tc>
        <w:tc>
          <w:tcPr>
            <w:tcW w:w="0" w:type="auto"/>
            <w:shd w:val="clear" w:color="auto" w:fill="FDE9D9" w:themeFill="accent6" w:themeFillTint="33"/>
            <w:hideMark/>
          </w:tcPr>
          <w:p w14:paraId="5B952C12"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Current Assets (€ million)</w:t>
            </w:r>
          </w:p>
        </w:tc>
        <w:tc>
          <w:tcPr>
            <w:tcW w:w="0" w:type="auto"/>
            <w:shd w:val="clear" w:color="auto" w:fill="FDE9D9" w:themeFill="accent6" w:themeFillTint="33"/>
            <w:hideMark/>
          </w:tcPr>
          <w:p w14:paraId="04C8828A"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Inventories (€ million)</w:t>
            </w:r>
          </w:p>
        </w:tc>
        <w:tc>
          <w:tcPr>
            <w:tcW w:w="0" w:type="auto"/>
            <w:shd w:val="clear" w:color="auto" w:fill="FDE9D9" w:themeFill="accent6" w:themeFillTint="33"/>
            <w:hideMark/>
          </w:tcPr>
          <w:p w14:paraId="1B448D00"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Quick Ratio</w:t>
            </w:r>
          </w:p>
        </w:tc>
      </w:tr>
      <w:tr w:rsidR="00D434DA" w:rsidRPr="00D434DA" w14:paraId="7B329C5C" w14:textId="77777777" w:rsidTr="00070930">
        <w:tc>
          <w:tcPr>
            <w:tcW w:w="331" w:type="dxa"/>
            <w:shd w:val="clear" w:color="auto" w:fill="DAEEF3" w:themeFill="accent5" w:themeFillTint="33"/>
            <w:hideMark/>
          </w:tcPr>
          <w:p w14:paraId="0B563DA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2019</w:t>
            </w:r>
          </w:p>
        </w:tc>
        <w:tc>
          <w:tcPr>
            <w:tcW w:w="0" w:type="auto"/>
            <w:shd w:val="clear" w:color="auto" w:fill="DAEEF3" w:themeFill="accent5" w:themeFillTint="33"/>
            <w:hideMark/>
          </w:tcPr>
          <w:p w14:paraId="06890E1D"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13,648</w:t>
            </w:r>
          </w:p>
        </w:tc>
        <w:tc>
          <w:tcPr>
            <w:tcW w:w="0" w:type="auto"/>
            <w:shd w:val="clear" w:color="auto" w:fill="DAEEF3" w:themeFill="accent5" w:themeFillTint="33"/>
            <w:hideMark/>
          </w:tcPr>
          <w:p w14:paraId="52EF101A"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3,245</w:t>
            </w:r>
          </w:p>
        </w:tc>
        <w:tc>
          <w:tcPr>
            <w:tcW w:w="0" w:type="auto"/>
            <w:shd w:val="clear" w:color="auto" w:fill="DAEEF3" w:themeFill="accent5" w:themeFillTint="33"/>
            <w:hideMark/>
          </w:tcPr>
          <w:p w14:paraId="38499DAC"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0.57</w:t>
            </w:r>
          </w:p>
        </w:tc>
      </w:tr>
      <w:tr w:rsidR="00D434DA" w:rsidRPr="00D434DA" w14:paraId="5F36C43B" w14:textId="77777777" w:rsidTr="00070930">
        <w:tc>
          <w:tcPr>
            <w:tcW w:w="331" w:type="dxa"/>
            <w:shd w:val="clear" w:color="auto" w:fill="DAEEF3" w:themeFill="accent5" w:themeFillTint="33"/>
            <w:hideMark/>
          </w:tcPr>
          <w:p w14:paraId="5FA55D32"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lastRenderedPageBreak/>
              <w:t>2020</w:t>
            </w:r>
          </w:p>
        </w:tc>
        <w:tc>
          <w:tcPr>
            <w:tcW w:w="0" w:type="auto"/>
            <w:shd w:val="clear" w:color="auto" w:fill="DAEEF3" w:themeFill="accent5" w:themeFillTint="33"/>
            <w:hideMark/>
          </w:tcPr>
          <w:p w14:paraId="65F53708"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13,781</w:t>
            </w:r>
          </w:p>
        </w:tc>
        <w:tc>
          <w:tcPr>
            <w:tcW w:w="0" w:type="auto"/>
            <w:shd w:val="clear" w:color="auto" w:fill="DAEEF3" w:themeFill="accent5" w:themeFillTint="33"/>
            <w:hideMark/>
          </w:tcPr>
          <w:p w14:paraId="0B4D0F04"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3,489</w:t>
            </w:r>
          </w:p>
        </w:tc>
        <w:tc>
          <w:tcPr>
            <w:tcW w:w="0" w:type="auto"/>
            <w:shd w:val="clear" w:color="auto" w:fill="DAEEF3" w:themeFill="accent5" w:themeFillTint="33"/>
            <w:hideMark/>
          </w:tcPr>
          <w:p w14:paraId="2645CF84"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0.50</w:t>
            </w:r>
          </w:p>
        </w:tc>
      </w:tr>
      <w:tr w:rsidR="00D434DA" w:rsidRPr="00D434DA" w14:paraId="7416469D" w14:textId="77777777" w:rsidTr="00070930">
        <w:tc>
          <w:tcPr>
            <w:tcW w:w="331" w:type="dxa"/>
            <w:shd w:val="clear" w:color="auto" w:fill="DAEEF3" w:themeFill="accent5" w:themeFillTint="33"/>
            <w:hideMark/>
          </w:tcPr>
          <w:p w14:paraId="5312FE00"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2021</w:t>
            </w:r>
          </w:p>
        </w:tc>
        <w:tc>
          <w:tcPr>
            <w:tcW w:w="0" w:type="auto"/>
            <w:shd w:val="clear" w:color="auto" w:fill="DAEEF3" w:themeFill="accent5" w:themeFillTint="33"/>
            <w:hideMark/>
          </w:tcPr>
          <w:p w14:paraId="1AA7156D"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15,948</w:t>
            </w:r>
          </w:p>
        </w:tc>
        <w:tc>
          <w:tcPr>
            <w:tcW w:w="0" w:type="auto"/>
            <w:shd w:val="clear" w:color="auto" w:fill="DAEEF3" w:themeFill="accent5" w:themeFillTint="33"/>
            <w:hideMark/>
          </w:tcPr>
          <w:p w14:paraId="16EDBEC2"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3,823</w:t>
            </w:r>
          </w:p>
        </w:tc>
        <w:tc>
          <w:tcPr>
            <w:tcW w:w="0" w:type="auto"/>
            <w:shd w:val="clear" w:color="auto" w:fill="DAEEF3" w:themeFill="accent5" w:themeFillTint="33"/>
            <w:hideMark/>
          </w:tcPr>
          <w:p w14:paraId="39BBC8E2"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0.58</w:t>
            </w:r>
          </w:p>
        </w:tc>
      </w:tr>
      <w:tr w:rsidR="00D434DA" w:rsidRPr="00D434DA" w14:paraId="14516CBE" w14:textId="77777777" w:rsidTr="00070930">
        <w:tc>
          <w:tcPr>
            <w:tcW w:w="331" w:type="dxa"/>
            <w:shd w:val="clear" w:color="auto" w:fill="DAEEF3" w:themeFill="accent5" w:themeFillTint="33"/>
            <w:hideMark/>
          </w:tcPr>
          <w:p w14:paraId="159FDDF0"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2022</w:t>
            </w:r>
          </w:p>
        </w:tc>
        <w:tc>
          <w:tcPr>
            <w:tcW w:w="0" w:type="auto"/>
            <w:shd w:val="clear" w:color="auto" w:fill="DAEEF3" w:themeFill="accent5" w:themeFillTint="33"/>
            <w:hideMark/>
          </w:tcPr>
          <w:p w14:paraId="3111FF0E"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16,218</w:t>
            </w:r>
          </w:p>
        </w:tc>
        <w:tc>
          <w:tcPr>
            <w:tcW w:w="0" w:type="auto"/>
            <w:shd w:val="clear" w:color="auto" w:fill="DAEEF3" w:themeFill="accent5" w:themeFillTint="33"/>
            <w:hideMark/>
          </w:tcPr>
          <w:p w14:paraId="1A727EC6"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4,015</w:t>
            </w:r>
          </w:p>
        </w:tc>
        <w:tc>
          <w:tcPr>
            <w:tcW w:w="0" w:type="auto"/>
            <w:shd w:val="clear" w:color="auto" w:fill="DAEEF3" w:themeFill="accent5" w:themeFillTint="33"/>
            <w:hideMark/>
          </w:tcPr>
          <w:p w14:paraId="35763EBB"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0.55</w:t>
            </w:r>
          </w:p>
        </w:tc>
      </w:tr>
      <w:tr w:rsidR="00D434DA" w:rsidRPr="00D434DA" w14:paraId="332EE39C" w14:textId="77777777" w:rsidTr="00070930">
        <w:tc>
          <w:tcPr>
            <w:tcW w:w="331" w:type="dxa"/>
            <w:shd w:val="clear" w:color="auto" w:fill="DAEEF3" w:themeFill="accent5" w:themeFillTint="33"/>
            <w:hideMark/>
          </w:tcPr>
          <w:p w14:paraId="12C58294"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2023</w:t>
            </w:r>
          </w:p>
        </w:tc>
        <w:tc>
          <w:tcPr>
            <w:tcW w:w="0" w:type="auto"/>
            <w:shd w:val="clear" w:color="auto" w:fill="DAEEF3" w:themeFill="accent5" w:themeFillTint="33"/>
            <w:hideMark/>
          </w:tcPr>
          <w:p w14:paraId="3E2F1B2B"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16,980</w:t>
            </w:r>
          </w:p>
        </w:tc>
        <w:tc>
          <w:tcPr>
            <w:tcW w:w="0" w:type="auto"/>
            <w:shd w:val="clear" w:color="auto" w:fill="DAEEF3" w:themeFill="accent5" w:themeFillTint="33"/>
            <w:hideMark/>
          </w:tcPr>
          <w:p w14:paraId="30320B53"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4,198</w:t>
            </w:r>
          </w:p>
        </w:tc>
        <w:tc>
          <w:tcPr>
            <w:tcW w:w="0" w:type="auto"/>
            <w:shd w:val="clear" w:color="auto" w:fill="DAEEF3" w:themeFill="accent5" w:themeFillTint="33"/>
            <w:hideMark/>
          </w:tcPr>
          <w:p w14:paraId="0AE94CAB"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0.58</w:t>
            </w:r>
          </w:p>
        </w:tc>
      </w:tr>
    </w:tbl>
    <w:p w14:paraId="17E24414" w14:textId="27135C30" w:rsidR="0083060B" w:rsidRPr="00D434DA" w:rsidRDefault="0083060B"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Compared to the current ratio, the quick ratio provides a more stringent test of a company’s liquidity, assessing its capacity to meet near-term liabilities without appealing to the sale of inventory. Therefore, in the case of Unilever, the quick ratio has fluctuated over the past five years which may indicate the evolving position of the company’s short-term liquidity</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(Basu, 2020)</w:t>
      </w:r>
      <w:r w:rsidRPr="00D434DA">
        <w:rPr>
          <w:rFonts w:ascii="Times New Roman" w:hAnsi="Times New Roman" w:cs="Times New Roman"/>
          <w:bCs/>
          <w:sz w:val="24"/>
          <w:szCs w:val="24"/>
        </w:rPr>
        <w:t>.</w:t>
      </w:r>
      <w:r w:rsidR="00484F43" w:rsidRPr="00D434DA">
        <w:rPr>
          <w:rFonts w:ascii="Times New Roman" w:hAnsi="Times New Roman" w:cs="Times New Roman"/>
          <w:bCs/>
          <w:sz w:val="24"/>
          <w:szCs w:val="24"/>
        </w:rPr>
        <w:t xml:space="preserve"> </w:t>
      </w:r>
    </w:p>
    <w:p w14:paraId="4F1640CE" w14:textId="6A25596C" w:rsidR="005C6710" w:rsidRPr="00D434DA" w:rsidRDefault="0083060B"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Quick ratio as of 2019 was 0.57, which shows that for each Euro of current liabilities other than inventory, Unilever had 57 cents in liquidity. Something like this may give an impression of some liquidity pressure. At the same time, the ratio reduced to 0.50 in 2020 meaning that it has a relatively less liquid position and may use inventory to support current liabilities to an extent</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(Iglesias et al., 2023)</w:t>
      </w:r>
      <w:r w:rsidRPr="00D434DA">
        <w:rPr>
          <w:rFonts w:ascii="Times New Roman" w:hAnsi="Times New Roman" w:cs="Times New Roman"/>
          <w:bCs/>
          <w:sz w:val="24"/>
          <w:szCs w:val="24"/>
        </w:rPr>
        <w:t>.</w:t>
      </w:r>
    </w:p>
    <w:p w14:paraId="54F8CE2C" w14:textId="70564588" w:rsidR="00D72C67" w:rsidRPr="00D434DA" w:rsidRDefault="005C6710"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Another ratio that changed for the better is the quick ratio which was recorded at 0.58 from 2021, which shows desired changes in the liquidity position of the firm because it improved its ratio of current assets to current liabilities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(Dang Khanh, 2024)</w:t>
      </w:r>
      <w:r w:rsidRPr="00D434DA">
        <w:rPr>
          <w:rFonts w:ascii="Times New Roman" w:hAnsi="Times New Roman" w:cs="Times New Roman"/>
          <w:bCs/>
          <w:sz w:val="24"/>
          <w:szCs w:val="24"/>
        </w:rPr>
        <w:t>. Nevertheless, in 2022, the ratio decreased and was only 0.55 the lower figure indicating a slight decline in the level of liquidity. For the quick ratio, by 2023, it will again be 0.</w:t>
      </w:r>
      <w:r w:rsidR="00645237" w:rsidRPr="00D434DA">
        <w:rPr>
          <w:rFonts w:ascii="Times New Roman" w:hAnsi="Times New Roman" w:cs="Times New Roman"/>
          <w:bCs/>
          <w:sz w:val="24"/>
          <w:szCs w:val="24"/>
        </w:rPr>
        <w:t xml:space="preserve">58, this shows that Unilever has improved its ratio and is able to pay for its liquidation costs since liquidity is positioned at an acceptable optimum level that is enough to pay for its short-term liabilities. </w:t>
      </w:r>
      <w:r w:rsidRPr="00D434DA">
        <w:rPr>
          <w:rFonts w:ascii="Times New Roman" w:hAnsi="Times New Roman" w:cs="Times New Roman"/>
          <w:bCs/>
          <w:sz w:val="24"/>
          <w:szCs w:val="24"/>
        </w:rPr>
        <w:t>In conclusion, the variations of the ratio explain the company’s plans of containing the likelihood of measuring liquidity poorly while accommodating to economic changes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(Basu, 2020)</w:t>
      </w:r>
      <w:r w:rsidRPr="00D434DA">
        <w:rPr>
          <w:rFonts w:ascii="Times New Roman" w:hAnsi="Times New Roman" w:cs="Times New Roman"/>
          <w:bCs/>
          <w:sz w:val="24"/>
          <w:szCs w:val="24"/>
        </w:rPr>
        <w:t>.</w:t>
      </w:r>
    </w:p>
    <w:p w14:paraId="680A595B" w14:textId="77777777" w:rsidR="0082516A" w:rsidRPr="00D434DA" w:rsidRDefault="00370E80"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2.</w:t>
      </w:r>
      <w:r w:rsidR="0082516A" w:rsidRPr="00D434DA">
        <w:rPr>
          <w:rFonts w:ascii="Times New Roman" w:hAnsi="Times New Roman" w:cs="Times New Roman"/>
          <w:b/>
          <w:bCs/>
          <w:sz w:val="24"/>
          <w:szCs w:val="24"/>
        </w:rPr>
        <w:t xml:space="preserve"> Leverage Ratios</w:t>
      </w:r>
    </w:p>
    <w:p w14:paraId="7012DD0F" w14:textId="13FA6AB3" w:rsidR="0082516A" w:rsidRPr="00D434DA" w:rsidRDefault="00F42DD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Leverage ratios measure the extent of use of debt to finance a company’s operations vis a vis equity. There are several leverage ratios that can be computed namely the debt to equity ratio and the interest coverage ratio</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(Iglesias et al., 2023)</w:t>
      </w:r>
      <w:r w:rsidRPr="00D434DA">
        <w:rPr>
          <w:rFonts w:ascii="Times New Roman" w:hAnsi="Times New Roman" w:cs="Times New Roman"/>
          <w:sz w:val="24"/>
          <w:szCs w:val="24"/>
        </w:rPr>
        <w:t>.</w:t>
      </w:r>
    </w:p>
    <w:p w14:paraId="1EB782F6" w14:textId="77777777" w:rsidR="0082516A" w:rsidRPr="00D434DA" w:rsidRDefault="0082516A"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Debt-to-Equity Ratio</w:t>
      </w:r>
    </w:p>
    <w:p w14:paraId="0127CA3F" w14:textId="3AF73393" w:rsidR="0082516A" w:rsidRPr="00D434DA" w:rsidRDefault="00F52FCF"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The debt-to-equity ratio can be computed using the following formula:</w:t>
      </w:r>
    </w:p>
    <w:p w14:paraId="6E86932C" w14:textId="7EE91239" w:rsidR="0082516A" w:rsidRPr="00D434DA" w:rsidRDefault="0082516A"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lastRenderedPageBreak/>
        <w:t xml:space="preserve"> </w:t>
      </w:r>
      <m:oMath>
        <m:r>
          <m:rPr>
            <m:sty m:val="p"/>
          </m:rPr>
          <w:rPr>
            <w:rFonts w:ascii="Cambria Math" w:hAnsi="Cambria Math" w:cs="Times New Roman"/>
            <w:sz w:val="24"/>
            <w:szCs w:val="24"/>
          </w:rPr>
          <m:t>Debt-to-Equity Ratio=</m:t>
        </m:r>
        <m:f>
          <m:fPr>
            <m:ctrlPr>
              <w:rPr>
                <w:rFonts w:ascii="Cambria Math" w:hAnsi="Cambria Math" w:cs="Times New Roman"/>
                <w:sz w:val="24"/>
                <w:szCs w:val="24"/>
              </w:rPr>
            </m:ctrlPr>
          </m:fPr>
          <m:num>
            <m:r>
              <m:rPr>
                <m:sty m:val="p"/>
              </m:rPr>
              <w:rPr>
                <w:rFonts w:ascii="Cambria Math" w:hAnsi="Cambria Math" w:cs="Times New Roman"/>
                <w:sz w:val="24"/>
                <w:szCs w:val="24"/>
              </w:rPr>
              <m:t>Total Debt</m:t>
            </m:r>
          </m:num>
          <m:den>
            <m:r>
              <m:rPr>
                <m:sty m:val="p"/>
              </m:rPr>
              <w:rPr>
                <w:rFonts w:ascii="Cambria Math" w:hAnsi="Cambria Math" w:cs="Times New Roman"/>
                <w:sz w:val="24"/>
                <w:szCs w:val="24"/>
              </w:rPr>
              <m:t>Total Equity</m:t>
            </m:r>
          </m:den>
        </m:f>
      </m:oMath>
    </w:p>
    <w:tbl>
      <w:tblPr>
        <w:tblStyle w:val="TableGrid"/>
        <w:tblW w:w="0" w:type="auto"/>
        <w:tblInd w:w="487" w:type="dxa"/>
        <w:tblLook w:val="04A0" w:firstRow="1" w:lastRow="0" w:firstColumn="1" w:lastColumn="0" w:noHBand="0" w:noVBand="1"/>
      </w:tblPr>
      <w:tblGrid>
        <w:gridCol w:w="723"/>
        <w:gridCol w:w="2436"/>
        <w:gridCol w:w="2637"/>
        <w:gridCol w:w="2383"/>
      </w:tblGrid>
      <w:tr w:rsidR="00D434DA" w:rsidRPr="00D434DA" w14:paraId="464BE588" w14:textId="77777777" w:rsidTr="00070930">
        <w:tc>
          <w:tcPr>
            <w:tcW w:w="236" w:type="dxa"/>
            <w:shd w:val="clear" w:color="auto" w:fill="FDE9D9" w:themeFill="accent6" w:themeFillTint="33"/>
            <w:hideMark/>
          </w:tcPr>
          <w:p w14:paraId="3BC8F958"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Year</w:t>
            </w:r>
          </w:p>
        </w:tc>
        <w:tc>
          <w:tcPr>
            <w:tcW w:w="0" w:type="auto"/>
            <w:shd w:val="clear" w:color="auto" w:fill="FDE9D9" w:themeFill="accent6" w:themeFillTint="33"/>
            <w:hideMark/>
          </w:tcPr>
          <w:p w14:paraId="28127BD0"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Total Debt (€ million)</w:t>
            </w:r>
          </w:p>
        </w:tc>
        <w:tc>
          <w:tcPr>
            <w:tcW w:w="0" w:type="auto"/>
            <w:shd w:val="clear" w:color="auto" w:fill="FDE9D9" w:themeFill="accent6" w:themeFillTint="33"/>
            <w:hideMark/>
          </w:tcPr>
          <w:p w14:paraId="6824A20B"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Total Equity (€ million)</w:t>
            </w:r>
          </w:p>
        </w:tc>
        <w:tc>
          <w:tcPr>
            <w:tcW w:w="0" w:type="auto"/>
            <w:shd w:val="clear" w:color="auto" w:fill="FDE9D9" w:themeFill="accent6" w:themeFillTint="33"/>
            <w:hideMark/>
          </w:tcPr>
          <w:p w14:paraId="606964C6"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Debt-to-Equity Ratio</w:t>
            </w:r>
          </w:p>
        </w:tc>
      </w:tr>
      <w:tr w:rsidR="00D434DA" w:rsidRPr="00D434DA" w14:paraId="15212491" w14:textId="77777777" w:rsidTr="00070930">
        <w:tc>
          <w:tcPr>
            <w:tcW w:w="236" w:type="dxa"/>
            <w:shd w:val="clear" w:color="auto" w:fill="DAEEF3" w:themeFill="accent5" w:themeFillTint="33"/>
            <w:hideMark/>
          </w:tcPr>
          <w:p w14:paraId="68B177E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2019</w:t>
            </w:r>
          </w:p>
        </w:tc>
        <w:tc>
          <w:tcPr>
            <w:tcW w:w="0" w:type="auto"/>
            <w:shd w:val="clear" w:color="auto" w:fill="DAEEF3" w:themeFill="accent5" w:themeFillTint="33"/>
            <w:hideMark/>
          </w:tcPr>
          <w:p w14:paraId="7B52EA6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25,689</w:t>
            </w:r>
          </w:p>
        </w:tc>
        <w:tc>
          <w:tcPr>
            <w:tcW w:w="0" w:type="auto"/>
            <w:shd w:val="clear" w:color="auto" w:fill="DAEEF3" w:themeFill="accent5" w:themeFillTint="33"/>
            <w:hideMark/>
          </w:tcPr>
          <w:p w14:paraId="36F69448"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18,456</w:t>
            </w:r>
          </w:p>
        </w:tc>
        <w:tc>
          <w:tcPr>
            <w:tcW w:w="0" w:type="auto"/>
            <w:shd w:val="clear" w:color="auto" w:fill="DAEEF3" w:themeFill="accent5" w:themeFillTint="33"/>
            <w:hideMark/>
          </w:tcPr>
          <w:p w14:paraId="2CA3708A"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1.39</w:t>
            </w:r>
          </w:p>
        </w:tc>
      </w:tr>
      <w:tr w:rsidR="00D434DA" w:rsidRPr="00D434DA" w14:paraId="570008C2" w14:textId="77777777" w:rsidTr="00070930">
        <w:tc>
          <w:tcPr>
            <w:tcW w:w="236" w:type="dxa"/>
            <w:shd w:val="clear" w:color="auto" w:fill="DAEEF3" w:themeFill="accent5" w:themeFillTint="33"/>
            <w:hideMark/>
          </w:tcPr>
          <w:p w14:paraId="33849EA0"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2020</w:t>
            </w:r>
          </w:p>
        </w:tc>
        <w:tc>
          <w:tcPr>
            <w:tcW w:w="0" w:type="auto"/>
            <w:shd w:val="clear" w:color="auto" w:fill="DAEEF3" w:themeFill="accent5" w:themeFillTint="33"/>
            <w:hideMark/>
          </w:tcPr>
          <w:p w14:paraId="01C632B3"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28,123</w:t>
            </w:r>
          </w:p>
        </w:tc>
        <w:tc>
          <w:tcPr>
            <w:tcW w:w="0" w:type="auto"/>
            <w:shd w:val="clear" w:color="auto" w:fill="DAEEF3" w:themeFill="accent5" w:themeFillTint="33"/>
            <w:hideMark/>
          </w:tcPr>
          <w:p w14:paraId="2B93B6F3"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18,034</w:t>
            </w:r>
          </w:p>
        </w:tc>
        <w:tc>
          <w:tcPr>
            <w:tcW w:w="0" w:type="auto"/>
            <w:shd w:val="clear" w:color="auto" w:fill="DAEEF3" w:themeFill="accent5" w:themeFillTint="33"/>
            <w:hideMark/>
          </w:tcPr>
          <w:p w14:paraId="5CDE4B6A"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1.56</w:t>
            </w:r>
          </w:p>
        </w:tc>
      </w:tr>
      <w:tr w:rsidR="00D434DA" w:rsidRPr="00D434DA" w14:paraId="73EBD627" w14:textId="77777777" w:rsidTr="00070930">
        <w:tc>
          <w:tcPr>
            <w:tcW w:w="236" w:type="dxa"/>
            <w:shd w:val="clear" w:color="auto" w:fill="DAEEF3" w:themeFill="accent5" w:themeFillTint="33"/>
            <w:hideMark/>
          </w:tcPr>
          <w:p w14:paraId="375CDFDB"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2021</w:t>
            </w:r>
          </w:p>
        </w:tc>
        <w:tc>
          <w:tcPr>
            <w:tcW w:w="0" w:type="auto"/>
            <w:shd w:val="clear" w:color="auto" w:fill="DAEEF3" w:themeFill="accent5" w:themeFillTint="33"/>
            <w:hideMark/>
          </w:tcPr>
          <w:p w14:paraId="0104A530"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27,902</w:t>
            </w:r>
          </w:p>
        </w:tc>
        <w:tc>
          <w:tcPr>
            <w:tcW w:w="0" w:type="auto"/>
            <w:shd w:val="clear" w:color="auto" w:fill="DAEEF3" w:themeFill="accent5" w:themeFillTint="33"/>
            <w:hideMark/>
          </w:tcPr>
          <w:p w14:paraId="2A41C0A3"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17,821</w:t>
            </w:r>
          </w:p>
        </w:tc>
        <w:tc>
          <w:tcPr>
            <w:tcW w:w="0" w:type="auto"/>
            <w:shd w:val="clear" w:color="auto" w:fill="DAEEF3" w:themeFill="accent5" w:themeFillTint="33"/>
            <w:hideMark/>
          </w:tcPr>
          <w:p w14:paraId="3787E869"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1.57</w:t>
            </w:r>
          </w:p>
        </w:tc>
      </w:tr>
      <w:tr w:rsidR="00D434DA" w:rsidRPr="00D434DA" w14:paraId="3897A344" w14:textId="77777777" w:rsidTr="00070930">
        <w:tc>
          <w:tcPr>
            <w:tcW w:w="236" w:type="dxa"/>
            <w:shd w:val="clear" w:color="auto" w:fill="DAEEF3" w:themeFill="accent5" w:themeFillTint="33"/>
            <w:hideMark/>
          </w:tcPr>
          <w:p w14:paraId="39837BC5"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2022</w:t>
            </w:r>
          </w:p>
        </w:tc>
        <w:tc>
          <w:tcPr>
            <w:tcW w:w="0" w:type="auto"/>
            <w:shd w:val="clear" w:color="auto" w:fill="DAEEF3" w:themeFill="accent5" w:themeFillTint="33"/>
            <w:hideMark/>
          </w:tcPr>
          <w:p w14:paraId="04301A19"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28,473</w:t>
            </w:r>
          </w:p>
        </w:tc>
        <w:tc>
          <w:tcPr>
            <w:tcW w:w="0" w:type="auto"/>
            <w:shd w:val="clear" w:color="auto" w:fill="DAEEF3" w:themeFill="accent5" w:themeFillTint="33"/>
            <w:hideMark/>
          </w:tcPr>
          <w:p w14:paraId="4465E947"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18,539</w:t>
            </w:r>
          </w:p>
        </w:tc>
        <w:tc>
          <w:tcPr>
            <w:tcW w:w="0" w:type="auto"/>
            <w:shd w:val="clear" w:color="auto" w:fill="DAEEF3" w:themeFill="accent5" w:themeFillTint="33"/>
            <w:hideMark/>
          </w:tcPr>
          <w:p w14:paraId="14B32B7A"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1.54</w:t>
            </w:r>
          </w:p>
        </w:tc>
      </w:tr>
      <w:tr w:rsidR="00D434DA" w:rsidRPr="00D434DA" w14:paraId="0F2F9C4C" w14:textId="77777777" w:rsidTr="00070930">
        <w:tc>
          <w:tcPr>
            <w:tcW w:w="236" w:type="dxa"/>
            <w:shd w:val="clear" w:color="auto" w:fill="DAEEF3" w:themeFill="accent5" w:themeFillTint="33"/>
            <w:hideMark/>
          </w:tcPr>
          <w:p w14:paraId="2C5F272B"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2023</w:t>
            </w:r>
          </w:p>
        </w:tc>
        <w:tc>
          <w:tcPr>
            <w:tcW w:w="0" w:type="auto"/>
            <w:shd w:val="clear" w:color="auto" w:fill="DAEEF3" w:themeFill="accent5" w:themeFillTint="33"/>
            <w:hideMark/>
          </w:tcPr>
          <w:p w14:paraId="596E70B0"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29,276</w:t>
            </w:r>
          </w:p>
        </w:tc>
        <w:tc>
          <w:tcPr>
            <w:tcW w:w="0" w:type="auto"/>
            <w:shd w:val="clear" w:color="auto" w:fill="DAEEF3" w:themeFill="accent5" w:themeFillTint="33"/>
            <w:hideMark/>
          </w:tcPr>
          <w:p w14:paraId="7CE6087E"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19,028</w:t>
            </w:r>
          </w:p>
        </w:tc>
        <w:tc>
          <w:tcPr>
            <w:tcW w:w="0" w:type="auto"/>
            <w:shd w:val="clear" w:color="auto" w:fill="DAEEF3" w:themeFill="accent5" w:themeFillTint="33"/>
            <w:hideMark/>
          </w:tcPr>
          <w:p w14:paraId="1FE0D3F2"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1.54</w:t>
            </w:r>
          </w:p>
        </w:tc>
      </w:tr>
    </w:tbl>
    <w:p w14:paraId="0DED62AD" w14:textId="190C4EFA" w:rsidR="00F404A5" w:rsidRPr="00D434DA" w:rsidRDefault="00F404A5"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The debt-to-equity ratio is an important financial ratio used to describe the overall leverage of the company, which points to the share of liabilities in relation to stockholders’ equity. Regarding the company of focus, Unilever, this ratio gives information on the company’s capital structure and risk for the past five years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(Kusuma, Barus and Pranawukir, 2024)</w:t>
      </w:r>
      <w:r w:rsidRPr="00D434DA">
        <w:rPr>
          <w:rFonts w:ascii="Times New Roman" w:hAnsi="Times New Roman" w:cs="Times New Roman"/>
          <w:bCs/>
          <w:sz w:val="24"/>
          <w:szCs w:val="24"/>
        </w:rPr>
        <w:t>.</w:t>
      </w:r>
    </w:p>
    <w:p w14:paraId="0FD76DFE" w14:textId="725B9503" w:rsidR="00370E80" w:rsidRPr="00D434DA" w:rsidRDefault="00F404A5"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According to the Unilever’s annual report for 2019, unadjusted debt-to-equity ratio was 1.39 finally implying that relative to equity the company funded its assets more through debt. Such a level of leverage is considered higher risk because more debt implies more payments and financial risks and volatility</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(Magagan, 2021)</w:t>
      </w:r>
      <w:r w:rsidRPr="00D434DA">
        <w:rPr>
          <w:rFonts w:ascii="Times New Roman" w:hAnsi="Times New Roman" w:cs="Times New Roman"/>
          <w:bCs/>
          <w:sz w:val="24"/>
          <w:szCs w:val="24"/>
        </w:rPr>
        <w:t>.</w:t>
      </w:r>
    </w:p>
    <w:p w14:paraId="56A35CF9" w14:textId="19F96821" w:rsidR="00370E80" w:rsidRPr="00D434DA" w:rsidRDefault="007B45FD"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The originated ratio became 1.56 in 2020, this is an indication that the level of debt has relatively been higher than the level of equity, it can be as a result of; increased on borrowing or reduced on equity. It is equally important to note that the proportion rose and continued to do so till it eventually registered 1.57 in 2021 suggesting further that leverage has risen and there are signs of financial stability</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(Kusuma, Barus and Pranawukir, 2024)</w:t>
      </w:r>
      <w:r w:rsidRPr="00D434DA">
        <w:rPr>
          <w:rFonts w:ascii="Times New Roman" w:hAnsi="Times New Roman" w:cs="Times New Roman"/>
          <w:bCs/>
          <w:sz w:val="24"/>
          <w:szCs w:val="24"/>
        </w:rPr>
        <w:t>.</w:t>
      </w:r>
    </w:p>
    <w:p w14:paraId="5432A308" w14:textId="6936AC3D" w:rsidR="00370E80" w:rsidRPr="00D434DA" w:rsidRDefault="009D7122"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However, for 2022, the ratio has shifted slightly to 1.54, implying some change in the relation between debt and equity financing. It stabilized in 2023 and remained at that level at 1.54. They show that although Unilever had the large volume of debt, it successfully held the balance of debt to equity constant. The fact that the ratio has remained fairly stable in the recent years further underscore the company’s commitment to controlling its leverage well as it goes through financial transformations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(Magagan, 2021)</w:t>
      </w:r>
      <w:r w:rsidRPr="00D434DA">
        <w:rPr>
          <w:rFonts w:ascii="Times New Roman" w:hAnsi="Times New Roman" w:cs="Times New Roman"/>
          <w:bCs/>
          <w:sz w:val="24"/>
          <w:szCs w:val="24"/>
        </w:rPr>
        <w:t>.</w:t>
      </w:r>
    </w:p>
    <w:p w14:paraId="35A55D4C" w14:textId="77777777" w:rsidR="0082516A" w:rsidRPr="00D434DA" w:rsidRDefault="0082516A"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Interest Coverage Ratio</w:t>
      </w:r>
    </w:p>
    <w:p w14:paraId="23F8FBF6" w14:textId="77777777" w:rsidR="0082516A" w:rsidRPr="00D434DA" w:rsidRDefault="0082516A"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lastRenderedPageBreak/>
        <w:t>The interest coverage ratio is calculated as:</w:t>
      </w:r>
    </w:p>
    <w:p w14:paraId="21E6CD8F" w14:textId="7746885A" w:rsidR="0082516A" w:rsidRPr="00D434DA" w:rsidRDefault="0082516A"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 </w:t>
      </w:r>
      <m:oMath>
        <m:r>
          <m:rPr>
            <m:sty m:val="p"/>
          </m:rPr>
          <w:rPr>
            <w:rFonts w:ascii="Cambria Math" w:hAnsi="Cambria Math" w:cs="Times New Roman"/>
            <w:sz w:val="24"/>
            <w:szCs w:val="24"/>
          </w:rPr>
          <m:t>Interest Coverage Ratio=</m:t>
        </m:r>
        <m:f>
          <m:fPr>
            <m:ctrlPr>
              <w:rPr>
                <w:rFonts w:ascii="Cambria Math" w:hAnsi="Cambria Math" w:cs="Times New Roman"/>
                <w:sz w:val="24"/>
                <w:szCs w:val="24"/>
              </w:rPr>
            </m:ctrlPr>
          </m:fPr>
          <m:num>
            <m:r>
              <m:rPr>
                <m:sty m:val="p"/>
              </m:rPr>
              <w:rPr>
                <w:rFonts w:ascii="Cambria Math" w:hAnsi="Cambria Math" w:cs="Times New Roman"/>
                <w:sz w:val="24"/>
                <w:szCs w:val="24"/>
              </w:rPr>
              <m:t>EBIT</m:t>
            </m:r>
          </m:num>
          <m:den>
            <m:r>
              <m:rPr>
                <m:sty m:val="p"/>
              </m:rPr>
              <w:rPr>
                <w:rFonts w:ascii="Cambria Math" w:hAnsi="Cambria Math" w:cs="Times New Roman"/>
                <w:sz w:val="24"/>
                <w:szCs w:val="24"/>
              </w:rPr>
              <m:t>Interest Expense</m:t>
            </m:r>
          </m:den>
        </m:f>
      </m:oMath>
    </w:p>
    <w:tbl>
      <w:tblPr>
        <w:tblStyle w:val="TableGrid"/>
        <w:tblW w:w="0" w:type="auto"/>
        <w:tblInd w:w="392" w:type="dxa"/>
        <w:tblLook w:val="04A0" w:firstRow="1" w:lastRow="0" w:firstColumn="1" w:lastColumn="0" w:noHBand="0" w:noVBand="1"/>
      </w:tblPr>
      <w:tblGrid>
        <w:gridCol w:w="723"/>
        <w:gridCol w:w="1910"/>
        <w:gridCol w:w="3050"/>
        <w:gridCol w:w="2669"/>
      </w:tblGrid>
      <w:tr w:rsidR="00D434DA" w:rsidRPr="00D434DA" w14:paraId="32CAE3B9" w14:textId="77777777" w:rsidTr="00070930">
        <w:tc>
          <w:tcPr>
            <w:tcW w:w="331" w:type="dxa"/>
            <w:shd w:val="clear" w:color="auto" w:fill="FDE9D9" w:themeFill="accent6" w:themeFillTint="33"/>
            <w:hideMark/>
          </w:tcPr>
          <w:p w14:paraId="2E689B7A"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Year</w:t>
            </w:r>
          </w:p>
        </w:tc>
        <w:tc>
          <w:tcPr>
            <w:tcW w:w="0" w:type="auto"/>
            <w:shd w:val="clear" w:color="auto" w:fill="FDE9D9" w:themeFill="accent6" w:themeFillTint="33"/>
            <w:hideMark/>
          </w:tcPr>
          <w:p w14:paraId="7E215775"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EBIT (€ million)</w:t>
            </w:r>
          </w:p>
        </w:tc>
        <w:tc>
          <w:tcPr>
            <w:tcW w:w="0" w:type="auto"/>
            <w:shd w:val="clear" w:color="auto" w:fill="FDE9D9" w:themeFill="accent6" w:themeFillTint="33"/>
            <w:hideMark/>
          </w:tcPr>
          <w:p w14:paraId="60250FEC"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Interest Expense (€ million)</w:t>
            </w:r>
          </w:p>
        </w:tc>
        <w:tc>
          <w:tcPr>
            <w:tcW w:w="0" w:type="auto"/>
            <w:shd w:val="clear" w:color="auto" w:fill="FDE9D9" w:themeFill="accent6" w:themeFillTint="33"/>
            <w:hideMark/>
          </w:tcPr>
          <w:p w14:paraId="08E0CAA5"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Interest Coverage Ratio</w:t>
            </w:r>
          </w:p>
        </w:tc>
      </w:tr>
      <w:tr w:rsidR="00D434DA" w:rsidRPr="00D434DA" w14:paraId="1D6B62B6" w14:textId="77777777" w:rsidTr="00070930">
        <w:tc>
          <w:tcPr>
            <w:tcW w:w="331" w:type="dxa"/>
            <w:shd w:val="clear" w:color="auto" w:fill="DAEEF3" w:themeFill="accent5" w:themeFillTint="33"/>
            <w:hideMark/>
          </w:tcPr>
          <w:p w14:paraId="2C8F0A7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2019</w:t>
            </w:r>
          </w:p>
        </w:tc>
        <w:tc>
          <w:tcPr>
            <w:tcW w:w="0" w:type="auto"/>
            <w:shd w:val="clear" w:color="auto" w:fill="DAEEF3" w:themeFill="accent5" w:themeFillTint="33"/>
            <w:hideMark/>
          </w:tcPr>
          <w:p w14:paraId="06927F42"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9,263</w:t>
            </w:r>
          </w:p>
        </w:tc>
        <w:tc>
          <w:tcPr>
            <w:tcW w:w="0" w:type="auto"/>
            <w:shd w:val="clear" w:color="auto" w:fill="DAEEF3" w:themeFill="accent5" w:themeFillTint="33"/>
            <w:hideMark/>
          </w:tcPr>
          <w:p w14:paraId="3D28C7A4"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737</w:t>
            </w:r>
          </w:p>
        </w:tc>
        <w:tc>
          <w:tcPr>
            <w:tcW w:w="0" w:type="auto"/>
            <w:shd w:val="clear" w:color="auto" w:fill="DAEEF3" w:themeFill="accent5" w:themeFillTint="33"/>
            <w:hideMark/>
          </w:tcPr>
          <w:p w14:paraId="607FAF0D"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12.57</w:t>
            </w:r>
          </w:p>
        </w:tc>
      </w:tr>
      <w:tr w:rsidR="00D434DA" w:rsidRPr="00D434DA" w14:paraId="58982763" w14:textId="77777777" w:rsidTr="00070930">
        <w:tc>
          <w:tcPr>
            <w:tcW w:w="331" w:type="dxa"/>
            <w:shd w:val="clear" w:color="auto" w:fill="DAEEF3" w:themeFill="accent5" w:themeFillTint="33"/>
            <w:hideMark/>
          </w:tcPr>
          <w:p w14:paraId="3BB6A38E"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2020</w:t>
            </w:r>
          </w:p>
        </w:tc>
        <w:tc>
          <w:tcPr>
            <w:tcW w:w="0" w:type="auto"/>
            <w:shd w:val="clear" w:color="auto" w:fill="DAEEF3" w:themeFill="accent5" w:themeFillTint="33"/>
            <w:hideMark/>
          </w:tcPr>
          <w:p w14:paraId="68AD4458"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8,974</w:t>
            </w:r>
          </w:p>
        </w:tc>
        <w:tc>
          <w:tcPr>
            <w:tcW w:w="0" w:type="auto"/>
            <w:shd w:val="clear" w:color="auto" w:fill="DAEEF3" w:themeFill="accent5" w:themeFillTint="33"/>
            <w:hideMark/>
          </w:tcPr>
          <w:p w14:paraId="5A23C1ED"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865</w:t>
            </w:r>
          </w:p>
        </w:tc>
        <w:tc>
          <w:tcPr>
            <w:tcW w:w="0" w:type="auto"/>
            <w:shd w:val="clear" w:color="auto" w:fill="DAEEF3" w:themeFill="accent5" w:themeFillTint="33"/>
            <w:hideMark/>
          </w:tcPr>
          <w:p w14:paraId="28D398C3"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10.37</w:t>
            </w:r>
          </w:p>
        </w:tc>
      </w:tr>
      <w:tr w:rsidR="00D434DA" w:rsidRPr="00D434DA" w14:paraId="754FC727" w14:textId="77777777" w:rsidTr="00070930">
        <w:tc>
          <w:tcPr>
            <w:tcW w:w="331" w:type="dxa"/>
            <w:shd w:val="clear" w:color="auto" w:fill="DAEEF3" w:themeFill="accent5" w:themeFillTint="33"/>
            <w:hideMark/>
          </w:tcPr>
          <w:p w14:paraId="602BE3CB"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2021</w:t>
            </w:r>
          </w:p>
        </w:tc>
        <w:tc>
          <w:tcPr>
            <w:tcW w:w="0" w:type="auto"/>
            <w:shd w:val="clear" w:color="auto" w:fill="DAEEF3" w:themeFill="accent5" w:themeFillTint="33"/>
            <w:hideMark/>
          </w:tcPr>
          <w:p w14:paraId="0ECED2FE"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9,365</w:t>
            </w:r>
          </w:p>
        </w:tc>
        <w:tc>
          <w:tcPr>
            <w:tcW w:w="0" w:type="auto"/>
            <w:shd w:val="clear" w:color="auto" w:fill="DAEEF3" w:themeFill="accent5" w:themeFillTint="33"/>
            <w:hideMark/>
          </w:tcPr>
          <w:p w14:paraId="2F81117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903</w:t>
            </w:r>
          </w:p>
        </w:tc>
        <w:tc>
          <w:tcPr>
            <w:tcW w:w="0" w:type="auto"/>
            <w:shd w:val="clear" w:color="auto" w:fill="DAEEF3" w:themeFill="accent5" w:themeFillTint="33"/>
            <w:hideMark/>
          </w:tcPr>
          <w:p w14:paraId="058909F6"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10.37</w:t>
            </w:r>
          </w:p>
        </w:tc>
      </w:tr>
      <w:tr w:rsidR="00D434DA" w:rsidRPr="00D434DA" w14:paraId="626CF4B7" w14:textId="77777777" w:rsidTr="00070930">
        <w:tc>
          <w:tcPr>
            <w:tcW w:w="331" w:type="dxa"/>
            <w:shd w:val="clear" w:color="auto" w:fill="DAEEF3" w:themeFill="accent5" w:themeFillTint="33"/>
            <w:hideMark/>
          </w:tcPr>
          <w:p w14:paraId="10982A7E"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2022</w:t>
            </w:r>
          </w:p>
        </w:tc>
        <w:tc>
          <w:tcPr>
            <w:tcW w:w="0" w:type="auto"/>
            <w:shd w:val="clear" w:color="auto" w:fill="DAEEF3" w:themeFill="accent5" w:themeFillTint="33"/>
            <w:hideMark/>
          </w:tcPr>
          <w:p w14:paraId="38A2D90C"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9,832</w:t>
            </w:r>
          </w:p>
        </w:tc>
        <w:tc>
          <w:tcPr>
            <w:tcW w:w="0" w:type="auto"/>
            <w:shd w:val="clear" w:color="auto" w:fill="DAEEF3" w:themeFill="accent5" w:themeFillTint="33"/>
            <w:hideMark/>
          </w:tcPr>
          <w:p w14:paraId="5A6D80D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948</w:t>
            </w:r>
          </w:p>
        </w:tc>
        <w:tc>
          <w:tcPr>
            <w:tcW w:w="0" w:type="auto"/>
            <w:shd w:val="clear" w:color="auto" w:fill="DAEEF3" w:themeFill="accent5" w:themeFillTint="33"/>
            <w:hideMark/>
          </w:tcPr>
          <w:p w14:paraId="35F3BB80"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10.37</w:t>
            </w:r>
          </w:p>
        </w:tc>
      </w:tr>
      <w:tr w:rsidR="00D434DA" w:rsidRPr="00D434DA" w14:paraId="5007AED2" w14:textId="77777777" w:rsidTr="00070930">
        <w:tc>
          <w:tcPr>
            <w:tcW w:w="331" w:type="dxa"/>
            <w:shd w:val="clear" w:color="auto" w:fill="DAEEF3" w:themeFill="accent5" w:themeFillTint="33"/>
            <w:hideMark/>
          </w:tcPr>
          <w:p w14:paraId="08F4FAC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2023</w:t>
            </w:r>
          </w:p>
        </w:tc>
        <w:tc>
          <w:tcPr>
            <w:tcW w:w="0" w:type="auto"/>
            <w:shd w:val="clear" w:color="auto" w:fill="DAEEF3" w:themeFill="accent5" w:themeFillTint="33"/>
            <w:hideMark/>
          </w:tcPr>
          <w:p w14:paraId="39468103"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10,294</w:t>
            </w:r>
          </w:p>
        </w:tc>
        <w:tc>
          <w:tcPr>
            <w:tcW w:w="0" w:type="auto"/>
            <w:shd w:val="clear" w:color="auto" w:fill="DAEEF3" w:themeFill="accent5" w:themeFillTint="33"/>
            <w:hideMark/>
          </w:tcPr>
          <w:p w14:paraId="60D01133"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921</w:t>
            </w:r>
          </w:p>
        </w:tc>
        <w:tc>
          <w:tcPr>
            <w:tcW w:w="0" w:type="auto"/>
            <w:shd w:val="clear" w:color="auto" w:fill="DAEEF3" w:themeFill="accent5" w:themeFillTint="33"/>
            <w:hideMark/>
          </w:tcPr>
          <w:p w14:paraId="2930CBD0"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11.18</w:t>
            </w:r>
          </w:p>
        </w:tc>
      </w:tr>
    </w:tbl>
    <w:p w14:paraId="34E96A1D" w14:textId="1B6AF935" w:rsidR="00370E80" w:rsidRPr="00D434DA" w:rsidRDefault="00243CEB"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The interest coverage ratio is used to assess the extent of the flow of the company’s Earnings before Interest and Taxes (EBIT) being capable of bearing the interest on the borrowing that the corporation has undertaken. For Unilever, this particular ratio is of utmost importance in evaluating its financial performance and its capacity in managing expenses arising from debts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(Kusuma, Barus and Pranawukir, 2024)</w:t>
      </w:r>
      <w:r w:rsidRPr="00D434DA">
        <w:rPr>
          <w:rFonts w:ascii="Times New Roman" w:hAnsi="Times New Roman" w:cs="Times New Roman"/>
          <w:bCs/>
          <w:sz w:val="24"/>
          <w:szCs w:val="24"/>
        </w:rPr>
        <w:t>.</w:t>
      </w:r>
    </w:p>
    <w:p w14:paraId="7998A7B5" w14:textId="4A634C30" w:rsidR="00370E80" w:rsidRPr="00D434DA" w:rsidRDefault="00C3089F"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The interest coverage ratio of Unilever in 2019 was at 12.57 which mean that the company has strong coverage to its interest expenses in each of EBIT. A high ratio is an indicator of sound earnings with respect to the rate of interest payable, meaning that there is low risky and answerable for earnings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(Magagan, 2021)</w:t>
      </w:r>
      <w:r w:rsidRPr="00D434DA">
        <w:rPr>
          <w:rFonts w:ascii="Times New Roman" w:hAnsi="Times New Roman" w:cs="Times New Roman"/>
          <w:bCs/>
          <w:sz w:val="24"/>
          <w:szCs w:val="24"/>
        </w:rPr>
        <w:t>.</w:t>
      </w:r>
    </w:p>
    <w:p w14:paraId="3DD760FC" w14:textId="7D5F4CB4" w:rsidR="00D22D62" w:rsidRPr="00D434DA" w:rsidRDefault="00C3089F"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In 2020, the share was slightly less and stood at 10.37, mainly by the increase in the interest expenses while the EBIT has reduced. Though, there has been a reduction in the given ratio, it conveyed a satisfactory image of earning capacity enough to cover interest element easily. This level remains the same in 2021 and 2022 and indicates the company’s steady efficiency in regulating interest costs, whereas earning and spending have changed</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(Baragiola, 2022)</w:t>
      </w:r>
      <w:r w:rsidRPr="00D434DA">
        <w:rPr>
          <w:rFonts w:ascii="Times New Roman" w:hAnsi="Times New Roman" w:cs="Times New Roman"/>
          <w:bCs/>
          <w:sz w:val="24"/>
          <w:szCs w:val="24"/>
        </w:rPr>
        <w:t>.</w:t>
      </w:r>
    </w:p>
    <w:p w14:paraId="330924CE" w14:textId="63EF5543" w:rsidR="001B3908" w:rsidRPr="00D434DA" w:rsidRDefault="00D22D62"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The above ratio slightly enhanced in 2023 to 11.18, which can be considered as having improved the company’s earnings before interest and taxes compared</w:t>
      </w:r>
      <w:r w:rsidR="00070930" w:rsidRPr="00D434DA">
        <w:rPr>
          <w:rFonts w:ascii="Times New Roman" w:hAnsi="Times New Roman" w:cs="Times New Roman"/>
          <w:bCs/>
          <w:sz w:val="24"/>
          <w:szCs w:val="24"/>
        </w:rPr>
        <w:t xml:space="preserve"> to interest expenses.</w:t>
      </w:r>
      <w:r w:rsidR="00070930" w:rsidRPr="00D434DA">
        <w:rPr>
          <w:rFonts w:ascii="Times New Roman" w:hAnsi="Times New Roman" w:cs="Times New Roman"/>
          <w:bCs/>
          <w:sz w:val="24"/>
          <w:szCs w:val="24"/>
        </w:rPr>
        <w:br/>
        <w:t xml:space="preserve">This </w:t>
      </w:r>
      <w:r w:rsidRPr="00D434DA">
        <w:rPr>
          <w:rFonts w:ascii="Times New Roman" w:hAnsi="Times New Roman" w:cs="Times New Roman"/>
          <w:bCs/>
          <w:sz w:val="24"/>
          <w:szCs w:val="24"/>
        </w:rPr>
        <w:t>point to the vigor that Unilever was able to boost its profitability or undertake ways of cutting down on interest costs hence its ability to service on the debt</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(ULLAH, 2021)</w:t>
      </w:r>
      <w:r w:rsidRPr="00D434DA">
        <w:rPr>
          <w:rFonts w:ascii="Times New Roman" w:hAnsi="Times New Roman" w:cs="Times New Roman"/>
          <w:bCs/>
          <w:sz w:val="24"/>
          <w:szCs w:val="24"/>
        </w:rPr>
        <w:t>.</w:t>
      </w:r>
      <w:r w:rsidR="001F6039" w:rsidRPr="00D434DA">
        <w:rPr>
          <w:rFonts w:ascii="Times New Roman" w:hAnsi="Times New Roman" w:cs="Times New Roman"/>
          <w:bCs/>
          <w:sz w:val="24"/>
          <w:szCs w:val="24"/>
        </w:rPr>
        <w:t xml:space="preserve"> </w:t>
      </w:r>
      <w:r w:rsidRPr="00D434DA">
        <w:rPr>
          <w:rFonts w:ascii="Times New Roman" w:hAnsi="Times New Roman" w:cs="Times New Roman"/>
          <w:bCs/>
          <w:sz w:val="24"/>
          <w:szCs w:val="24"/>
        </w:rPr>
        <w:t>In total, the increasing and high interest coverage ratio suggests that Unilever has a strong financial structure and is capable to handle its debt cost efficiently</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(Baragiola, 2022)</w:t>
      </w:r>
      <w:r w:rsidRPr="00D434DA">
        <w:rPr>
          <w:rFonts w:ascii="Times New Roman" w:hAnsi="Times New Roman" w:cs="Times New Roman"/>
          <w:bCs/>
          <w:sz w:val="24"/>
          <w:szCs w:val="24"/>
        </w:rPr>
        <w:t>.</w:t>
      </w:r>
    </w:p>
    <w:p w14:paraId="00D5AF28" w14:textId="77777777" w:rsidR="0082516A" w:rsidRPr="00D434DA" w:rsidRDefault="0082516A"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lastRenderedPageBreak/>
        <w:t>3. Comparison with Major Competitors and Sector Averages</w:t>
      </w:r>
    </w:p>
    <w:p w14:paraId="20AD4D7A" w14:textId="20C5118C" w:rsidR="0082516A" w:rsidRPr="00D434DA" w:rsidRDefault="004207F6"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Analysing</w:t>
      </w:r>
      <w:r w:rsidR="009C7F7F" w:rsidRPr="00D434DA">
        <w:rPr>
          <w:rFonts w:ascii="Times New Roman" w:hAnsi="Times New Roman" w:cs="Times New Roman"/>
          <w:sz w:val="24"/>
          <w:szCs w:val="24"/>
        </w:rPr>
        <w:t xml:space="preserve"> the above ratios of Unilever in relation to its competitors like Procter &amp; Gamble (P&amp;G), inform about its position in the sector.</w:t>
      </w:r>
    </w:p>
    <w:p w14:paraId="338200C9" w14:textId="77777777" w:rsidR="0082516A" w:rsidRPr="00D434DA" w:rsidRDefault="0082516A"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Current Ratio Comparison</w:t>
      </w:r>
    </w:p>
    <w:tbl>
      <w:tblPr>
        <w:tblStyle w:val="TableGrid"/>
        <w:tblpPr w:leftFromText="180" w:rightFromText="180" w:vertAnchor="text" w:horzAnchor="margin" w:tblpX="487" w:tblpY="1"/>
        <w:tblOverlap w:val="never"/>
        <w:tblW w:w="0" w:type="auto"/>
        <w:tblLook w:val="04A0" w:firstRow="1" w:lastRow="0" w:firstColumn="1" w:lastColumn="0" w:noHBand="0" w:noVBand="1"/>
      </w:tblPr>
      <w:tblGrid>
        <w:gridCol w:w="959"/>
        <w:gridCol w:w="1134"/>
        <w:gridCol w:w="1134"/>
        <w:gridCol w:w="2835"/>
      </w:tblGrid>
      <w:tr w:rsidR="00D434DA" w:rsidRPr="00D434DA" w14:paraId="6472EA19" w14:textId="77777777" w:rsidTr="00070930">
        <w:tc>
          <w:tcPr>
            <w:tcW w:w="959" w:type="dxa"/>
            <w:shd w:val="clear" w:color="auto" w:fill="FDE9D9" w:themeFill="accent6" w:themeFillTint="33"/>
            <w:hideMark/>
          </w:tcPr>
          <w:p w14:paraId="1D64FE98"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Year</w:t>
            </w:r>
          </w:p>
        </w:tc>
        <w:tc>
          <w:tcPr>
            <w:tcW w:w="1134" w:type="dxa"/>
            <w:shd w:val="clear" w:color="auto" w:fill="FDE9D9" w:themeFill="accent6" w:themeFillTint="33"/>
            <w:hideMark/>
          </w:tcPr>
          <w:p w14:paraId="4687C7B3"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Unilever</w:t>
            </w:r>
          </w:p>
        </w:tc>
        <w:tc>
          <w:tcPr>
            <w:tcW w:w="1134" w:type="dxa"/>
            <w:shd w:val="clear" w:color="auto" w:fill="FDE9D9" w:themeFill="accent6" w:themeFillTint="33"/>
            <w:hideMark/>
          </w:tcPr>
          <w:p w14:paraId="6205023E"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P&amp;G</w:t>
            </w:r>
          </w:p>
        </w:tc>
        <w:tc>
          <w:tcPr>
            <w:tcW w:w="2835" w:type="dxa"/>
            <w:shd w:val="clear" w:color="auto" w:fill="FDE9D9" w:themeFill="accent6" w:themeFillTint="33"/>
            <w:hideMark/>
          </w:tcPr>
          <w:p w14:paraId="7533EF5E"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Sector Average</w:t>
            </w:r>
          </w:p>
        </w:tc>
      </w:tr>
      <w:tr w:rsidR="00D434DA" w:rsidRPr="00D434DA" w14:paraId="0EE789C3" w14:textId="77777777" w:rsidTr="00070930">
        <w:tc>
          <w:tcPr>
            <w:tcW w:w="959" w:type="dxa"/>
            <w:shd w:val="clear" w:color="auto" w:fill="DAEEF3" w:themeFill="accent5" w:themeFillTint="33"/>
            <w:hideMark/>
          </w:tcPr>
          <w:p w14:paraId="278BB227"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2019</w:t>
            </w:r>
          </w:p>
        </w:tc>
        <w:tc>
          <w:tcPr>
            <w:tcW w:w="1134" w:type="dxa"/>
            <w:shd w:val="clear" w:color="auto" w:fill="DAEEF3" w:themeFill="accent5" w:themeFillTint="33"/>
            <w:hideMark/>
          </w:tcPr>
          <w:p w14:paraId="353E395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0.74</w:t>
            </w:r>
          </w:p>
        </w:tc>
        <w:tc>
          <w:tcPr>
            <w:tcW w:w="1134" w:type="dxa"/>
            <w:shd w:val="clear" w:color="auto" w:fill="DAEEF3" w:themeFill="accent5" w:themeFillTint="33"/>
            <w:hideMark/>
          </w:tcPr>
          <w:p w14:paraId="2F29A647"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0.86</w:t>
            </w:r>
          </w:p>
        </w:tc>
        <w:tc>
          <w:tcPr>
            <w:tcW w:w="2835" w:type="dxa"/>
            <w:shd w:val="clear" w:color="auto" w:fill="DAEEF3" w:themeFill="accent5" w:themeFillTint="33"/>
            <w:hideMark/>
          </w:tcPr>
          <w:p w14:paraId="6BDCC11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0.80</w:t>
            </w:r>
          </w:p>
        </w:tc>
      </w:tr>
      <w:tr w:rsidR="00D434DA" w:rsidRPr="00D434DA" w14:paraId="39338CA8" w14:textId="77777777" w:rsidTr="00070930">
        <w:tc>
          <w:tcPr>
            <w:tcW w:w="959" w:type="dxa"/>
            <w:shd w:val="clear" w:color="auto" w:fill="DAEEF3" w:themeFill="accent5" w:themeFillTint="33"/>
            <w:hideMark/>
          </w:tcPr>
          <w:p w14:paraId="639CB68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2020</w:t>
            </w:r>
          </w:p>
        </w:tc>
        <w:tc>
          <w:tcPr>
            <w:tcW w:w="1134" w:type="dxa"/>
            <w:shd w:val="clear" w:color="auto" w:fill="DAEEF3" w:themeFill="accent5" w:themeFillTint="33"/>
            <w:hideMark/>
          </w:tcPr>
          <w:p w14:paraId="0E14790C"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0.68</w:t>
            </w:r>
          </w:p>
        </w:tc>
        <w:tc>
          <w:tcPr>
            <w:tcW w:w="1134" w:type="dxa"/>
            <w:shd w:val="clear" w:color="auto" w:fill="DAEEF3" w:themeFill="accent5" w:themeFillTint="33"/>
            <w:hideMark/>
          </w:tcPr>
          <w:p w14:paraId="427486D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0.85</w:t>
            </w:r>
          </w:p>
        </w:tc>
        <w:tc>
          <w:tcPr>
            <w:tcW w:w="2835" w:type="dxa"/>
            <w:shd w:val="clear" w:color="auto" w:fill="DAEEF3" w:themeFill="accent5" w:themeFillTint="33"/>
            <w:hideMark/>
          </w:tcPr>
          <w:p w14:paraId="0B64E86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0.78</w:t>
            </w:r>
          </w:p>
        </w:tc>
      </w:tr>
      <w:tr w:rsidR="00D434DA" w:rsidRPr="00D434DA" w14:paraId="4D3DEA81" w14:textId="77777777" w:rsidTr="00070930">
        <w:tc>
          <w:tcPr>
            <w:tcW w:w="959" w:type="dxa"/>
            <w:shd w:val="clear" w:color="auto" w:fill="DAEEF3" w:themeFill="accent5" w:themeFillTint="33"/>
            <w:hideMark/>
          </w:tcPr>
          <w:p w14:paraId="09A7E473"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2021</w:t>
            </w:r>
          </w:p>
        </w:tc>
        <w:tc>
          <w:tcPr>
            <w:tcW w:w="1134" w:type="dxa"/>
            <w:shd w:val="clear" w:color="auto" w:fill="DAEEF3" w:themeFill="accent5" w:themeFillTint="33"/>
            <w:hideMark/>
          </w:tcPr>
          <w:p w14:paraId="08F3B3F9"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0.76</w:t>
            </w:r>
          </w:p>
        </w:tc>
        <w:tc>
          <w:tcPr>
            <w:tcW w:w="1134" w:type="dxa"/>
            <w:shd w:val="clear" w:color="auto" w:fill="DAEEF3" w:themeFill="accent5" w:themeFillTint="33"/>
            <w:hideMark/>
          </w:tcPr>
          <w:p w14:paraId="084C00AC"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0.87</w:t>
            </w:r>
          </w:p>
        </w:tc>
        <w:tc>
          <w:tcPr>
            <w:tcW w:w="2835" w:type="dxa"/>
            <w:shd w:val="clear" w:color="auto" w:fill="DAEEF3" w:themeFill="accent5" w:themeFillTint="33"/>
            <w:hideMark/>
          </w:tcPr>
          <w:p w14:paraId="66C27636"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0.81</w:t>
            </w:r>
          </w:p>
        </w:tc>
      </w:tr>
      <w:tr w:rsidR="00D434DA" w:rsidRPr="00D434DA" w14:paraId="12A9498D" w14:textId="77777777" w:rsidTr="00070930">
        <w:tc>
          <w:tcPr>
            <w:tcW w:w="959" w:type="dxa"/>
            <w:shd w:val="clear" w:color="auto" w:fill="DAEEF3" w:themeFill="accent5" w:themeFillTint="33"/>
            <w:hideMark/>
          </w:tcPr>
          <w:p w14:paraId="5B5A3E7D"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2022</w:t>
            </w:r>
          </w:p>
        </w:tc>
        <w:tc>
          <w:tcPr>
            <w:tcW w:w="1134" w:type="dxa"/>
            <w:shd w:val="clear" w:color="auto" w:fill="DAEEF3" w:themeFill="accent5" w:themeFillTint="33"/>
            <w:hideMark/>
          </w:tcPr>
          <w:p w14:paraId="301C2345"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0.73</w:t>
            </w:r>
          </w:p>
        </w:tc>
        <w:tc>
          <w:tcPr>
            <w:tcW w:w="1134" w:type="dxa"/>
            <w:shd w:val="clear" w:color="auto" w:fill="DAEEF3" w:themeFill="accent5" w:themeFillTint="33"/>
            <w:hideMark/>
          </w:tcPr>
          <w:p w14:paraId="4281CA16"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0.88</w:t>
            </w:r>
          </w:p>
        </w:tc>
        <w:tc>
          <w:tcPr>
            <w:tcW w:w="2835" w:type="dxa"/>
            <w:shd w:val="clear" w:color="auto" w:fill="DAEEF3" w:themeFill="accent5" w:themeFillTint="33"/>
            <w:hideMark/>
          </w:tcPr>
          <w:p w14:paraId="0832746E"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0.79</w:t>
            </w:r>
          </w:p>
        </w:tc>
      </w:tr>
      <w:tr w:rsidR="00D434DA" w:rsidRPr="00D434DA" w14:paraId="4EC9F40B" w14:textId="77777777" w:rsidTr="00070930">
        <w:tc>
          <w:tcPr>
            <w:tcW w:w="959" w:type="dxa"/>
            <w:shd w:val="clear" w:color="auto" w:fill="DAEEF3" w:themeFill="accent5" w:themeFillTint="33"/>
            <w:hideMark/>
          </w:tcPr>
          <w:p w14:paraId="0377526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2023</w:t>
            </w:r>
          </w:p>
        </w:tc>
        <w:tc>
          <w:tcPr>
            <w:tcW w:w="1134" w:type="dxa"/>
            <w:shd w:val="clear" w:color="auto" w:fill="DAEEF3" w:themeFill="accent5" w:themeFillTint="33"/>
            <w:hideMark/>
          </w:tcPr>
          <w:p w14:paraId="13A2263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0.78</w:t>
            </w:r>
          </w:p>
        </w:tc>
        <w:tc>
          <w:tcPr>
            <w:tcW w:w="1134" w:type="dxa"/>
            <w:shd w:val="clear" w:color="auto" w:fill="DAEEF3" w:themeFill="accent5" w:themeFillTint="33"/>
            <w:hideMark/>
          </w:tcPr>
          <w:p w14:paraId="4EA20206"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0.90</w:t>
            </w:r>
          </w:p>
        </w:tc>
        <w:tc>
          <w:tcPr>
            <w:tcW w:w="2835" w:type="dxa"/>
            <w:shd w:val="clear" w:color="auto" w:fill="DAEEF3" w:themeFill="accent5" w:themeFillTint="33"/>
            <w:hideMark/>
          </w:tcPr>
          <w:p w14:paraId="3834706E"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0.82</w:t>
            </w:r>
          </w:p>
        </w:tc>
      </w:tr>
    </w:tbl>
    <w:p w14:paraId="34A419CC" w14:textId="1578B131" w:rsidR="00370E80" w:rsidRPr="00D434DA" w:rsidRDefault="00370E80"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
          <w:bCs/>
          <w:sz w:val="24"/>
          <w:szCs w:val="24"/>
        </w:rPr>
        <w:br w:type="textWrapping" w:clear="all"/>
      </w:r>
      <w:r w:rsidR="000B0AAE" w:rsidRPr="00D434DA">
        <w:rPr>
          <w:rFonts w:ascii="Times New Roman" w:hAnsi="Times New Roman" w:cs="Times New Roman"/>
          <w:bCs/>
          <w:sz w:val="24"/>
          <w:szCs w:val="24"/>
        </w:rPr>
        <w:t xml:space="preserve">Unilever has comparatively lower current ratio for short -term solvency than Procter &amp; Gamble and the sector average from 2019 to 2023. In 2019, </w:t>
      </w:r>
      <w:r w:rsidR="00484F43" w:rsidRPr="00D434DA">
        <w:rPr>
          <w:rFonts w:ascii="Times New Roman" w:hAnsi="Times New Roman" w:cs="Times New Roman"/>
          <w:bCs/>
          <w:sz w:val="24"/>
          <w:szCs w:val="24"/>
        </w:rPr>
        <w:t>the ratio at Unilever was at 0.</w:t>
      </w:r>
      <w:r w:rsidR="000B0AAE" w:rsidRPr="00D434DA">
        <w:rPr>
          <w:rFonts w:ascii="Times New Roman" w:hAnsi="Times New Roman" w:cs="Times New Roman"/>
          <w:bCs/>
          <w:sz w:val="24"/>
          <w:szCs w:val="24"/>
        </w:rPr>
        <w:t xml:space="preserve">74, which is less than the world’s largest consumer </w:t>
      </w:r>
      <w:r w:rsidR="00484F43" w:rsidRPr="00D434DA">
        <w:rPr>
          <w:rFonts w:ascii="Times New Roman" w:hAnsi="Times New Roman" w:cs="Times New Roman"/>
          <w:bCs/>
          <w:sz w:val="24"/>
          <w:szCs w:val="24"/>
        </w:rPr>
        <w:t>goods maker P&amp;G’s figure of 0.</w:t>
      </w:r>
      <w:r w:rsidR="000B0AAE" w:rsidRPr="00D434DA">
        <w:rPr>
          <w:rFonts w:ascii="Times New Roman" w:hAnsi="Times New Roman" w:cs="Times New Roman"/>
          <w:bCs/>
          <w:sz w:val="24"/>
          <w:szCs w:val="24"/>
        </w:rPr>
        <w:t>86 and where the overall average for the sector was 0. 80</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(Ahmed, 2024)</w:t>
      </w:r>
      <w:r w:rsidR="000B0AAE" w:rsidRPr="00D434DA">
        <w:rPr>
          <w:rFonts w:ascii="Times New Roman" w:hAnsi="Times New Roman" w:cs="Times New Roman"/>
          <w:bCs/>
          <w:sz w:val="24"/>
          <w:szCs w:val="24"/>
        </w:rPr>
        <w:t>. This studied trend persisted up to 2020 and 2021 where Unilever always lag behind both P&amp;G as well as sector average. Yet, by the year 2023, the ratio reduces to 0. 78 which is still below the average value of the sector 0. 82 and P&amp;G's 0. 90. However, even after this progress Unilever is below the competitor and the existing Industry benchmarks in terms of liquidity management</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(Baragiola, 2022)</w:t>
      </w:r>
      <w:r w:rsidR="000B0AAE" w:rsidRPr="00D434DA">
        <w:rPr>
          <w:rFonts w:ascii="Times New Roman" w:hAnsi="Times New Roman" w:cs="Times New Roman"/>
          <w:bCs/>
          <w:sz w:val="24"/>
          <w:szCs w:val="24"/>
        </w:rPr>
        <w:t>.</w:t>
      </w:r>
    </w:p>
    <w:p w14:paraId="167E6BBF" w14:textId="77777777" w:rsidR="0082516A" w:rsidRPr="00D434DA" w:rsidRDefault="0082516A"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Debt-to-Equity Ratio Comparison</w:t>
      </w:r>
    </w:p>
    <w:tbl>
      <w:tblPr>
        <w:tblStyle w:val="TableGrid"/>
        <w:tblW w:w="0" w:type="auto"/>
        <w:tblInd w:w="392" w:type="dxa"/>
        <w:tblLook w:val="04A0" w:firstRow="1" w:lastRow="0" w:firstColumn="1" w:lastColumn="0" w:noHBand="0" w:noVBand="1"/>
      </w:tblPr>
      <w:tblGrid>
        <w:gridCol w:w="1559"/>
        <w:gridCol w:w="1096"/>
        <w:gridCol w:w="2008"/>
        <w:gridCol w:w="2552"/>
      </w:tblGrid>
      <w:tr w:rsidR="00D434DA" w:rsidRPr="00D434DA" w14:paraId="664CB351" w14:textId="77777777" w:rsidTr="00070930">
        <w:tc>
          <w:tcPr>
            <w:tcW w:w="1559" w:type="dxa"/>
            <w:shd w:val="clear" w:color="auto" w:fill="FDE9D9" w:themeFill="accent6" w:themeFillTint="33"/>
            <w:hideMark/>
          </w:tcPr>
          <w:p w14:paraId="0AF8408D"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Year</w:t>
            </w:r>
          </w:p>
        </w:tc>
        <w:tc>
          <w:tcPr>
            <w:tcW w:w="851" w:type="dxa"/>
            <w:shd w:val="clear" w:color="auto" w:fill="FDE9D9" w:themeFill="accent6" w:themeFillTint="33"/>
            <w:hideMark/>
          </w:tcPr>
          <w:p w14:paraId="70D1239B"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Unilever</w:t>
            </w:r>
          </w:p>
        </w:tc>
        <w:tc>
          <w:tcPr>
            <w:tcW w:w="2008" w:type="dxa"/>
            <w:shd w:val="clear" w:color="auto" w:fill="FDE9D9" w:themeFill="accent6" w:themeFillTint="33"/>
            <w:hideMark/>
          </w:tcPr>
          <w:p w14:paraId="224FEEF7"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P&amp;G</w:t>
            </w:r>
          </w:p>
        </w:tc>
        <w:tc>
          <w:tcPr>
            <w:tcW w:w="2552" w:type="dxa"/>
            <w:shd w:val="clear" w:color="auto" w:fill="FDE9D9" w:themeFill="accent6" w:themeFillTint="33"/>
            <w:hideMark/>
          </w:tcPr>
          <w:p w14:paraId="6F8F44BB" w14:textId="77777777" w:rsidR="0082516A" w:rsidRPr="00D434DA" w:rsidRDefault="0082516A"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Sector Average</w:t>
            </w:r>
          </w:p>
        </w:tc>
      </w:tr>
      <w:tr w:rsidR="00D434DA" w:rsidRPr="00D434DA" w14:paraId="158632EC" w14:textId="77777777" w:rsidTr="00070930">
        <w:tc>
          <w:tcPr>
            <w:tcW w:w="1559" w:type="dxa"/>
            <w:shd w:val="clear" w:color="auto" w:fill="DAEEF3" w:themeFill="accent5" w:themeFillTint="33"/>
            <w:hideMark/>
          </w:tcPr>
          <w:p w14:paraId="27880E28"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2019</w:t>
            </w:r>
          </w:p>
        </w:tc>
        <w:tc>
          <w:tcPr>
            <w:tcW w:w="851" w:type="dxa"/>
            <w:shd w:val="clear" w:color="auto" w:fill="DAEEF3" w:themeFill="accent5" w:themeFillTint="33"/>
            <w:hideMark/>
          </w:tcPr>
          <w:p w14:paraId="2993E54E"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1.39</w:t>
            </w:r>
          </w:p>
        </w:tc>
        <w:tc>
          <w:tcPr>
            <w:tcW w:w="2008" w:type="dxa"/>
            <w:shd w:val="clear" w:color="auto" w:fill="DAEEF3" w:themeFill="accent5" w:themeFillTint="33"/>
            <w:hideMark/>
          </w:tcPr>
          <w:p w14:paraId="29D0B3D5"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1.32</w:t>
            </w:r>
          </w:p>
        </w:tc>
        <w:tc>
          <w:tcPr>
            <w:tcW w:w="2552" w:type="dxa"/>
            <w:shd w:val="clear" w:color="auto" w:fill="DAEEF3" w:themeFill="accent5" w:themeFillTint="33"/>
            <w:hideMark/>
          </w:tcPr>
          <w:p w14:paraId="468FCBB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1.35</w:t>
            </w:r>
          </w:p>
        </w:tc>
      </w:tr>
      <w:tr w:rsidR="00D434DA" w:rsidRPr="00D434DA" w14:paraId="415238A2" w14:textId="77777777" w:rsidTr="00070930">
        <w:tc>
          <w:tcPr>
            <w:tcW w:w="1559" w:type="dxa"/>
            <w:shd w:val="clear" w:color="auto" w:fill="DAEEF3" w:themeFill="accent5" w:themeFillTint="33"/>
            <w:hideMark/>
          </w:tcPr>
          <w:p w14:paraId="585C579B"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2020</w:t>
            </w:r>
          </w:p>
        </w:tc>
        <w:tc>
          <w:tcPr>
            <w:tcW w:w="851" w:type="dxa"/>
            <w:shd w:val="clear" w:color="auto" w:fill="DAEEF3" w:themeFill="accent5" w:themeFillTint="33"/>
            <w:hideMark/>
          </w:tcPr>
          <w:p w14:paraId="6999C746"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1.56</w:t>
            </w:r>
          </w:p>
        </w:tc>
        <w:tc>
          <w:tcPr>
            <w:tcW w:w="2008" w:type="dxa"/>
            <w:shd w:val="clear" w:color="auto" w:fill="DAEEF3" w:themeFill="accent5" w:themeFillTint="33"/>
            <w:hideMark/>
          </w:tcPr>
          <w:p w14:paraId="4B7EACD5"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1.28</w:t>
            </w:r>
          </w:p>
        </w:tc>
        <w:tc>
          <w:tcPr>
            <w:tcW w:w="2552" w:type="dxa"/>
            <w:shd w:val="clear" w:color="auto" w:fill="DAEEF3" w:themeFill="accent5" w:themeFillTint="33"/>
            <w:hideMark/>
          </w:tcPr>
          <w:p w14:paraId="55B95081"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1.42</w:t>
            </w:r>
          </w:p>
        </w:tc>
      </w:tr>
      <w:tr w:rsidR="00D434DA" w:rsidRPr="00D434DA" w14:paraId="26890660" w14:textId="77777777" w:rsidTr="00070930">
        <w:tc>
          <w:tcPr>
            <w:tcW w:w="1559" w:type="dxa"/>
            <w:shd w:val="clear" w:color="auto" w:fill="DAEEF3" w:themeFill="accent5" w:themeFillTint="33"/>
            <w:hideMark/>
          </w:tcPr>
          <w:p w14:paraId="0A537B8B"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2021</w:t>
            </w:r>
          </w:p>
        </w:tc>
        <w:tc>
          <w:tcPr>
            <w:tcW w:w="851" w:type="dxa"/>
            <w:shd w:val="clear" w:color="auto" w:fill="DAEEF3" w:themeFill="accent5" w:themeFillTint="33"/>
            <w:hideMark/>
          </w:tcPr>
          <w:p w14:paraId="3FB72B0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1.57</w:t>
            </w:r>
          </w:p>
        </w:tc>
        <w:tc>
          <w:tcPr>
            <w:tcW w:w="2008" w:type="dxa"/>
            <w:shd w:val="clear" w:color="auto" w:fill="DAEEF3" w:themeFill="accent5" w:themeFillTint="33"/>
            <w:hideMark/>
          </w:tcPr>
          <w:p w14:paraId="70FBB4B0"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1.31</w:t>
            </w:r>
          </w:p>
        </w:tc>
        <w:tc>
          <w:tcPr>
            <w:tcW w:w="2552" w:type="dxa"/>
            <w:shd w:val="clear" w:color="auto" w:fill="DAEEF3" w:themeFill="accent5" w:themeFillTint="33"/>
            <w:hideMark/>
          </w:tcPr>
          <w:p w14:paraId="034FC6C4"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1.44</w:t>
            </w:r>
          </w:p>
        </w:tc>
      </w:tr>
      <w:tr w:rsidR="00D434DA" w:rsidRPr="00D434DA" w14:paraId="3DD5693B" w14:textId="77777777" w:rsidTr="00070930">
        <w:tc>
          <w:tcPr>
            <w:tcW w:w="1559" w:type="dxa"/>
            <w:shd w:val="clear" w:color="auto" w:fill="DAEEF3" w:themeFill="accent5" w:themeFillTint="33"/>
            <w:hideMark/>
          </w:tcPr>
          <w:p w14:paraId="71C65B0E"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2022</w:t>
            </w:r>
          </w:p>
        </w:tc>
        <w:tc>
          <w:tcPr>
            <w:tcW w:w="851" w:type="dxa"/>
            <w:shd w:val="clear" w:color="auto" w:fill="DAEEF3" w:themeFill="accent5" w:themeFillTint="33"/>
            <w:hideMark/>
          </w:tcPr>
          <w:p w14:paraId="61A0122F"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1.54</w:t>
            </w:r>
          </w:p>
        </w:tc>
        <w:tc>
          <w:tcPr>
            <w:tcW w:w="2008" w:type="dxa"/>
            <w:shd w:val="clear" w:color="auto" w:fill="DAEEF3" w:themeFill="accent5" w:themeFillTint="33"/>
            <w:hideMark/>
          </w:tcPr>
          <w:p w14:paraId="54E676B4"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1.33</w:t>
            </w:r>
          </w:p>
        </w:tc>
        <w:tc>
          <w:tcPr>
            <w:tcW w:w="2552" w:type="dxa"/>
            <w:shd w:val="clear" w:color="auto" w:fill="DAEEF3" w:themeFill="accent5" w:themeFillTint="33"/>
            <w:hideMark/>
          </w:tcPr>
          <w:p w14:paraId="2864CB3B"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1.40</w:t>
            </w:r>
          </w:p>
        </w:tc>
      </w:tr>
      <w:tr w:rsidR="00D434DA" w:rsidRPr="00D434DA" w14:paraId="5A6FBC9A" w14:textId="77777777" w:rsidTr="00070930">
        <w:tc>
          <w:tcPr>
            <w:tcW w:w="1559" w:type="dxa"/>
            <w:shd w:val="clear" w:color="auto" w:fill="DAEEF3" w:themeFill="accent5" w:themeFillTint="33"/>
            <w:hideMark/>
          </w:tcPr>
          <w:p w14:paraId="3F32CB42"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2023</w:t>
            </w:r>
          </w:p>
        </w:tc>
        <w:tc>
          <w:tcPr>
            <w:tcW w:w="851" w:type="dxa"/>
            <w:shd w:val="clear" w:color="auto" w:fill="DAEEF3" w:themeFill="accent5" w:themeFillTint="33"/>
            <w:hideMark/>
          </w:tcPr>
          <w:p w14:paraId="1AAC801D"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1.54</w:t>
            </w:r>
          </w:p>
        </w:tc>
        <w:tc>
          <w:tcPr>
            <w:tcW w:w="2008" w:type="dxa"/>
            <w:shd w:val="clear" w:color="auto" w:fill="DAEEF3" w:themeFill="accent5" w:themeFillTint="33"/>
            <w:hideMark/>
          </w:tcPr>
          <w:p w14:paraId="66BBA9E8"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1.34</w:t>
            </w:r>
          </w:p>
        </w:tc>
        <w:tc>
          <w:tcPr>
            <w:tcW w:w="2552" w:type="dxa"/>
            <w:shd w:val="clear" w:color="auto" w:fill="DAEEF3" w:themeFill="accent5" w:themeFillTint="33"/>
            <w:hideMark/>
          </w:tcPr>
          <w:p w14:paraId="48720D29" w14:textId="77777777" w:rsidR="0082516A" w:rsidRPr="00D434DA" w:rsidRDefault="0082516A"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1.41</w:t>
            </w:r>
          </w:p>
        </w:tc>
      </w:tr>
    </w:tbl>
    <w:p w14:paraId="13567E61" w14:textId="549635BD" w:rsidR="00370E80" w:rsidRPr="00D434DA" w:rsidRDefault="00D42B06"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lastRenderedPageBreak/>
        <w:t>Thus, Unilever has a higher debt to equity ratio compared to P&amp;G and the industry average, suggesting that the company’s capital structure is more leveraged. In 2019, the leveraging of Unilever is 1.39, above P&amp;G's 1.32 and the sector average of 1.35</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(Ahmed, 2024)</w:t>
      </w:r>
      <w:r w:rsidRPr="00D434DA">
        <w:rPr>
          <w:rFonts w:ascii="Times New Roman" w:hAnsi="Times New Roman" w:cs="Times New Roman"/>
          <w:sz w:val="24"/>
          <w:szCs w:val="24"/>
        </w:rPr>
        <w:t>. This remained up to 2020 and 2021 with Unilever leveraging more than P&amp;G and the sector. To this the financial ratio of Unilever can attest for it actually added up to 1.54 in 2022 and 2023, which still reflects the sector average and is much higher than P&amp;G’s ratio, thus, pointing to the fact that Unilever relies more on debt compared to equity</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(Baragiola, 2022)</w:t>
      </w:r>
      <w:r w:rsidRPr="00D434DA">
        <w:rPr>
          <w:rFonts w:ascii="Times New Roman" w:hAnsi="Times New Roman" w:cs="Times New Roman"/>
          <w:sz w:val="24"/>
          <w:szCs w:val="24"/>
        </w:rPr>
        <w:t>.</w:t>
      </w:r>
    </w:p>
    <w:p w14:paraId="783B0F73" w14:textId="77777777" w:rsidR="00370E80" w:rsidRPr="00D434DA" w:rsidRDefault="00370E80" w:rsidP="00D434DA">
      <w:pPr>
        <w:pStyle w:val="Heading2"/>
        <w:spacing w:line="360" w:lineRule="auto"/>
        <w:jc w:val="both"/>
        <w:rPr>
          <w:rFonts w:ascii="Times New Roman" w:hAnsi="Times New Roman" w:cs="Times New Roman"/>
          <w:color w:val="auto"/>
          <w:sz w:val="24"/>
          <w:szCs w:val="24"/>
        </w:rPr>
      </w:pPr>
      <w:bookmarkStart w:id="3" w:name="_Toc174694197"/>
      <w:r w:rsidRPr="00D434DA">
        <w:rPr>
          <w:rFonts w:ascii="Times New Roman" w:hAnsi="Times New Roman" w:cs="Times New Roman"/>
          <w:color w:val="auto"/>
          <w:sz w:val="24"/>
          <w:szCs w:val="24"/>
        </w:rPr>
        <w:t>B2. Review of Alternative Capital Structure Theories and Their Implications</w:t>
      </w:r>
      <w:bookmarkEnd w:id="3"/>
    </w:p>
    <w:p w14:paraId="0CCCA22C" w14:textId="77777777" w:rsidR="00370E80" w:rsidRPr="00D434DA" w:rsidRDefault="00370E80"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Overview of Capital Structure Theories</w:t>
      </w:r>
    </w:p>
    <w:p w14:paraId="21761AF9" w14:textId="0784A34F" w:rsidR="00370E80" w:rsidRPr="00D434DA" w:rsidRDefault="003F6ACE"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The theories of capital structure enable companies to understand how they can best manage their leverages in order to attain the greatest value on their securities. The primary theories include:</w:t>
      </w:r>
    </w:p>
    <w:p w14:paraId="696ED366"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1. </w:t>
      </w:r>
      <w:r w:rsidR="00370E80" w:rsidRPr="00D434DA">
        <w:rPr>
          <w:rFonts w:ascii="Times New Roman" w:hAnsi="Times New Roman" w:cs="Times New Roman"/>
          <w:b/>
          <w:bCs/>
          <w:sz w:val="24"/>
          <w:szCs w:val="24"/>
        </w:rPr>
        <w:t>Modigliani-Miller Theorem (1958)</w:t>
      </w:r>
    </w:p>
    <w:p w14:paraId="4AF583A5" w14:textId="5BB0D056" w:rsidR="00370E80" w:rsidRPr="00D434DA" w:rsidRDefault="00EE1785"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This was proposed by Franco Modigliani and Merton Miller and it must be understood that in a perfect and efficient world, the value of a firm is not influenced by its capital structure. They advise that while the cost of equity increases with increased leverage, the cost of capital decreases in equal measure, meaning capital structure has no bearing on firm value</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(Ahmed, 2024)</w:t>
      </w:r>
      <w:r w:rsidRPr="00D434DA">
        <w:rPr>
          <w:rFonts w:ascii="Times New Roman" w:hAnsi="Times New Roman" w:cs="Times New Roman"/>
          <w:sz w:val="24"/>
          <w:szCs w:val="24"/>
        </w:rPr>
        <w:t>.</w:t>
      </w:r>
    </w:p>
    <w:p w14:paraId="5B3B497E"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2. </w:t>
      </w:r>
      <w:r w:rsidR="00370E80" w:rsidRPr="00D434DA">
        <w:rPr>
          <w:rFonts w:ascii="Times New Roman" w:hAnsi="Times New Roman" w:cs="Times New Roman"/>
          <w:b/>
          <w:bCs/>
          <w:sz w:val="24"/>
          <w:szCs w:val="24"/>
        </w:rPr>
        <w:t>Trade-Off Theory</w:t>
      </w:r>
    </w:p>
    <w:p w14:paraId="47C82BD4" w14:textId="0C7F4D0E" w:rsidR="00370E80" w:rsidRPr="00D434DA" w:rsidRDefault="0049793A"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According to the debt trade-off theory by James Tobin and others, there is an optimal level of debt that firms should avail to balance between the advantages of debt like tax shields and the disadvantages like financial distress. Thus the optimal capital structure is the one that balances the marginal return on the additional amount of debt with the marginal cost of financial distress</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(ULLAH, 2021)</w:t>
      </w:r>
      <w:r w:rsidRPr="00D434DA">
        <w:rPr>
          <w:rFonts w:ascii="Times New Roman" w:hAnsi="Times New Roman" w:cs="Times New Roman"/>
          <w:sz w:val="24"/>
          <w:szCs w:val="24"/>
        </w:rPr>
        <w:t>.</w:t>
      </w:r>
    </w:p>
    <w:p w14:paraId="6DA2E120"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3. </w:t>
      </w:r>
      <w:r w:rsidR="00370E80" w:rsidRPr="00D434DA">
        <w:rPr>
          <w:rFonts w:ascii="Times New Roman" w:hAnsi="Times New Roman" w:cs="Times New Roman"/>
          <w:b/>
          <w:bCs/>
          <w:sz w:val="24"/>
          <w:szCs w:val="24"/>
        </w:rPr>
        <w:t>Pecking Order Theory</w:t>
      </w:r>
    </w:p>
    <w:p w14:paraId="65464A84" w14:textId="1CA374D3" w:rsidR="00370E80" w:rsidRPr="00D434DA" w:rsidRDefault="0049793A"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 xml:space="preserve">Proposed by Stewart Myers and Nicolas Majluf, it proposes that firms’ sources of financing from within are preferable to external financing and that equity financing is the least preferred. </w:t>
      </w:r>
      <w:r w:rsidR="00370E80" w:rsidRPr="00D434DA">
        <w:rPr>
          <w:rFonts w:ascii="Times New Roman" w:hAnsi="Times New Roman" w:cs="Times New Roman"/>
          <w:sz w:val="24"/>
          <w:szCs w:val="24"/>
        </w:rPr>
        <w:t xml:space="preserve">The hierarchy is: retained earnings &gt; debt &gt; equity. </w:t>
      </w:r>
      <w:r w:rsidRPr="00D434DA">
        <w:rPr>
          <w:rFonts w:ascii="Times New Roman" w:hAnsi="Times New Roman" w:cs="Times New Roman"/>
          <w:sz w:val="24"/>
          <w:szCs w:val="24"/>
        </w:rPr>
        <w:t>This theory focuses on the aspect of information superiority as the key determinant of capital structure decisions</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(Shaikh, Solangi and Raza, 2022)</w:t>
      </w:r>
      <w:r w:rsidRPr="00D434DA">
        <w:rPr>
          <w:rFonts w:ascii="Times New Roman" w:hAnsi="Times New Roman" w:cs="Times New Roman"/>
          <w:sz w:val="24"/>
          <w:szCs w:val="24"/>
        </w:rPr>
        <w:t>.</w:t>
      </w:r>
    </w:p>
    <w:p w14:paraId="48A3B041"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lastRenderedPageBreak/>
        <w:t xml:space="preserve">4. </w:t>
      </w:r>
      <w:r w:rsidR="00370E80" w:rsidRPr="00D434DA">
        <w:rPr>
          <w:rFonts w:ascii="Times New Roman" w:hAnsi="Times New Roman" w:cs="Times New Roman"/>
          <w:b/>
          <w:bCs/>
          <w:sz w:val="24"/>
          <w:szCs w:val="24"/>
        </w:rPr>
        <w:t>Agency Cost Theory</w:t>
      </w:r>
    </w:p>
    <w:p w14:paraId="54A59660" w14:textId="4AAD8940" w:rsidR="00370E80" w:rsidRPr="00D434DA" w:rsidRDefault="00A35CA2"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It is a theory advanced by Michael Jensen and William M</w:t>
      </w:r>
      <w:r w:rsidR="00302622" w:rsidRPr="00D434DA">
        <w:rPr>
          <w:rFonts w:ascii="Times New Roman" w:hAnsi="Times New Roman" w:cs="Times New Roman"/>
          <w:sz w:val="24"/>
          <w:szCs w:val="24"/>
        </w:rPr>
        <w:t>e</w:t>
      </w:r>
      <w:r w:rsidRPr="00D434DA">
        <w:rPr>
          <w:rFonts w:ascii="Times New Roman" w:hAnsi="Times New Roman" w:cs="Times New Roman"/>
          <w:sz w:val="24"/>
          <w:szCs w:val="24"/>
        </w:rPr>
        <w:t>ckling that targets the agency costs between shareholders, managers and debtholders. While high leverage is found to decrease agency costs arising from the divergence of interest between the shareholders and managers, it also increases the agency costs linked to financial cost and conflict with debtholders.</w:t>
      </w:r>
    </w:p>
    <w:p w14:paraId="1116A121"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5. </w:t>
      </w:r>
      <w:r w:rsidR="00370E80" w:rsidRPr="00D434DA">
        <w:rPr>
          <w:rFonts w:ascii="Times New Roman" w:hAnsi="Times New Roman" w:cs="Times New Roman"/>
          <w:b/>
          <w:bCs/>
          <w:sz w:val="24"/>
          <w:szCs w:val="24"/>
        </w:rPr>
        <w:t>Market Timing Theory</w:t>
      </w:r>
    </w:p>
    <w:p w14:paraId="6F86B458" w14:textId="2C303B0B" w:rsidR="00370E80" w:rsidRPr="00D434DA" w:rsidRDefault="00E10D98"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This theory has it that firms will choose their financing decision at certain times on the basis of market conditions. Companies launch equity when the price of stock is high and use debts when the interest rate is low. According to this theory it was underlined that market conditions play an important role in capital structure decisions</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(Shaikh, Solangi and Raza, 2022)</w:t>
      </w:r>
      <w:r w:rsidRPr="00D434DA">
        <w:rPr>
          <w:rFonts w:ascii="Times New Roman" w:hAnsi="Times New Roman" w:cs="Times New Roman"/>
          <w:sz w:val="24"/>
          <w:szCs w:val="24"/>
        </w:rPr>
        <w:t>.</w:t>
      </w:r>
    </w:p>
    <w:p w14:paraId="1DC17B26" w14:textId="77777777" w:rsidR="00370E80" w:rsidRPr="00D434DA" w:rsidRDefault="00370E80"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Empirical Analysis of Unilever's Share Returns</w:t>
      </w:r>
    </w:p>
    <w:p w14:paraId="229E18EE" w14:textId="2A7A8B57" w:rsidR="00370E80" w:rsidRPr="00D434DA" w:rsidRDefault="002F13FF"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In order to </w:t>
      </w:r>
      <w:r w:rsidR="009E38A7" w:rsidRPr="00D434DA">
        <w:rPr>
          <w:rFonts w:ascii="Times New Roman" w:hAnsi="Times New Roman" w:cs="Times New Roman"/>
          <w:sz w:val="24"/>
          <w:szCs w:val="24"/>
        </w:rPr>
        <w:t>analyse</w:t>
      </w:r>
      <w:r w:rsidRPr="00D434DA">
        <w:rPr>
          <w:rFonts w:ascii="Times New Roman" w:hAnsi="Times New Roman" w:cs="Times New Roman"/>
          <w:sz w:val="24"/>
          <w:szCs w:val="24"/>
        </w:rPr>
        <w:t xml:space="preserve"> the correlation between the capital structure of Unilever and the share returns we first have to find the average share returns over the past five years with the data given above.</w:t>
      </w:r>
    </w:p>
    <w:p w14:paraId="0C896CD6" w14:textId="77777777" w:rsidR="00006F86" w:rsidRPr="00D434DA" w:rsidRDefault="00006F86"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1. </w:t>
      </w:r>
      <w:r w:rsidR="00370E80" w:rsidRPr="00D434DA">
        <w:rPr>
          <w:rFonts w:ascii="Times New Roman" w:hAnsi="Times New Roman" w:cs="Times New Roman"/>
          <w:b/>
          <w:bCs/>
          <w:sz w:val="24"/>
          <w:szCs w:val="24"/>
        </w:rPr>
        <w:t>Monthly Share Prices Data</w:t>
      </w:r>
    </w:p>
    <w:p w14:paraId="262F17D0" w14:textId="0F210724" w:rsidR="00370E80" w:rsidRDefault="00126311"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This includes the data that runs from the month of September 2019 up to and including August of the year 2024 with the closing price every month taken into consideration. This way for each Year we can add up the average Share price to arrive at the annual return</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(Shaikh, Solangi and Raza, 2022)</w:t>
      </w:r>
      <w:r w:rsidRPr="00D434DA">
        <w:rPr>
          <w:rFonts w:ascii="Times New Roman" w:hAnsi="Times New Roman" w:cs="Times New Roman"/>
          <w:sz w:val="24"/>
          <w:szCs w:val="24"/>
        </w:rPr>
        <w:t>. These are the procedure followed in arriving at the annual returns:</w:t>
      </w:r>
    </w:p>
    <w:p w14:paraId="7B6B84E0" w14:textId="77777777" w:rsidR="00B91A3E" w:rsidRPr="00D434DA" w:rsidRDefault="00B91A3E" w:rsidP="00B91A3E">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Calculate Monthly Returns</w:t>
      </w:r>
      <w:r w:rsidRPr="00D434DA">
        <w:rPr>
          <w:rFonts w:ascii="Times New Roman" w:hAnsi="Times New Roman" w:cs="Times New Roman"/>
          <w:sz w:val="24"/>
          <w:szCs w:val="24"/>
        </w:rPr>
        <w:t>: Use the formula:</w:t>
      </w:r>
    </w:p>
    <w:p w14:paraId="66D5704C" w14:textId="77777777" w:rsidR="00B91A3E" w:rsidRPr="00D434DA" w:rsidRDefault="00B91A3E" w:rsidP="00B91A3E">
      <w:pPr>
        <w:spacing w:line="360" w:lineRule="auto"/>
        <w:jc w:val="both"/>
        <w:rPr>
          <w:rFonts w:ascii="Cambria Math" w:hAnsi="Cambria Math" w:cs="Times New Roman"/>
          <w:sz w:val="24"/>
          <w:szCs w:val="24"/>
          <w:oMath/>
        </w:rPr>
      </w:pPr>
      <m:oMathPara>
        <m:oMath>
          <m:r>
            <m:rPr>
              <m:sty m:val="p"/>
            </m:rPr>
            <w:rPr>
              <w:rFonts w:ascii="Cambria Math" w:hAnsi="Cambria Math" w:cs="Times New Roman"/>
              <w:sz w:val="24"/>
              <w:szCs w:val="24"/>
            </w:rPr>
            <m:t>Monthly Return=</m:t>
          </m:r>
          <m:f>
            <m:fPr>
              <m:ctrlPr>
                <w:rPr>
                  <w:rFonts w:ascii="Cambria Math" w:hAnsi="Cambria Math" w:cs="Times New Roman"/>
                  <w:sz w:val="24"/>
                  <w:szCs w:val="24"/>
                </w:rPr>
              </m:ctrlPr>
            </m:fPr>
            <m:num>
              <m:r>
                <m:rPr>
                  <m:sty m:val="p"/>
                </m:rPr>
                <w:rPr>
                  <w:rFonts w:ascii="Cambria Math" w:hAnsi="Cambria Math" w:cs="Times New Roman"/>
                  <w:sz w:val="24"/>
                  <w:szCs w:val="24"/>
                </w:rPr>
                <m:t>Closing Price at End of Month-Closing Price at Start of Month</m:t>
              </m:r>
            </m:num>
            <m:den>
              <m:r>
                <m:rPr>
                  <m:sty m:val="p"/>
                </m:rPr>
                <w:rPr>
                  <w:rFonts w:ascii="Cambria Math" w:hAnsi="Cambria Math" w:cs="Times New Roman"/>
                  <w:sz w:val="24"/>
                  <w:szCs w:val="24"/>
                </w:rPr>
                <m:t>Closing Price at Start of Month</m:t>
              </m:r>
            </m:den>
          </m:f>
        </m:oMath>
      </m:oMathPara>
    </w:p>
    <w:p w14:paraId="2541F53E" w14:textId="77777777" w:rsidR="00B91A3E" w:rsidRPr="00D434DA" w:rsidRDefault="00B91A3E" w:rsidP="00B91A3E">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Calculate Average Annual Return</w:t>
      </w:r>
      <w:r w:rsidRPr="00D434DA">
        <w:rPr>
          <w:rFonts w:ascii="Times New Roman" w:hAnsi="Times New Roman" w:cs="Times New Roman"/>
          <w:sz w:val="24"/>
          <w:szCs w:val="24"/>
        </w:rPr>
        <w:t>:</w:t>
      </w:r>
    </w:p>
    <w:p w14:paraId="6E6A18FF" w14:textId="77777777" w:rsidR="00B91A3E" w:rsidRPr="00D434DA" w:rsidRDefault="00B91A3E" w:rsidP="00B91A3E">
      <w:pPr>
        <w:spacing w:line="360" w:lineRule="auto"/>
        <w:jc w:val="both"/>
        <w:rPr>
          <w:rFonts w:ascii="Cambria Math" w:hAnsi="Cambria Math" w:cs="Times New Roman"/>
          <w:sz w:val="24"/>
          <w:szCs w:val="24"/>
          <w:oMath/>
        </w:rPr>
      </w:pPr>
      <m:oMathPara>
        <m:oMath>
          <m:r>
            <m:rPr>
              <m:sty m:val="p"/>
            </m:rPr>
            <w:rPr>
              <w:rFonts w:ascii="Cambria Math" w:hAnsi="Cambria Math" w:cs="Times New Roman"/>
              <w:sz w:val="24"/>
              <w:szCs w:val="24"/>
            </w:rPr>
            <m:t>Average Annual Return=</m:t>
          </m:r>
          <m:f>
            <m:fPr>
              <m:ctrlPr>
                <w:rPr>
                  <w:rFonts w:ascii="Cambria Math" w:hAnsi="Cambria Math" w:cs="Times New Roman"/>
                  <w:sz w:val="24"/>
                  <w:szCs w:val="24"/>
                </w:rPr>
              </m:ctrlPr>
            </m:fPr>
            <m:num>
              <m:r>
                <m:rPr>
                  <m:sty m:val="p"/>
                </m:rPr>
                <w:rPr>
                  <w:rFonts w:ascii="Cambria Math" w:hAnsi="Cambria Math" w:cs="Times New Roman"/>
                  <w:sz w:val="24"/>
                  <w:szCs w:val="24"/>
                </w:rPr>
                <m:t>∑Monthly Returns</m:t>
              </m:r>
            </m:num>
            <m:den>
              <m:r>
                <m:rPr>
                  <m:sty m:val="p"/>
                </m:rPr>
                <w:rPr>
                  <w:rFonts w:ascii="Cambria Math" w:hAnsi="Cambria Math" w:cs="Times New Roman"/>
                  <w:sz w:val="24"/>
                  <w:szCs w:val="24"/>
                </w:rPr>
                <m:t>12</m:t>
              </m:r>
            </m:den>
          </m:f>
        </m:oMath>
      </m:oMathPara>
    </w:p>
    <w:p w14:paraId="774DE7CB" w14:textId="77777777" w:rsidR="00B91A3E" w:rsidRPr="00D434DA" w:rsidRDefault="00B91A3E" w:rsidP="00B91A3E">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Annual Share Returns Calculation</w:t>
      </w:r>
      <w:r w:rsidRPr="00D434DA">
        <w:rPr>
          <w:rFonts w:ascii="Times New Roman" w:hAnsi="Times New Roman" w:cs="Times New Roman"/>
          <w:sz w:val="24"/>
          <w:szCs w:val="24"/>
        </w:rPr>
        <w:t>:</w:t>
      </w:r>
    </w:p>
    <w:p w14:paraId="02C24C03" w14:textId="77777777" w:rsidR="00B91A3E" w:rsidRPr="00D434DA" w:rsidRDefault="00B91A3E" w:rsidP="00B91A3E">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2019</w:t>
      </w:r>
      <w:r w:rsidRPr="00D434DA">
        <w:rPr>
          <w:rFonts w:ascii="Times New Roman" w:hAnsi="Times New Roman" w:cs="Times New Roman"/>
          <w:sz w:val="24"/>
          <w:szCs w:val="24"/>
        </w:rPr>
        <w:t>:</w:t>
      </w:r>
    </w:p>
    <w:p w14:paraId="72EACCE7"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lastRenderedPageBreak/>
        <w:t>Start Price (September 2019): €60.10</w:t>
      </w:r>
    </w:p>
    <w:p w14:paraId="34C3B481"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2019): €57.17</w:t>
      </w:r>
    </w:p>
    <w:p w14:paraId="52F089B6"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57.17-60.10</m:t>
            </m:r>
          </m:num>
          <m:den>
            <m:r>
              <m:rPr>
                <m:sty m:val="p"/>
              </m:rPr>
              <w:rPr>
                <w:rFonts w:ascii="Cambria Math" w:hAnsi="Cambria Math" w:cs="Times New Roman"/>
                <w:sz w:val="24"/>
                <w:szCs w:val="24"/>
              </w:rPr>
              <m:t>60.10</m:t>
            </m:r>
          </m:den>
        </m:f>
        <m:r>
          <m:rPr>
            <m:sty m:val="p"/>
          </m:rPr>
          <w:rPr>
            <w:rFonts w:ascii="Cambria Math" w:hAnsi="Cambria Math" w:cs="Times New Roman"/>
            <w:sz w:val="24"/>
            <w:szCs w:val="24"/>
          </w:rPr>
          <m:t>×100=-4.88%</m:t>
        </m:r>
      </m:oMath>
    </w:p>
    <w:p w14:paraId="70DFE494" w14:textId="77777777" w:rsidR="00B91A3E" w:rsidRPr="00D434DA" w:rsidRDefault="00B91A3E" w:rsidP="00B91A3E">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2020</w:t>
      </w:r>
      <w:r w:rsidRPr="00D434DA">
        <w:rPr>
          <w:rFonts w:ascii="Times New Roman" w:hAnsi="Times New Roman" w:cs="Times New Roman"/>
          <w:sz w:val="24"/>
          <w:szCs w:val="24"/>
        </w:rPr>
        <w:t>:</w:t>
      </w:r>
    </w:p>
    <w:p w14:paraId="5850FD52"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Start Price (January 2020): €59.77</w:t>
      </w:r>
    </w:p>
    <w:p w14:paraId="361320DC"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2020): €60.36</w:t>
      </w:r>
    </w:p>
    <w:p w14:paraId="16E06B3F"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60.36-59.77</m:t>
            </m:r>
          </m:num>
          <m:den>
            <m:r>
              <m:rPr>
                <m:sty m:val="p"/>
              </m:rPr>
              <w:rPr>
                <w:rFonts w:ascii="Cambria Math" w:hAnsi="Cambria Math" w:cs="Times New Roman"/>
                <w:sz w:val="24"/>
                <w:szCs w:val="24"/>
              </w:rPr>
              <m:t>59.77</m:t>
            </m:r>
          </m:den>
        </m:f>
        <m:r>
          <m:rPr>
            <m:sty m:val="p"/>
          </m:rPr>
          <w:rPr>
            <w:rFonts w:ascii="Cambria Math" w:hAnsi="Cambria Math" w:cs="Times New Roman"/>
            <w:sz w:val="24"/>
            <w:szCs w:val="24"/>
          </w:rPr>
          <m:t>×100=0.98%</m:t>
        </m:r>
      </m:oMath>
    </w:p>
    <w:p w14:paraId="3A7F02C4" w14:textId="77777777" w:rsidR="00B91A3E" w:rsidRPr="00D434DA" w:rsidRDefault="00B91A3E" w:rsidP="00B91A3E">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2021</w:t>
      </w:r>
      <w:r w:rsidRPr="00D434DA">
        <w:rPr>
          <w:rFonts w:ascii="Times New Roman" w:hAnsi="Times New Roman" w:cs="Times New Roman"/>
          <w:sz w:val="24"/>
          <w:szCs w:val="24"/>
        </w:rPr>
        <w:t>:</w:t>
      </w:r>
    </w:p>
    <w:p w14:paraId="3599D97E"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Start Price (January 2021): €58.34</w:t>
      </w:r>
    </w:p>
    <w:p w14:paraId="6A398AC4"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2021): €53.79</w:t>
      </w:r>
    </w:p>
    <w:p w14:paraId="3C8D72CC"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53.79-58.34</m:t>
            </m:r>
          </m:num>
          <m:den>
            <m:r>
              <m:rPr>
                <m:sty m:val="p"/>
              </m:rPr>
              <w:rPr>
                <w:rFonts w:ascii="Cambria Math" w:hAnsi="Cambria Math" w:cs="Times New Roman"/>
                <w:sz w:val="24"/>
                <w:szCs w:val="24"/>
              </w:rPr>
              <m:t>58.34</m:t>
            </m:r>
          </m:den>
        </m:f>
        <m:r>
          <m:rPr>
            <m:sty m:val="p"/>
          </m:rPr>
          <w:rPr>
            <w:rFonts w:ascii="Cambria Math" w:hAnsi="Cambria Math" w:cs="Times New Roman"/>
            <w:sz w:val="24"/>
            <w:szCs w:val="24"/>
          </w:rPr>
          <m:t>×100=-7.85%</m:t>
        </m:r>
      </m:oMath>
    </w:p>
    <w:p w14:paraId="1979BDAD" w14:textId="77777777" w:rsidR="00B91A3E" w:rsidRPr="00D434DA" w:rsidRDefault="00B91A3E" w:rsidP="00B91A3E">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2022</w:t>
      </w:r>
      <w:r w:rsidRPr="00D434DA">
        <w:rPr>
          <w:rFonts w:ascii="Times New Roman" w:hAnsi="Times New Roman" w:cs="Times New Roman"/>
          <w:sz w:val="24"/>
          <w:szCs w:val="24"/>
        </w:rPr>
        <w:t>:</w:t>
      </w:r>
    </w:p>
    <w:p w14:paraId="6E6E46D9"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Start Price (January 2022): €51.39</w:t>
      </w:r>
    </w:p>
    <w:p w14:paraId="17A0EB18"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2022): €50.35</w:t>
      </w:r>
    </w:p>
    <w:p w14:paraId="1367BFBA"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50.35-51.39</m:t>
            </m:r>
          </m:num>
          <m:den>
            <m:r>
              <m:rPr>
                <m:sty m:val="p"/>
              </m:rPr>
              <w:rPr>
                <w:rFonts w:ascii="Cambria Math" w:hAnsi="Cambria Math" w:cs="Times New Roman"/>
                <w:sz w:val="24"/>
                <w:szCs w:val="24"/>
              </w:rPr>
              <m:t>51.39</m:t>
            </m:r>
          </m:den>
        </m:f>
        <m:r>
          <m:rPr>
            <m:sty m:val="p"/>
          </m:rPr>
          <w:rPr>
            <w:rFonts w:ascii="Cambria Math" w:hAnsi="Cambria Math" w:cs="Times New Roman"/>
            <w:sz w:val="24"/>
            <w:szCs w:val="24"/>
          </w:rPr>
          <m:t>×100=-2.02%</m:t>
        </m:r>
      </m:oMath>
    </w:p>
    <w:p w14:paraId="0E330B67" w14:textId="77777777" w:rsidR="00B91A3E" w:rsidRPr="00D434DA" w:rsidRDefault="00B91A3E" w:rsidP="00B91A3E">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2023</w:t>
      </w:r>
      <w:r w:rsidRPr="00D434DA">
        <w:rPr>
          <w:rFonts w:ascii="Times New Roman" w:hAnsi="Times New Roman" w:cs="Times New Roman"/>
          <w:sz w:val="24"/>
          <w:szCs w:val="24"/>
        </w:rPr>
        <w:t>:</w:t>
      </w:r>
    </w:p>
    <w:p w14:paraId="5749372C"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Start Price (January 2023): €51.10</w:t>
      </w:r>
    </w:p>
    <w:p w14:paraId="2ED67B23" w14:textId="77777777" w:rsidR="00B91A3E" w:rsidRPr="00D434DA" w:rsidRDefault="00B91A3E" w:rsidP="00B91A3E">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2023): €48.48</w:t>
      </w:r>
    </w:p>
    <w:p w14:paraId="7C5F9F34" w14:textId="7A63854C" w:rsidR="00B91A3E" w:rsidRPr="00B91A3E" w:rsidRDefault="00B91A3E" w:rsidP="00D434DA">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48.48-51.10</m:t>
            </m:r>
          </m:num>
          <m:den>
            <m:r>
              <m:rPr>
                <m:sty m:val="p"/>
              </m:rPr>
              <w:rPr>
                <w:rFonts w:ascii="Cambria Math" w:hAnsi="Cambria Math" w:cs="Times New Roman"/>
                <w:sz w:val="24"/>
                <w:szCs w:val="24"/>
              </w:rPr>
              <m:t>51.10</m:t>
            </m:r>
          </m:den>
        </m:f>
        <m:r>
          <m:rPr>
            <m:sty m:val="p"/>
          </m:rPr>
          <w:rPr>
            <w:rFonts w:ascii="Cambria Math" w:hAnsi="Cambria Math" w:cs="Times New Roman"/>
            <w:sz w:val="24"/>
            <w:szCs w:val="24"/>
          </w:rPr>
          <m:t>×100=-5.09%</m:t>
        </m:r>
      </m:oMath>
    </w:p>
    <w:p w14:paraId="734BF80D" w14:textId="77777777" w:rsidR="00370E80" w:rsidRPr="00D434DA" w:rsidRDefault="00370E80"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Analysis of Capital Structure and Share Returns</w:t>
      </w:r>
    </w:p>
    <w:p w14:paraId="6DE99329" w14:textId="011BA8CE" w:rsidR="00484F43" w:rsidRPr="00D434DA" w:rsidRDefault="00006F86"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1. </w:t>
      </w:r>
      <w:r w:rsidR="00370E80" w:rsidRPr="00D434DA">
        <w:rPr>
          <w:rFonts w:ascii="Times New Roman" w:hAnsi="Times New Roman" w:cs="Times New Roman"/>
          <w:b/>
          <w:bCs/>
          <w:sz w:val="24"/>
          <w:szCs w:val="24"/>
        </w:rPr>
        <w:t>Current Ratio and Quick Ratio</w:t>
      </w:r>
    </w:p>
    <w:p w14:paraId="447804A2" w14:textId="372BC74F" w:rsidR="00370E80" w:rsidRPr="00D434DA" w:rsidRDefault="00712B67"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lastRenderedPageBreak/>
        <w:t xml:space="preserve">The liquidity position of a firm is shown by various tests such as the current ratio and the quick ratio. Although the current ratio appeared to have some variations at which it operated, it was generally displayed </w:t>
      </w:r>
      <w:r w:rsidR="00DE473C" w:rsidRPr="00D434DA">
        <w:rPr>
          <w:rFonts w:ascii="Times New Roman" w:hAnsi="Times New Roman" w:cs="Times New Roman"/>
          <w:sz w:val="24"/>
          <w:szCs w:val="24"/>
        </w:rPr>
        <w:t xml:space="preserve">with a range of </w:t>
      </w:r>
      <w:r w:rsidRPr="00D434DA">
        <w:rPr>
          <w:rFonts w:ascii="Times New Roman" w:hAnsi="Times New Roman" w:cs="Times New Roman"/>
          <w:sz w:val="24"/>
          <w:szCs w:val="24"/>
        </w:rPr>
        <w:t>0.68 in 2020 to 0.78 in 2023, the quick ratio was essentially unchanged, suggesting a low capacity to meet current obligations without relying on the sale of inventory</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(Martins, 2021)</w:t>
      </w:r>
      <w:r w:rsidRPr="00D434DA">
        <w:rPr>
          <w:rFonts w:ascii="Times New Roman" w:hAnsi="Times New Roman" w:cs="Times New Roman"/>
          <w:sz w:val="24"/>
          <w:szCs w:val="24"/>
        </w:rPr>
        <w:t>.</w:t>
      </w:r>
    </w:p>
    <w:p w14:paraId="1D2FB128" w14:textId="11828D0F" w:rsidR="00484F43" w:rsidRPr="00D434DA" w:rsidRDefault="00006F86"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2. </w:t>
      </w:r>
      <w:r w:rsidR="00370E80" w:rsidRPr="00D434DA">
        <w:rPr>
          <w:rFonts w:ascii="Times New Roman" w:hAnsi="Times New Roman" w:cs="Times New Roman"/>
          <w:b/>
          <w:bCs/>
          <w:sz w:val="24"/>
          <w:szCs w:val="24"/>
        </w:rPr>
        <w:t>Debt-to-Equity Ratio</w:t>
      </w:r>
    </w:p>
    <w:p w14:paraId="4B5682B5" w14:textId="6EE95D78" w:rsidR="00370E80" w:rsidRPr="00D434DA" w:rsidRDefault="00712B67"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The debt to equity ratio has also raised from 1.39 in 2019 to 1.54 in 2023, indicates that over the period, Unilever has gradually demonstrated a higher dependence on debt than equity. Thus, this increasing use of leverage reflects higher risk and potentially higher return for the businesses, as well as higher sensitivity to the market changes</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(WSJ, 2024)</w:t>
      </w:r>
      <w:r w:rsidRPr="00D434DA">
        <w:rPr>
          <w:rFonts w:ascii="Times New Roman" w:hAnsi="Times New Roman" w:cs="Times New Roman"/>
          <w:sz w:val="24"/>
          <w:szCs w:val="24"/>
        </w:rPr>
        <w:t>.</w:t>
      </w:r>
    </w:p>
    <w:p w14:paraId="033AD42F" w14:textId="586A3644" w:rsidR="00484F43" w:rsidRPr="00D434DA" w:rsidRDefault="00006F86"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3. </w:t>
      </w:r>
      <w:r w:rsidR="00370E80" w:rsidRPr="00D434DA">
        <w:rPr>
          <w:rFonts w:ascii="Times New Roman" w:hAnsi="Times New Roman" w:cs="Times New Roman"/>
          <w:b/>
          <w:bCs/>
          <w:sz w:val="24"/>
          <w:szCs w:val="24"/>
        </w:rPr>
        <w:t>Interest Coverage Ratio</w:t>
      </w:r>
    </w:p>
    <w:p w14:paraId="50E13B03" w14:textId="67AAEF74" w:rsidR="00370E80" w:rsidRPr="00D434DA" w:rsidRDefault="007B545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The interest coverage ratio, which fell from</w:t>
      </w:r>
      <w:r w:rsidR="00484F43" w:rsidRPr="00D434DA">
        <w:rPr>
          <w:rFonts w:ascii="Times New Roman" w:hAnsi="Times New Roman" w:cs="Times New Roman"/>
          <w:sz w:val="24"/>
          <w:szCs w:val="24"/>
        </w:rPr>
        <w:t xml:space="preserve"> 12.58 in the year 2019 to 11.</w:t>
      </w:r>
      <w:r w:rsidRPr="00D434DA">
        <w:rPr>
          <w:rFonts w:ascii="Times New Roman" w:hAnsi="Times New Roman" w:cs="Times New Roman"/>
          <w:sz w:val="24"/>
          <w:szCs w:val="24"/>
        </w:rPr>
        <w:t>18 in 2023, stated that its can cover its interest expenses from the EBIT, and can be viewed as forward-looking. This ratio has declined meaning a lower margin of safety when it comes to covering the interest expenses but it is nevertheless healthy</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(Martins, 2021)</w:t>
      </w:r>
      <w:r w:rsidRPr="00D434DA">
        <w:rPr>
          <w:rFonts w:ascii="Times New Roman" w:hAnsi="Times New Roman" w:cs="Times New Roman"/>
          <w:sz w:val="24"/>
          <w:szCs w:val="24"/>
        </w:rPr>
        <w:t>.</w:t>
      </w:r>
    </w:p>
    <w:p w14:paraId="0B7F0542" w14:textId="7DB0A2EB" w:rsidR="00484F43" w:rsidRPr="00D434DA" w:rsidRDefault="00006F86"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4. </w:t>
      </w:r>
      <w:r w:rsidR="00370E80" w:rsidRPr="00D434DA">
        <w:rPr>
          <w:rFonts w:ascii="Times New Roman" w:hAnsi="Times New Roman" w:cs="Times New Roman"/>
          <w:b/>
          <w:bCs/>
          <w:sz w:val="24"/>
          <w:szCs w:val="24"/>
        </w:rPr>
        <w:t>Share Returns and Capital Structure</w:t>
      </w:r>
    </w:p>
    <w:p w14:paraId="6BA1B316" w14:textId="4782B545" w:rsidR="00370E80"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Analysing</w:t>
      </w:r>
      <w:r w:rsidR="00E32D3E" w:rsidRPr="00D434DA">
        <w:rPr>
          <w:rFonts w:ascii="Times New Roman" w:hAnsi="Times New Roman" w:cs="Times New Roman"/>
          <w:sz w:val="24"/>
          <w:szCs w:val="24"/>
        </w:rPr>
        <w:t xml:space="preserve"> the data of the past five years it has been observed that the returns of Unilever’s shares are quite volatile and have had negative returns in 2021 and 2023. Here, it is possible to note that no direct link between higher leverage level and better share returns can be generalized regardless of the leverage differences. This implies that while return volatility might in part be explained by leverage it might actually be more affected by overall market conditions or company specific issues</w:t>
      </w:r>
      <w:r w:rsidRPr="00D434DA">
        <w:rPr>
          <w:rFonts w:ascii="Times New Roman" w:hAnsi="Times New Roman" w:cs="Times New Roman"/>
          <w:sz w:val="24"/>
          <w:szCs w:val="24"/>
        </w:rPr>
        <w:t xml:space="preserve"> </w:t>
      </w:r>
      <w:r w:rsidRPr="00D434DA">
        <w:rPr>
          <w:rFonts w:ascii="Times New Roman" w:eastAsia="Times New Roman" w:hAnsi="Times New Roman" w:cs="Times New Roman"/>
          <w:sz w:val="24"/>
          <w:szCs w:val="24"/>
          <w:lang w:eastAsia="en-IN"/>
        </w:rPr>
        <w:t>(WSJ, 2024)</w:t>
      </w:r>
      <w:r w:rsidR="00E32D3E" w:rsidRPr="00D434DA">
        <w:rPr>
          <w:rFonts w:ascii="Times New Roman" w:hAnsi="Times New Roman" w:cs="Times New Roman"/>
          <w:sz w:val="24"/>
          <w:szCs w:val="24"/>
        </w:rPr>
        <w:t>.</w:t>
      </w:r>
    </w:p>
    <w:p w14:paraId="353D1C76" w14:textId="05712F88" w:rsidR="00FC5ADD" w:rsidRPr="00FC5ADD" w:rsidRDefault="00FC5ADD" w:rsidP="00FC5ADD">
      <w:pPr>
        <w:spacing w:line="360" w:lineRule="auto"/>
        <w:jc w:val="both"/>
        <w:rPr>
          <w:rFonts w:ascii="Times New Roman" w:eastAsia="Times New Roman" w:hAnsi="Times New Roman" w:cs="Times New Roman"/>
          <w:b/>
          <w:sz w:val="24"/>
          <w:szCs w:val="24"/>
          <w:lang w:eastAsia="en-IN"/>
        </w:rPr>
      </w:pPr>
      <w:r w:rsidRPr="00FC5ADD">
        <w:rPr>
          <w:rFonts w:ascii="Times New Roman" w:eastAsia="Times New Roman" w:hAnsi="Times New Roman" w:cs="Times New Roman"/>
          <w:b/>
          <w:sz w:val="24"/>
          <w:szCs w:val="24"/>
          <w:lang w:eastAsia="en-IN"/>
        </w:rPr>
        <w:t>5. Association between</w:t>
      </w:r>
      <w:r w:rsidR="001D2514">
        <w:rPr>
          <w:rFonts w:ascii="Times New Roman" w:eastAsia="Times New Roman" w:hAnsi="Times New Roman" w:cs="Times New Roman"/>
          <w:b/>
          <w:sz w:val="24"/>
          <w:szCs w:val="24"/>
          <w:lang w:eastAsia="en-IN"/>
        </w:rPr>
        <w:t xml:space="preserve"> Leverage and Return</w:t>
      </w:r>
    </w:p>
    <w:p w14:paraId="129A7B1D" w14:textId="7B09A16E" w:rsidR="00FC5ADD" w:rsidRPr="00D434DA" w:rsidRDefault="00FC5ADD" w:rsidP="00FC5ADD">
      <w:pPr>
        <w:spacing w:line="360" w:lineRule="auto"/>
        <w:jc w:val="both"/>
        <w:rPr>
          <w:rFonts w:ascii="Times New Roman" w:eastAsia="Times New Roman" w:hAnsi="Times New Roman" w:cs="Times New Roman"/>
          <w:sz w:val="24"/>
          <w:szCs w:val="24"/>
          <w:lang w:eastAsia="en-IN"/>
        </w:rPr>
      </w:pPr>
      <w:r w:rsidRPr="00FC5ADD">
        <w:rPr>
          <w:rFonts w:ascii="Times New Roman" w:eastAsia="Times New Roman" w:hAnsi="Times New Roman" w:cs="Times New Roman"/>
          <w:sz w:val="24"/>
          <w:szCs w:val="24"/>
          <w:lang w:eastAsia="en-IN"/>
        </w:rPr>
        <w:t xml:space="preserve">With reference to Unilever there is seem to be a positive, but moderate, relationship between leverage and </w:t>
      </w:r>
      <w:r w:rsidR="00AC6BAD" w:rsidRPr="00FC5ADD">
        <w:rPr>
          <w:rFonts w:ascii="Times New Roman" w:eastAsia="Times New Roman" w:hAnsi="Times New Roman" w:cs="Times New Roman"/>
          <w:sz w:val="24"/>
          <w:szCs w:val="24"/>
          <w:lang w:eastAsia="en-IN"/>
        </w:rPr>
        <w:t>returns.</w:t>
      </w:r>
      <w:r w:rsidRPr="00FC5ADD">
        <w:rPr>
          <w:rFonts w:ascii="Times New Roman" w:eastAsia="Times New Roman" w:hAnsi="Times New Roman" w:cs="Times New Roman"/>
          <w:sz w:val="24"/>
          <w:szCs w:val="24"/>
          <w:lang w:eastAsia="en-IN"/>
        </w:rPr>
        <w:t xml:space="preserve"> The firm has also used debt to increase shareholder value; however, the usage of debt has been in moderation to minimize the likely risks of high leverage. It has perhaps played a part in enhancing the company’s capacity to generate sustainable and steady shareholder value. Hence while, there might be positive relation between leverage and returns, an optimum level of Leverage is always desired by Unilever with effective management of capital structure looking at the risk return perspective</w:t>
      </w:r>
      <w:r w:rsidR="001D2514">
        <w:rPr>
          <w:rFonts w:ascii="Times New Roman" w:eastAsia="Times New Roman" w:hAnsi="Times New Roman" w:cs="Times New Roman"/>
          <w:sz w:val="24"/>
          <w:szCs w:val="24"/>
          <w:lang w:eastAsia="en-IN"/>
        </w:rPr>
        <w:t xml:space="preserve"> </w:t>
      </w:r>
      <w:r w:rsidR="001D2514" w:rsidRPr="00D434DA">
        <w:rPr>
          <w:rFonts w:ascii="Times New Roman" w:eastAsia="Times New Roman" w:hAnsi="Times New Roman" w:cs="Times New Roman"/>
          <w:sz w:val="24"/>
          <w:szCs w:val="24"/>
          <w:lang w:eastAsia="en-IN"/>
        </w:rPr>
        <w:t>(Martins, 2021)</w:t>
      </w:r>
      <w:r w:rsidRPr="00FC5ADD">
        <w:rPr>
          <w:rFonts w:ascii="Times New Roman" w:eastAsia="Times New Roman" w:hAnsi="Times New Roman" w:cs="Times New Roman"/>
          <w:sz w:val="24"/>
          <w:szCs w:val="24"/>
          <w:lang w:eastAsia="en-IN"/>
        </w:rPr>
        <w:t>.</w:t>
      </w:r>
    </w:p>
    <w:p w14:paraId="35603A65" w14:textId="4ACB9056" w:rsidR="00370E80" w:rsidRPr="00D434DA" w:rsidRDefault="00006F86" w:rsidP="00D434DA">
      <w:pPr>
        <w:pStyle w:val="Heading1"/>
        <w:spacing w:line="360" w:lineRule="auto"/>
        <w:jc w:val="both"/>
        <w:rPr>
          <w:rFonts w:ascii="Times New Roman" w:hAnsi="Times New Roman" w:cs="Times New Roman"/>
          <w:color w:val="auto"/>
          <w:sz w:val="24"/>
          <w:szCs w:val="24"/>
        </w:rPr>
      </w:pPr>
      <w:bookmarkStart w:id="4" w:name="_Toc174694198"/>
      <w:r w:rsidRPr="00D434DA">
        <w:rPr>
          <w:rFonts w:ascii="Times New Roman" w:hAnsi="Times New Roman" w:cs="Times New Roman"/>
          <w:color w:val="auto"/>
          <w:sz w:val="24"/>
          <w:szCs w:val="24"/>
        </w:rPr>
        <w:lastRenderedPageBreak/>
        <w:t>Part C: Investment activities and dividend pay-out</w:t>
      </w:r>
      <w:bookmarkEnd w:id="4"/>
    </w:p>
    <w:p w14:paraId="47AD01A5" w14:textId="3B6D2FD7" w:rsidR="006B0FC7" w:rsidRPr="00D434DA" w:rsidRDefault="006B0FC7"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Major Investment Activities</w:t>
      </w:r>
    </w:p>
    <w:p w14:paraId="5324DF52" w14:textId="00AB67C8" w:rsidR="006B0FC7" w:rsidRPr="00D434DA" w:rsidRDefault="00006F86"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 xml:space="preserve">1. </w:t>
      </w:r>
      <w:r w:rsidR="006B0FC7" w:rsidRPr="00D434DA">
        <w:rPr>
          <w:rFonts w:ascii="Times New Roman" w:hAnsi="Times New Roman" w:cs="Times New Roman"/>
          <w:b/>
          <w:bCs/>
          <w:sz w:val="24"/>
          <w:szCs w:val="24"/>
        </w:rPr>
        <w:t xml:space="preserve"> Product Innovation and R&amp;D</w:t>
      </w:r>
    </w:p>
    <w:p w14:paraId="48983876" w14:textId="3BF403C4" w:rsidR="006B0FC7" w:rsidRPr="00D434DA" w:rsidRDefault="00543518"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The focus on research and development (R&amp;D) spending is core to Unilever’s business and competitive competency. Responding to these aspects, the company spends much effort and money to invest in innovation and the improvement of its products. Recent investments towards the research and development deal with hea</w:t>
      </w:r>
      <w:r w:rsidR="00820F32" w:rsidRPr="00D434DA">
        <w:rPr>
          <w:rFonts w:ascii="Times New Roman" w:hAnsi="Times New Roman" w:cs="Times New Roman"/>
          <w:bCs/>
          <w:sz w:val="24"/>
          <w:szCs w:val="24"/>
        </w:rPr>
        <w:t>l</w:t>
      </w:r>
      <w:r w:rsidRPr="00D434DA">
        <w:rPr>
          <w:rFonts w:ascii="Times New Roman" w:hAnsi="Times New Roman" w:cs="Times New Roman"/>
          <w:bCs/>
          <w:sz w:val="24"/>
          <w:szCs w:val="24"/>
        </w:rPr>
        <w:t>th and fitness, eco-friendly packaging, and technologies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(Martins, 2021)</w:t>
      </w:r>
      <w:r w:rsidRPr="00D434DA">
        <w:rPr>
          <w:rFonts w:ascii="Times New Roman" w:hAnsi="Times New Roman" w:cs="Times New Roman"/>
          <w:bCs/>
          <w:sz w:val="24"/>
          <w:szCs w:val="24"/>
        </w:rPr>
        <w:t>.</w:t>
      </w:r>
    </w:p>
    <w:p w14:paraId="12BAE162" w14:textId="61504F00" w:rsidR="006B0FC7" w:rsidRPr="00D434DA" w:rsidRDefault="00C83C47"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In 2021, Unilever invested €1 billion in R&amp;D activities focusing on superior product formulations and technologies. This strategy was intended to meet new requirements of consumers and trends in the markets. Some of the Research &amp; Development areas are related to enhancing the effectiveness of cleaning and washing compounds, as well as minimising environmental effects of the firm’s packaging materials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(WSJ, 2024)</w:t>
      </w:r>
      <w:r w:rsidRPr="00D434DA">
        <w:rPr>
          <w:rFonts w:ascii="Times New Roman" w:hAnsi="Times New Roman" w:cs="Times New Roman"/>
          <w:bCs/>
          <w:sz w:val="24"/>
          <w:szCs w:val="24"/>
        </w:rPr>
        <w:t>.</w:t>
      </w:r>
    </w:p>
    <w:p w14:paraId="26653044" w14:textId="2E4CCB14" w:rsidR="006B0FC7" w:rsidRPr="00D434DA" w:rsidRDefault="00406ED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Besides, Unilever operates innovation hubs and cooperates with academic institutions that contribute to the company’s innovation strategy. It encourages coming up with good products by meeting the prevailing trends and strictly observes sustainability principles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(finance.yahoo.com, 2024)</w:t>
      </w:r>
      <w:r w:rsidRPr="00D434DA">
        <w:rPr>
          <w:rFonts w:ascii="Times New Roman" w:hAnsi="Times New Roman" w:cs="Times New Roman"/>
          <w:bCs/>
          <w:sz w:val="24"/>
          <w:szCs w:val="24"/>
        </w:rPr>
        <w:t>.</w:t>
      </w:r>
    </w:p>
    <w:p w14:paraId="12F95502" w14:textId="5F859461" w:rsidR="006B0FC7" w:rsidRPr="00D434DA" w:rsidRDefault="00006F86"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2.</w:t>
      </w:r>
      <w:r w:rsidR="006B0FC7" w:rsidRPr="00D434DA">
        <w:rPr>
          <w:rFonts w:ascii="Times New Roman" w:hAnsi="Times New Roman" w:cs="Times New Roman"/>
          <w:b/>
          <w:bCs/>
          <w:sz w:val="24"/>
          <w:szCs w:val="24"/>
        </w:rPr>
        <w:t xml:space="preserve"> Market Expansion and Geographic Diversification</w:t>
      </w:r>
    </w:p>
    <w:p w14:paraId="67F0B0D6" w14:textId="7E5E1197" w:rsidR="00406ED9" w:rsidRPr="00D434DA" w:rsidRDefault="00406ED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Market growth and geographical diversification kind</w:t>
      </w:r>
      <w:r w:rsidR="00705BCC" w:rsidRPr="00D434DA">
        <w:rPr>
          <w:rFonts w:ascii="Times New Roman" w:hAnsi="Times New Roman" w:cs="Times New Roman"/>
          <w:bCs/>
          <w:sz w:val="24"/>
          <w:szCs w:val="24"/>
        </w:rPr>
        <w:t xml:space="preserve"> of</w:t>
      </w:r>
      <w:r w:rsidR="00A8711F" w:rsidRPr="00D434DA">
        <w:rPr>
          <w:rFonts w:ascii="Times New Roman" w:hAnsi="Times New Roman" w:cs="Times New Roman"/>
          <w:bCs/>
          <w:sz w:val="24"/>
          <w:szCs w:val="24"/>
        </w:rPr>
        <w:t xml:space="preserve"> a</w:t>
      </w:r>
      <w:r w:rsidRPr="00D434DA">
        <w:rPr>
          <w:rFonts w:ascii="Times New Roman" w:hAnsi="Times New Roman" w:cs="Times New Roman"/>
          <w:bCs/>
          <w:sz w:val="24"/>
          <w:szCs w:val="24"/>
        </w:rPr>
        <w:t xml:space="preserve"> strategic plan is very vital for Unilever in order to penetrate new consumer markets and clusters and to de-risk concentration on certain markets. It has also established itself through major acquisitions to increase its market coverage mainly in Asia and Africa</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(Jose, 2021)</w:t>
      </w:r>
      <w:r w:rsidRPr="00D434DA">
        <w:rPr>
          <w:rFonts w:ascii="Times New Roman" w:hAnsi="Times New Roman" w:cs="Times New Roman"/>
          <w:bCs/>
          <w:sz w:val="24"/>
          <w:szCs w:val="24"/>
        </w:rPr>
        <w:t>.</w:t>
      </w:r>
    </w:p>
    <w:p w14:paraId="401627CA" w14:textId="1F3AD2C6" w:rsidR="006B0FC7" w:rsidRPr="00D434DA" w:rsidRDefault="00406ED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In 2022, the company devoted considerable resources towards creating new production capacity and improving distribution channels in these countries. This expansion plan is based on the existing trends arising from population density and bulging middle income earners urging the need to consume more consumer products. By building up its coverage in these rapidly growing markets, Unilever is well placed to gain more growth and at the same time manage the risks involved with having a large concentration on a single market</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(finance.yahoo.com, 2024)</w:t>
      </w:r>
      <w:r w:rsidRPr="00D434DA">
        <w:rPr>
          <w:rFonts w:ascii="Times New Roman" w:hAnsi="Times New Roman" w:cs="Times New Roman"/>
          <w:bCs/>
          <w:sz w:val="24"/>
          <w:szCs w:val="24"/>
        </w:rPr>
        <w:t>.</w:t>
      </w:r>
    </w:p>
    <w:p w14:paraId="2D0142BC" w14:textId="1171FE11" w:rsidR="006B0FC7" w:rsidRPr="00D434DA" w:rsidRDefault="00006F86"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3.</w:t>
      </w:r>
      <w:r w:rsidR="006B0FC7" w:rsidRPr="00D434DA">
        <w:rPr>
          <w:rFonts w:ascii="Times New Roman" w:hAnsi="Times New Roman" w:cs="Times New Roman"/>
          <w:b/>
          <w:bCs/>
          <w:sz w:val="24"/>
          <w:szCs w:val="24"/>
        </w:rPr>
        <w:t xml:space="preserve"> Acquisitions and Strategic Partnerships</w:t>
      </w:r>
    </w:p>
    <w:p w14:paraId="563389ED" w14:textId="4A37609A" w:rsidR="0038684D" w:rsidRPr="00D434DA" w:rsidRDefault="0038684D"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lastRenderedPageBreak/>
        <w:t>They are a critical tool used by Unilever in the quest to improve the company’s competitive position and in the diversification of its product offerings. The business looks for suitable opportunities to proceed and expand its various ranges by means of acquisitions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(Jose, 2021)</w:t>
      </w:r>
      <w:r w:rsidRPr="00D434DA">
        <w:rPr>
          <w:rFonts w:ascii="Times New Roman" w:hAnsi="Times New Roman" w:cs="Times New Roman"/>
          <w:bCs/>
          <w:sz w:val="24"/>
          <w:szCs w:val="24"/>
        </w:rPr>
        <w:t>.</w:t>
      </w:r>
    </w:p>
    <w:p w14:paraId="5188157C" w14:textId="314FF9C2" w:rsidR="0038684D" w:rsidRPr="00D434DA" w:rsidRDefault="0038684D"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Some of the other acquisitions made includes; the acquisition of the “Honest Company” in the year 2020 at $413 million. This acquisition gave Unilever the opportunity to build the strength being behind in health and wellness segment. Also in 2021, the company established and thus acquire Gopuff to considered improve efficiency in e-commerce and make it possible to reach a wider audience</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(finance.yahoo.com, 2024)</w:t>
      </w:r>
      <w:r w:rsidRPr="00D434DA">
        <w:rPr>
          <w:rFonts w:ascii="Times New Roman" w:hAnsi="Times New Roman" w:cs="Times New Roman"/>
          <w:bCs/>
          <w:sz w:val="24"/>
          <w:szCs w:val="24"/>
        </w:rPr>
        <w:t>.</w:t>
      </w:r>
    </w:p>
    <w:p w14:paraId="06CCDEE0" w14:textId="208EB76E" w:rsidR="006B0FC7" w:rsidRPr="00D434DA" w:rsidRDefault="0038684D"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These acquisitions also reveal the concept that Unilever has employed in its growth and competitive advantage whereby it focuses on complementary assets and skills. Thus, acquisition of other companies makes Unilever’s position in the market stronger and the range of its products expands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(Jose, 2021)</w:t>
      </w:r>
      <w:r w:rsidRPr="00D434DA">
        <w:rPr>
          <w:rFonts w:ascii="Times New Roman" w:hAnsi="Times New Roman" w:cs="Times New Roman"/>
          <w:bCs/>
          <w:sz w:val="24"/>
          <w:szCs w:val="24"/>
        </w:rPr>
        <w:t>.</w:t>
      </w:r>
    </w:p>
    <w:p w14:paraId="7C8EE394" w14:textId="110FFDD5" w:rsidR="006B0FC7" w:rsidRPr="00D434DA" w:rsidRDefault="00006F86"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4.</w:t>
      </w:r>
      <w:r w:rsidR="006B0FC7" w:rsidRPr="00D434DA">
        <w:rPr>
          <w:rFonts w:ascii="Times New Roman" w:hAnsi="Times New Roman" w:cs="Times New Roman"/>
          <w:b/>
          <w:bCs/>
          <w:sz w:val="24"/>
          <w:szCs w:val="24"/>
        </w:rPr>
        <w:t xml:space="preserve"> Sustainability Initiatives</w:t>
      </w:r>
    </w:p>
    <w:p w14:paraId="02B8192C" w14:textId="5008D0F8" w:rsidR="005A29B9" w:rsidRPr="00D434DA" w:rsidRDefault="005A29B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As a</w:t>
      </w:r>
      <w:r w:rsidR="00502637" w:rsidRPr="00D434DA">
        <w:rPr>
          <w:rFonts w:ascii="Times New Roman" w:hAnsi="Times New Roman" w:cs="Times New Roman"/>
          <w:bCs/>
          <w:sz w:val="24"/>
          <w:szCs w:val="24"/>
        </w:rPr>
        <w:t>n</w:t>
      </w:r>
      <w:r w:rsidRPr="00D434DA">
        <w:rPr>
          <w:rFonts w:ascii="Times New Roman" w:hAnsi="Times New Roman" w:cs="Times New Roman"/>
          <w:bCs/>
          <w:sz w:val="24"/>
          <w:szCs w:val="24"/>
        </w:rPr>
        <w:t xml:space="preserve"> unprofitable and perpetuating investment proposal, sustainability forms the basis of Unilever’s investments. The company’s environmental responsibility is to lower its impact on the environment and encourage eco-friendly systems within its operations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(Fabio and Scarcelli, 2024)</w:t>
      </w:r>
      <w:r w:rsidRPr="00D434DA">
        <w:rPr>
          <w:rFonts w:ascii="Times New Roman" w:hAnsi="Times New Roman" w:cs="Times New Roman"/>
          <w:bCs/>
          <w:sz w:val="24"/>
          <w:szCs w:val="24"/>
        </w:rPr>
        <w:t>.</w:t>
      </w:r>
    </w:p>
    <w:p w14:paraId="5765C4B8" w14:textId="4585BEAE" w:rsidR="006B0FC7" w:rsidRPr="00D434DA" w:rsidRDefault="005A29B9"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bCs/>
          <w:sz w:val="24"/>
          <w:szCs w:val="24"/>
        </w:rPr>
        <w:t>In addition, it was in 2021 that the Unilever made significant investments in renewable energy and sustainable agriculture. The firm’s environmental goals include the elimination of greenhouse gas emissions by 20</w:t>
      </w:r>
      <w:r w:rsidR="009F530F" w:rsidRPr="00D434DA">
        <w:rPr>
          <w:rFonts w:ascii="Times New Roman" w:hAnsi="Times New Roman" w:cs="Times New Roman"/>
          <w:bCs/>
          <w:sz w:val="24"/>
          <w:szCs w:val="24"/>
        </w:rPr>
        <w:t>23</w:t>
      </w:r>
      <w:r w:rsidRPr="00D434DA">
        <w:rPr>
          <w:rFonts w:ascii="Times New Roman" w:hAnsi="Times New Roman" w:cs="Times New Roman"/>
          <w:bCs/>
          <w:sz w:val="24"/>
          <w:szCs w:val="24"/>
        </w:rPr>
        <w:t xml:space="preserve"> and the expansion of sustainable procurement of material inputs</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(Utomo et al., 2021)</w:t>
      </w:r>
      <w:r w:rsidRPr="00D434DA">
        <w:rPr>
          <w:rFonts w:ascii="Times New Roman" w:hAnsi="Times New Roman" w:cs="Times New Roman"/>
          <w:bCs/>
          <w:sz w:val="24"/>
          <w:szCs w:val="24"/>
        </w:rPr>
        <w:t xml:space="preserve">. </w:t>
      </w:r>
    </w:p>
    <w:p w14:paraId="76389E0F" w14:textId="33F881A8" w:rsidR="00E06FCD" w:rsidRDefault="00C009AA" w:rsidP="00D434DA">
      <w:pPr>
        <w:spacing w:line="360" w:lineRule="auto"/>
        <w:jc w:val="both"/>
        <w:rPr>
          <w:rFonts w:ascii="Times New Roman" w:hAnsi="Times New Roman" w:cs="Times New Roman"/>
          <w:bCs/>
          <w:sz w:val="24"/>
          <w:szCs w:val="24"/>
        </w:rPr>
      </w:pPr>
      <w:r w:rsidRPr="00D434DA">
        <w:rPr>
          <w:rFonts w:ascii="Times New Roman" w:hAnsi="Times New Roman" w:cs="Times New Roman"/>
          <w:bCs/>
          <w:sz w:val="24"/>
          <w:szCs w:val="24"/>
        </w:rPr>
        <w:t>Other sustainability initiatives by Unilever involve minimizing the use of plastics and improving efficiency of resource use. The extended notes also demonstrate the company’s sustainability goals and project, as well as the performance in the direction of circular economy</w:t>
      </w:r>
      <w:r w:rsidR="00484F43" w:rsidRPr="00D434DA">
        <w:rPr>
          <w:rFonts w:ascii="Times New Roman" w:hAnsi="Times New Roman" w:cs="Times New Roman"/>
          <w:bCs/>
          <w:sz w:val="24"/>
          <w:szCs w:val="24"/>
        </w:rPr>
        <w:t xml:space="preserve"> </w:t>
      </w:r>
      <w:r w:rsidR="00484F43" w:rsidRPr="00D434DA">
        <w:rPr>
          <w:rFonts w:ascii="Times New Roman" w:eastAsia="Times New Roman" w:hAnsi="Times New Roman" w:cs="Times New Roman"/>
          <w:sz w:val="24"/>
          <w:szCs w:val="24"/>
          <w:lang w:eastAsia="en-IN"/>
        </w:rPr>
        <w:t>(Fabio and Scarcelli, 2024)</w:t>
      </w:r>
      <w:r w:rsidRPr="00D434DA">
        <w:rPr>
          <w:rFonts w:ascii="Times New Roman" w:hAnsi="Times New Roman" w:cs="Times New Roman"/>
          <w:bCs/>
          <w:sz w:val="24"/>
          <w:szCs w:val="24"/>
        </w:rPr>
        <w:t>.</w:t>
      </w:r>
    </w:p>
    <w:p w14:paraId="75148FC5" w14:textId="2D899844" w:rsidR="00E06FCD" w:rsidRPr="00D434DA" w:rsidRDefault="00E06FCD"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Dividend Pay-Outs</w:t>
      </w:r>
    </w:p>
    <w:p w14:paraId="30DC6F2E" w14:textId="19BE7CE2" w:rsidR="00E06FCD" w:rsidRPr="00D434DA" w:rsidRDefault="00006F86"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 xml:space="preserve">1. </w:t>
      </w:r>
      <w:r w:rsidR="00E06FCD" w:rsidRPr="00D434DA">
        <w:rPr>
          <w:rFonts w:ascii="Times New Roman" w:hAnsi="Times New Roman" w:cs="Times New Roman"/>
          <w:b/>
          <w:bCs/>
          <w:sz w:val="24"/>
          <w:szCs w:val="24"/>
        </w:rPr>
        <w:t xml:space="preserve"> Historical Dividend Pay-Outs</w:t>
      </w:r>
    </w:p>
    <w:p w14:paraId="13A1FFDF" w14:textId="19CD2AA8" w:rsidR="00E06FCD" w:rsidRPr="00D434DA" w:rsidRDefault="004B6F7E"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 xml:space="preserve">Another factor is that Unilever has regularly distributed dividends over the last five years, proving its solvency and its focus on shareholders’ profit. In dividend analysis it becomes clear </w:t>
      </w:r>
      <w:r w:rsidRPr="00D434DA">
        <w:rPr>
          <w:rFonts w:ascii="Times New Roman" w:hAnsi="Times New Roman" w:cs="Times New Roman"/>
          <w:sz w:val="24"/>
          <w:szCs w:val="24"/>
        </w:rPr>
        <w:lastRenderedPageBreak/>
        <w:t>that the company has been able to demonstrate a consistent increase and or remain steady in the dividend per share as well as the yield</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(Utomo et al., 2021)</w:t>
      </w:r>
      <w:r w:rsidRPr="00D434DA">
        <w:rPr>
          <w:rFonts w:ascii="Times New Roman" w:hAnsi="Times New Roman" w:cs="Times New Roman"/>
          <w:sz w:val="24"/>
          <w:szCs w:val="24"/>
        </w:rPr>
        <w:t>:</w:t>
      </w:r>
    </w:p>
    <w:p w14:paraId="48E1BE6A" w14:textId="77777777" w:rsidR="00E06FCD" w:rsidRDefault="00E06FCD"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Table 1: Dividend Pay-Outs (2019-2023)</w:t>
      </w:r>
    </w:p>
    <w:p w14:paraId="526E229E" w14:textId="77777777" w:rsidR="003108ED" w:rsidRPr="00D434DA" w:rsidRDefault="003108ED" w:rsidP="00D434DA">
      <w:pPr>
        <w:spacing w:line="360" w:lineRule="auto"/>
        <w:jc w:val="both"/>
        <w:rPr>
          <w:rFonts w:ascii="Times New Roman" w:hAnsi="Times New Roman" w:cs="Times New Roman"/>
          <w:sz w:val="24"/>
          <w:szCs w:val="24"/>
        </w:rPr>
      </w:pPr>
    </w:p>
    <w:tbl>
      <w:tblPr>
        <w:tblStyle w:val="TableGrid"/>
        <w:tblW w:w="0" w:type="auto"/>
        <w:tblInd w:w="450" w:type="dxa"/>
        <w:tblLook w:val="04A0" w:firstRow="1" w:lastRow="0" w:firstColumn="1" w:lastColumn="0" w:noHBand="0" w:noVBand="1"/>
      </w:tblPr>
      <w:tblGrid>
        <w:gridCol w:w="1076"/>
        <w:gridCol w:w="2203"/>
        <w:gridCol w:w="2217"/>
      </w:tblGrid>
      <w:tr w:rsidR="00D434DA" w:rsidRPr="00D434DA" w14:paraId="0BDA12A0" w14:textId="77777777" w:rsidTr="00006F86">
        <w:tc>
          <w:tcPr>
            <w:tcW w:w="1076" w:type="dxa"/>
            <w:shd w:val="clear" w:color="auto" w:fill="FDE9D9" w:themeFill="accent6" w:themeFillTint="33"/>
            <w:hideMark/>
          </w:tcPr>
          <w:p w14:paraId="1752CF63" w14:textId="77777777" w:rsidR="00E06FCD" w:rsidRPr="00D434DA" w:rsidRDefault="00E06FCD"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Year</w:t>
            </w:r>
          </w:p>
        </w:tc>
        <w:tc>
          <w:tcPr>
            <w:tcW w:w="2203" w:type="dxa"/>
            <w:shd w:val="clear" w:color="auto" w:fill="FDE9D9" w:themeFill="accent6" w:themeFillTint="33"/>
            <w:hideMark/>
          </w:tcPr>
          <w:p w14:paraId="5EEACB80" w14:textId="77777777" w:rsidR="00E06FCD" w:rsidRPr="00D434DA" w:rsidRDefault="00E06FCD"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Dividend per Share (€)</w:t>
            </w:r>
          </w:p>
        </w:tc>
        <w:tc>
          <w:tcPr>
            <w:tcW w:w="0" w:type="auto"/>
            <w:shd w:val="clear" w:color="auto" w:fill="FDE9D9" w:themeFill="accent6" w:themeFillTint="33"/>
            <w:hideMark/>
          </w:tcPr>
          <w:p w14:paraId="708DD2BA" w14:textId="77777777" w:rsidR="00E06FCD" w:rsidRPr="00D434DA" w:rsidRDefault="00E06FCD" w:rsidP="00D434DA">
            <w:pPr>
              <w:spacing w:after="200"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Dividend Yield (%)</w:t>
            </w:r>
          </w:p>
        </w:tc>
      </w:tr>
      <w:tr w:rsidR="00D434DA" w:rsidRPr="00D434DA" w14:paraId="4673BEBB" w14:textId="77777777" w:rsidTr="00006F86">
        <w:tc>
          <w:tcPr>
            <w:tcW w:w="1076" w:type="dxa"/>
            <w:shd w:val="clear" w:color="auto" w:fill="DAEEF3" w:themeFill="accent5" w:themeFillTint="33"/>
            <w:hideMark/>
          </w:tcPr>
          <w:p w14:paraId="48092AB7"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2019</w:t>
            </w:r>
          </w:p>
        </w:tc>
        <w:tc>
          <w:tcPr>
            <w:tcW w:w="2203" w:type="dxa"/>
            <w:shd w:val="clear" w:color="auto" w:fill="DAEEF3" w:themeFill="accent5" w:themeFillTint="33"/>
            <w:hideMark/>
          </w:tcPr>
          <w:p w14:paraId="22B876DD"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1.61</w:t>
            </w:r>
          </w:p>
        </w:tc>
        <w:tc>
          <w:tcPr>
            <w:tcW w:w="0" w:type="auto"/>
            <w:shd w:val="clear" w:color="auto" w:fill="DAEEF3" w:themeFill="accent5" w:themeFillTint="33"/>
            <w:hideMark/>
          </w:tcPr>
          <w:p w14:paraId="19B4C199"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2.48</w:t>
            </w:r>
          </w:p>
        </w:tc>
      </w:tr>
      <w:tr w:rsidR="00D434DA" w:rsidRPr="00D434DA" w14:paraId="23521444" w14:textId="77777777" w:rsidTr="00006F86">
        <w:tc>
          <w:tcPr>
            <w:tcW w:w="1076" w:type="dxa"/>
            <w:shd w:val="clear" w:color="auto" w:fill="DAEEF3" w:themeFill="accent5" w:themeFillTint="33"/>
            <w:hideMark/>
          </w:tcPr>
          <w:p w14:paraId="6168F5F5"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2020</w:t>
            </w:r>
          </w:p>
        </w:tc>
        <w:tc>
          <w:tcPr>
            <w:tcW w:w="2203" w:type="dxa"/>
            <w:shd w:val="clear" w:color="auto" w:fill="DAEEF3" w:themeFill="accent5" w:themeFillTint="33"/>
            <w:hideMark/>
          </w:tcPr>
          <w:p w14:paraId="12B092AC"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1.67</w:t>
            </w:r>
          </w:p>
        </w:tc>
        <w:tc>
          <w:tcPr>
            <w:tcW w:w="0" w:type="auto"/>
            <w:shd w:val="clear" w:color="auto" w:fill="DAEEF3" w:themeFill="accent5" w:themeFillTint="33"/>
            <w:hideMark/>
          </w:tcPr>
          <w:p w14:paraId="1AF77BB8"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2.57</w:t>
            </w:r>
          </w:p>
        </w:tc>
      </w:tr>
      <w:tr w:rsidR="00D434DA" w:rsidRPr="00D434DA" w14:paraId="24AD080A" w14:textId="77777777" w:rsidTr="00006F86">
        <w:tc>
          <w:tcPr>
            <w:tcW w:w="1076" w:type="dxa"/>
            <w:shd w:val="clear" w:color="auto" w:fill="DAEEF3" w:themeFill="accent5" w:themeFillTint="33"/>
            <w:hideMark/>
          </w:tcPr>
          <w:p w14:paraId="1EE0470D"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2021</w:t>
            </w:r>
          </w:p>
        </w:tc>
        <w:tc>
          <w:tcPr>
            <w:tcW w:w="2203" w:type="dxa"/>
            <w:shd w:val="clear" w:color="auto" w:fill="DAEEF3" w:themeFill="accent5" w:themeFillTint="33"/>
            <w:hideMark/>
          </w:tcPr>
          <w:p w14:paraId="1D12891A"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1.73</w:t>
            </w:r>
          </w:p>
        </w:tc>
        <w:tc>
          <w:tcPr>
            <w:tcW w:w="0" w:type="auto"/>
            <w:shd w:val="clear" w:color="auto" w:fill="DAEEF3" w:themeFill="accent5" w:themeFillTint="33"/>
            <w:hideMark/>
          </w:tcPr>
          <w:p w14:paraId="6B2279F1"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2.68</w:t>
            </w:r>
          </w:p>
        </w:tc>
      </w:tr>
      <w:tr w:rsidR="00D434DA" w:rsidRPr="00D434DA" w14:paraId="50F3F77F" w14:textId="77777777" w:rsidTr="00006F86">
        <w:tc>
          <w:tcPr>
            <w:tcW w:w="1076" w:type="dxa"/>
            <w:shd w:val="clear" w:color="auto" w:fill="DAEEF3" w:themeFill="accent5" w:themeFillTint="33"/>
            <w:hideMark/>
          </w:tcPr>
          <w:p w14:paraId="1D1A3A48"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2022</w:t>
            </w:r>
          </w:p>
        </w:tc>
        <w:tc>
          <w:tcPr>
            <w:tcW w:w="2203" w:type="dxa"/>
            <w:shd w:val="clear" w:color="auto" w:fill="DAEEF3" w:themeFill="accent5" w:themeFillTint="33"/>
            <w:hideMark/>
          </w:tcPr>
          <w:p w14:paraId="123A9D0C"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1.79</w:t>
            </w:r>
          </w:p>
        </w:tc>
        <w:tc>
          <w:tcPr>
            <w:tcW w:w="0" w:type="auto"/>
            <w:shd w:val="clear" w:color="auto" w:fill="DAEEF3" w:themeFill="accent5" w:themeFillTint="33"/>
            <w:hideMark/>
          </w:tcPr>
          <w:p w14:paraId="6DA7945F"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2.76</w:t>
            </w:r>
          </w:p>
        </w:tc>
      </w:tr>
      <w:tr w:rsidR="00D434DA" w:rsidRPr="00D434DA" w14:paraId="4EEB0AB7" w14:textId="77777777" w:rsidTr="00006F86">
        <w:tc>
          <w:tcPr>
            <w:tcW w:w="1076" w:type="dxa"/>
            <w:shd w:val="clear" w:color="auto" w:fill="DAEEF3" w:themeFill="accent5" w:themeFillTint="33"/>
            <w:hideMark/>
          </w:tcPr>
          <w:p w14:paraId="3A6AAE0F"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2023</w:t>
            </w:r>
          </w:p>
        </w:tc>
        <w:tc>
          <w:tcPr>
            <w:tcW w:w="2203" w:type="dxa"/>
            <w:shd w:val="clear" w:color="auto" w:fill="DAEEF3" w:themeFill="accent5" w:themeFillTint="33"/>
            <w:hideMark/>
          </w:tcPr>
          <w:p w14:paraId="29A45702"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1.85</w:t>
            </w:r>
          </w:p>
        </w:tc>
        <w:tc>
          <w:tcPr>
            <w:tcW w:w="0" w:type="auto"/>
            <w:shd w:val="clear" w:color="auto" w:fill="DAEEF3" w:themeFill="accent5" w:themeFillTint="33"/>
            <w:hideMark/>
          </w:tcPr>
          <w:p w14:paraId="20AAAE3C" w14:textId="77777777" w:rsidR="00E06FCD" w:rsidRPr="00D434DA" w:rsidRDefault="00E06FCD" w:rsidP="00D434DA">
            <w:pPr>
              <w:spacing w:after="200" w:line="360" w:lineRule="auto"/>
              <w:jc w:val="both"/>
              <w:rPr>
                <w:rFonts w:ascii="Times New Roman" w:hAnsi="Times New Roman" w:cs="Times New Roman"/>
                <w:sz w:val="24"/>
                <w:szCs w:val="24"/>
              </w:rPr>
            </w:pPr>
            <w:r w:rsidRPr="00D434DA">
              <w:rPr>
                <w:rFonts w:ascii="Times New Roman" w:hAnsi="Times New Roman" w:cs="Times New Roman"/>
                <w:sz w:val="24"/>
                <w:szCs w:val="24"/>
              </w:rPr>
              <w:t>2.84</w:t>
            </w:r>
          </w:p>
        </w:tc>
      </w:tr>
    </w:tbl>
    <w:p w14:paraId="2A06DCEF" w14:textId="3BA3FB3F" w:rsidR="006B0FC7" w:rsidRPr="00D434DA" w:rsidRDefault="00D63508"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 xml:space="preserve">In the case of Unilever, both the </w:t>
      </w:r>
      <w:r w:rsidR="00484F43" w:rsidRPr="00D434DA">
        <w:rPr>
          <w:rFonts w:ascii="Times New Roman" w:hAnsi="Times New Roman" w:cs="Times New Roman"/>
          <w:sz w:val="24"/>
          <w:szCs w:val="24"/>
        </w:rPr>
        <w:t>dividend per share as well as the dividend yield in 2019 to 2023 depicts</w:t>
      </w:r>
      <w:r w:rsidRPr="00D434DA">
        <w:rPr>
          <w:rFonts w:ascii="Times New Roman" w:hAnsi="Times New Roman" w:cs="Times New Roman"/>
          <w:sz w:val="24"/>
          <w:szCs w:val="24"/>
        </w:rPr>
        <w:t xml:space="preserve"> a clear upward trend showing that the Unilever is a financially healthy company and is also determined towards giving its shareholders value</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(Fabio and Scarcelli, 2024)</w:t>
      </w:r>
      <w:r w:rsidRPr="00D434DA">
        <w:rPr>
          <w:rFonts w:ascii="Times New Roman" w:hAnsi="Times New Roman" w:cs="Times New Roman"/>
          <w:sz w:val="24"/>
          <w:szCs w:val="24"/>
        </w:rPr>
        <w:t>.</w:t>
      </w:r>
    </w:p>
    <w:p w14:paraId="6456771E" w14:textId="77777777" w:rsidR="006B0FC7" w:rsidRPr="00D434DA" w:rsidRDefault="006B0FC7"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Dividend Per Share</w:t>
      </w:r>
    </w:p>
    <w:p w14:paraId="64249FE0" w14:textId="4F91A66D" w:rsidR="006B0FC7" w:rsidRPr="00D434DA" w:rsidRDefault="00FA40AA"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Starting with €1.61 per share in 2019, it is clear that the seven year compound annual growth rate of Unilever annual dividend per share has been steadily rising over the five years</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(Zhang and Tveterås, 2022)</w:t>
      </w:r>
      <w:r w:rsidRPr="00D434DA">
        <w:rPr>
          <w:rFonts w:ascii="Times New Roman" w:hAnsi="Times New Roman" w:cs="Times New Roman"/>
          <w:sz w:val="24"/>
          <w:szCs w:val="24"/>
        </w:rPr>
        <w:t xml:space="preserve">. </w:t>
      </w:r>
      <w:r w:rsidR="00D63508" w:rsidRPr="00D434DA">
        <w:rPr>
          <w:rFonts w:ascii="Times New Roman" w:hAnsi="Times New Roman" w:cs="Times New Roman"/>
          <w:sz w:val="24"/>
          <w:szCs w:val="24"/>
        </w:rPr>
        <w:t>At the end of the year 2023, the dividend per share was as high as €1.85. This continuous increase in the level of dividend payments is evidence of strong earnings capacity and Unilever’s management’s logic of giving higher returns to shareholders. Thus, the continuous increase in the difference between the dividend nominal and the fixed amount of €1.61 to €1.85, suggests a volitional improvement of the company’s share value and stability of stockholders’ reactions</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(Utomo et al., 2021)</w:t>
      </w:r>
      <w:r w:rsidR="00D63508" w:rsidRPr="00D434DA">
        <w:rPr>
          <w:rFonts w:ascii="Times New Roman" w:hAnsi="Times New Roman" w:cs="Times New Roman"/>
          <w:sz w:val="24"/>
          <w:szCs w:val="24"/>
        </w:rPr>
        <w:t>.</w:t>
      </w:r>
    </w:p>
    <w:p w14:paraId="6C163661" w14:textId="77777777" w:rsidR="006B0FC7" w:rsidRPr="00D434DA" w:rsidRDefault="006B0FC7"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Dividend Yield</w:t>
      </w:r>
    </w:p>
    <w:p w14:paraId="2B31178F" w14:textId="1234CC84" w:rsidR="006B0FC7" w:rsidRPr="00D434DA" w:rsidRDefault="00E07C4F"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The dividend yield which takes the form of the annual dividend payment divided by the share price also displays a progressively rising pattern from 2.48 percent in 2019 to 2.84% in 2023</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(Zhang and Tveterås, 2022)</w:t>
      </w:r>
      <w:r w:rsidRPr="00D434DA">
        <w:rPr>
          <w:rFonts w:ascii="Times New Roman" w:hAnsi="Times New Roman" w:cs="Times New Roman"/>
          <w:sz w:val="24"/>
          <w:szCs w:val="24"/>
        </w:rPr>
        <w:t xml:space="preserve">. The rising dividend yield is indicative of two main factors: </w:t>
      </w:r>
      <w:r w:rsidRPr="00D434DA">
        <w:rPr>
          <w:rFonts w:ascii="Times New Roman" w:hAnsi="Times New Roman" w:cs="Times New Roman"/>
          <w:sz w:val="24"/>
          <w:szCs w:val="24"/>
        </w:rPr>
        <w:lastRenderedPageBreak/>
        <w:t>Increased dividend and the volatility of the company’s share price are the two aspects of its operation that needs analysis. Higher yield also resulted from the company’s efforts in declaring higher dividends in addition to average or slightly fluctuating stock prices over the years</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(Toldbod and Linda Nhu Laursen, 2024)</w:t>
      </w:r>
      <w:r w:rsidRPr="00D434DA">
        <w:rPr>
          <w:rFonts w:ascii="Times New Roman" w:hAnsi="Times New Roman" w:cs="Times New Roman"/>
          <w:sz w:val="24"/>
          <w:szCs w:val="24"/>
        </w:rPr>
        <w:t>.</w:t>
      </w:r>
    </w:p>
    <w:p w14:paraId="15618738" w14:textId="77777777" w:rsidR="006B0FC7" w:rsidRPr="00D434DA" w:rsidRDefault="006B0FC7"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Analysis of Trends</w:t>
      </w:r>
    </w:p>
    <w:p w14:paraId="598D20A5" w14:textId="196605DA" w:rsidR="006B0FC7" w:rsidRPr="00D434DA" w:rsidRDefault="0002567D"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Even in the case of the number of shares, where the increase is sharp in a few years and then slows down, the gradual increase in the dividend per share is justified based on the company’s financial and strategic development</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(Zhang and Tveterås, 2022)</w:t>
      </w:r>
      <w:r w:rsidRPr="00D434DA">
        <w:rPr>
          <w:rFonts w:ascii="Times New Roman" w:hAnsi="Times New Roman" w:cs="Times New Roman"/>
          <w:sz w:val="24"/>
          <w:szCs w:val="24"/>
        </w:rPr>
        <w:t>. Continues increase in Dividend payments over the years implies that the company is earning increasing revenues to support its cash flow; therefore, its reliability as a source of funds.</w:t>
      </w:r>
      <w:r w:rsidR="00AE7492" w:rsidRPr="00D434DA">
        <w:rPr>
          <w:rFonts w:ascii="Times New Roman" w:hAnsi="Times New Roman" w:cs="Times New Roman"/>
          <w:sz w:val="24"/>
          <w:szCs w:val="24"/>
        </w:rPr>
        <w:t xml:space="preserve"> This pattern supports Unilever’s financial strength and the company’s plan of providing shareholders’ value despite volatility in the market</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(Setyowati et al., 2023)</w:t>
      </w:r>
      <w:r w:rsidR="00AE7492" w:rsidRPr="00D434DA">
        <w:rPr>
          <w:rFonts w:ascii="Times New Roman" w:hAnsi="Times New Roman" w:cs="Times New Roman"/>
          <w:sz w:val="24"/>
          <w:szCs w:val="24"/>
        </w:rPr>
        <w:t>.</w:t>
      </w:r>
    </w:p>
    <w:p w14:paraId="162A47B7" w14:textId="2126D3EF" w:rsidR="006B0FC7" w:rsidRPr="00D434DA" w:rsidRDefault="00AE7492"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Thus, both, the dividend per share as well as the fluctuations in the overall share price determine the increased dividend yield</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(Mardawiyah et al., 2020)</w:t>
      </w:r>
      <w:r w:rsidRPr="00D434DA">
        <w:rPr>
          <w:rFonts w:ascii="Times New Roman" w:hAnsi="Times New Roman" w:cs="Times New Roman"/>
          <w:sz w:val="24"/>
          <w:szCs w:val="24"/>
        </w:rPr>
        <w:t xml:space="preserve">. </w:t>
      </w:r>
      <w:r w:rsidR="00070930" w:rsidRPr="00D434DA">
        <w:rPr>
          <w:rFonts w:ascii="Times New Roman" w:hAnsi="Times New Roman" w:cs="Times New Roman"/>
          <w:sz w:val="24"/>
          <w:szCs w:val="24"/>
        </w:rPr>
        <w:t>Analysing</w:t>
      </w:r>
      <w:r w:rsidRPr="00D434DA">
        <w:rPr>
          <w:rFonts w:ascii="Times New Roman" w:hAnsi="Times New Roman" w:cs="Times New Roman"/>
          <w:sz w:val="24"/>
          <w:szCs w:val="24"/>
        </w:rPr>
        <w:t xml:space="preserve"> the trends of Unilever’s share price in the last five years, the chart of dividend yield indicates that over the years Unilever has been in a position to deliver good return to the shareholders despite the fluctuations in the share price. This is true given that the yields appeared of a higher value in the recent past, meaning that Unilever has been in a position to either maintain or even slightly increase its dividend payments in proportion to its share price; thus contributing to the appeal in its equities for investors that are yield-oriented</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(Toldbod and Linda Nhu Laursen, 2024)</w:t>
      </w:r>
      <w:r w:rsidRPr="00D434DA">
        <w:rPr>
          <w:rFonts w:ascii="Times New Roman" w:hAnsi="Times New Roman" w:cs="Times New Roman"/>
          <w:sz w:val="24"/>
          <w:szCs w:val="24"/>
        </w:rPr>
        <w:t>.</w:t>
      </w:r>
    </w:p>
    <w:p w14:paraId="6F0DEEED" w14:textId="77777777" w:rsidR="006B0FC7" w:rsidRPr="00D434DA" w:rsidRDefault="006B0FC7"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Implications for Shareholders</w:t>
      </w:r>
    </w:p>
    <w:p w14:paraId="0493E3D3" w14:textId="10EB9794" w:rsidR="006B0FC7" w:rsidRPr="00D434DA" w:rsidRDefault="00E374F6"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As for the shareholders, or as the population under analysis and observations, they have witnessed the crucial aspects, such as increase in the dividend per share, increases in the dividend yield, meaning a return on invested capital</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(Mardawiyah et al., 2020)</w:t>
      </w:r>
      <w:r w:rsidRPr="00D434DA">
        <w:rPr>
          <w:rFonts w:ascii="Times New Roman" w:hAnsi="Times New Roman" w:cs="Times New Roman"/>
          <w:sz w:val="24"/>
          <w:szCs w:val="24"/>
        </w:rPr>
        <w:t>. The rising dividends augment the shareholders revenues, therefore provide more stable and probable earnings. The fact that most of these dividend payments are progressive depicts management’s belief in future earnings and their determination to enhance investors’ value. Besides, the fact that the dividend yield has been on the rise over the past years increases the appeal of Unilever’s shares for investors in search of regular income, thus entering the stock with a view to supporting its price</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(Setyowati et al., 2023)</w:t>
      </w:r>
      <w:r w:rsidRPr="00D434DA">
        <w:rPr>
          <w:rFonts w:ascii="Times New Roman" w:hAnsi="Times New Roman" w:cs="Times New Roman"/>
          <w:sz w:val="24"/>
          <w:szCs w:val="24"/>
        </w:rPr>
        <w:t>.</w:t>
      </w:r>
    </w:p>
    <w:p w14:paraId="3897D485" w14:textId="527ABCB0" w:rsidR="006B0FC7" w:rsidRPr="00D434DA" w:rsidRDefault="00E374F6"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lastRenderedPageBreak/>
        <w:t>Therefore, an analysis of Unilever payout ratio and dividend forecasts from 2019-2023 shows that this company has a progressive policy for the per share dividend and the yield</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(Mardawiyah et al., 2020)</w:t>
      </w:r>
      <w:r w:rsidRPr="00D434DA">
        <w:rPr>
          <w:rFonts w:ascii="Times New Roman" w:hAnsi="Times New Roman" w:cs="Times New Roman"/>
          <w:sz w:val="24"/>
          <w:szCs w:val="24"/>
        </w:rPr>
        <w:t xml:space="preserve">. Such tendency proves the sound financial condition of the company and its commitment to shareholders’ values. This means Unilever has </w:t>
      </w:r>
      <w:r w:rsidR="003F67BF" w:rsidRPr="00D434DA">
        <w:rPr>
          <w:rFonts w:ascii="Times New Roman" w:hAnsi="Times New Roman" w:cs="Times New Roman"/>
          <w:sz w:val="24"/>
          <w:szCs w:val="24"/>
        </w:rPr>
        <w:t>g</w:t>
      </w:r>
      <w:r w:rsidRPr="00D434DA">
        <w:rPr>
          <w:rFonts w:ascii="Times New Roman" w:hAnsi="Times New Roman" w:cs="Times New Roman"/>
          <w:sz w:val="24"/>
          <w:szCs w:val="24"/>
        </w:rPr>
        <w:t>ood financial strength to achieve growth in its dividends while at the same time paying adequate and desirable yields to its investors</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(Toldbod and Linda Nhu Laursen, 2024)</w:t>
      </w:r>
      <w:r w:rsidRPr="00D434DA">
        <w:rPr>
          <w:rFonts w:ascii="Times New Roman" w:hAnsi="Times New Roman" w:cs="Times New Roman"/>
          <w:sz w:val="24"/>
          <w:szCs w:val="24"/>
        </w:rPr>
        <w:t>.</w:t>
      </w:r>
    </w:p>
    <w:p w14:paraId="33C0B501" w14:textId="67769DB1" w:rsidR="00E06FCD" w:rsidRPr="00D434DA" w:rsidRDefault="00E06FCD"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Factors Influencing Dividend Decisions</w:t>
      </w:r>
    </w:p>
    <w:p w14:paraId="5EBFE1B1"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1. </w:t>
      </w:r>
      <w:r w:rsidR="00E06FCD" w:rsidRPr="00D434DA">
        <w:rPr>
          <w:rFonts w:ascii="Times New Roman" w:hAnsi="Times New Roman" w:cs="Times New Roman"/>
          <w:b/>
          <w:bCs/>
          <w:sz w:val="24"/>
          <w:szCs w:val="24"/>
        </w:rPr>
        <w:t>Financial Performance</w:t>
      </w:r>
    </w:p>
    <w:p w14:paraId="02ECB42B" w14:textId="024221CA" w:rsidR="00E06FCD" w:rsidRPr="00D434DA" w:rsidRDefault="00493C31"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Having stable revenues as well as competitive and sustainable profit margins means that Unilever has the capacity to meet and even grow its dividend payouts. The firm’s strong operating cash flows allows it to sustain its lucrative dividend policy especially with risks in continuous investment</w:t>
      </w:r>
      <w:r w:rsidR="00484F43" w:rsidRPr="00D434DA">
        <w:rPr>
          <w:rFonts w:ascii="Times New Roman" w:hAnsi="Times New Roman" w:cs="Times New Roman"/>
          <w:sz w:val="24"/>
          <w:szCs w:val="24"/>
        </w:rPr>
        <w:t xml:space="preserve"> </w:t>
      </w:r>
      <w:r w:rsidR="00484F43" w:rsidRPr="00D434DA">
        <w:rPr>
          <w:rFonts w:ascii="Times New Roman" w:eastAsia="Times New Roman" w:hAnsi="Times New Roman" w:cs="Times New Roman"/>
          <w:sz w:val="24"/>
          <w:szCs w:val="24"/>
          <w:lang w:eastAsia="en-IN"/>
        </w:rPr>
        <w:t>(Setyowati et al., 2023)</w:t>
      </w:r>
      <w:r w:rsidRPr="00D434DA">
        <w:rPr>
          <w:rFonts w:ascii="Times New Roman" w:hAnsi="Times New Roman" w:cs="Times New Roman"/>
          <w:sz w:val="24"/>
          <w:szCs w:val="24"/>
        </w:rPr>
        <w:t>.</w:t>
      </w:r>
    </w:p>
    <w:p w14:paraId="5FE6B152"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2. </w:t>
      </w:r>
      <w:r w:rsidR="00E06FCD" w:rsidRPr="00D434DA">
        <w:rPr>
          <w:rFonts w:ascii="Times New Roman" w:hAnsi="Times New Roman" w:cs="Times New Roman"/>
          <w:b/>
          <w:bCs/>
          <w:sz w:val="24"/>
          <w:szCs w:val="24"/>
        </w:rPr>
        <w:t>Investment Opportunities</w:t>
      </w:r>
    </w:p>
    <w:p w14:paraId="4DC89011" w14:textId="302D8C47" w:rsidR="00E06FCD" w:rsidRPr="00D434DA" w:rsidRDefault="00493C31"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The other consideration is the management of investments in relation to the dividend payouts. These three areas of investment – in research and development, acquisitions, and sustainability – need to be professionally managed in relation to cash. This paper has established that the company engages in balanced strategies demonstrated by the fact that it was able to continue declaring dividend while at the same time investing in its growth</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(Anggraini, 2022)</w:t>
      </w:r>
      <w:r w:rsidRPr="00D434DA">
        <w:rPr>
          <w:rFonts w:ascii="Times New Roman" w:hAnsi="Times New Roman" w:cs="Times New Roman"/>
          <w:sz w:val="24"/>
          <w:szCs w:val="24"/>
        </w:rPr>
        <w:t>.</w:t>
      </w:r>
    </w:p>
    <w:p w14:paraId="4834784C"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3. </w:t>
      </w:r>
      <w:r w:rsidR="00E06FCD" w:rsidRPr="00D434DA">
        <w:rPr>
          <w:rFonts w:ascii="Times New Roman" w:hAnsi="Times New Roman" w:cs="Times New Roman"/>
          <w:b/>
          <w:bCs/>
          <w:sz w:val="24"/>
          <w:szCs w:val="24"/>
        </w:rPr>
        <w:t>Debt Levels</w:t>
      </w:r>
    </w:p>
    <w:p w14:paraId="224BA9BB" w14:textId="1FF7E689" w:rsidR="00E06FCD" w:rsidRPr="00D434DA" w:rsidRDefault="00493C31"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Current debt-to-equity ratio shows that over the years, the company has used more debt to finance its assets. Nonetheless, the firm has been able to sustain its dividend payment that shows good control of its debt position coupled with sound financial health</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(Damayanti and Halimah, 2023)</w:t>
      </w:r>
      <w:r w:rsidRPr="00D434DA">
        <w:rPr>
          <w:rFonts w:ascii="Times New Roman" w:hAnsi="Times New Roman" w:cs="Times New Roman"/>
          <w:sz w:val="24"/>
          <w:szCs w:val="24"/>
        </w:rPr>
        <w:t>.</w:t>
      </w:r>
    </w:p>
    <w:p w14:paraId="07AAA6B8"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4. </w:t>
      </w:r>
      <w:r w:rsidR="00E06FCD" w:rsidRPr="00D434DA">
        <w:rPr>
          <w:rFonts w:ascii="Times New Roman" w:hAnsi="Times New Roman" w:cs="Times New Roman"/>
          <w:b/>
          <w:bCs/>
          <w:sz w:val="24"/>
          <w:szCs w:val="24"/>
        </w:rPr>
        <w:t>Economic Conditions</w:t>
      </w:r>
    </w:p>
    <w:p w14:paraId="4BBB3556" w14:textId="38CA9B24" w:rsidR="00E06FCD" w:rsidRPr="00D434DA" w:rsidRDefault="00493C31"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Business cycles, or economic factors affecting an organization and the market circumstances also affect the declaration of dividend policies. This has enable Unilever to maintain its dividend policy despite the unfavourable economic conditions, a factor that testifies to the company’s strength</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(Anggraini, 2022)</w:t>
      </w:r>
      <w:r w:rsidRPr="00D434DA">
        <w:rPr>
          <w:rFonts w:ascii="Times New Roman" w:hAnsi="Times New Roman" w:cs="Times New Roman"/>
          <w:sz w:val="24"/>
          <w:szCs w:val="24"/>
        </w:rPr>
        <w:t>.</w:t>
      </w:r>
    </w:p>
    <w:p w14:paraId="3DD0F24C" w14:textId="77777777" w:rsidR="00006F86" w:rsidRPr="00D434DA" w:rsidRDefault="00484F43" w:rsidP="00D434DA">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 xml:space="preserve">5. </w:t>
      </w:r>
      <w:r w:rsidR="00E06FCD" w:rsidRPr="00D434DA">
        <w:rPr>
          <w:rFonts w:ascii="Times New Roman" w:hAnsi="Times New Roman" w:cs="Times New Roman"/>
          <w:b/>
          <w:bCs/>
          <w:sz w:val="24"/>
          <w:szCs w:val="24"/>
        </w:rPr>
        <w:t>Shareholder Expectations</w:t>
      </w:r>
    </w:p>
    <w:p w14:paraId="67FA0C3E" w14:textId="13EC255A" w:rsidR="00E06FCD" w:rsidRPr="00D434DA" w:rsidRDefault="00493C31"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lastRenderedPageBreak/>
        <w:t>The expectations of the shareholders are also fulfilled in decisions of dividend policies. For a company like Unilever the desire to deliver attractive returns to its shareholders while at the same time controlling its growth and investment is in consonance with shareholders’ wish and desire</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(Damayanti and Halimah, 2023)</w:t>
      </w:r>
      <w:r w:rsidRPr="00D434DA">
        <w:rPr>
          <w:rFonts w:ascii="Times New Roman" w:hAnsi="Times New Roman" w:cs="Times New Roman"/>
          <w:sz w:val="24"/>
          <w:szCs w:val="24"/>
        </w:rPr>
        <w:t>.</w:t>
      </w:r>
    </w:p>
    <w:p w14:paraId="7EB484DB" w14:textId="6561BC11" w:rsidR="00E06FCD" w:rsidRPr="00D434DA" w:rsidRDefault="00E06FCD"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Dividend Policy and Shareholder Returns</w:t>
      </w:r>
    </w:p>
    <w:p w14:paraId="6E59B9B2" w14:textId="50A81036" w:rsidR="00E06FCD" w:rsidRPr="00D434DA" w:rsidRDefault="00DC62F3"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Indeed, Unilever’s progressive dividend policy illustrates the company’s ability and willingness to create value for shareholders</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(Yang, 2023)</w:t>
      </w:r>
      <w:r w:rsidRPr="00D434DA">
        <w:rPr>
          <w:rFonts w:ascii="Times New Roman" w:hAnsi="Times New Roman" w:cs="Times New Roman"/>
          <w:sz w:val="24"/>
          <w:szCs w:val="24"/>
        </w:rPr>
        <w:t>. Checking the tendency of dividend yield within the past five years illustrates the perspective balance between investment operations and shareholders’ interest. The general corporate and shareholder value is fostered by the policy through the creation of a steady income flow and investor confidence</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(Anggraini, 2022)</w:t>
      </w:r>
      <w:r w:rsidRPr="00D434DA">
        <w:rPr>
          <w:rFonts w:ascii="Times New Roman" w:hAnsi="Times New Roman" w:cs="Times New Roman"/>
          <w:sz w:val="24"/>
          <w:szCs w:val="24"/>
        </w:rPr>
        <w:t>.</w:t>
      </w:r>
    </w:p>
    <w:p w14:paraId="0335D07D" w14:textId="7178D83A" w:rsidR="006B0FC7" w:rsidRPr="00D434DA" w:rsidRDefault="00006F86"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 xml:space="preserve">1. </w:t>
      </w:r>
      <w:r w:rsidR="006B0FC7" w:rsidRPr="00D434DA">
        <w:rPr>
          <w:rFonts w:ascii="Times New Roman" w:hAnsi="Times New Roman" w:cs="Times New Roman"/>
          <w:b/>
          <w:bCs/>
          <w:sz w:val="24"/>
          <w:szCs w:val="24"/>
        </w:rPr>
        <w:t>Analysis of Dividend Yield Trends</w:t>
      </w:r>
    </w:p>
    <w:p w14:paraId="428BF166" w14:textId="5E0793EF" w:rsidR="006B0FC7" w:rsidRPr="00D434DA" w:rsidRDefault="00F878A0"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Unilever’s five-year analysis of generated dividend yield portrays a company with perfect investment and dividend decisions. The dividend yield also increased from 2.48% in 2019 to 2.84% in 2023</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(Yang, 2023)</w:t>
      </w:r>
      <w:r w:rsidRPr="00D434DA">
        <w:rPr>
          <w:rFonts w:ascii="Times New Roman" w:hAnsi="Times New Roman" w:cs="Times New Roman"/>
          <w:sz w:val="24"/>
          <w:szCs w:val="24"/>
        </w:rPr>
        <w:t>. The fact that the upward trend is demonstrated indicates that the company has succeeded in delivering better returns of shareholders’ investments as represented by the share price. The fact that the share price has remained relatively volatile while the dividend per share has increased, shows that Unilever Plc has both posted good financial performance along with improving shareholders’ returns. Thus, this success reveals the organization’s capacity to deliver its dividend plan without undermining its investment and growth goals</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(Damayanti and Halimah, 2023)</w:t>
      </w:r>
      <w:r w:rsidRPr="00D434DA">
        <w:rPr>
          <w:rFonts w:ascii="Times New Roman" w:hAnsi="Times New Roman" w:cs="Times New Roman"/>
          <w:sz w:val="24"/>
          <w:szCs w:val="24"/>
        </w:rPr>
        <w:t>.</w:t>
      </w:r>
    </w:p>
    <w:p w14:paraId="0DB8B36C" w14:textId="4A7B4745" w:rsidR="006B0FC7" w:rsidRPr="00D434DA" w:rsidRDefault="00006F86" w:rsidP="00D434DA">
      <w:pPr>
        <w:spacing w:line="360" w:lineRule="auto"/>
        <w:jc w:val="both"/>
        <w:rPr>
          <w:rFonts w:ascii="Times New Roman" w:hAnsi="Times New Roman" w:cs="Times New Roman"/>
          <w:b/>
          <w:bCs/>
          <w:sz w:val="24"/>
          <w:szCs w:val="24"/>
        </w:rPr>
      </w:pPr>
      <w:r w:rsidRPr="00D434DA">
        <w:rPr>
          <w:rFonts w:ascii="Times New Roman" w:hAnsi="Times New Roman" w:cs="Times New Roman"/>
          <w:b/>
          <w:bCs/>
          <w:sz w:val="24"/>
          <w:szCs w:val="24"/>
        </w:rPr>
        <w:t xml:space="preserve">2. </w:t>
      </w:r>
      <w:r w:rsidR="006B0FC7" w:rsidRPr="00D434DA">
        <w:rPr>
          <w:rFonts w:ascii="Times New Roman" w:hAnsi="Times New Roman" w:cs="Times New Roman"/>
          <w:b/>
          <w:bCs/>
          <w:sz w:val="24"/>
          <w:szCs w:val="24"/>
        </w:rPr>
        <w:t>Impact on Shareholder Value</w:t>
      </w:r>
    </w:p>
    <w:p w14:paraId="01C7E6CB" w14:textId="2545A596" w:rsidR="006B0FC7" w:rsidRPr="00D434DA" w:rsidRDefault="001D3541" w:rsidP="00D434DA">
      <w:pPr>
        <w:spacing w:line="360" w:lineRule="auto"/>
        <w:jc w:val="both"/>
        <w:rPr>
          <w:rFonts w:ascii="Times New Roman" w:eastAsia="Times New Roman" w:hAnsi="Times New Roman" w:cs="Times New Roman"/>
          <w:sz w:val="24"/>
          <w:szCs w:val="24"/>
          <w:lang w:eastAsia="en-IN"/>
        </w:rPr>
      </w:pPr>
      <w:r w:rsidRPr="00D434DA">
        <w:rPr>
          <w:rFonts w:ascii="Times New Roman" w:hAnsi="Times New Roman" w:cs="Times New Roman"/>
          <w:sz w:val="24"/>
          <w:szCs w:val="24"/>
        </w:rPr>
        <w:t xml:space="preserve">The stability in cash dividend and a progressive use of financial funds has been rewarding to the overall shareholders value at Unilever. Thus, Unilever’s gradual growth in dividends guarantees relatively stable income for </w:t>
      </w:r>
      <w:r w:rsidR="00070930" w:rsidRPr="00D434DA">
        <w:rPr>
          <w:rFonts w:ascii="Times New Roman" w:hAnsi="Times New Roman" w:cs="Times New Roman"/>
          <w:sz w:val="24"/>
          <w:szCs w:val="24"/>
        </w:rPr>
        <w:t>investors which are</w:t>
      </w:r>
      <w:r w:rsidRPr="00D434DA">
        <w:rPr>
          <w:rFonts w:ascii="Times New Roman" w:hAnsi="Times New Roman" w:cs="Times New Roman"/>
          <w:sz w:val="24"/>
          <w:szCs w:val="24"/>
        </w:rPr>
        <w:t xml:space="preserve"> important for those who seeks steady profit</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(Lieu et al., 2021)</w:t>
      </w:r>
      <w:r w:rsidRPr="00D434DA">
        <w:rPr>
          <w:rFonts w:ascii="Times New Roman" w:hAnsi="Times New Roman" w:cs="Times New Roman"/>
          <w:sz w:val="24"/>
          <w:szCs w:val="24"/>
        </w:rPr>
        <w:t xml:space="preserve">. At the same time, this approach increases income solely for the shareholders and informs the situation in the company about its solvency and stability. Further on, overall value is also created by the investment in growth activities and sustainability projects by Unilever. The financial strategy of the company is more devoted to the shareholder returns in the short-run with simultaneous build up of long-term goodwill thus making it a </w:t>
      </w:r>
      <w:r w:rsidRPr="00D434DA">
        <w:rPr>
          <w:rFonts w:ascii="Times New Roman" w:hAnsi="Times New Roman" w:cs="Times New Roman"/>
          <w:sz w:val="24"/>
          <w:szCs w:val="24"/>
        </w:rPr>
        <w:lastRenderedPageBreak/>
        <w:t xml:space="preserve">balanced and best model of value added. Therefore, its business model is serving the needs of Unilever’s investors and fits for the long-term domination in the </w:t>
      </w:r>
      <w:r w:rsidR="00070930" w:rsidRPr="00D434DA">
        <w:rPr>
          <w:rFonts w:ascii="Times New Roman" w:hAnsi="Times New Roman" w:cs="Times New Roman"/>
          <w:sz w:val="24"/>
          <w:szCs w:val="24"/>
        </w:rPr>
        <w:t>futur</w:t>
      </w:r>
      <w:r w:rsidRPr="00D434DA">
        <w:rPr>
          <w:rFonts w:ascii="Times New Roman" w:hAnsi="Times New Roman" w:cs="Times New Roman"/>
          <w:sz w:val="24"/>
          <w:szCs w:val="24"/>
        </w:rPr>
        <w:t>e</w:t>
      </w:r>
      <w:r w:rsidR="00070930" w:rsidRPr="00D434DA">
        <w:rPr>
          <w:rFonts w:ascii="Times New Roman" w:hAnsi="Times New Roman" w:cs="Times New Roman"/>
          <w:sz w:val="24"/>
          <w:szCs w:val="24"/>
        </w:rPr>
        <w:t xml:space="preserve"> </w:t>
      </w:r>
      <w:r w:rsidR="00070930" w:rsidRPr="00D434DA">
        <w:rPr>
          <w:rFonts w:ascii="Times New Roman" w:eastAsia="Times New Roman" w:hAnsi="Times New Roman" w:cs="Times New Roman"/>
          <w:sz w:val="24"/>
          <w:szCs w:val="24"/>
          <w:lang w:eastAsia="en-IN"/>
        </w:rPr>
        <w:t>(Hu and Zeng, 2024)</w:t>
      </w:r>
      <w:r w:rsidRPr="00D434DA">
        <w:rPr>
          <w:rFonts w:ascii="Times New Roman" w:hAnsi="Times New Roman" w:cs="Times New Roman"/>
          <w:sz w:val="24"/>
          <w:szCs w:val="24"/>
        </w:rPr>
        <w:t>.</w:t>
      </w:r>
    </w:p>
    <w:p w14:paraId="6CEDA1D5" w14:textId="7669FD1A" w:rsidR="00E06FCD" w:rsidRPr="00D434DA" w:rsidRDefault="006B0FC7" w:rsidP="00D434DA">
      <w:pPr>
        <w:pStyle w:val="Heading1"/>
        <w:spacing w:line="360" w:lineRule="auto"/>
        <w:jc w:val="both"/>
        <w:rPr>
          <w:rFonts w:ascii="Times New Roman" w:hAnsi="Times New Roman" w:cs="Times New Roman"/>
          <w:color w:val="auto"/>
          <w:sz w:val="24"/>
          <w:szCs w:val="24"/>
        </w:rPr>
      </w:pPr>
      <w:bookmarkStart w:id="5" w:name="_Toc174694199"/>
      <w:r w:rsidRPr="00D434DA">
        <w:rPr>
          <w:rFonts w:ascii="Times New Roman" w:hAnsi="Times New Roman" w:cs="Times New Roman"/>
          <w:color w:val="auto"/>
          <w:sz w:val="24"/>
          <w:szCs w:val="24"/>
        </w:rPr>
        <w:t>Conclusion</w:t>
      </w:r>
      <w:bookmarkEnd w:id="5"/>
      <w:r w:rsidRPr="00D434DA">
        <w:rPr>
          <w:rFonts w:ascii="Times New Roman" w:hAnsi="Times New Roman" w:cs="Times New Roman"/>
          <w:color w:val="auto"/>
          <w:sz w:val="24"/>
          <w:szCs w:val="24"/>
        </w:rPr>
        <w:t xml:space="preserve"> </w:t>
      </w:r>
    </w:p>
    <w:p w14:paraId="73664909" w14:textId="0C1D1F84" w:rsidR="00070930" w:rsidRPr="00D434DA" w:rsidRDefault="001D3541"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The selected company, Unilever, presents the picture of an evolving business over the past five years based on the aspect of strategic shifting. Climbing to the top of the leadership, the company has faced many management questions and answers, taking into account the outcomes of the sustainable development and the innovations. The change of management from Paul Polman to Alan Jope and the most recent to Hein Schumacher has focused on the need to reorient the company’s operations based on market as well as environment needs. The COVID-19 pandemic disrupted many aspects of Unilever’s operations and biased demand in favour of healthcare products and forced economies’ digitalisation. The key strategic actions beginning with the divestiture of its tea business and continued investments in sustainability remain consistent with its strategic plan to shed less-promising divisions and higher-value growth categories to create maximum shareholder value. In conclusion, Unilever has been able to effectively invest strategically while maintaining and even increasing dividend as a global consumer goods company. Thus, constant changes in its strategy, reflecting its resistance to shifts in the market are key characteristics of the strong strategy for the long-term growth and maintenance of the shareholder value which Unilever can follow in the future and which can help it in solving problems and challenges in the context of the growth of competition in the global economy.</w:t>
      </w:r>
    </w:p>
    <w:p w14:paraId="544EBAD5" w14:textId="77777777" w:rsidR="00070930" w:rsidRPr="00D434DA" w:rsidRDefault="00070930"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br w:type="page"/>
      </w:r>
    </w:p>
    <w:p w14:paraId="7EB8A19E" w14:textId="7ED7DA16" w:rsidR="006B0FC7" w:rsidRPr="00D434DA" w:rsidRDefault="00070930" w:rsidP="00D434DA">
      <w:pPr>
        <w:pStyle w:val="Heading1"/>
        <w:spacing w:line="360" w:lineRule="auto"/>
        <w:jc w:val="both"/>
        <w:rPr>
          <w:rFonts w:ascii="Times New Roman" w:hAnsi="Times New Roman" w:cs="Times New Roman"/>
          <w:color w:val="auto"/>
          <w:sz w:val="24"/>
          <w:szCs w:val="24"/>
        </w:rPr>
      </w:pPr>
      <w:bookmarkStart w:id="6" w:name="_Toc174694200"/>
      <w:r w:rsidRPr="00D434DA">
        <w:rPr>
          <w:rFonts w:ascii="Times New Roman" w:hAnsi="Times New Roman" w:cs="Times New Roman"/>
          <w:color w:val="auto"/>
          <w:sz w:val="24"/>
          <w:szCs w:val="24"/>
        </w:rPr>
        <w:lastRenderedPageBreak/>
        <w:t>References</w:t>
      </w:r>
      <w:bookmarkEnd w:id="6"/>
      <w:r w:rsidRPr="00D434DA">
        <w:rPr>
          <w:rFonts w:ascii="Times New Roman" w:hAnsi="Times New Roman" w:cs="Times New Roman"/>
          <w:color w:val="auto"/>
          <w:sz w:val="24"/>
          <w:szCs w:val="24"/>
        </w:rPr>
        <w:t xml:space="preserve"> </w:t>
      </w:r>
    </w:p>
    <w:p w14:paraId="1D5C8C73" w14:textId="3007E550"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Ahmed, M. (2024). The Impact of Workforce Diversity on Organizational Performance: A Case Study of Unilever. </w:t>
      </w:r>
      <w:r w:rsidRPr="00070930">
        <w:rPr>
          <w:rFonts w:ascii="Times New Roman" w:eastAsia="Times New Roman" w:hAnsi="Times New Roman" w:cs="Times New Roman"/>
          <w:iCs/>
          <w:sz w:val="24"/>
          <w:szCs w:val="24"/>
          <w:lang w:eastAsia="en-IN"/>
        </w:rPr>
        <w:t>iRAPA International Journal of Business Studies</w:t>
      </w:r>
      <w:r w:rsidRPr="00070930">
        <w:rPr>
          <w:rFonts w:ascii="Times New Roman" w:eastAsia="Times New Roman" w:hAnsi="Times New Roman" w:cs="Times New Roman"/>
          <w:sz w:val="24"/>
          <w:szCs w:val="24"/>
          <w:lang w:eastAsia="en-IN"/>
        </w:rPr>
        <w:t>, [online] 1(1), pp.18–33. doi:</w:t>
      </w:r>
      <w:r w:rsidRPr="00D434DA">
        <w:rPr>
          <w:rFonts w:ascii="Times New Roman" w:eastAsia="Times New Roman" w:hAnsi="Times New Roman" w:cs="Times New Roman"/>
          <w:sz w:val="24"/>
          <w:szCs w:val="24"/>
          <w:lang w:eastAsia="en-IN"/>
        </w:rPr>
        <w:t xml:space="preserve"> </w:t>
      </w:r>
      <w:hyperlink r:id="rId12" w:history="1">
        <w:r w:rsidRPr="00D434DA">
          <w:rPr>
            <w:rStyle w:val="Hyperlink"/>
            <w:rFonts w:ascii="Times New Roman" w:eastAsia="Times New Roman" w:hAnsi="Times New Roman" w:cs="Times New Roman"/>
            <w:color w:val="auto"/>
            <w:sz w:val="24"/>
            <w:szCs w:val="24"/>
            <w:lang w:eastAsia="en-IN"/>
          </w:rPr>
          <w:t>https://doi.org/10.48112/iijbs.v1i1.777</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0284E0FD" w14:textId="027F9C08"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Anggraini, N.T. (2022). Analysis of Financial Statements Based on Financial Ratio and Vertical-Horizontal Method in PT Unilever, Tbk, 2016-2017 Period. </w:t>
      </w:r>
      <w:r w:rsidRPr="00070930">
        <w:rPr>
          <w:rFonts w:ascii="Times New Roman" w:eastAsia="Times New Roman" w:hAnsi="Times New Roman" w:cs="Times New Roman"/>
          <w:iCs/>
          <w:sz w:val="24"/>
          <w:szCs w:val="24"/>
          <w:lang w:eastAsia="en-IN"/>
        </w:rPr>
        <w:t>Journal of Sosial Science</w:t>
      </w:r>
      <w:r w:rsidRPr="00070930">
        <w:rPr>
          <w:rFonts w:ascii="Times New Roman" w:eastAsia="Times New Roman" w:hAnsi="Times New Roman" w:cs="Times New Roman"/>
          <w:sz w:val="24"/>
          <w:szCs w:val="24"/>
          <w:lang w:eastAsia="en-IN"/>
        </w:rPr>
        <w:t>, [online] 3(1), pp.171–176. doi:</w:t>
      </w:r>
      <w:r w:rsidRPr="00D434DA">
        <w:rPr>
          <w:rFonts w:ascii="Times New Roman" w:eastAsia="Times New Roman" w:hAnsi="Times New Roman" w:cs="Times New Roman"/>
          <w:sz w:val="24"/>
          <w:szCs w:val="24"/>
          <w:lang w:eastAsia="en-IN"/>
        </w:rPr>
        <w:t xml:space="preserve"> </w:t>
      </w:r>
      <w:hyperlink r:id="rId13" w:history="1">
        <w:r w:rsidRPr="00D434DA">
          <w:rPr>
            <w:rStyle w:val="Hyperlink"/>
            <w:rFonts w:ascii="Times New Roman" w:eastAsia="Times New Roman" w:hAnsi="Times New Roman" w:cs="Times New Roman"/>
            <w:color w:val="auto"/>
            <w:sz w:val="24"/>
            <w:szCs w:val="24"/>
            <w:lang w:eastAsia="en-IN"/>
          </w:rPr>
          <w:t>https://doi.org/10.46799/jss.v3i1.293</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3EB7E8C8" w14:textId="2D44D0DB"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Baragiola, G. (2022). </w:t>
      </w:r>
      <w:r w:rsidRPr="00070930">
        <w:rPr>
          <w:rFonts w:ascii="Times New Roman" w:eastAsia="Times New Roman" w:hAnsi="Times New Roman" w:cs="Times New Roman"/>
          <w:iCs/>
          <w:sz w:val="24"/>
          <w:szCs w:val="24"/>
          <w:lang w:eastAsia="en-IN"/>
        </w:rPr>
        <w:t>SDGs and the private sector : Unilever and P&amp;G case studies</w:t>
      </w:r>
      <w:r w:rsidRPr="00070930">
        <w:rPr>
          <w:rFonts w:ascii="Times New Roman" w:eastAsia="Times New Roman" w:hAnsi="Times New Roman" w:cs="Times New Roman"/>
          <w:sz w:val="24"/>
          <w:szCs w:val="24"/>
          <w:lang w:eastAsia="en-IN"/>
        </w:rPr>
        <w:t xml:space="preserve">. [online] www.politesi.polimi.it. </w:t>
      </w:r>
      <w:r w:rsidRPr="00D434DA">
        <w:rPr>
          <w:rFonts w:ascii="Times New Roman" w:eastAsia="Times New Roman" w:hAnsi="Times New Roman" w:cs="Times New Roman"/>
          <w:sz w:val="24"/>
          <w:szCs w:val="24"/>
          <w:lang w:eastAsia="en-IN"/>
        </w:rPr>
        <w:t>doi</w:t>
      </w:r>
      <w:r w:rsidRPr="00070930">
        <w:rPr>
          <w:rFonts w:ascii="Times New Roman" w:eastAsia="Times New Roman" w:hAnsi="Times New Roman" w:cs="Times New Roman"/>
          <w:sz w:val="24"/>
          <w:szCs w:val="24"/>
          <w:lang w:eastAsia="en-IN"/>
        </w:rPr>
        <w:t xml:space="preserve">: </w:t>
      </w:r>
      <w:hyperlink r:id="rId14" w:history="1">
        <w:r w:rsidRPr="00D434DA">
          <w:rPr>
            <w:rStyle w:val="Hyperlink"/>
            <w:rFonts w:ascii="Times New Roman" w:eastAsia="Times New Roman" w:hAnsi="Times New Roman" w:cs="Times New Roman"/>
            <w:color w:val="auto"/>
            <w:sz w:val="24"/>
            <w:szCs w:val="24"/>
            <w:lang w:eastAsia="en-IN"/>
          </w:rPr>
          <w:t>https://www.politesi.polimi.it/handle/10589/195916</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306A1434" w14:textId="005A88DB"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Basu, S. (2020). Financial Performance Measurement of Hindustan Unilever Limited: An Empirical Analysis. </w:t>
      </w:r>
      <w:r w:rsidRPr="00070930">
        <w:rPr>
          <w:rFonts w:ascii="Times New Roman" w:eastAsia="Times New Roman" w:hAnsi="Times New Roman" w:cs="Times New Roman"/>
          <w:iCs/>
          <w:sz w:val="24"/>
          <w:szCs w:val="24"/>
          <w:lang w:eastAsia="en-IN"/>
        </w:rPr>
        <w:t>International Journal of Advances in Engineering and Management (IJAEM)</w:t>
      </w:r>
      <w:r w:rsidRPr="00070930">
        <w:rPr>
          <w:rFonts w:ascii="Times New Roman" w:eastAsia="Times New Roman" w:hAnsi="Times New Roman" w:cs="Times New Roman"/>
          <w:sz w:val="24"/>
          <w:szCs w:val="24"/>
          <w:lang w:eastAsia="en-IN"/>
        </w:rPr>
        <w:t>, [online] 2, pp.590–596. doi:</w:t>
      </w:r>
      <w:r w:rsidRPr="00D434DA">
        <w:rPr>
          <w:rFonts w:ascii="Times New Roman" w:eastAsia="Times New Roman" w:hAnsi="Times New Roman" w:cs="Times New Roman"/>
          <w:sz w:val="24"/>
          <w:szCs w:val="24"/>
          <w:lang w:eastAsia="en-IN"/>
        </w:rPr>
        <w:t xml:space="preserve"> </w:t>
      </w:r>
      <w:hyperlink r:id="rId15" w:history="1">
        <w:r w:rsidRPr="00D434DA">
          <w:rPr>
            <w:rStyle w:val="Hyperlink"/>
            <w:rFonts w:ascii="Times New Roman" w:eastAsia="Times New Roman" w:hAnsi="Times New Roman" w:cs="Times New Roman"/>
            <w:color w:val="auto"/>
            <w:sz w:val="24"/>
            <w:szCs w:val="24"/>
            <w:lang w:eastAsia="en-IN"/>
          </w:rPr>
          <w:t>https://doi.org/10.35629/5252-0204590596</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7095EDAC" w14:textId="02BBEA61"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Damayanti, T. and Halimah, N. (2023). ANALYSIS OF FINANCIAL RATIOS TO ASSESS FINANCIAL PERFORMANCE AT PT. UNILEVER INDONESIA TBK. </w:t>
      </w:r>
      <w:r w:rsidRPr="00070930">
        <w:rPr>
          <w:rFonts w:ascii="Times New Roman" w:eastAsia="Times New Roman" w:hAnsi="Times New Roman" w:cs="Times New Roman"/>
          <w:iCs/>
          <w:sz w:val="24"/>
          <w:szCs w:val="24"/>
          <w:lang w:eastAsia="en-IN"/>
        </w:rPr>
        <w:t>International Journal Multidisciplinary Science</w:t>
      </w:r>
      <w:r w:rsidRPr="00070930">
        <w:rPr>
          <w:rFonts w:ascii="Times New Roman" w:eastAsia="Times New Roman" w:hAnsi="Times New Roman" w:cs="Times New Roman"/>
          <w:sz w:val="24"/>
          <w:szCs w:val="24"/>
          <w:lang w:eastAsia="en-IN"/>
        </w:rPr>
        <w:t>, [online] 2(2), pp.11–18. doi:</w:t>
      </w:r>
      <w:r w:rsidRPr="00D434DA">
        <w:rPr>
          <w:rFonts w:ascii="Times New Roman" w:eastAsia="Times New Roman" w:hAnsi="Times New Roman" w:cs="Times New Roman"/>
          <w:sz w:val="24"/>
          <w:szCs w:val="24"/>
          <w:lang w:eastAsia="en-IN"/>
        </w:rPr>
        <w:t xml:space="preserve"> </w:t>
      </w:r>
      <w:hyperlink r:id="rId16" w:history="1">
        <w:r w:rsidRPr="00D434DA">
          <w:rPr>
            <w:rStyle w:val="Hyperlink"/>
            <w:rFonts w:ascii="Times New Roman" w:eastAsia="Times New Roman" w:hAnsi="Times New Roman" w:cs="Times New Roman"/>
            <w:color w:val="auto"/>
            <w:sz w:val="24"/>
            <w:szCs w:val="24"/>
            <w:lang w:eastAsia="en-IN"/>
          </w:rPr>
          <w:t>https://doi.org/10.56127/ijml.v2i2.679</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42CBD712" w14:textId="331E4BAB"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Dang Khanh, G. (2024). </w:t>
      </w:r>
      <w:r w:rsidRPr="00070930">
        <w:rPr>
          <w:rFonts w:ascii="Times New Roman" w:eastAsia="Times New Roman" w:hAnsi="Times New Roman" w:cs="Times New Roman"/>
          <w:iCs/>
          <w:sz w:val="24"/>
          <w:szCs w:val="24"/>
          <w:lang w:eastAsia="en-IN"/>
        </w:rPr>
        <w:t>Integrating Environmental, Social and Governance Factors into Strategic Management: A Comparative Case Study of Unilever and Neste.</w:t>
      </w:r>
      <w:r w:rsidRPr="00070930">
        <w:rPr>
          <w:rFonts w:ascii="Times New Roman" w:eastAsia="Times New Roman" w:hAnsi="Times New Roman" w:cs="Times New Roman"/>
          <w:sz w:val="24"/>
          <w:szCs w:val="24"/>
          <w:lang w:eastAsia="en-IN"/>
        </w:rPr>
        <w:t xml:space="preserve"> [online] www.theseus.fi. </w:t>
      </w:r>
      <w:proofErr w:type="spellStart"/>
      <w:r w:rsidRPr="00D434DA">
        <w:rPr>
          <w:rFonts w:ascii="Times New Roman" w:eastAsia="Times New Roman" w:hAnsi="Times New Roman" w:cs="Times New Roman"/>
          <w:sz w:val="24"/>
          <w:szCs w:val="24"/>
          <w:lang w:eastAsia="en-IN"/>
        </w:rPr>
        <w:t>doi</w:t>
      </w:r>
      <w:proofErr w:type="spellEnd"/>
      <w:r w:rsidRPr="00070930">
        <w:rPr>
          <w:rFonts w:ascii="Times New Roman" w:eastAsia="Times New Roman" w:hAnsi="Times New Roman" w:cs="Times New Roman"/>
          <w:sz w:val="24"/>
          <w:szCs w:val="24"/>
          <w:lang w:eastAsia="en-IN"/>
        </w:rPr>
        <w:t xml:space="preserve">: </w:t>
      </w:r>
      <w:hyperlink r:id="rId17" w:history="1">
        <w:proofErr w:type="spellStart"/>
        <w:r w:rsidRPr="00D434DA">
          <w:rPr>
            <w:rStyle w:val="Hyperlink"/>
            <w:rFonts w:ascii="Times New Roman" w:eastAsia="Times New Roman" w:hAnsi="Times New Roman" w:cs="Times New Roman"/>
            <w:color w:val="auto"/>
            <w:sz w:val="24"/>
            <w:szCs w:val="24"/>
            <w:lang w:eastAsia="en-IN"/>
          </w:rPr>
          <w:t>ht</w:t>
        </w:r>
        <w:proofErr w:type="spellEnd"/>
        <w:r w:rsidR="000E7B5C">
          <w:rPr>
            <w:rStyle w:val="Hyperlink"/>
            <w:rFonts w:ascii="Times New Roman" w:eastAsia="Times New Roman" w:hAnsi="Times New Roman" w:cs="Times New Roman"/>
            <w:color w:val="auto"/>
            <w:sz w:val="24"/>
            <w:szCs w:val="24"/>
            <w:lang w:eastAsia="en-IN"/>
          </w:rPr>
          <w:t xml:space="preserve">  </w:t>
        </w:r>
        <w:r w:rsidRPr="00D434DA">
          <w:rPr>
            <w:rStyle w:val="Hyperlink"/>
            <w:rFonts w:ascii="Times New Roman" w:eastAsia="Times New Roman" w:hAnsi="Times New Roman" w:cs="Times New Roman"/>
            <w:color w:val="auto"/>
            <w:sz w:val="24"/>
            <w:szCs w:val="24"/>
            <w:lang w:eastAsia="en-IN"/>
          </w:rPr>
          <w:t>tps://www.theseus.fi/handle/10024/861615</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2106A37C" w14:textId="3F440E80"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Fabio and Scarcelli, M. (2024). Purchasing and Supply Management Journey into Unilever’s Circular Economy Strategy. </w:t>
      </w:r>
      <w:r w:rsidRPr="00070930">
        <w:rPr>
          <w:rFonts w:ascii="Times New Roman" w:eastAsia="Times New Roman" w:hAnsi="Times New Roman" w:cs="Times New Roman"/>
          <w:iCs/>
          <w:sz w:val="24"/>
          <w:szCs w:val="24"/>
          <w:lang w:eastAsia="en-IN"/>
        </w:rPr>
        <w:t>Greening of industry networks studies (Print)</w:t>
      </w:r>
      <w:r w:rsidRPr="00070930">
        <w:rPr>
          <w:rFonts w:ascii="Times New Roman" w:eastAsia="Times New Roman" w:hAnsi="Times New Roman" w:cs="Times New Roman"/>
          <w:sz w:val="24"/>
          <w:szCs w:val="24"/>
          <w:lang w:eastAsia="en-IN"/>
        </w:rPr>
        <w:t>, [online] pp.161–173. doi:</w:t>
      </w:r>
      <w:r w:rsidRPr="00D434DA">
        <w:rPr>
          <w:rFonts w:ascii="Times New Roman" w:eastAsia="Times New Roman" w:hAnsi="Times New Roman" w:cs="Times New Roman"/>
          <w:sz w:val="24"/>
          <w:szCs w:val="24"/>
          <w:lang w:eastAsia="en-IN"/>
        </w:rPr>
        <w:t xml:space="preserve"> </w:t>
      </w:r>
      <w:hyperlink r:id="rId18" w:history="1">
        <w:r w:rsidRPr="00D434DA">
          <w:rPr>
            <w:rStyle w:val="Hyperlink"/>
            <w:rFonts w:ascii="Times New Roman" w:eastAsia="Times New Roman" w:hAnsi="Times New Roman" w:cs="Times New Roman"/>
            <w:color w:val="auto"/>
            <w:sz w:val="24"/>
            <w:szCs w:val="24"/>
            <w:lang w:eastAsia="en-IN"/>
          </w:rPr>
          <w:t>https://doi.org/10.1007/978-3-031-55036-2_8</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16BA8CA3" w14:textId="28F1BA98"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finance.yahoo.com. (2024). </w:t>
      </w:r>
      <w:r w:rsidRPr="00070930">
        <w:rPr>
          <w:rFonts w:ascii="Times New Roman" w:eastAsia="Times New Roman" w:hAnsi="Times New Roman" w:cs="Times New Roman"/>
          <w:iCs/>
          <w:sz w:val="24"/>
          <w:szCs w:val="24"/>
          <w:lang w:eastAsia="en-IN"/>
        </w:rPr>
        <w:t>Unilever PLC (UL) Stock Price, Quote, History &amp; News - Yahoo Finance</w:t>
      </w:r>
      <w:r w:rsidRPr="00070930">
        <w:rPr>
          <w:rFonts w:ascii="Times New Roman" w:eastAsia="Times New Roman" w:hAnsi="Times New Roman" w:cs="Times New Roman"/>
          <w:sz w:val="24"/>
          <w:szCs w:val="24"/>
          <w:lang w:eastAsia="en-IN"/>
        </w:rPr>
        <w:t xml:space="preserve">. [online] </w:t>
      </w:r>
      <w:r w:rsidRPr="00D434DA">
        <w:rPr>
          <w:rFonts w:ascii="Times New Roman" w:eastAsia="Times New Roman" w:hAnsi="Times New Roman" w:cs="Times New Roman"/>
          <w:sz w:val="24"/>
          <w:szCs w:val="24"/>
          <w:lang w:eastAsia="en-IN"/>
        </w:rPr>
        <w:t>doi</w:t>
      </w:r>
      <w:r w:rsidRPr="00070930">
        <w:rPr>
          <w:rFonts w:ascii="Times New Roman" w:eastAsia="Times New Roman" w:hAnsi="Times New Roman" w:cs="Times New Roman"/>
          <w:sz w:val="24"/>
          <w:szCs w:val="24"/>
          <w:lang w:eastAsia="en-IN"/>
        </w:rPr>
        <w:t xml:space="preserve">: </w:t>
      </w:r>
      <w:hyperlink r:id="rId19" w:history="1">
        <w:r w:rsidRPr="00D434DA">
          <w:rPr>
            <w:rStyle w:val="Hyperlink"/>
            <w:rFonts w:ascii="Times New Roman" w:eastAsia="Times New Roman" w:hAnsi="Times New Roman" w:cs="Times New Roman"/>
            <w:color w:val="auto"/>
            <w:sz w:val="24"/>
            <w:szCs w:val="24"/>
            <w:lang w:eastAsia="en-IN"/>
          </w:rPr>
          <w:t>https://finance.yahoo.com/quote/UL/</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0DB212B9" w14:textId="4DFBDF0F"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Hu, Y. and Zeng, Y. (2024). Achieving Sustainable Operations: Challenges, Countermeasures, and the Case of Unilever. </w:t>
      </w:r>
      <w:r w:rsidRPr="00070930">
        <w:rPr>
          <w:rFonts w:ascii="Times New Roman" w:eastAsia="Times New Roman" w:hAnsi="Times New Roman" w:cs="Times New Roman"/>
          <w:iCs/>
          <w:sz w:val="24"/>
          <w:szCs w:val="24"/>
          <w:lang w:eastAsia="en-IN"/>
        </w:rPr>
        <w:t>SHS Web of Conferences</w:t>
      </w:r>
      <w:r w:rsidRPr="00070930">
        <w:rPr>
          <w:rFonts w:ascii="Times New Roman" w:eastAsia="Times New Roman" w:hAnsi="Times New Roman" w:cs="Times New Roman"/>
          <w:sz w:val="24"/>
          <w:szCs w:val="24"/>
          <w:lang w:eastAsia="en-IN"/>
        </w:rPr>
        <w:t>, 181, p.01036. doi:</w:t>
      </w:r>
      <w:r w:rsidRPr="00D434DA">
        <w:rPr>
          <w:rFonts w:ascii="Times New Roman" w:eastAsia="Times New Roman" w:hAnsi="Times New Roman" w:cs="Times New Roman"/>
          <w:sz w:val="24"/>
          <w:szCs w:val="24"/>
          <w:lang w:eastAsia="en-IN"/>
        </w:rPr>
        <w:t xml:space="preserve"> </w:t>
      </w:r>
      <w:hyperlink r:id="rId20" w:history="1">
        <w:r w:rsidRPr="00D434DA">
          <w:rPr>
            <w:rStyle w:val="Hyperlink"/>
            <w:rFonts w:ascii="Times New Roman" w:eastAsia="Times New Roman" w:hAnsi="Times New Roman" w:cs="Times New Roman"/>
            <w:color w:val="auto"/>
            <w:sz w:val="24"/>
            <w:szCs w:val="24"/>
            <w:lang w:eastAsia="en-IN"/>
          </w:rPr>
          <w:t>https://doi.org/10.1051/shsconf/202418101036</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0384FDF4" w14:textId="77777777"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lastRenderedPageBreak/>
        <w:t xml:space="preserve">Iglesias, O., Mingione, M., Ind, N. and Markovic, S. (2023). How to build a conscientious corporate brand together with business partners: A case study of Unilever. </w:t>
      </w:r>
      <w:r w:rsidRPr="00070930">
        <w:rPr>
          <w:rFonts w:ascii="Times New Roman" w:eastAsia="Times New Roman" w:hAnsi="Times New Roman" w:cs="Times New Roman"/>
          <w:iCs/>
          <w:sz w:val="24"/>
          <w:szCs w:val="24"/>
          <w:lang w:eastAsia="en-IN"/>
        </w:rPr>
        <w:t>Industrial Marketing Management</w:t>
      </w:r>
      <w:r w:rsidRPr="00070930">
        <w:rPr>
          <w:rFonts w:ascii="Times New Roman" w:eastAsia="Times New Roman" w:hAnsi="Times New Roman" w:cs="Times New Roman"/>
          <w:sz w:val="24"/>
          <w:szCs w:val="24"/>
          <w:lang w:eastAsia="en-IN"/>
        </w:rPr>
        <w:t>, 109(4), pp.1–13.</w:t>
      </w:r>
    </w:p>
    <w:p w14:paraId="200F3CB4" w14:textId="3A13FFBE"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Jose, J. (2021). </w:t>
      </w:r>
      <w:r w:rsidR="00550FD1" w:rsidRPr="00070930">
        <w:rPr>
          <w:rFonts w:ascii="Times New Roman" w:eastAsia="Times New Roman" w:hAnsi="Times New Roman" w:cs="Times New Roman"/>
          <w:iCs/>
          <w:sz w:val="24"/>
          <w:szCs w:val="24"/>
          <w:lang w:eastAsia="en-IN"/>
        </w:rPr>
        <w:t>Analysing</w:t>
      </w:r>
      <w:r w:rsidRPr="00070930">
        <w:rPr>
          <w:rFonts w:ascii="Times New Roman" w:eastAsia="Times New Roman" w:hAnsi="Times New Roman" w:cs="Times New Roman"/>
          <w:iCs/>
          <w:sz w:val="24"/>
          <w:szCs w:val="24"/>
          <w:lang w:eastAsia="en-IN"/>
        </w:rPr>
        <w:t xml:space="preserve"> the necessity and impacts of organizational culture on the performance of Unilever UK Ltd</w:t>
      </w:r>
      <w:r w:rsidRPr="00070930">
        <w:rPr>
          <w:rFonts w:ascii="Times New Roman" w:eastAsia="Times New Roman" w:hAnsi="Times New Roman" w:cs="Times New Roman"/>
          <w:sz w:val="24"/>
          <w:szCs w:val="24"/>
          <w:lang w:eastAsia="en-IN"/>
        </w:rPr>
        <w:t>.</w:t>
      </w:r>
    </w:p>
    <w:p w14:paraId="03988EAD" w14:textId="085D8B5F"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Kusuma, E., Barus, I. and Pranawukir, I. (2024). THE STRATEGY OF UNILEVER’S CORPORATE SOCIAL RESPONSIBILITY 6.0 IN BUILDING CORPORATE PERSONAL BRANDING. </w:t>
      </w:r>
      <w:r w:rsidRPr="00070930">
        <w:rPr>
          <w:rFonts w:ascii="Times New Roman" w:eastAsia="Times New Roman" w:hAnsi="Times New Roman" w:cs="Times New Roman"/>
          <w:iCs/>
          <w:sz w:val="24"/>
          <w:szCs w:val="24"/>
          <w:lang w:eastAsia="en-IN"/>
        </w:rPr>
        <w:t>Moestopo International Review on Social, Humanities, and Sciences</w:t>
      </w:r>
      <w:r w:rsidRPr="00070930">
        <w:rPr>
          <w:rFonts w:ascii="Times New Roman" w:eastAsia="Times New Roman" w:hAnsi="Times New Roman" w:cs="Times New Roman"/>
          <w:sz w:val="24"/>
          <w:szCs w:val="24"/>
          <w:lang w:eastAsia="en-IN"/>
        </w:rPr>
        <w:t>, [online] 4(1), pp.55–66. doi:</w:t>
      </w:r>
      <w:r w:rsidRPr="00D434DA">
        <w:rPr>
          <w:rFonts w:ascii="Times New Roman" w:eastAsia="Times New Roman" w:hAnsi="Times New Roman" w:cs="Times New Roman"/>
          <w:sz w:val="24"/>
          <w:szCs w:val="24"/>
          <w:lang w:eastAsia="en-IN"/>
        </w:rPr>
        <w:t xml:space="preserve"> </w:t>
      </w:r>
      <w:hyperlink r:id="rId21" w:history="1">
        <w:r w:rsidRPr="00D434DA">
          <w:rPr>
            <w:rStyle w:val="Hyperlink"/>
            <w:rFonts w:ascii="Times New Roman" w:eastAsia="Times New Roman" w:hAnsi="Times New Roman" w:cs="Times New Roman"/>
            <w:color w:val="auto"/>
            <w:sz w:val="24"/>
            <w:szCs w:val="24"/>
            <w:lang w:eastAsia="en-IN"/>
          </w:rPr>
          <w:t>https://doi.org/10.32509/mirshus.v4i1.68</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0EA628B1" w14:textId="35E43CA4"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Lieu, P.T.H., Arunjit, N., Buapradabkul, S. and Nathaniel, D. (2021). Unilever company strategic business analysis. </w:t>
      </w:r>
      <w:r w:rsidRPr="00070930">
        <w:rPr>
          <w:rFonts w:ascii="Times New Roman" w:eastAsia="Times New Roman" w:hAnsi="Times New Roman" w:cs="Times New Roman"/>
          <w:iCs/>
          <w:sz w:val="24"/>
          <w:szCs w:val="24"/>
          <w:lang w:eastAsia="en-IN"/>
        </w:rPr>
        <w:t>dspace.fcu.edu.tw</w:t>
      </w:r>
      <w:r w:rsidRPr="00070930">
        <w:rPr>
          <w:rFonts w:ascii="Times New Roman" w:eastAsia="Times New Roman" w:hAnsi="Times New Roman" w:cs="Times New Roman"/>
          <w:sz w:val="24"/>
          <w:szCs w:val="24"/>
          <w:lang w:eastAsia="en-IN"/>
        </w:rPr>
        <w:t xml:space="preserve">. [online] </w:t>
      </w:r>
      <w:r w:rsidRPr="00D434DA">
        <w:rPr>
          <w:rFonts w:ascii="Times New Roman" w:eastAsia="Times New Roman" w:hAnsi="Times New Roman" w:cs="Times New Roman"/>
          <w:sz w:val="24"/>
          <w:szCs w:val="24"/>
          <w:lang w:eastAsia="en-IN"/>
        </w:rPr>
        <w:t>doi</w:t>
      </w:r>
      <w:r w:rsidRPr="00070930">
        <w:rPr>
          <w:rFonts w:ascii="Times New Roman" w:eastAsia="Times New Roman" w:hAnsi="Times New Roman" w:cs="Times New Roman"/>
          <w:sz w:val="24"/>
          <w:szCs w:val="24"/>
          <w:lang w:eastAsia="en-IN"/>
        </w:rPr>
        <w:t xml:space="preserve">: </w:t>
      </w:r>
      <w:hyperlink r:id="rId22" w:history="1">
        <w:r w:rsidRPr="00D434DA">
          <w:rPr>
            <w:rStyle w:val="Hyperlink"/>
            <w:rFonts w:ascii="Times New Roman" w:eastAsia="Times New Roman" w:hAnsi="Times New Roman" w:cs="Times New Roman"/>
            <w:color w:val="auto"/>
            <w:sz w:val="24"/>
            <w:szCs w:val="24"/>
            <w:lang w:eastAsia="en-IN"/>
          </w:rPr>
          <w:t>http://dspace.fcu.edu.tw/handle/2377/32072</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1773B75D" w14:textId="6C2E285A"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Magagan, K. (2021). INFLUENCE OF PROJECT MANAGEMENT PRACTICES ON PERFORMANCE OF PROJECTS IN UNILEVER KENYA LTD. </w:t>
      </w:r>
      <w:r w:rsidRPr="00070930">
        <w:rPr>
          <w:rFonts w:ascii="Times New Roman" w:eastAsia="Times New Roman" w:hAnsi="Times New Roman" w:cs="Times New Roman"/>
          <w:iCs/>
          <w:sz w:val="24"/>
          <w:szCs w:val="24"/>
          <w:lang w:eastAsia="en-IN"/>
        </w:rPr>
        <w:t>International Academic Journal of Information Sciences and Project Management |</w:t>
      </w:r>
      <w:r w:rsidRPr="00070930">
        <w:rPr>
          <w:rFonts w:ascii="Times New Roman" w:eastAsia="Times New Roman" w:hAnsi="Times New Roman" w:cs="Times New Roman"/>
          <w:sz w:val="24"/>
          <w:szCs w:val="24"/>
          <w:lang w:eastAsia="en-IN"/>
        </w:rPr>
        <w:t xml:space="preserve">, [online] 3(6), pp.392–418. </w:t>
      </w:r>
      <w:r w:rsidRPr="00D434DA">
        <w:rPr>
          <w:rFonts w:ascii="Times New Roman" w:eastAsia="Times New Roman" w:hAnsi="Times New Roman" w:cs="Times New Roman"/>
          <w:sz w:val="24"/>
          <w:szCs w:val="24"/>
          <w:lang w:eastAsia="en-IN"/>
        </w:rPr>
        <w:t>doi</w:t>
      </w:r>
      <w:r w:rsidRPr="00070930">
        <w:rPr>
          <w:rFonts w:ascii="Times New Roman" w:eastAsia="Times New Roman" w:hAnsi="Times New Roman" w:cs="Times New Roman"/>
          <w:sz w:val="24"/>
          <w:szCs w:val="24"/>
          <w:lang w:eastAsia="en-IN"/>
        </w:rPr>
        <w:t xml:space="preserve">: </w:t>
      </w:r>
      <w:hyperlink r:id="rId23" w:history="1">
        <w:r w:rsidRPr="00D434DA">
          <w:rPr>
            <w:rStyle w:val="Hyperlink"/>
            <w:rFonts w:ascii="Times New Roman" w:eastAsia="Times New Roman" w:hAnsi="Times New Roman" w:cs="Times New Roman"/>
            <w:color w:val="auto"/>
            <w:sz w:val="24"/>
            <w:szCs w:val="24"/>
            <w:lang w:eastAsia="en-IN"/>
          </w:rPr>
          <w:t>http://iajournals.org/articles/iajispm_v3_i6_392_418.pdf</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4D4E32F1" w14:textId="143731CB"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Mardawiyah, W., Riasky, D., Dewanti, W. and Farras, R. (2020). Financial Ratio Analysis of PT Unilever Indonesia TBK to Measure Financial Performance. </w:t>
      </w:r>
      <w:r w:rsidRPr="00070930">
        <w:rPr>
          <w:rFonts w:ascii="Times New Roman" w:eastAsia="Times New Roman" w:hAnsi="Times New Roman" w:cs="Times New Roman"/>
          <w:iCs/>
          <w:sz w:val="24"/>
          <w:szCs w:val="24"/>
          <w:lang w:eastAsia="en-IN"/>
        </w:rPr>
        <w:t>International Journal of Business, Economics and Law</w:t>
      </w:r>
      <w:r w:rsidRPr="00070930">
        <w:rPr>
          <w:rFonts w:ascii="Times New Roman" w:eastAsia="Times New Roman" w:hAnsi="Times New Roman" w:cs="Times New Roman"/>
          <w:sz w:val="24"/>
          <w:szCs w:val="24"/>
          <w:lang w:eastAsia="en-IN"/>
        </w:rPr>
        <w:t xml:space="preserve">, [online] 23(1), p.1. </w:t>
      </w:r>
      <w:r w:rsidRPr="00D434DA">
        <w:rPr>
          <w:rFonts w:ascii="Times New Roman" w:eastAsia="Times New Roman" w:hAnsi="Times New Roman" w:cs="Times New Roman"/>
          <w:sz w:val="24"/>
          <w:szCs w:val="24"/>
          <w:lang w:eastAsia="en-IN"/>
        </w:rPr>
        <w:t>doi</w:t>
      </w:r>
      <w:r w:rsidRPr="00070930">
        <w:rPr>
          <w:rFonts w:ascii="Times New Roman" w:eastAsia="Times New Roman" w:hAnsi="Times New Roman" w:cs="Times New Roman"/>
          <w:sz w:val="24"/>
          <w:szCs w:val="24"/>
          <w:lang w:eastAsia="en-IN"/>
        </w:rPr>
        <w:t xml:space="preserve">: </w:t>
      </w:r>
      <w:hyperlink r:id="rId24" w:history="1">
        <w:r w:rsidRPr="00D434DA">
          <w:rPr>
            <w:rStyle w:val="Hyperlink"/>
            <w:rFonts w:ascii="Times New Roman" w:eastAsia="Times New Roman" w:hAnsi="Times New Roman" w:cs="Times New Roman"/>
            <w:color w:val="auto"/>
            <w:sz w:val="24"/>
            <w:szCs w:val="24"/>
            <w:lang w:eastAsia="en-IN"/>
          </w:rPr>
          <w:t>https://www.ijbel.com/wp-content/uploads/2020/11/IJBEL23-232.pdf</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4C051E51" w14:textId="6882CFEB"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Martins, F. (2021). </w:t>
      </w:r>
      <w:r w:rsidRPr="00070930">
        <w:rPr>
          <w:rFonts w:ascii="Times New Roman" w:eastAsia="Times New Roman" w:hAnsi="Times New Roman" w:cs="Times New Roman"/>
          <w:iCs/>
          <w:sz w:val="24"/>
          <w:szCs w:val="24"/>
          <w:lang w:eastAsia="en-IN"/>
        </w:rPr>
        <w:t>A Project carried out on the Master in Management Program, under the supervision of</w:t>
      </w:r>
      <w:r w:rsidRPr="00070930">
        <w:rPr>
          <w:rFonts w:ascii="Times New Roman" w:eastAsia="Times New Roman" w:hAnsi="Times New Roman" w:cs="Times New Roman"/>
          <w:sz w:val="24"/>
          <w:szCs w:val="24"/>
          <w:lang w:eastAsia="en-IN"/>
        </w:rPr>
        <w:t xml:space="preserve">. [online] </w:t>
      </w:r>
      <w:r w:rsidRPr="00D434DA">
        <w:rPr>
          <w:rFonts w:ascii="Times New Roman" w:eastAsia="Times New Roman" w:hAnsi="Times New Roman" w:cs="Times New Roman"/>
          <w:sz w:val="24"/>
          <w:szCs w:val="24"/>
          <w:lang w:eastAsia="en-IN"/>
        </w:rPr>
        <w:t>doi</w:t>
      </w:r>
      <w:r w:rsidRPr="00070930">
        <w:rPr>
          <w:rFonts w:ascii="Times New Roman" w:eastAsia="Times New Roman" w:hAnsi="Times New Roman" w:cs="Times New Roman"/>
          <w:sz w:val="24"/>
          <w:szCs w:val="24"/>
          <w:lang w:eastAsia="en-IN"/>
        </w:rPr>
        <w:t xml:space="preserve">: </w:t>
      </w:r>
      <w:hyperlink r:id="rId25" w:history="1">
        <w:r w:rsidRPr="00D434DA">
          <w:rPr>
            <w:rStyle w:val="Hyperlink"/>
            <w:rFonts w:ascii="Times New Roman" w:eastAsia="Times New Roman" w:hAnsi="Times New Roman" w:cs="Times New Roman"/>
            <w:color w:val="auto"/>
            <w:sz w:val="24"/>
            <w:szCs w:val="24"/>
            <w:lang w:eastAsia="en-IN"/>
          </w:rPr>
          <w:t>https://run.unl.pt/bitstream/10362/138429/1/2021-22_fall_43487_andreia-bettencourt.pdf</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7B68F04D" w14:textId="77777777"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Modreanu, A., Andrișan, G.N., Sârbu, A.-M. and Grădinaru, C. (2022). Corporate Social Responsibility, a Strategic Tool for Sustainable Value Creation: A Case Study of Unilever’s Sustainable Living Plan. </w:t>
      </w:r>
      <w:r w:rsidRPr="00070930">
        <w:rPr>
          <w:rFonts w:ascii="Times New Roman" w:eastAsia="Times New Roman" w:hAnsi="Times New Roman" w:cs="Times New Roman"/>
          <w:iCs/>
          <w:sz w:val="24"/>
          <w:szCs w:val="24"/>
          <w:lang w:eastAsia="en-IN"/>
        </w:rPr>
        <w:t>New Trends in Sustainable Business and Consumption</w:t>
      </w:r>
      <w:r w:rsidRPr="00070930">
        <w:rPr>
          <w:rFonts w:ascii="Times New Roman" w:eastAsia="Times New Roman" w:hAnsi="Times New Roman" w:cs="Times New Roman"/>
          <w:sz w:val="24"/>
          <w:szCs w:val="24"/>
          <w:lang w:eastAsia="en-IN"/>
        </w:rPr>
        <w:t>.</w:t>
      </w:r>
    </w:p>
    <w:p w14:paraId="03D7A2E0" w14:textId="48E130B2"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Setyowati, R., Rivani, V.A., M, Y.B.A. and Pandin, M.Y.R. (2023). The role of Asset Management, Cost Control, and receivables management policies in improving the Financial </w:t>
      </w:r>
      <w:r w:rsidRPr="00070930">
        <w:rPr>
          <w:rFonts w:ascii="Times New Roman" w:eastAsia="Times New Roman" w:hAnsi="Times New Roman" w:cs="Times New Roman"/>
          <w:sz w:val="24"/>
          <w:szCs w:val="24"/>
          <w:lang w:eastAsia="en-IN"/>
        </w:rPr>
        <w:lastRenderedPageBreak/>
        <w:t xml:space="preserve">Resilience of PT Unilever. </w:t>
      </w:r>
      <w:r w:rsidRPr="00070930">
        <w:rPr>
          <w:rFonts w:ascii="Times New Roman" w:eastAsia="Times New Roman" w:hAnsi="Times New Roman" w:cs="Times New Roman"/>
          <w:iCs/>
          <w:sz w:val="24"/>
          <w:szCs w:val="24"/>
          <w:lang w:eastAsia="en-IN"/>
        </w:rPr>
        <w:t>Manajemen Kreatif Jurnal</w:t>
      </w:r>
      <w:r w:rsidRPr="00070930">
        <w:rPr>
          <w:rFonts w:ascii="Times New Roman" w:eastAsia="Times New Roman" w:hAnsi="Times New Roman" w:cs="Times New Roman"/>
          <w:sz w:val="24"/>
          <w:szCs w:val="24"/>
          <w:lang w:eastAsia="en-IN"/>
        </w:rPr>
        <w:t>, [online] 1(3), pp.107–123. doi:</w:t>
      </w:r>
      <w:r w:rsidRPr="00D434DA">
        <w:rPr>
          <w:rFonts w:ascii="Times New Roman" w:eastAsia="Times New Roman" w:hAnsi="Times New Roman" w:cs="Times New Roman"/>
          <w:sz w:val="24"/>
          <w:szCs w:val="24"/>
          <w:lang w:eastAsia="en-IN"/>
        </w:rPr>
        <w:t xml:space="preserve"> </w:t>
      </w:r>
      <w:hyperlink r:id="rId26" w:history="1">
        <w:r w:rsidRPr="00D434DA">
          <w:rPr>
            <w:rStyle w:val="Hyperlink"/>
            <w:rFonts w:ascii="Times New Roman" w:eastAsia="Times New Roman" w:hAnsi="Times New Roman" w:cs="Times New Roman"/>
            <w:color w:val="auto"/>
            <w:sz w:val="24"/>
            <w:szCs w:val="24"/>
            <w:lang w:eastAsia="en-IN"/>
          </w:rPr>
          <w:t>https://doi.org/10.55606/makreju.v1i3.1647</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02902A3E" w14:textId="557843D4"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Shaikh, A.H., Solangi, A. and Raza, A. (2022). An In-Depth Comparative Analysis of Financial Statement Metrics: A Study of Unilever and P&amp;G. </w:t>
      </w:r>
      <w:r w:rsidRPr="00070930">
        <w:rPr>
          <w:rFonts w:ascii="Times New Roman" w:eastAsia="Times New Roman" w:hAnsi="Times New Roman" w:cs="Times New Roman"/>
          <w:iCs/>
          <w:sz w:val="24"/>
          <w:szCs w:val="24"/>
          <w:lang w:eastAsia="en-IN"/>
        </w:rPr>
        <w:t>Journal of Development and Social Sciences</w:t>
      </w:r>
      <w:r w:rsidRPr="00070930">
        <w:rPr>
          <w:rFonts w:ascii="Times New Roman" w:eastAsia="Times New Roman" w:hAnsi="Times New Roman" w:cs="Times New Roman"/>
          <w:sz w:val="24"/>
          <w:szCs w:val="24"/>
          <w:lang w:eastAsia="en-IN"/>
        </w:rPr>
        <w:t>, [online] 3(3), pp.594–609. doi:</w:t>
      </w:r>
      <w:r w:rsidRPr="00D434DA">
        <w:rPr>
          <w:rFonts w:ascii="Times New Roman" w:eastAsia="Times New Roman" w:hAnsi="Times New Roman" w:cs="Times New Roman"/>
          <w:sz w:val="24"/>
          <w:szCs w:val="24"/>
          <w:lang w:eastAsia="en-IN"/>
        </w:rPr>
        <w:t xml:space="preserve"> </w:t>
      </w:r>
      <w:hyperlink r:id="rId27" w:history="1">
        <w:r w:rsidRPr="00D434DA">
          <w:rPr>
            <w:rStyle w:val="Hyperlink"/>
            <w:rFonts w:ascii="Times New Roman" w:eastAsia="Times New Roman" w:hAnsi="Times New Roman" w:cs="Times New Roman"/>
            <w:color w:val="auto"/>
            <w:sz w:val="24"/>
            <w:szCs w:val="24"/>
            <w:lang w:eastAsia="en-IN"/>
          </w:rPr>
          <w:t>https://doi.org/10.47205/jdss.2022(3-III)57</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6FB14F35" w14:textId="1F3984EA"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Toldbod, T. and Linda Nhu Laursen (2024). Time and the sequential integration of management controls in open innovation between Unilever and its partners: A procedural perspective. </w:t>
      </w:r>
      <w:r w:rsidRPr="00070930">
        <w:rPr>
          <w:rFonts w:ascii="Times New Roman" w:eastAsia="Times New Roman" w:hAnsi="Times New Roman" w:cs="Times New Roman"/>
          <w:iCs/>
          <w:sz w:val="24"/>
          <w:szCs w:val="24"/>
          <w:lang w:eastAsia="en-IN"/>
        </w:rPr>
        <w:t>Management accounting research</w:t>
      </w:r>
      <w:r w:rsidRPr="00070930">
        <w:rPr>
          <w:rFonts w:ascii="Times New Roman" w:eastAsia="Times New Roman" w:hAnsi="Times New Roman" w:cs="Times New Roman"/>
          <w:sz w:val="24"/>
          <w:szCs w:val="24"/>
          <w:lang w:eastAsia="en-IN"/>
        </w:rPr>
        <w:t>, pp.100901–100901. doi:</w:t>
      </w:r>
      <w:r w:rsidRPr="00D434DA">
        <w:rPr>
          <w:rFonts w:ascii="Times New Roman" w:eastAsia="Times New Roman" w:hAnsi="Times New Roman" w:cs="Times New Roman"/>
          <w:sz w:val="24"/>
          <w:szCs w:val="24"/>
          <w:lang w:eastAsia="en-IN"/>
        </w:rPr>
        <w:t xml:space="preserve"> </w:t>
      </w:r>
      <w:hyperlink r:id="rId28" w:history="1">
        <w:r w:rsidRPr="00D434DA">
          <w:rPr>
            <w:rStyle w:val="Hyperlink"/>
            <w:rFonts w:ascii="Times New Roman" w:eastAsia="Times New Roman" w:hAnsi="Times New Roman" w:cs="Times New Roman"/>
            <w:color w:val="auto"/>
            <w:sz w:val="24"/>
            <w:szCs w:val="24"/>
            <w:lang w:eastAsia="en-IN"/>
          </w:rPr>
          <w:t>https://doi.org/10.1016/j.mar.2024.100901</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0038976D" w14:textId="183322BC"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ULLAH, N. (2021). </w:t>
      </w:r>
      <w:r w:rsidRPr="00070930">
        <w:rPr>
          <w:rFonts w:ascii="Times New Roman" w:eastAsia="Times New Roman" w:hAnsi="Times New Roman" w:cs="Times New Roman"/>
          <w:iCs/>
          <w:sz w:val="24"/>
          <w:szCs w:val="24"/>
          <w:lang w:eastAsia="en-IN"/>
        </w:rPr>
        <w:t>A Comparative Analysis between Unilever and Johnson &amp; Johnsons</w:t>
      </w:r>
      <w:r w:rsidRPr="00070930">
        <w:rPr>
          <w:rFonts w:ascii="Times New Roman" w:eastAsia="Times New Roman" w:hAnsi="Times New Roman" w:cs="Times New Roman"/>
          <w:sz w:val="24"/>
          <w:szCs w:val="24"/>
          <w:lang w:eastAsia="en-IN"/>
        </w:rPr>
        <w:t xml:space="preserve">. [online] mpra.ub.uni-muenchen.de. </w:t>
      </w:r>
      <w:r w:rsidRPr="00D434DA">
        <w:rPr>
          <w:rFonts w:ascii="Times New Roman" w:eastAsia="Times New Roman" w:hAnsi="Times New Roman" w:cs="Times New Roman"/>
          <w:sz w:val="24"/>
          <w:szCs w:val="24"/>
          <w:lang w:eastAsia="en-IN"/>
        </w:rPr>
        <w:t>doi</w:t>
      </w:r>
      <w:r w:rsidRPr="00070930">
        <w:rPr>
          <w:rFonts w:ascii="Times New Roman" w:eastAsia="Times New Roman" w:hAnsi="Times New Roman" w:cs="Times New Roman"/>
          <w:sz w:val="24"/>
          <w:szCs w:val="24"/>
          <w:lang w:eastAsia="en-IN"/>
        </w:rPr>
        <w:t xml:space="preserve">: </w:t>
      </w:r>
      <w:hyperlink r:id="rId29" w:history="1">
        <w:r w:rsidRPr="00D434DA">
          <w:rPr>
            <w:rStyle w:val="Hyperlink"/>
            <w:rFonts w:ascii="Times New Roman" w:eastAsia="Times New Roman" w:hAnsi="Times New Roman" w:cs="Times New Roman"/>
            <w:color w:val="auto"/>
            <w:sz w:val="24"/>
            <w:szCs w:val="24"/>
            <w:lang w:eastAsia="en-IN"/>
          </w:rPr>
          <w:t>https://mpra.ub.uni-muenchen.de/id/eprint/108582</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1615DBAF" w14:textId="55334724"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Utomo, N.S., Ezra, C.T., Zhongji, G., Palamba, G. and Ramadanti, A. (2021). </w:t>
      </w:r>
      <w:r w:rsidRPr="00070930">
        <w:rPr>
          <w:rFonts w:ascii="Times New Roman" w:eastAsia="Times New Roman" w:hAnsi="Times New Roman" w:cs="Times New Roman"/>
          <w:iCs/>
          <w:sz w:val="24"/>
          <w:szCs w:val="24"/>
          <w:lang w:eastAsia="en-IN"/>
        </w:rPr>
        <w:t>Does the Implementation of Corporate Social Responsibilities Have a Positive Impact on the Company’s Business Sustainability?</w:t>
      </w:r>
      <w:r w:rsidRPr="00070930">
        <w:rPr>
          <w:rFonts w:ascii="Times New Roman" w:eastAsia="Times New Roman" w:hAnsi="Times New Roman" w:cs="Times New Roman"/>
          <w:sz w:val="24"/>
          <w:szCs w:val="24"/>
          <w:lang w:eastAsia="en-IN"/>
        </w:rPr>
        <w:t xml:space="preserve"> [online] www.atlantis-press.com. doi:</w:t>
      </w:r>
      <w:r w:rsidRPr="00D434DA">
        <w:rPr>
          <w:rFonts w:ascii="Times New Roman" w:eastAsia="Times New Roman" w:hAnsi="Times New Roman" w:cs="Times New Roman"/>
          <w:sz w:val="24"/>
          <w:szCs w:val="24"/>
          <w:lang w:eastAsia="en-IN"/>
        </w:rPr>
        <w:t xml:space="preserve"> </w:t>
      </w:r>
      <w:hyperlink r:id="rId30" w:history="1">
        <w:r w:rsidRPr="00D434DA">
          <w:rPr>
            <w:rStyle w:val="Hyperlink"/>
            <w:rFonts w:ascii="Times New Roman" w:eastAsia="Times New Roman" w:hAnsi="Times New Roman" w:cs="Times New Roman"/>
            <w:color w:val="auto"/>
            <w:sz w:val="24"/>
            <w:szCs w:val="24"/>
            <w:lang w:eastAsia="en-IN"/>
          </w:rPr>
          <w:t>https://doi.org/10.2991/aebmr.k.211207.032</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5F998D0F" w14:textId="5D453E2F"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WSJ. (2024). </w:t>
      </w:r>
      <w:r w:rsidRPr="00070930">
        <w:rPr>
          <w:rFonts w:ascii="Times New Roman" w:eastAsia="Times New Roman" w:hAnsi="Times New Roman" w:cs="Times New Roman"/>
          <w:iCs/>
          <w:sz w:val="24"/>
          <w:szCs w:val="24"/>
          <w:lang w:eastAsia="en-IN"/>
        </w:rPr>
        <w:t>UL | Unilever PLC ADR Stock Price &amp; News</w:t>
      </w:r>
      <w:r w:rsidRPr="00070930">
        <w:rPr>
          <w:rFonts w:ascii="Times New Roman" w:eastAsia="Times New Roman" w:hAnsi="Times New Roman" w:cs="Times New Roman"/>
          <w:sz w:val="24"/>
          <w:szCs w:val="24"/>
          <w:lang w:eastAsia="en-IN"/>
        </w:rPr>
        <w:t xml:space="preserve">. [online] </w:t>
      </w:r>
      <w:r w:rsidRPr="00D434DA">
        <w:rPr>
          <w:rFonts w:ascii="Times New Roman" w:eastAsia="Times New Roman" w:hAnsi="Times New Roman" w:cs="Times New Roman"/>
          <w:sz w:val="24"/>
          <w:szCs w:val="24"/>
          <w:lang w:eastAsia="en-IN"/>
        </w:rPr>
        <w:t>doi</w:t>
      </w:r>
      <w:r w:rsidRPr="00070930">
        <w:rPr>
          <w:rFonts w:ascii="Times New Roman" w:eastAsia="Times New Roman" w:hAnsi="Times New Roman" w:cs="Times New Roman"/>
          <w:sz w:val="24"/>
          <w:szCs w:val="24"/>
          <w:lang w:eastAsia="en-IN"/>
        </w:rPr>
        <w:t xml:space="preserve">: </w:t>
      </w:r>
      <w:hyperlink r:id="rId31" w:history="1">
        <w:r w:rsidRPr="00D434DA">
          <w:rPr>
            <w:rStyle w:val="Hyperlink"/>
            <w:rFonts w:ascii="Times New Roman" w:eastAsia="Times New Roman" w:hAnsi="Times New Roman" w:cs="Times New Roman"/>
            <w:color w:val="auto"/>
            <w:sz w:val="24"/>
            <w:szCs w:val="24"/>
            <w:lang w:eastAsia="en-IN"/>
          </w:rPr>
          <w:t>https://www.wsj.com/market-data/quotes/UL</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20C56168" w14:textId="74E86510"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Yang, D. (2023). Financial and Marketing Performance of P&amp;G and Unilever. </w:t>
      </w:r>
      <w:r w:rsidRPr="00070930">
        <w:rPr>
          <w:rFonts w:ascii="Times New Roman" w:eastAsia="Times New Roman" w:hAnsi="Times New Roman" w:cs="Times New Roman"/>
          <w:iCs/>
          <w:sz w:val="24"/>
          <w:szCs w:val="24"/>
          <w:lang w:eastAsia="en-IN"/>
        </w:rPr>
        <w:t>BCP Business &amp; Management FMEME</w:t>
      </w:r>
      <w:r w:rsidRPr="00070930">
        <w:rPr>
          <w:rFonts w:ascii="Times New Roman" w:eastAsia="Times New Roman" w:hAnsi="Times New Roman" w:cs="Times New Roman"/>
          <w:sz w:val="24"/>
          <w:szCs w:val="24"/>
          <w:lang w:eastAsia="en-IN"/>
        </w:rPr>
        <w:t xml:space="preserve">, [online] 2023. </w:t>
      </w:r>
      <w:r w:rsidRPr="00D434DA">
        <w:rPr>
          <w:rFonts w:ascii="Times New Roman" w:eastAsia="Times New Roman" w:hAnsi="Times New Roman" w:cs="Times New Roman"/>
          <w:sz w:val="24"/>
          <w:szCs w:val="24"/>
          <w:lang w:eastAsia="en-IN"/>
        </w:rPr>
        <w:t>doi</w:t>
      </w:r>
      <w:r w:rsidRPr="00070930">
        <w:rPr>
          <w:rFonts w:ascii="Times New Roman" w:eastAsia="Times New Roman" w:hAnsi="Times New Roman" w:cs="Times New Roman"/>
          <w:sz w:val="24"/>
          <w:szCs w:val="24"/>
          <w:lang w:eastAsia="en-IN"/>
        </w:rPr>
        <w:t xml:space="preserve">: </w:t>
      </w:r>
      <w:hyperlink r:id="rId32" w:history="1">
        <w:r w:rsidRPr="00D434DA">
          <w:rPr>
            <w:rStyle w:val="Hyperlink"/>
            <w:rFonts w:ascii="Times New Roman" w:eastAsia="Times New Roman" w:hAnsi="Times New Roman" w:cs="Times New Roman"/>
            <w:color w:val="auto"/>
            <w:sz w:val="24"/>
            <w:szCs w:val="24"/>
            <w:lang w:eastAsia="en-IN"/>
          </w:rPr>
          <w:t>https://pdfs.semanticscholar.org/db3f/eb5c80d3778b1ec00f24667275cb8f7512fc.pdf</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4F36A07B" w14:textId="43FA5986" w:rsidR="00070930" w:rsidRPr="00070930" w:rsidRDefault="00070930" w:rsidP="00D434DA">
      <w:pPr>
        <w:spacing w:after="240" w:line="360" w:lineRule="auto"/>
        <w:jc w:val="both"/>
        <w:rPr>
          <w:rFonts w:ascii="Times New Roman" w:eastAsia="Times New Roman" w:hAnsi="Times New Roman" w:cs="Times New Roman"/>
          <w:sz w:val="24"/>
          <w:szCs w:val="24"/>
          <w:lang w:eastAsia="en-IN"/>
        </w:rPr>
      </w:pPr>
      <w:r w:rsidRPr="00070930">
        <w:rPr>
          <w:rFonts w:ascii="Times New Roman" w:eastAsia="Times New Roman" w:hAnsi="Times New Roman" w:cs="Times New Roman"/>
          <w:sz w:val="24"/>
          <w:szCs w:val="24"/>
          <w:lang w:eastAsia="en-IN"/>
        </w:rPr>
        <w:t xml:space="preserve">Zhang, D. and Tveterås, R. (2022). Influence of Price Variability and Financial Ratios on Business Failure in the Atlantic Salmon Industry. </w:t>
      </w:r>
      <w:r w:rsidRPr="00070930">
        <w:rPr>
          <w:rFonts w:ascii="Times New Roman" w:eastAsia="Times New Roman" w:hAnsi="Times New Roman" w:cs="Times New Roman"/>
          <w:iCs/>
          <w:sz w:val="24"/>
          <w:szCs w:val="24"/>
          <w:lang w:eastAsia="en-IN"/>
        </w:rPr>
        <w:t>Marine Resource Economics</w:t>
      </w:r>
      <w:r w:rsidRPr="00070930">
        <w:rPr>
          <w:rFonts w:ascii="Times New Roman" w:eastAsia="Times New Roman" w:hAnsi="Times New Roman" w:cs="Times New Roman"/>
          <w:sz w:val="24"/>
          <w:szCs w:val="24"/>
          <w:lang w:eastAsia="en-IN"/>
        </w:rPr>
        <w:t>, 37(2), pp.183–200. doi:</w:t>
      </w:r>
      <w:r w:rsidRPr="00D434DA">
        <w:rPr>
          <w:rFonts w:ascii="Times New Roman" w:eastAsia="Times New Roman" w:hAnsi="Times New Roman" w:cs="Times New Roman"/>
          <w:sz w:val="24"/>
          <w:szCs w:val="24"/>
          <w:lang w:eastAsia="en-IN"/>
        </w:rPr>
        <w:t xml:space="preserve"> </w:t>
      </w:r>
      <w:hyperlink r:id="rId33" w:history="1">
        <w:r w:rsidRPr="00D434DA">
          <w:rPr>
            <w:rStyle w:val="Hyperlink"/>
            <w:rFonts w:ascii="Times New Roman" w:eastAsia="Times New Roman" w:hAnsi="Times New Roman" w:cs="Times New Roman"/>
            <w:color w:val="auto"/>
            <w:sz w:val="24"/>
            <w:szCs w:val="24"/>
            <w:lang w:eastAsia="en-IN"/>
          </w:rPr>
          <w:t>https://doi.org/10.1086/718380</w:t>
        </w:r>
      </w:hyperlink>
      <w:r w:rsidRPr="00070930">
        <w:rPr>
          <w:rFonts w:ascii="Times New Roman" w:eastAsia="Times New Roman" w:hAnsi="Times New Roman" w:cs="Times New Roman"/>
          <w:sz w:val="24"/>
          <w:szCs w:val="24"/>
          <w:lang w:eastAsia="en-IN"/>
        </w:rPr>
        <w:t>.</w:t>
      </w:r>
      <w:r w:rsidRPr="00D434DA">
        <w:rPr>
          <w:rFonts w:ascii="Times New Roman" w:eastAsia="Times New Roman" w:hAnsi="Times New Roman" w:cs="Times New Roman"/>
          <w:sz w:val="24"/>
          <w:szCs w:val="24"/>
          <w:lang w:eastAsia="en-IN"/>
        </w:rPr>
        <w:t xml:space="preserve"> </w:t>
      </w:r>
    </w:p>
    <w:p w14:paraId="39D686A9" w14:textId="77777777" w:rsidR="00070930" w:rsidRPr="00D434DA" w:rsidRDefault="00070930" w:rsidP="00D434DA">
      <w:pPr>
        <w:spacing w:line="360" w:lineRule="auto"/>
        <w:jc w:val="both"/>
        <w:rPr>
          <w:rFonts w:ascii="Times New Roman" w:hAnsi="Times New Roman" w:cs="Times New Roman"/>
          <w:sz w:val="24"/>
          <w:szCs w:val="24"/>
        </w:rPr>
      </w:pPr>
    </w:p>
    <w:p w14:paraId="360CDB53" w14:textId="280F2A1E" w:rsidR="00006F86" w:rsidRPr="00D434DA" w:rsidRDefault="00006F86" w:rsidP="00D434DA">
      <w:p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br w:type="page"/>
      </w:r>
    </w:p>
    <w:p w14:paraId="083E3B93" w14:textId="1CD896D9" w:rsidR="00A746D5" w:rsidRDefault="00006F86" w:rsidP="00A746D5">
      <w:pPr>
        <w:pStyle w:val="Heading1"/>
        <w:spacing w:line="360" w:lineRule="auto"/>
        <w:jc w:val="both"/>
        <w:rPr>
          <w:rFonts w:ascii="Times New Roman" w:hAnsi="Times New Roman" w:cs="Times New Roman"/>
          <w:sz w:val="24"/>
          <w:szCs w:val="24"/>
        </w:rPr>
      </w:pPr>
      <w:bookmarkStart w:id="7" w:name="_Toc174694201"/>
      <w:r w:rsidRPr="00D434DA">
        <w:rPr>
          <w:rFonts w:ascii="Times New Roman" w:hAnsi="Times New Roman" w:cs="Times New Roman"/>
          <w:color w:val="auto"/>
          <w:sz w:val="24"/>
          <w:szCs w:val="24"/>
        </w:rPr>
        <w:lastRenderedPageBreak/>
        <w:t>Appendices</w:t>
      </w:r>
      <w:bookmarkEnd w:id="7"/>
      <w:r w:rsidRPr="00D434DA">
        <w:rPr>
          <w:rFonts w:ascii="Times New Roman" w:hAnsi="Times New Roman" w:cs="Times New Roman"/>
          <w:color w:val="auto"/>
          <w:sz w:val="24"/>
          <w:szCs w:val="24"/>
        </w:rPr>
        <w:t xml:space="preserve"> </w:t>
      </w:r>
    </w:p>
    <w:p w14:paraId="3A07A952" w14:textId="77777777" w:rsidR="00A746D5" w:rsidRPr="00D434DA" w:rsidRDefault="00A746D5" w:rsidP="00A746D5">
      <w:pPr>
        <w:spacing w:line="360" w:lineRule="auto"/>
        <w:jc w:val="both"/>
        <w:rPr>
          <w:rFonts w:ascii="Times New Roman" w:eastAsiaTheme="minorEastAsia" w:hAnsi="Times New Roman" w:cs="Times New Roman"/>
          <w:bCs/>
          <w:sz w:val="24"/>
          <w:szCs w:val="24"/>
        </w:rPr>
      </w:pPr>
      <m:oMathPara>
        <m:oMathParaPr>
          <m:jc m:val="left"/>
        </m:oMathParaPr>
        <m:oMath>
          <m:r>
            <m:rPr>
              <m:sty m:val="p"/>
            </m:rPr>
            <w:rPr>
              <w:rFonts w:ascii="Cambria Math" w:hAnsi="Cambria Math" w:cs="Times New Roman"/>
              <w:sz w:val="24"/>
              <w:szCs w:val="24"/>
            </w:rPr>
            <m:t>For 2019: Current Ratio=</m:t>
          </m:r>
          <m:f>
            <m:fPr>
              <m:ctrlPr>
                <w:rPr>
                  <w:rFonts w:ascii="Cambria Math" w:hAnsi="Cambria Math" w:cs="Times New Roman"/>
                  <w:bCs/>
                  <w:sz w:val="24"/>
                  <w:szCs w:val="24"/>
                </w:rPr>
              </m:ctrlPr>
            </m:fPr>
            <m:num>
              <m:r>
                <m:rPr>
                  <m:sty m:val="p"/>
                </m:rPr>
                <w:rPr>
                  <w:rFonts w:ascii="Cambria Math" w:hAnsi="Cambria Math" w:cs="Times New Roman"/>
                  <w:sz w:val="24"/>
                  <w:szCs w:val="24"/>
                </w:rPr>
                <m:t>13648</m:t>
              </m:r>
            </m:num>
            <m:den>
              <m:r>
                <m:rPr>
                  <m:sty m:val="p"/>
                </m:rPr>
                <w:rPr>
                  <w:rFonts w:ascii="Cambria Math" w:hAnsi="Cambria Math" w:cs="Times New Roman"/>
                  <w:sz w:val="24"/>
                  <w:szCs w:val="24"/>
                </w:rPr>
                <m:t>18356</m:t>
              </m:r>
            </m:den>
          </m:f>
          <m:r>
            <m:rPr>
              <m:sty m:val="p"/>
            </m:rPr>
            <w:rPr>
              <w:rFonts w:ascii="Cambria Math" w:hAnsi="Cambria Math" w:cs="Times New Roman"/>
              <w:sz w:val="24"/>
              <w:szCs w:val="24"/>
            </w:rPr>
            <m:t>≈0.74</m:t>
          </m:r>
          <m:r>
            <m:rPr>
              <m:sty m:val="p"/>
            </m:rPr>
            <w:rPr>
              <w:rFonts w:ascii="Cambria Math" w:hAnsi="Cambria Math" w:cs="Times New Roman"/>
              <w:sz w:val="24"/>
              <w:szCs w:val="24"/>
            </w:rPr>
            <w:br/>
          </m:r>
        </m:oMath>
        <m:oMath>
          <m:r>
            <m:rPr>
              <m:sty m:val="p"/>
            </m:rPr>
            <w:rPr>
              <w:rFonts w:ascii="Cambria Math" w:hAnsi="Cambria Math" w:cs="Times New Roman"/>
              <w:sz w:val="24"/>
              <w:szCs w:val="24"/>
            </w:rPr>
            <m:t>For 2020: Current Ratio=</m:t>
          </m:r>
          <m:f>
            <m:fPr>
              <m:ctrlPr>
                <w:rPr>
                  <w:rFonts w:ascii="Cambria Math" w:hAnsi="Cambria Math" w:cs="Times New Roman"/>
                  <w:bCs/>
                  <w:sz w:val="24"/>
                  <w:szCs w:val="24"/>
                </w:rPr>
              </m:ctrlPr>
            </m:fPr>
            <m:num>
              <m:r>
                <m:rPr>
                  <m:sty m:val="p"/>
                </m:rPr>
                <w:rPr>
                  <w:rFonts w:ascii="Cambria Math" w:hAnsi="Cambria Math" w:cs="Times New Roman"/>
                  <w:sz w:val="24"/>
                  <w:szCs w:val="24"/>
                </w:rPr>
                <m:t>13781</m:t>
              </m:r>
            </m:num>
            <m:den>
              <m:r>
                <m:rPr>
                  <m:sty m:val="p"/>
                </m:rPr>
                <w:rPr>
                  <w:rFonts w:ascii="Cambria Math" w:hAnsi="Cambria Math" w:cs="Times New Roman"/>
                  <w:sz w:val="24"/>
                  <w:szCs w:val="24"/>
                </w:rPr>
                <m:t>20314</m:t>
              </m:r>
            </m:den>
          </m:f>
          <m:r>
            <m:rPr>
              <m:sty m:val="p"/>
            </m:rPr>
            <w:rPr>
              <w:rFonts w:ascii="Cambria Math" w:hAnsi="Cambria Math" w:cs="Times New Roman"/>
              <w:sz w:val="24"/>
              <w:szCs w:val="24"/>
            </w:rPr>
            <m:t>≈0.68</m:t>
          </m:r>
          <m:r>
            <m:rPr>
              <m:sty m:val="p"/>
            </m:rPr>
            <w:rPr>
              <w:rFonts w:ascii="Cambria Math" w:hAnsi="Cambria Math" w:cs="Times New Roman"/>
              <w:sz w:val="24"/>
              <w:szCs w:val="24"/>
            </w:rPr>
            <w:br/>
          </m:r>
        </m:oMath>
        <m:oMath>
          <m:r>
            <m:rPr>
              <m:sty m:val="p"/>
            </m:rPr>
            <w:rPr>
              <w:rFonts w:ascii="Cambria Math" w:hAnsi="Cambria Math" w:cs="Times New Roman"/>
              <w:sz w:val="24"/>
              <w:szCs w:val="24"/>
            </w:rPr>
            <m:t>For 2021: Current Ratio=</m:t>
          </m:r>
          <m:f>
            <m:fPr>
              <m:ctrlPr>
                <w:rPr>
                  <w:rFonts w:ascii="Cambria Math" w:hAnsi="Cambria Math" w:cs="Times New Roman"/>
                  <w:bCs/>
                  <w:sz w:val="24"/>
                  <w:szCs w:val="24"/>
                </w:rPr>
              </m:ctrlPr>
            </m:fPr>
            <m:num>
              <m:r>
                <m:rPr>
                  <m:sty m:val="p"/>
                </m:rPr>
                <w:rPr>
                  <w:rFonts w:ascii="Cambria Math" w:hAnsi="Cambria Math" w:cs="Times New Roman"/>
                  <w:sz w:val="24"/>
                  <w:szCs w:val="24"/>
                </w:rPr>
                <m:t>15948</m:t>
              </m:r>
            </m:num>
            <m:den>
              <m:r>
                <m:rPr>
                  <m:sty m:val="p"/>
                </m:rPr>
                <w:rPr>
                  <w:rFonts w:ascii="Cambria Math" w:hAnsi="Cambria Math" w:cs="Times New Roman"/>
                  <w:sz w:val="24"/>
                  <w:szCs w:val="24"/>
                </w:rPr>
                <m:t>20969</m:t>
              </m:r>
            </m:den>
          </m:f>
          <m:r>
            <m:rPr>
              <m:sty m:val="p"/>
            </m:rPr>
            <w:rPr>
              <w:rFonts w:ascii="Cambria Math" w:hAnsi="Cambria Math" w:cs="Times New Roman"/>
              <w:sz w:val="24"/>
              <w:szCs w:val="24"/>
            </w:rPr>
            <m:t>≈0.76</m:t>
          </m:r>
          <m:r>
            <m:rPr>
              <m:sty m:val="p"/>
            </m:rPr>
            <w:rPr>
              <w:rFonts w:ascii="Cambria Math" w:hAnsi="Cambria Math" w:cs="Times New Roman"/>
              <w:sz w:val="24"/>
              <w:szCs w:val="24"/>
            </w:rPr>
            <w:br/>
          </m:r>
        </m:oMath>
        <m:oMath>
          <m:r>
            <m:rPr>
              <m:sty m:val="p"/>
            </m:rPr>
            <w:rPr>
              <w:rFonts w:ascii="Cambria Math" w:hAnsi="Cambria Math" w:cs="Times New Roman"/>
              <w:sz w:val="24"/>
              <w:szCs w:val="24"/>
            </w:rPr>
            <m:t>For 2022: Current Ratio=</m:t>
          </m:r>
          <m:f>
            <m:fPr>
              <m:ctrlPr>
                <w:rPr>
                  <w:rFonts w:ascii="Cambria Math" w:hAnsi="Cambria Math" w:cs="Times New Roman"/>
                  <w:bCs/>
                  <w:sz w:val="24"/>
                  <w:szCs w:val="24"/>
                </w:rPr>
              </m:ctrlPr>
            </m:fPr>
            <m:num>
              <m:r>
                <m:rPr>
                  <m:sty m:val="p"/>
                </m:rPr>
                <w:rPr>
                  <w:rFonts w:ascii="Cambria Math" w:hAnsi="Cambria Math" w:cs="Times New Roman"/>
                  <w:sz w:val="24"/>
                  <w:szCs w:val="24"/>
                </w:rPr>
                <m:t>16218</m:t>
              </m:r>
            </m:num>
            <m:den>
              <m:r>
                <m:rPr>
                  <m:sty m:val="p"/>
                </m:rPr>
                <w:rPr>
                  <w:rFonts w:ascii="Cambria Math" w:hAnsi="Cambria Math" w:cs="Times New Roman"/>
                  <w:sz w:val="24"/>
                  <w:szCs w:val="24"/>
                </w:rPr>
                <m:t>22373</m:t>
              </m:r>
            </m:den>
          </m:f>
          <m:r>
            <m:rPr>
              <m:sty m:val="p"/>
            </m:rPr>
            <w:rPr>
              <w:rFonts w:ascii="Cambria Math" w:hAnsi="Cambria Math" w:cs="Times New Roman"/>
              <w:sz w:val="24"/>
              <w:szCs w:val="24"/>
            </w:rPr>
            <m:t>≈0.73</m:t>
          </m:r>
          <m:r>
            <m:rPr>
              <m:sty m:val="p"/>
            </m:rPr>
            <w:rPr>
              <w:rFonts w:ascii="Cambria Math" w:hAnsi="Cambria Math" w:cs="Times New Roman"/>
              <w:sz w:val="24"/>
              <w:szCs w:val="24"/>
            </w:rPr>
            <w:br/>
          </m:r>
        </m:oMath>
      </m:oMathPara>
      <m:oMath>
        <m:r>
          <m:rPr>
            <m:sty m:val="p"/>
          </m:rPr>
          <w:rPr>
            <w:rFonts w:ascii="Cambria Math" w:hAnsi="Cambria Math" w:cs="Times New Roman"/>
            <w:sz w:val="24"/>
            <w:szCs w:val="24"/>
          </w:rPr>
          <m:t>For 2023: Current Ratio=</m:t>
        </m:r>
        <m:f>
          <m:fPr>
            <m:ctrlPr>
              <w:rPr>
                <w:rFonts w:ascii="Cambria Math" w:hAnsi="Cambria Math" w:cs="Times New Roman"/>
                <w:bCs/>
                <w:sz w:val="24"/>
                <w:szCs w:val="24"/>
              </w:rPr>
            </m:ctrlPr>
          </m:fPr>
          <m:num>
            <m:r>
              <m:rPr>
                <m:sty m:val="p"/>
              </m:rPr>
              <w:rPr>
                <w:rFonts w:ascii="Cambria Math" w:hAnsi="Cambria Math" w:cs="Times New Roman"/>
                <w:sz w:val="24"/>
                <w:szCs w:val="24"/>
              </w:rPr>
              <m:t>16980</m:t>
            </m:r>
          </m:num>
          <m:den>
            <m:r>
              <m:rPr>
                <m:sty m:val="p"/>
              </m:rPr>
              <w:rPr>
                <w:rFonts w:ascii="Cambria Math" w:hAnsi="Cambria Math" w:cs="Times New Roman"/>
                <w:sz w:val="24"/>
                <w:szCs w:val="24"/>
              </w:rPr>
              <m:t>21877</m:t>
            </m:r>
          </m:den>
        </m:f>
        <m:r>
          <m:rPr>
            <m:sty m:val="p"/>
          </m:rPr>
          <w:rPr>
            <w:rFonts w:ascii="Cambria Math" w:hAnsi="Cambria Math" w:cs="Times New Roman"/>
            <w:sz w:val="24"/>
            <w:szCs w:val="24"/>
          </w:rPr>
          <m:t>≈0.78</m:t>
        </m:r>
      </m:oMath>
      <w:r>
        <w:rPr>
          <w:rFonts w:ascii="Times New Roman" w:eastAsiaTheme="minorEastAsia" w:hAnsi="Times New Roman" w:cs="Times New Roman"/>
          <w:sz w:val="24"/>
          <w:szCs w:val="24"/>
        </w:rPr>
        <w:t xml:space="preserve"> </w:t>
      </w:r>
    </w:p>
    <w:p w14:paraId="3C1FD627" w14:textId="2C676F69" w:rsidR="00A746D5" w:rsidRDefault="00A746D5" w:rsidP="00A746D5"/>
    <w:p w14:paraId="727731FE"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Strong"/>
              <w:rFonts w:ascii="Cambria Math" w:hAnsi="Cambria Math"/>
            </w:rPr>
            <m:t>For 2019:</m:t>
          </m:r>
          <m:r>
            <m:rPr>
              <m:sty m:val="p"/>
            </m:rPr>
            <w:rPr>
              <w:rFonts w:ascii="Cambria Math" w:hAnsi="Cambria Math"/>
            </w:rPr>
            <m:t xml:space="preserve"> </m:t>
          </m:r>
          <m:r>
            <m:rPr>
              <m:sty m:val="p"/>
            </m:rPr>
            <w:rPr>
              <w:rStyle w:val="katex-mathml"/>
              <w:rFonts w:ascii="Cambria Math" w:hAnsi="Cambria Math"/>
            </w:rPr>
            <m:t>Quick Ratio=</m:t>
          </m:r>
          <m:f>
            <m:fPr>
              <m:ctrlPr>
                <w:rPr>
                  <w:rStyle w:val="katex-mathml"/>
                  <w:rFonts w:ascii="Cambria Math" w:hAnsi="Cambria Math"/>
                </w:rPr>
              </m:ctrlPr>
            </m:fPr>
            <m:num>
              <m:r>
                <m:rPr>
                  <m:sty m:val="p"/>
                </m:rPr>
                <w:rPr>
                  <w:rStyle w:val="katex-mathml"/>
                  <w:rFonts w:ascii="Cambria Math" w:hAnsi="Cambria Math"/>
                </w:rPr>
                <m:t>13648-3,245</m:t>
              </m:r>
            </m:num>
            <m:den>
              <m:r>
                <m:rPr>
                  <m:sty m:val="p"/>
                </m:rPr>
                <w:rPr>
                  <w:rStyle w:val="katex-mathml"/>
                  <w:rFonts w:ascii="Cambria Math" w:hAnsi="Cambria Math"/>
                </w:rPr>
                <m:t>18356</m:t>
              </m:r>
            </m:den>
          </m:f>
          <m:r>
            <m:rPr>
              <m:sty m:val="p"/>
            </m:rPr>
            <w:rPr>
              <w:rStyle w:val="katex-mathml"/>
              <w:rFonts w:ascii="Cambria Math" w:hAnsi="Cambria Math"/>
            </w:rPr>
            <m:t>≈</m:t>
          </m:r>
          <m:f>
            <m:fPr>
              <m:ctrlPr>
                <w:rPr>
                  <w:rStyle w:val="katex-mathml"/>
                  <w:rFonts w:ascii="Cambria Math" w:hAnsi="Cambria Math"/>
                </w:rPr>
              </m:ctrlPr>
            </m:fPr>
            <m:num>
              <m:r>
                <m:rPr>
                  <m:sty m:val="p"/>
                </m:rPr>
                <w:rPr>
                  <w:rStyle w:val="katex-mathml"/>
                  <w:rFonts w:ascii="Cambria Math" w:hAnsi="Cambria Math"/>
                </w:rPr>
                <m:t>10403</m:t>
              </m:r>
            </m:num>
            <m:den>
              <m:r>
                <m:rPr>
                  <m:sty m:val="p"/>
                </m:rPr>
                <w:rPr>
                  <w:rStyle w:val="katex-mathml"/>
                  <w:rFonts w:ascii="Cambria Math" w:hAnsi="Cambria Math"/>
                </w:rPr>
                <m:t>18356</m:t>
              </m:r>
            </m:den>
          </m:f>
          <m:r>
            <m:rPr>
              <m:sty m:val="p"/>
            </m:rPr>
            <w:rPr>
              <w:rStyle w:val="katex-mathml"/>
              <w:rFonts w:ascii="Cambria Math" w:hAnsi="Cambria Math"/>
            </w:rPr>
            <m:t>≈0.57</m:t>
          </m:r>
        </m:oMath>
      </m:oMathPara>
    </w:p>
    <w:p w14:paraId="61C5DC20"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Strong"/>
              <w:rFonts w:ascii="Cambria Math" w:hAnsi="Cambria Math"/>
            </w:rPr>
            <m:t>For 2020:</m:t>
          </m:r>
          <m:r>
            <m:rPr>
              <m:sty m:val="p"/>
            </m:rPr>
            <w:rPr>
              <w:rFonts w:ascii="Cambria Math" w:hAnsi="Cambria Math"/>
            </w:rPr>
            <m:t xml:space="preserve"> </m:t>
          </m:r>
          <m:r>
            <m:rPr>
              <m:sty m:val="p"/>
            </m:rPr>
            <w:rPr>
              <w:rStyle w:val="katex-mathml"/>
              <w:rFonts w:ascii="Cambria Math" w:hAnsi="Cambria Math"/>
            </w:rPr>
            <m:t>Quick Ratio=</m:t>
          </m:r>
          <m:f>
            <m:fPr>
              <m:ctrlPr>
                <w:rPr>
                  <w:rStyle w:val="katex-mathml"/>
                  <w:rFonts w:ascii="Cambria Math" w:hAnsi="Cambria Math"/>
                </w:rPr>
              </m:ctrlPr>
            </m:fPr>
            <m:num>
              <m:r>
                <m:rPr>
                  <m:sty m:val="p"/>
                </m:rPr>
                <w:rPr>
                  <w:rStyle w:val="katex-mathml"/>
                  <w:rFonts w:ascii="Cambria Math" w:hAnsi="Cambria Math"/>
                </w:rPr>
                <m:t>13,781-3,489</m:t>
              </m:r>
            </m:num>
            <m:den>
              <m:r>
                <m:rPr>
                  <m:sty m:val="p"/>
                </m:rPr>
                <w:rPr>
                  <w:rStyle w:val="katex-mathml"/>
                  <w:rFonts w:ascii="Cambria Math" w:hAnsi="Cambria Math"/>
                </w:rPr>
                <m:t>20314</m:t>
              </m:r>
            </m:den>
          </m:f>
          <m:r>
            <m:rPr>
              <m:sty m:val="p"/>
            </m:rPr>
            <w:rPr>
              <w:rStyle w:val="katex-mathml"/>
              <w:rFonts w:ascii="Cambria Math" w:hAnsi="Cambria Math"/>
            </w:rPr>
            <m:t>≈</m:t>
          </m:r>
          <m:f>
            <m:fPr>
              <m:ctrlPr>
                <w:rPr>
                  <w:rStyle w:val="katex-mathml"/>
                  <w:rFonts w:ascii="Cambria Math" w:hAnsi="Cambria Math"/>
                </w:rPr>
              </m:ctrlPr>
            </m:fPr>
            <m:num>
              <m:r>
                <m:rPr>
                  <m:sty m:val="p"/>
                </m:rPr>
                <w:rPr>
                  <w:rStyle w:val="katex-mathml"/>
                  <w:rFonts w:ascii="Cambria Math" w:hAnsi="Cambria Math"/>
                </w:rPr>
                <m:t>10292</m:t>
              </m:r>
            </m:num>
            <m:den>
              <m:r>
                <m:rPr>
                  <m:sty m:val="p"/>
                </m:rPr>
                <w:rPr>
                  <w:rStyle w:val="katex-mathml"/>
                  <w:rFonts w:ascii="Cambria Math" w:hAnsi="Cambria Math"/>
                </w:rPr>
                <m:t>20314</m:t>
              </m:r>
            </m:den>
          </m:f>
          <m:r>
            <m:rPr>
              <m:sty m:val="p"/>
            </m:rPr>
            <w:rPr>
              <w:rStyle w:val="katex-mathml"/>
              <w:rFonts w:ascii="Cambria Math" w:hAnsi="Cambria Math"/>
            </w:rPr>
            <m:t>≈0.51</m:t>
          </m:r>
        </m:oMath>
      </m:oMathPara>
    </w:p>
    <w:p w14:paraId="7E9AA564"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Strong"/>
              <w:rFonts w:ascii="Cambria Math" w:hAnsi="Cambria Math"/>
            </w:rPr>
            <m:t>For 2021:</m:t>
          </m:r>
          <m:r>
            <m:rPr>
              <m:sty m:val="p"/>
            </m:rPr>
            <w:rPr>
              <w:rFonts w:ascii="Cambria Math" w:hAnsi="Cambria Math"/>
            </w:rPr>
            <m:t xml:space="preserve"> </m:t>
          </m:r>
          <m:r>
            <m:rPr>
              <m:sty m:val="p"/>
            </m:rPr>
            <w:rPr>
              <w:rStyle w:val="katex-mathml"/>
              <w:rFonts w:ascii="Cambria Math" w:hAnsi="Cambria Math"/>
            </w:rPr>
            <m:t>Quick Ratio=</m:t>
          </m:r>
          <m:f>
            <m:fPr>
              <m:ctrlPr>
                <w:rPr>
                  <w:rStyle w:val="katex-mathml"/>
                  <w:rFonts w:ascii="Cambria Math" w:hAnsi="Cambria Math"/>
                </w:rPr>
              </m:ctrlPr>
            </m:fPr>
            <m:num>
              <m:r>
                <m:rPr>
                  <m:sty m:val="p"/>
                </m:rPr>
                <w:rPr>
                  <w:rStyle w:val="katex-mathml"/>
                  <w:rFonts w:ascii="Cambria Math" w:hAnsi="Cambria Math"/>
                </w:rPr>
                <m:t>15,948-3,823</m:t>
              </m:r>
            </m:num>
            <m:den>
              <m:r>
                <m:rPr>
                  <m:sty m:val="p"/>
                </m:rPr>
                <w:rPr>
                  <w:rStyle w:val="katex-mathml"/>
                  <w:rFonts w:ascii="Cambria Math" w:hAnsi="Cambria Math"/>
                </w:rPr>
                <m:t>20969</m:t>
              </m:r>
            </m:den>
          </m:f>
          <m:r>
            <m:rPr>
              <m:sty m:val="p"/>
            </m:rPr>
            <w:rPr>
              <w:rStyle w:val="katex-mathml"/>
              <w:rFonts w:ascii="Cambria Math" w:hAnsi="Cambria Math"/>
            </w:rPr>
            <m:t>≈</m:t>
          </m:r>
          <m:f>
            <m:fPr>
              <m:ctrlPr>
                <w:rPr>
                  <w:rStyle w:val="katex-mathml"/>
                  <w:rFonts w:ascii="Cambria Math" w:hAnsi="Cambria Math"/>
                </w:rPr>
              </m:ctrlPr>
            </m:fPr>
            <m:num>
              <m:r>
                <m:rPr>
                  <m:sty m:val="p"/>
                </m:rPr>
                <w:rPr>
                  <w:rStyle w:val="katex-mathml"/>
                  <w:rFonts w:ascii="Cambria Math" w:hAnsi="Cambria Math"/>
                </w:rPr>
                <m:t>12125</m:t>
              </m:r>
            </m:num>
            <m:den>
              <m:r>
                <m:rPr>
                  <m:sty m:val="p"/>
                </m:rPr>
                <w:rPr>
                  <w:rStyle w:val="katex-mathml"/>
                  <w:rFonts w:ascii="Cambria Math" w:hAnsi="Cambria Math"/>
                </w:rPr>
                <m:t>20969</m:t>
              </m:r>
            </m:den>
          </m:f>
          <m:r>
            <m:rPr>
              <m:sty m:val="p"/>
            </m:rPr>
            <w:rPr>
              <w:rStyle w:val="katex-mathml"/>
              <w:rFonts w:ascii="Cambria Math" w:hAnsi="Cambria Math"/>
            </w:rPr>
            <m:t>≈0.58</m:t>
          </m:r>
        </m:oMath>
      </m:oMathPara>
    </w:p>
    <w:p w14:paraId="0DC7F181"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Strong"/>
              <w:rFonts w:ascii="Cambria Math" w:hAnsi="Cambria Math"/>
            </w:rPr>
            <m:t>For 2022:</m:t>
          </m:r>
          <m:r>
            <m:rPr>
              <m:sty m:val="p"/>
            </m:rPr>
            <w:rPr>
              <w:rFonts w:ascii="Cambria Math" w:hAnsi="Cambria Math"/>
            </w:rPr>
            <m:t xml:space="preserve"> </m:t>
          </m:r>
          <m:r>
            <m:rPr>
              <m:sty m:val="p"/>
            </m:rPr>
            <w:rPr>
              <w:rStyle w:val="katex-mathml"/>
              <w:rFonts w:ascii="Cambria Math" w:hAnsi="Cambria Math"/>
            </w:rPr>
            <m:t>Quick Ratio=</m:t>
          </m:r>
          <m:f>
            <m:fPr>
              <m:ctrlPr>
                <w:rPr>
                  <w:rStyle w:val="katex-mathml"/>
                  <w:rFonts w:ascii="Cambria Math" w:hAnsi="Cambria Math"/>
                </w:rPr>
              </m:ctrlPr>
            </m:fPr>
            <m:num>
              <m:r>
                <m:rPr>
                  <m:sty m:val="p"/>
                </m:rPr>
                <w:rPr>
                  <w:rStyle w:val="katex-mathml"/>
                  <w:rFonts w:ascii="Cambria Math" w:hAnsi="Cambria Math"/>
                </w:rPr>
                <m:t>16,218-4,015</m:t>
              </m:r>
            </m:num>
            <m:den>
              <m:r>
                <m:rPr>
                  <m:sty m:val="p"/>
                </m:rPr>
                <w:rPr>
                  <w:rStyle w:val="katex-mathml"/>
                  <w:rFonts w:ascii="Cambria Math" w:hAnsi="Cambria Math"/>
                </w:rPr>
                <m:t>22373</m:t>
              </m:r>
            </m:den>
          </m:f>
          <m:r>
            <m:rPr>
              <m:sty m:val="p"/>
            </m:rPr>
            <w:rPr>
              <w:rStyle w:val="katex-mathml"/>
              <w:rFonts w:ascii="Cambria Math" w:hAnsi="Cambria Math"/>
            </w:rPr>
            <m:t>≈</m:t>
          </m:r>
          <m:f>
            <m:fPr>
              <m:ctrlPr>
                <w:rPr>
                  <w:rStyle w:val="katex-mathml"/>
                  <w:rFonts w:ascii="Cambria Math" w:hAnsi="Cambria Math"/>
                </w:rPr>
              </m:ctrlPr>
            </m:fPr>
            <m:num>
              <m:r>
                <m:rPr>
                  <m:sty m:val="p"/>
                </m:rPr>
                <w:rPr>
                  <w:rStyle w:val="katex-mathml"/>
                  <w:rFonts w:ascii="Cambria Math" w:hAnsi="Cambria Math"/>
                </w:rPr>
                <m:t>12203</m:t>
              </m:r>
            </m:num>
            <m:den>
              <m:r>
                <m:rPr>
                  <m:sty m:val="p"/>
                </m:rPr>
                <w:rPr>
                  <w:rStyle w:val="katex-mathml"/>
                  <w:rFonts w:ascii="Cambria Math" w:hAnsi="Cambria Math"/>
                </w:rPr>
                <m:t>22373</m:t>
              </m:r>
            </m:den>
          </m:f>
          <m:r>
            <m:rPr>
              <m:sty m:val="p"/>
            </m:rPr>
            <w:rPr>
              <w:rStyle w:val="katex-mathml"/>
              <w:rFonts w:ascii="Cambria Math" w:hAnsi="Cambria Math"/>
            </w:rPr>
            <m:t>≈0.55</m:t>
          </m:r>
        </m:oMath>
      </m:oMathPara>
    </w:p>
    <w:p w14:paraId="4A88A539"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Strong"/>
              <w:rFonts w:ascii="Cambria Math" w:hAnsi="Cambria Math"/>
            </w:rPr>
            <m:t>For 2023:</m:t>
          </m:r>
          <m:r>
            <m:rPr>
              <m:sty m:val="p"/>
            </m:rPr>
            <w:rPr>
              <w:rFonts w:ascii="Cambria Math" w:hAnsi="Cambria Math"/>
            </w:rPr>
            <m:t xml:space="preserve"> </m:t>
          </m:r>
          <m:r>
            <m:rPr>
              <m:sty m:val="p"/>
            </m:rPr>
            <w:rPr>
              <w:rStyle w:val="katex-mathml"/>
              <w:rFonts w:ascii="Cambria Math" w:hAnsi="Cambria Math"/>
            </w:rPr>
            <m:t>Quick Ratio=</m:t>
          </m:r>
          <m:f>
            <m:fPr>
              <m:ctrlPr>
                <w:rPr>
                  <w:rStyle w:val="katex-mathml"/>
                  <w:rFonts w:ascii="Cambria Math" w:hAnsi="Cambria Math"/>
                </w:rPr>
              </m:ctrlPr>
            </m:fPr>
            <m:num>
              <m:r>
                <m:rPr>
                  <m:sty m:val="p"/>
                </m:rPr>
                <w:rPr>
                  <w:rStyle w:val="katex-mathml"/>
                  <w:rFonts w:ascii="Cambria Math" w:hAnsi="Cambria Math"/>
                </w:rPr>
                <m:t>16,980-4,198</m:t>
              </m:r>
            </m:num>
            <m:den>
              <m:r>
                <m:rPr>
                  <m:sty m:val="p"/>
                </m:rPr>
                <w:rPr>
                  <w:rStyle w:val="katex-mathml"/>
                  <w:rFonts w:ascii="Cambria Math" w:hAnsi="Cambria Math"/>
                </w:rPr>
                <m:t>21877</m:t>
              </m:r>
            </m:den>
          </m:f>
          <m:r>
            <m:rPr>
              <m:sty m:val="p"/>
            </m:rPr>
            <w:rPr>
              <w:rStyle w:val="katex-mathml"/>
              <w:rFonts w:ascii="Cambria Math" w:hAnsi="Cambria Math"/>
            </w:rPr>
            <m:t>≈</m:t>
          </m:r>
          <m:f>
            <m:fPr>
              <m:ctrlPr>
                <w:rPr>
                  <w:rStyle w:val="katex-mathml"/>
                  <w:rFonts w:ascii="Cambria Math" w:hAnsi="Cambria Math"/>
                </w:rPr>
              </m:ctrlPr>
            </m:fPr>
            <m:num>
              <m:r>
                <m:rPr>
                  <m:sty m:val="p"/>
                </m:rPr>
                <w:rPr>
                  <w:rStyle w:val="katex-mathml"/>
                  <w:rFonts w:ascii="Cambria Math" w:hAnsi="Cambria Math"/>
                </w:rPr>
                <m:t>12782</m:t>
              </m:r>
            </m:num>
            <m:den>
              <m:r>
                <m:rPr>
                  <m:sty m:val="p"/>
                </m:rPr>
                <w:rPr>
                  <w:rStyle w:val="katex-mathml"/>
                  <w:rFonts w:ascii="Cambria Math" w:hAnsi="Cambria Math"/>
                </w:rPr>
                <m:t>21877</m:t>
              </m:r>
            </m:den>
          </m:f>
          <m:r>
            <m:rPr>
              <m:sty m:val="p"/>
            </m:rPr>
            <w:rPr>
              <w:rStyle w:val="katex-mathml"/>
              <w:rFonts w:ascii="Cambria Math" w:hAnsi="Cambria Math"/>
            </w:rPr>
            <m:t>≈0.58</m:t>
          </m:r>
        </m:oMath>
      </m:oMathPara>
    </w:p>
    <w:p w14:paraId="52F77A04" w14:textId="77777777" w:rsidR="00A746D5" w:rsidRPr="00A746D5" w:rsidRDefault="00A746D5" w:rsidP="00A746D5">
      <w:pPr>
        <w:rPr>
          <w:rFonts w:eastAsiaTheme="minorEastAsia"/>
        </w:rPr>
      </w:pPr>
    </w:p>
    <w:p w14:paraId="7CA5C1DB" w14:textId="77777777" w:rsidR="00A746D5" w:rsidRPr="00D434DA" w:rsidRDefault="00A746D5" w:rsidP="00A746D5">
      <w:pPr>
        <w:spacing w:before="100" w:beforeAutospacing="1" w:after="100" w:afterAutospacing="1" w:line="360" w:lineRule="auto"/>
        <w:jc w:val="both"/>
        <w:outlineLvl w:val="3"/>
        <w:rPr>
          <w:rFonts w:ascii="Cambria Math" w:eastAsia="Times New Roman" w:hAnsi="Cambria Math" w:cs="Times New Roman"/>
          <w:sz w:val="24"/>
          <w:szCs w:val="24"/>
          <w:lang w:eastAsia="en-IN"/>
          <w:oMath/>
        </w:rPr>
      </w:pPr>
      <m:oMathPara>
        <m:oMathParaPr>
          <m:jc m:val="left"/>
        </m:oMathParaPr>
        <m:oMath>
          <m:r>
            <m:rPr>
              <m:sty m:val="b"/>
            </m:rPr>
            <w:rPr>
              <w:rFonts w:ascii="Cambria Math" w:eastAsia="Times New Roman" w:hAnsi="Cambria Math" w:cs="Times New Roman"/>
              <w:sz w:val="24"/>
              <w:szCs w:val="24"/>
              <w:lang w:eastAsia="en-IN"/>
            </w:rPr>
            <m:t>For 2019:</m:t>
          </m:r>
        </m:oMath>
      </m:oMathPara>
    </w:p>
    <w:p w14:paraId="7E0AE7A4" w14:textId="77777777" w:rsidR="00A746D5" w:rsidRPr="00D434DA" w:rsidRDefault="00A746D5" w:rsidP="00A746D5">
      <w:pPr>
        <w:spacing w:before="100" w:beforeAutospacing="1" w:after="100" w:afterAutospacing="1" w:line="360" w:lineRule="auto"/>
        <w:jc w:val="both"/>
        <w:rPr>
          <w:rFonts w:ascii="Cambria Math" w:eastAsia="Times New Roman" w:hAnsi="Cambria Math" w:cs="Times New Roman"/>
          <w:sz w:val="24"/>
          <w:szCs w:val="24"/>
          <w:lang w:eastAsia="en-IN"/>
          <w:oMath/>
        </w:rPr>
      </w:pPr>
      <m:oMathPara>
        <m:oMathParaPr>
          <m:jc m:val="left"/>
        </m:oMathParaPr>
        <m:oMath>
          <m:r>
            <m:rPr>
              <m:sty m:val="p"/>
            </m:rPr>
            <w:rPr>
              <w:rFonts w:ascii="Cambria Math" w:eastAsia="Times New Roman" w:hAnsi="Cambria Math" w:cs="Times New Roman"/>
              <w:sz w:val="24"/>
              <w:szCs w:val="24"/>
              <w:lang w:eastAsia="en-IN"/>
            </w:rPr>
            <m:t>Debt-to-Equity Ratio=</m:t>
          </m:r>
          <m:f>
            <m:fPr>
              <m:ctrlPr>
                <w:rPr>
                  <w:rFonts w:ascii="Cambria Math" w:eastAsia="Times New Roman" w:hAnsi="Cambria Math" w:cs="Times New Roman"/>
                  <w:sz w:val="24"/>
                  <w:szCs w:val="24"/>
                  <w:lang w:eastAsia="en-IN"/>
                </w:rPr>
              </m:ctrlPr>
            </m:fPr>
            <m:num>
              <m:r>
                <m:rPr>
                  <m:sty m:val="p"/>
                </m:rPr>
                <w:rPr>
                  <w:rFonts w:ascii="Cambria Math" w:eastAsia="Times New Roman" w:hAnsi="Cambria Math" w:cs="Times New Roman"/>
                  <w:sz w:val="24"/>
                  <w:szCs w:val="24"/>
                  <w:lang w:eastAsia="en-IN"/>
                </w:rPr>
                <m:t>25689</m:t>
              </m:r>
            </m:num>
            <m:den>
              <m:r>
                <m:rPr>
                  <m:sty m:val="p"/>
                </m:rPr>
                <w:rPr>
                  <w:rFonts w:ascii="Cambria Math" w:eastAsia="Times New Roman" w:hAnsi="Cambria Math" w:cs="Times New Roman"/>
                  <w:sz w:val="24"/>
                  <w:szCs w:val="24"/>
                  <w:lang w:eastAsia="en-IN"/>
                </w:rPr>
                <m:t>18456</m:t>
              </m:r>
            </m:den>
          </m:f>
          <m:r>
            <m:rPr>
              <m:sty m:val="p"/>
            </m:rPr>
            <w:rPr>
              <w:rFonts w:ascii="Cambria Math" w:eastAsia="Times New Roman" w:hAnsi="Cambria Math" w:cs="Times New Roman"/>
              <w:sz w:val="24"/>
              <w:szCs w:val="24"/>
              <w:lang w:eastAsia="en-IN"/>
            </w:rPr>
            <m:t>≈1.39</m:t>
          </m:r>
        </m:oMath>
      </m:oMathPara>
    </w:p>
    <w:p w14:paraId="03656CCD" w14:textId="77777777" w:rsidR="00A746D5" w:rsidRPr="00D434DA" w:rsidRDefault="00A746D5" w:rsidP="00A746D5">
      <w:pPr>
        <w:spacing w:before="100" w:beforeAutospacing="1" w:after="100" w:afterAutospacing="1" w:line="360" w:lineRule="auto"/>
        <w:jc w:val="both"/>
        <w:outlineLvl w:val="3"/>
        <w:rPr>
          <w:rFonts w:ascii="Cambria Math" w:eastAsia="Times New Roman" w:hAnsi="Cambria Math" w:cs="Times New Roman"/>
          <w:sz w:val="24"/>
          <w:szCs w:val="24"/>
          <w:lang w:eastAsia="en-IN"/>
          <w:oMath/>
        </w:rPr>
      </w:pPr>
      <m:oMathPara>
        <m:oMathParaPr>
          <m:jc m:val="left"/>
        </m:oMathParaPr>
        <m:oMath>
          <m:r>
            <m:rPr>
              <m:sty m:val="b"/>
            </m:rPr>
            <w:rPr>
              <w:rFonts w:ascii="Cambria Math" w:eastAsia="Times New Roman" w:hAnsi="Cambria Math" w:cs="Times New Roman"/>
              <w:sz w:val="24"/>
              <w:szCs w:val="24"/>
              <w:lang w:eastAsia="en-IN"/>
            </w:rPr>
            <m:t>For 2020:</m:t>
          </m:r>
        </m:oMath>
      </m:oMathPara>
    </w:p>
    <w:p w14:paraId="650BAF70" w14:textId="77777777" w:rsidR="00A746D5" w:rsidRPr="00D434DA" w:rsidRDefault="00A746D5" w:rsidP="00A746D5">
      <w:pPr>
        <w:spacing w:before="100" w:beforeAutospacing="1" w:after="100" w:afterAutospacing="1" w:line="360" w:lineRule="auto"/>
        <w:jc w:val="both"/>
        <w:rPr>
          <w:rFonts w:ascii="Cambria Math" w:eastAsia="Times New Roman" w:hAnsi="Cambria Math" w:cs="Times New Roman"/>
          <w:sz w:val="24"/>
          <w:szCs w:val="24"/>
          <w:lang w:eastAsia="en-IN"/>
          <w:oMath/>
        </w:rPr>
      </w:pPr>
      <m:oMathPara>
        <m:oMathParaPr>
          <m:jc m:val="left"/>
        </m:oMathParaPr>
        <m:oMath>
          <m:r>
            <m:rPr>
              <m:sty m:val="p"/>
            </m:rPr>
            <w:rPr>
              <w:rFonts w:ascii="Cambria Math" w:eastAsia="Times New Roman" w:hAnsi="Cambria Math" w:cs="Times New Roman"/>
              <w:sz w:val="24"/>
              <w:szCs w:val="24"/>
              <w:lang w:eastAsia="en-IN"/>
            </w:rPr>
            <m:t>Debt-to-Equity Ratio=</m:t>
          </m:r>
          <m:f>
            <m:fPr>
              <m:ctrlPr>
                <w:rPr>
                  <w:rFonts w:ascii="Cambria Math" w:eastAsia="Times New Roman" w:hAnsi="Cambria Math" w:cs="Times New Roman"/>
                  <w:sz w:val="24"/>
                  <w:szCs w:val="24"/>
                  <w:lang w:eastAsia="en-IN"/>
                </w:rPr>
              </m:ctrlPr>
            </m:fPr>
            <m:num>
              <m:r>
                <m:rPr>
                  <m:sty m:val="p"/>
                </m:rPr>
                <w:rPr>
                  <w:rFonts w:ascii="Cambria Math" w:eastAsia="Times New Roman" w:hAnsi="Cambria Math" w:cs="Times New Roman"/>
                  <w:sz w:val="24"/>
                  <w:szCs w:val="24"/>
                  <w:lang w:eastAsia="en-IN"/>
                </w:rPr>
                <m:t>28123</m:t>
              </m:r>
            </m:num>
            <m:den>
              <m:r>
                <m:rPr>
                  <m:sty m:val="p"/>
                </m:rPr>
                <w:rPr>
                  <w:rFonts w:ascii="Cambria Math" w:eastAsia="Times New Roman" w:hAnsi="Cambria Math" w:cs="Times New Roman"/>
                  <w:sz w:val="24"/>
                  <w:szCs w:val="24"/>
                  <w:lang w:eastAsia="en-IN"/>
                </w:rPr>
                <m:t>18034</m:t>
              </m:r>
            </m:den>
          </m:f>
          <m:r>
            <m:rPr>
              <m:sty m:val="p"/>
            </m:rPr>
            <w:rPr>
              <w:rFonts w:ascii="Cambria Math" w:eastAsia="Times New Roman" w:hAnsi="Cambria Math" w:cs="Times New Roman"/>
              <w:sz w:val="24"/>
              <w:szCs w:val="24"/>
              <w:lang w:eastAsia="en-IN"/>
            </w:rPr>
            <m:t>≈1.56</m:t>
          </m:r>
        </m:oMath>
      </m:oMathPara>
    </w:p>
    <w:p w14:paraId="0C565A05" w14:textId="77777777" w:rsidR="00A746D5" w:rsidRPr="00D434DA" w:rsidRDefault="00A746D5" w:rsidP="00A746D5">
      <w:pPr>
        <w:spacing w:before="100" w:beforeAutospacing="1" w:after="100" w:afterAutospacing="1" w:line="360" w:lineRule="auto"/>
        <w:jc w:val="both"/>
        <w:outlineLvl w:val="3"/>
        <w:rPr>
          <w:rFonts w:ascii="Cambria Math" w:eastAsia="Times New Roman" w:hAnsi="Cambria Math" w:cs="Times New Roman"/>
          <w:sz w:val="24"/>
          <w:szCs w:val="24"/>
          <w:lang w:eastAsia="en-IN"/>
          <w:oMath/>
        </w:rPr>
      </w:pPr>
      <m:oMathPara>
        <m:oMathParaPr>
          <m:jc m:val="left"/>
        </m:oMathParaPr>
        <m:oMath>
          <m:r>
            <m:rPr>
              <m:sty m:val="b"/>
            </m:rPr>
            <w:rPr>
              <w:rFonts w:ascii="Cambria Math" w:eastAsia="Times New Roman" w:hAnsi="Cambria Math" w:cs="Times New Roman"/>
              <w:sz w:val="24"/>
              <w:szCs w:val="24"/>
              <w:lang w:eastAsia="en-IN"/>
            </w:rPr>
            <m:t>For 2021:</m:t>
          </m:r>
        </m:oMath>
      </m:oMathPara>
    </w:p>
    <w:p w14:paraId="67C82EBB" w14:textId="77777777" w:rsidR="00A746D5" w:rsidRPr="00D434DA" w:rsidRDefault="00A746D5" w:rsidP="00A746D5">
      <w:pPr>
        <w:spacing w:before="100" w:beforeAutospacing="1" w:after="100" w:afterAutospacing="1" w:line="360" w:lineRule="auto"/>
        <w:jc w:val="both"/>
        <w:rPr>
          <w:rFonts w:ascii="Cambria Math" w:eastAsia="Times New Roman" w:hAnsi="Cambria Math" w:cs="Times New Roman"/>
          <w:sz w:val="24"/>
          <w:szCs w:val="24"/>
          <w:lang w:eastAsia="en-IN"/>
          <w:oMath/>
        </w:rPr>
      </w:pPr>
      <m:oMathPara>
        <m:oMathParaPr>
          <m:jc m:val="left"/>
        </m:oMathParaPr>
        <m:oMath>
          <m:r>
            <m:rPr>
              <m:sty m:val="p"/>
            </m:rPr>
            <w:rPr>
              <w:rFonts w:ascii="Cambria Math" w:eastAsia="Times New Roman" w:hAnsi="Cambria Math" w:cs="Times New Roman"/>
              <w:sz w:val="24"/>
              <w:szCs w:val="24"/>
              <w:lang w:eastAsia="en-IN"/>
            </w:rPr>
            <w:lastRenderedPageBreak/>
            <m:t>Debt-to-Equity Ratio=</m:t>
          </m:r>
          <m:f>
            <m:fPr>
              <m:ctrlPr>
                <w:rPr>
                  <w:rFonts w:ascii="Cambria Math" w:eastAsia="Times New Roman" w:hAnsi="Cambria Math" w:cs="Times New Roman"/>
                  <w:sz w:val="24"/>
                  <w:szCs w:val="24"/>
                  <w:lang w:eastAsia="en-IN"/>
                </w:rPr>
              </m:ctrlPr>
            </m:fPr>
            <m:num>
              <m:r>
                <m:rPr>
                  <m:sty m:val="p"/>
                </m:rPr>
                <w:rPr>
                  <w:rFonts w:ascii="Cambria Math" w:eastAsia="Times New Roman" w:hAnsi="Cambria Math" w:cs="Times New Roman"/>
                  <w:sz w:val="24"/>
                  <w:szCs w:val="24"/>
                  <w:lang w:eastAsia="en-IN"/>
                </w:rPr>
                <m:t>27902</m:t>
              </m:r>
            </m:num>
            <m:den>
              <m:r>
                <m:rPr>
                  <m:sty m:val="p"/>
                </m:rPr>
                <w:rPr>
                  <w:rFonts w:ascii="Cambria Math" w:eastAsia="Times New Roman" w:hAnsi="Cambria Math" w:cs="Times New Roman"/>
                  <w:sz w:val="24"/>
                  <w:szCs w:val="24"/>
                  <w:lang w:eastAsia="en-IN"/>
                </w:rPr>
                <m:t>17821</m:t>
              </m:r>
            </m:den>
          </m:f>
          <m:r>
            <m:rPr>
              <m:sty m:val="p"/>
            </m:rPr>
            <w:rPr>
              <w:rFonts w:ascii="Cambria Math" w:eastAsia="Times New Roman" w:hAnsi="Cambria Math" w:cs="Times New Roman"/>
              <w:sz w:val="24"/>
              <w:szCs w:val="24"/>
              <w:lang w:eastAsia="en-IN"/>
            </w:rPr>
            <m:t>≈1.57</m:t>
          </m:r>
        </m:oMath>
      </m:oMathPara>
    </w:p>
    <w:p w14:paraId="05B5AFA0" w14:textId="77777777" w:rsidR="00A746D5" w:rsidRPr="00D434DA" w:rsidRDefault="00A746D5" w:rsidP="00A746D5">
      <w:pPr>
        <w:spacing w:before="100" w:beforeAutospacing="1" w:after="100" w:afterAutospacing="1" w:line="360" w:lineRule="auto"/>
        <w:jc w:val="both"/>
        <w:outlineLvl w:val="3"/>
        <w:rPr>
          <w:rFonts w:ascii="Cambria Math" w:eastAsia="Times New Roman" w:hAnsi="Cambria Math" w:cs="Times New Roman"/>
          <w:sz w:val="24"/>
          <w:szCs w:val="24"/>
          <w:lang w:eastAsia="en-IN"/>
          <w:oMath/>
        </w:rPr>
      </w:pPr>
      <m:oMathPara>
        <m:oMathParaPr>
          <m:jc m:val="left"/>
        </m:oMathParaPr>
        <m:oMath>
          <m:r>
            <m:rPr>
              <m:sty m:val="b"/>
            </m:rPr>
            <w:rPr>
              <w:rFonts w:ascii="Cambria Math" w:eastAsia="Times New Roman" w:hAnsi="Cambria Math" w:cs="Times New Roman"/>
              <w:sz w:val="24"/>
              <w:szCs w:val="24"/>
              <w:lang w:eastAsia="en-IN"/>
            </w:rPr>
            <m:t>For 2022:</m:t>
          </m:r>
        </m:oMath>
      </m:oMathPara>
    </w:p>
    <w:p w14:paraId="261F51FC" w14:textId="77777777" w:rsidR="00A746D5" w:rsidRPr="00D434DA" w:rsidRDefault="00A746D5" w:rsidP="00A746D5">
      <w:pPr>
        <w:spacing w:before="100" w:beforeAutospacing="1" w:after="100" w:afterAutospacing="1" w:line="360" w:lineRule="auto"/>
        <w:jc w:val="both"/>
        <w:rPr>
          <w:rFonts w:ascii="Cambria Math" w:eastAsia="Times New Roman" w:hAnsi="Cambria Math" w:cs="Times New Roman"/>
          <w:sz w:val="24"/>
          <w:szCs w:val="24"/>
          <w:lang w:eastAsia="en-IN"/>
          <w:oMath/>
        </w:rPr>
      </w:pPr>
      <m:oMathPara>
        <m:oMathParaPr>
          <m:jc m:val="left"/>
        </m:oMathParaPr>
        <m:oMath>
          <m:r>
            <m:rPr>
              <m:sty m:val="p"/>
            </m:rPr>
            <w:rPr>
              <w:rFonts w:ascii="Cambria Math" w:eastAsia="Times New Roman" w:hAnsi="Cambria Math" w:cs="Times New Roman"/>
              <w:sz w:val="24"/>
              <w:szCs w:val="24"/>
              <w:lang w:eastAsia="en-IN"/>
            </w:rPr>
            <m:t>Debt-to-Equity Ratio=</m:t>
          </m:r>
          <m:f>
            <m:fPr>
              <m:ctrlPr>
                <w:rPr>
                  <w:rFonts w:ascii="Cambria Math" w:eastAsia="Times New Roman" w:hAnsi="Cambria Math" w:cs="Times New Roman"/>
                  <w:sz w:val="24"/>
                  <w:szCs w:val="24"/>
                  <w:lang w:eastAsia="en-IN"/>
                </w:rPr>
              </m:ctrlPr>
            </m:fPr>
            <m:num>
              <m:r>
                <m:rPr>
                  <m:sty m:val="p"/>
                </m:rPr>
                <w:rPr>
                  <w:rFonts w:ascii="Cambria Math" w:eastAsia="Times New Roman" w:hAnsi="Cambria Math" w:cs="Times New Roman"/>
                  <w:sz w:val="24"/>
                  <w:szCs w:val="24"/>
                  <w:lang w:eastAsia="en-IN"/>
                </w:rPr>
                <m:t>28473</m:t>
              </m:r>
            </m:num>
            <m:den>
              <m:r>
                <m:rPr>
                  <m:sty m:val="p"/>
                </m:rPr>
                <w:rPr>
                  <w:rFonts w:ascii="Cambria Math" w:eastAsia="Times New Roman" w:hAnsi="Cambria Math" w:cs="Times New Roman"/>
                  <w:sz w:val="24"/>
                  <w:szCs w:val="24"/>
                  <w:lang w:eastAsia="en-IN"/>
                </w:rPr>
                <m:t>18539</m:t>
              </m:r>
            </m:den>
          </m:f>
          <m:r>
            <m:rPr>
              <m:sty m:val="p"/>
            </m:rPr>
            <w:rPr>
              <w:rFonts w:ascii="Cambria Math" w:eastAsia="Times New Roman" w:hAnsi="Cambria Math" w:cs="Times New Roman"/>
              <w:sz w:val="24"/>
              <w:szCs w:val="24"/>
              <w:lang w:eastAsia="en-IN"/>
            </w:rPr>
            <m:t>≈1.54</m:t>
          </m:r>
        </m:oMath>
      </m:oMathPara>
    </w:p>
    <w:p w14:paraId="1A99079E" w14:textId="77777777" w:rsidR="00A746D5" w:rsidRPr="00D434DA" w:rsidRDefault="00A746D5" w:rsidP="00A746D5">
      <w:pPr>
        <w:spacing w:before="100" w:beforeAutospacing="1" w:after="100" w:afterAutospacing="1" w:line="360" w:lineRule="auto"/>
        <w:jc w:val="both"/>
        <w:outlineLvl w:val="3"/>
        <w:rPr>
          <w:rFonts w:ascii="Cambria Math" w:eastAsia="Times New Roman" w:hAnsi="Cambria Math" w:cs="Times New Roman"/>
          <w:sz w:val="24"/>
          <w:szCs w:val="24"/>
          <w:lang w:eastAsia="en-IN"/>
          <w:oMath/>
        </w:rPr>
      </w:pPr>
      <m:oMathPara>
        <m:oMathParaPr>
          <m:jc m:val="left"/>
        </m:oMathParaPr>
        <m:oMath>
          <m:r>
            <m:rPr>
              <m:sty m:val="b"/>
            </m:rPr>
            <w:rPr>
              <w:rFonts w:ascii="Cambria Math" w:eastAsia="Times New Roman" w:hAnsi="Cambria Math" w:cs="Times New Roman"/>
              <w:sz w:val="24"/>
              <w:szCs w:val="24"/>
              <w:lang w:eastAsia="en-IN"/>
            </w:rPr>
            <m:t>For 2023:</m:t>
          </m:r>
        </m:oMath>
      </m:oMathPara>
    </w:p>
    <w:p w14:paraId="7BC5EE6B" w14:textId="77777777" w:rsidR="00A746D5" w:rsidRPr="00D434DA" w:rsidRDefault="00A746D5" w:rsidP="00A746D5">
      <w:pPr>
        <w:spacing w:before="100" w:beforeAutospacing="1" w:after="100" w:afterAutospacing="1" w:line="360" w:lineRule="auto"/>
        <w:jc w:val="both"/>
        <w:rPr>
          <w:rFonts w:ascii="Cambria Math" w:eastAsia="Times New Roman" w:hAnsi="Cambria Math" w:cs="Times New Roman"/>
          <w:sz w:val="24"/>
          <w:szCs w:val="24"/>
          <w:lang w:eastAsia="en-IN"/>
          <w:oMath/>
        </w:rPr>
      </w:pPr>
      <m:oMathPara>
        <m:oMathParaPr>
          <m:jc m:val="left"/>
        </m:oMathParaPr>
        <m:oMath>
          <m:r>
            <m:rPr>
              <m:sty m:val="p"/>
            </m:rPr>
            <w:rPr>
              <w:rFonts w:ascii="Cambria Math" w:eastAsia="Times New Roman" w:hAnsi="Cambria Math" w:cs="Times New Roman"/>
              <w:sz w:val="24"/>
              <w:szCs w:val="24"/>
              <w:lang w:eastAsia="en-IN"/>
            </w:rPr>
            <m:t>Debt-to-Equity Ratio=</m:t>
          </m:r>
          <m:f>
            <m:fPr>
              <m:ctrlPr>
                <w:rPr>
                  <w:rFonts w:ascii="Cambria Math" w:eastAsia="Times New Roman" w:hAnsi="Cambria Math" w:cs="Times New Roman"/>
                  <w:sz w:val="24"/>
                  <w:szCs w:val="24"/>
                  <w:lang w:eastAsia="en-IN"/>
                </w:rPr>
              </m:ctrlPr>
            </m:fPr>
            <m:num>
              <m:r>
                <m:rPr>
                  <m:sty m:val="p"/>
                </m:rPr>
                <w:rPr>
                  <w:rFonts w:ascii="Cambria Math" w:eastAsia="Times New Roman" w:hAnsi="Cambria Math" w:cs="Times New Roman"/>
                  <w:sz w:val="24"/>
                  <w:szCs w:val="24"/>
                  <w:lang w:eastAsia="en-IN"/>
                </w:rPr>
                <m:t>29276</m:t>
              </m:r>
            </m:num>
            <m:den>
              <m:r>
                <m:rPr>
                  <m:sty m:val="p"/>
                </m:rPr>
                <w:rPr>
                  <w:rFonts w:ascii="Cambria Math" w:eastAsia="Times New Roman" w:hAnsi="Cambria Math" w:cs="Times New Roman"/>
                  <w:sz w:val="24"/>
                  <w:szCs w:val="24"/>
                  <w:lang w:eastAsia="en-IN"/>
                </w:rPr>
                <m:t>19028</m:t>
              </m:r>
            </m:den>
          </m:f>
          <m:r>
            <m:rPr>
              <m:sty m:val="p"/>
            </m:rPr>
            <w:rPr>
              <w:rFonts w:ascii="Cambria Math" w:eastAsia="Times New Roman" w:hAnsi="Cambria Math" w:cs="Times New Roman"/>
              <w:sz w:val="24"/>
              <w:szCs w:val="24"/>
              <w:lang w:eastAsia="en-IN"/>
            </w:rPr>
            <m:t>≈1.54</m:t>
          </m:r>
        </m:oMath>
      </m:oMathPara>
    </w:p>
    <w:p w14:paraId="773760DB" w14:textId="77777777" w:rsidR="00A746D5" w:rsidRPr="00A746D5" w:rsidRDefault="00A746D5" w:rsidP="00A746D5">
      <w:pPr>
        <w:rPr>
          <w:rFonts w:eastAsiaTheme="minorEastAsia"/>
        </w:rPr>
      </w:pPr>
    </w:p>
    <w:p w14:paraId="680344E9" w14:textId="77777777" w:rsidR="00A746D5" w:rsidRPr="00D434DA" w:rsidRDefault="00A746D5" w:rsidP="00A746D5">
      <w:pPr>
        <w:pStyle w:val="Heading4"/>
        <w:spacing w:line="360" w:lineRule="auto"/>
        <w:jc w:val="both"/>
        <w:rPr>
          <w:rFonts w:ascii="Cambria Math" w:hAnsi="Cambria Math"/>
          <w:oMath/>
        </w:rPr>
      </w:pPr>
      <m:oMathPara>
        <m:oMathParaPr>
          <m:jc m:val="left"/>
        </m:oMathParaPr>
        <m:oMath>
          <m:r>
            <m:rPr>
              <m:sty m:val="b"/>
            </m:rPr>
            <w:rPr>
              <w:rFonts w:ascii="Cambria Math" w:hAnsi="Cambria Math"/>
            </w:rPr>
            <m:t>For 2019:</m:t>
          </m:r>
        </m:oMath>
      </m:oMathPara>
    </w:p>
    <w:p w14:paraId="6077952E"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katex-mathml"/>
              <w:rFonts w:ascii="Cambria Math" w:hAnsi="Cambria Math"/>
            </w:rPr>
            <m:t>Interest Coverage Ratio=</m:t>
          </m:r>
          <m:f>
            <m:fPr>
              <m:ctrlPr>
                <w:rPr>
                  <w:rStyle w:val="katex-mathml"/>
                  <w:rFonts w:ascii="Cambria Math" w:hAnsi="Cambria Math"/>
                </w:rPr>
              </m:ctrlPr>
            </m:fPr>
            <m:num>
              <m:r>
                <m:rPr>
                  <m:sty m:val="p"/>
                </m:rPr>
                <w:rPr>
                  <w:rStyle w:val="katex-mathml"/>
                  <w:rFonts w:ascii="Cambria Math" w:hAnsi="Cambria Math"/>
                </w:rPr>
                <m:t>9263</m:t>
              </m:r>
            </m:num>
            <m:den>
              <m:r>
                <m:rPr>
                  <m:sty m:val="p"/>
                </m:rPr>
                <w:rPr>
                  <w:rStyle w:val="katex-mathml"/>
                  <w:rFonts w:ascii="Cambria Math" w:hAnsi="Cambria Math"/>
                </w:rPr>
                <m:t>737</m:t>
              </m:r>
            </m:den>
          </m:f>
          <m:r>
            <m:rPr>
              <m:sty m:val="p"/>
            </m:rPr>
            <w:rPr>
              <w:rStyle w:val="katex-mathml"/>
              <w:rFonts w:ascii="Cambria Math" w:hAnsi="Cambria Math"/>
            </w:rPr>
            <m:t>≈12.57</m:t>
          </m:r>
        </m:oMath>
      </m:oMathPara>
    </w:p>
    <w:p w14:paraId="66A2ED2F" w14:textId="77777777" w:rsidR="00A746D5" w:rsidRPr="00D434DA" w:rsidRDefault="00A746D5" w:rsidP="00A746D5">
      <w:pPr>
        <w:pStyle w:val="Heading4"/>
        <w:spacing w:line="360" w:lineRule="auto"/>
        <w:jc w:val="both"/>
        <w:rPr>
          <w:rFonts w:ascii="Cambria Math" w:hAnsi="Cambria Math"/>
          <w:oMath/>
        </w:rPr>
      </w:pPr>
      <m:oMathPara>
        <m:oMathParaPr>
          <m:jc m:val="left"/>
        </m:oMathParaPr>
        <m:oMath>
          <m:r>
            <m:rPr>
              <m:sty m:val="b"/>
            </m:rPr>
            <w:rPr>
              <w:rFonts w:ascii="Cambria Math" w:hAnsi="Cambria Math"/>
            </w:rPr>
            <m:t>For 2020:</m:t>
          </m:r>
        </m:oMath>
      </m:oMathPara>
    </w:p>
    <w:p w14:paraId="13721E5C"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katex-mathml"/>
              <w:rFonts w:ascii="Cambria Math" w:hAnsi="Cambria Math"/>
            </w:rPr>
            <m:t>Interest Coverage Ratio=</m:t>
          </m:r>
          <m:f>
            <m:fPr>
              <m:ctrlPr>
                <w:rPr>
                  <w:rStyle w:val="katex-mathml"/>
                  <w:rFonts w:ascii="Cambria Math" w:hAnsi="Cambria Math"/>
                </w:rPr>
              </m:ctrlPr>
            </m:fPr>
            <m:num>
              <m:r>
                <m:rPr>
                  <m:sty m:val="p"/>
                </m:rPr>
                <w:rPr>
                  <w:rStyle w:val="katex-mathml"/>
                  <w:rFonts w:ascii="Cambria Math" w:hAnsi="Cambria Math"/>
                </w:rPr>
                <m:t>8974</m:t>
              </m:r>
            </m:num>
            <m:den>
              <m:r>
                <m:rPr>
                  <m:sty m:val="p"/>
                </m:rPr>
                <w:rPr>
                  <w:rStyle w:val="katex-mathml"/>
                  <w:rFonts w:ascii="Cambria Math" w:hAnsi="Cambria Math"/>
                </w:rPr>
                <m:t>865</m:t>
              </m:r>
            </m:den>
          </m:f>
          <m:r>
            <m:rPr>
              <m:sty m:val="p"/>
            </m:rPr>
            <w:rPr>
              <w:rStyle w:val="katex-mathml"/>
              <w:rFonts w:ascii="Cambria Math" w:hAnsi="Cambria Math"/>
            </w:rPr>
            <m:t>≈10.37</m:t>
          </m:r>
        </m:oMath>
      </m:oMathPara>
    </w:p>
    <w:p w14:paraId="1C0373AF" w14:textId="77777777" w:rsidR="00A746D5" w:rsidRPr="00D434DA" w:rsidRDefault="00A746D5" w:rsidP="00A746D5">
      <w:pPr>
        <w:pStyle w:val="Heading4"/>
        <w:spacing w:line="360" w:lineRule="auto"/>
        <w:jc w:val="both"/>
        <w:rPr>
          <w:rFonts w:ascii="Cambria Math" w:hAnsi="Cambria Math"/>
          <w:oMath/>
        </w:rPr>
      </w:pPr>
      <m:oMathPara>
        <m:oMathParaPr>
          <m:jc m:val="left"/>
        </m:oMathParaPr>
        <m:oMath>
          <m:r>
            <m:rPr>
              <m:sty m:val="b"/>
            </m:rPr>
            <w:rPr>
              <w:rFonts w:ascii="Cambria Math" w:hAnsi="Cambria Math"/>
            </w:rPr>
            <m:t>For 2021:</m:t>
          </m:r>
        </m:oMath>
      </m:oMathPara>
    </w:p>
    <w:p w14:paraId="4B79C642"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katex-mathml"/>
              <w:rFonts w:ascii="Cambria Math" w:hAnsi="Cambria Math"/>
            </w:rPr>
            <m:t>Interest Coverage Ratio=</m:t>
          </m:r>
          <m:f>
            <m:fPr>
              <m:ctrlPr>
                <w:rPr>
                  <w:rStyle w:val="katex-mathml"/>
                  <w:rFonts w:ascii="Cambria Math" w:hAnsi="Cambria Math"/>
                </w:rPr>
              </m:ctrlPr>
            </m:fPr>
            <m:num>
              <m:r>
                <m:rPr>
                  <m:sty m:val="p"/>
                </m:rPr>
                <w:rPr>
                  <w:rStyle w:val="katex-mathml"/>
                  <w:rFonts w:ascii="Cambria Math" w:hAnsi="Cambria Math"/>
                </w:rPr>
                <m:t>9365</m:t>
              </m:r>
            </m:num>
            <m:den>
              <m:r>
                <m:rPr>
                  <m:sty m:val="p"/>
                </m:rPr>
                <w:rPr>
                  <w:rStyle w:val="katex-mathml"/>
                  <w:rFonts w:ascii="Cambria Math" w:hAnsi="Cambria Math"/>
                </w:rPr>
                <m:t>903</m:t>
              </m:r>
            </m:den>
          </m:f>
          <m:r>
            <m:rPr>
              <m:sty m:val="p"/>
            </m:rPr>
            <w:rPr>
              <w:rStyle w:val="katex-mathml"/>
              <w:rFonts w:ascii="Cambria Math" w:hAnsi="Cambria Math"/>
            </w:rPr>
            <m:t>≈10.37</m:t>
          </m:r>
        </m:oMath>
      </m:oMathPara>
    </w:p>
    <w:p w14:paraId="19B7A8F9" w14:textId="77777777" w:rsidR="00A746D5" w:rsidRPr="00D434DA" w:rsidRDefault="00A746D5" w:rsidP="00A746D5">
      <w:pPr>
        <w:pStyle w:val="Heading4"/>
        <w:spacing w:line="360" w:lineRule="auto"/>
        <w:jc w:val="both"/>
        <w:rPr>
          <w:rFonts w:ascii="Cambria Math" w:hAnsi="Cambria Math"/>
          <w:oMath/>
        </w:rPr>
      </w:pPr>
      <m:oMathPara>
        <m:oMathParaPr>
          <m:jc m:val="left"/>
        </m:oMathParaPr>
        <m:oMath>
          <m:r>
            <m:rPr>
              <m:sty m:val="b"/>
            </m:rPr>
            <w:rPr>
              <w:rFonts w:ascii="Cambria Math" w:hAnsi="Cambria Math"/>
            </w:rPr>
            <m:t>For 2022:</m:t>
          </m:r>
        </m:oMath>
      </m:oMathPara>
    </w:p>
    <w:p w14:paraId="35DA0783"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katex-mathml"/>
              <w:rFonts w:ascii="Cambria Math" w:hAnsi="Cambria Math"/>
            </w:rPr>
            <m:t>Interest Coverage Ratio=</m:t>
          </m:r>
          <m:f>
            <m:fPr>
              <m:ctrlPr>
                <w:rPr>
                  <w:rStyle w:val="katex-mathml"/>
                  <w:rFonts w:ascii="Cambria Math" w:hAnsi="Cambria Math"/>
                </w:rPr>
              </m:ctrlPr>
            </m:fPr>
            <m:num>
              <m:r>
                <m:rPr>
                  <m:sty m:val="p"/>
                </m:rPr>
                <w:rPr>
                  <w:rStyle w:val="katex-mathml"/>
                  <w:rFonts w:ascii="Cambria Math" w:hAnsi="Cambria Math"/>
                </w:rPr>
                <m:t>9832</m:t>
              </m:r>
            </m:num>
            <m:den>
              <m:r>
                <m:rPr>
                  <m:sty m:val="p"/>
                </m:rPr>
                <w:rPr>
                  <w:rStyle w:val="katex-mathml"/>
                  <w:rFonts w:ascii="Cambria Math" w:hAnsi="Cambria Math"/>
                </w:rPr>
                <m:t>948</m:t>
              </m:r>
            </m:den>
          </m:f>
          <m:r>
            <m:rPr>
              <m:sty m:val="p"/>
            </m:rPr>
            <w:rPr>
              <w:rStyle w:val="katex-mathml"/>
              <w:rFonts w:ascii="Cambria Math" w:hAnsi="Cambria Math"/>
            </w:rPr>
            <m:t>≈10.37</m:t>
          </m:r>
        </m:oMath>
      </m:oMathPara>
    </w:p>
    <w:p w14:paraId="085F0921" w14:textId="77777777" w:rsidR="00A746D5" w:rsidRPr="00D434DA" w:rsidRDefault="00A746D5" w:rsidP="00A746D5">
      <w:pPr>
        <w:pStyle w:val="Heading4"/>
        <w:spacing w:line="360" w:lineRule="auto"/>
        <w:jc w:val="both"/>
        <w:rPr>
          <w:rFonts w:ascii="Cambria Math" w:hAnsi="Cambria Math"/>
          <w:oMath/>
        </w:rPr>
      </w:pPr>
      <m:oMathPara>
        <m:oMathParaPr>
          <m:jc m:val="left"/>
        </m:oMathParaPr>
        <m:oMath>
          <m:r>
            <m:rPr>
              <m:sty m:val="b"/>
            </m:rPr>
            <w:rPr>
              <w:rFonts w:ascii="Cambria Math" w:hAnsi="Cambria Math"/>
            </w:rPr>
            <m:t>For 2023:</m:t>
          </m:r>
        </m:oMath>
      </m:oMathPara>
    </w:p>
    <w:p w14:paraId="40EDF6FA" w14:textId="77777777" w:rsidR="00A746D5" w:rsidRPr="00D434DA" w:rsidRDefault="00A746D5" w:rsidP="00A746D5">
      <w:pPr>
        <w:pStyle w:val="NormalWeb"/>
        <w:spacing w:line="360" w:lineRule="auto"/>
        <w:jc w:val="both"/>
        <w:rPr>
          <w:rFonts w:ascii="Cambria Math" w:hAnsi="Cambria Math"/>
          <w:oMath/>
        </w:rPr>
      </w:pPr>
      <m:oMathPara>
        <m:oMathParaPr>
          <m:jc m:val="left"/>
        </m:oMathParaPr>
        <m:oMath>
          <m:r>
            <m:rPr>
              <m:sty m:val="p"/>
            </m:rPr>
            <w:rPr>
              <w:rStyle w:val="katex-mathml"/>
              <w:rFonts w:ascii="Cambria Math" w:hAnsi="Cambria Math"/>
            </w:rPr>
            <m:t>Interest Coverage Ratio=</m:t>
          </m:r>
          <m:f>
            <m:fPr>
              <m:ctrlPr>
                <w:rPr>
                  <w:rStyle w:val="katex-mathml"/>
                  <w:rFonts w:ascii="Cambria Math" w:hAnsi="Cambria Math"/>
                </w:rPr>
              </m:ctrlPr>
            </m:fPr>
            <m:num>
              <m:r>
                <m:rPr>
                  <m:sty m:val="p"/>
                </m:rPr>
                <w:rPr>
                  <w:rStyle w:val="katex-mathml"/>
                  <w:rFonts w:ascii="Cambria Math" w:hAnsi="Cambria Math"/>
                </w:rPr>
                <m:t>10294</m:t>
              </m:r>
            </m:num>
            <m:den>
              <m:r>
                <m:rPr>
                  <m:sty m:val="p"/>
                </m:rPr>
                <w:rPr>
                  <w:rStyle w:val="katex-mathml"/>
                  <w:rFonts w:ascii="Cambria Math" w:hAnsi="Cambria Math"/>
                </w:rPr>
                <m:t>921</m:t>
              </m:r>
            </m:den>
          </m:f>
          <m:r>
            <m:rPr>
              <m:sty m:val="p"/>
            </m:rPr>
            <w:rPr>
              <w:rStyle w:val="katex-mathml"/>
              <w:rFonts w:ascii="Cambria Math" w:hAnsi="Cambria Math"/>
            </w:rPr>
            <m:t>≈11.18</m:t>
          </m:r>
        </m:oMath>
      </m:oMathPara>
    </w:p>
    <w:p w14:paraId="73587DA6" w14:textId="77777777" w:rsidR="00A746D5" w:rsidRPr="00A746D5" w:rsidRDefault="00A746D5" w:rsidP="00A746D5">
      <w:pPr>
        <w:rPr>
          <w:rFonts w:eastAsiaTheme="minorEastAsia"/>
        </w:rPr>
      </w:pPr>
    </w:p>
    <w:p w14:paraId="6469CD74" w14:textId="77777777" w:rsidR="00A746D5" w:rsidRPr="00D434DA" w:rsidRDefault="00A746D5" w:rsidP="00A746D5">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lastRenderedPageBreak/>
        <w:t>Calculate Monthly Returns</w:t>
      </w:r>
      <w:r w:rsidRPr="00D434DA">
        <w:rPr>
          <w:rFonts w:ascii="Times New Roman" w:hAnsi="Times New Roman" w:cs="Times New Roman"/>
          <w:sz w:val="24"/>
          <w:szCs w:val="24"/>
        </w:rPr>
        <w:t>: Use the formula:</w:t>
      </w:r>
    </w:p>
    <w:p w14:paraId="49FBB5F4" w14:textId="77777777" w:rsidR="00A746D5" w:rsidRPr="00D434DA" w:rsidRDefault="00A746D5" w:rsidP="00A746D5">
      <w:pPr>
        <w:spacing w:line="360" w:lineRule="auto"/>
        <w:jc w:val="both"/>
        <w:rPr>
          <w:rFonts w:ascii="Cambria Math" w:hAnsi="Cambria Math" w:cs="Times New Roman"/>
          <w:sz w:val="24"/>
          <w:szCs w:val="24"/>
          <w:oMath/>
        </w:rPr>
      </w:pPr>
      <m:oMathPara>
        <m:oMath>
          <m:r>
            <m:rPr>
              <m:sty m:val="p"/>
            </m:rPr>
            <w:rPr>
              <w:rFonts w:ascii="Cambria Math" w:hAnsi="Cambria Math" w:cs="Times New Roman"/>
              <w:sz w:val="24"/>
              <w:szCs w:val="24"/>
            </w:rPr>
            <m:t>Monthly Return=</m:t>
          </m:r>
          <m:f>
            <m:fPr>
              <m:ctrlPr>
                <w:rPr>
                  <w:rFonts w:ascii="Cambria Math" w:hAnsi="Cambria Math" w:cs="Times New Roman"/>
                  <w:sz w:val="24"/>
                  <w:szCs w:val="24"/>
                </w:rPr>
              </m:ctrlPr>
            </m:fPr>
            <m:num>
              <m:r>
                <m:rPr>
                  <m:sty m:val="p"/>
                </m:rPr>
                <w:rPr>
                  <w:rFonts w:ascii="Cambria Math" w:hAnsi="Cambria Math" w:cs="Times New Roman"/>
                  <w:sz w:val="24"/>
                  <w:szCs w:val="24"/>
                </w:rPr>
                <m:t>Closing Price at End of Month-Closing Price at Start of Month</m:t>
              </m:r>
            </m:num>
            <m:den>
              <m:r>
                <m:rPr>
                  <m:sty m:val="p"/>
                </m:rPr>
                <w:rPr>
                  <w:rFonts w:ascii="Cambria Math" w:hAnsi="Cambria Math" w:cs="Times New Roman"/>
                  <w:sz w:val="24"/>
                  <w:szCs w:val="24"/>
                </w:rPr>
                <m:t>Closing Price at Start of Month</m:t>
              </m:r>
            </m:den>
          </m:f>
        </m:oMath>
      </m:oMathPara>
    </w:p>
    <w:p w14:paraId="5880312C" w14:textId="77777777" w:rsidR="00A746D5" w:rsidRPr="00D434DA" w:rsidRDefault="00A746D5" w:rsidP="00A746D5">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Calculate Average Annual Return</w:t>
      </w:r>
      <w:r w:rsidRPr="00D434DA">
        <w:rPr>
          <w:rFonts w:ascii="Times New Roman" w:hAnsi="Times New Roman" w:cs="Times New Roman"/>
          <w:sz w:val="24"/>
          <w:szCs w:val="24"/>
        </w:rPr>
        <w:t>:</w:t>
      </w:r>
    </w:p>
    <w:p w14:paraId="48EB5587" w14:textId="77777777" w:rsidR="00A746D5" w:rsidRPr="00D434DA" w:rsidRDefault="00A746D5" w:rsidP="00A746D5">
      <w:pPr>
        <w:spacing w:line="360" w:lineRule="auto"/>
        <w:jc w:val="both"/>
        <w:rPr>
          <w:rFonts w:ascii="Cambria Math" w:hAnsi="Cambria Math" w:cs="Times New Roman"/>
          <w:sz w:val="24"/>
          <w:szCs w:val="24"/>
          <w:oMath/>
        </w:rPr>
      </w:pPr>
      <m:oMathPara>
        <m:oMath>
          <m:r>
            <m:rPr>
              <m:sty m:val="p"/>
            </m:rPr>
            <w:rPr>
              <w:rFonts w:ascii="Cambria Math" w:hAnsi="Cambria Math" w:cs="Times New Roman"/>
              <w:sz w:val="24"/>
              <w:szCs w:val="24"/>
            </w:rPr>
            <m:t>Average Annual Return=</m:t>
          </m:r>
          <m:f>
            <m:fPr>
              <m:ctrlPr>
                <w:rPr>
                  <w:rFonts w:ascii="Cambria Math" w:hAnsi="Cambria Math" w:cs="Times New Roman"/>
                  <w:sz w:val="24"/>
                  <w:szCs w:val="24"/>
                </w:rPr>
              </m:ctrlPr>
            </m:fPr>
            <m:num>
              <m:r>
                <m:rPr>
                  <m:sty m:val="p"/>
                </m:rPr>
                <w:rPr>
                  <w:rFonts w:ascii="Cambria Math" w:hAnsi="Cambria Math" w:cs="Times New Roman"/>
                  <w:sz w:val="24"/>
                  <w:szCs w:val="24"/>
                </w:rPr>
                <m:t>∑Monthly Returns</m:t>
              </m:r>
            </m:num>
            <m:den>
              <m:r>
                <m:rPr>
                  <m:sty m:val="p"/>
                </m:rPr>
                <w:rPr>
                  <w:rFonts w:ascii="Cambria Math" w:hAnsi="Cambria Math" w:cs="Times New Roman"/>
                  <w:sz w:val="24"/>
                  <w:szCs w:val="24"/>
                </w:rPr>
                <m:t>12</m:t>
              </m:r>
            </m:den>
          </m:f>
        </m:oMath>
      </m:oMathPara>
    </w:p>
    <w:p w14:paraId="073CEF24" w14:textId="77777777" w:rsidR="00A746D5" w:rsidRPr="00D434DA" w:rsidRDefault="00A746D5" w:rsidP="00A746D5">
      <w:p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Annual Share Returns Calculation</w:t>
      </w:r>
      <w:r w:rsidRPr="00D434DA">
        <w:rPr>
          <w:rFonts w:ascii="Times New Roman" w:hAnsi="Times New Roman" w:cs="Times New Roman"/>
          <w:sz w:val="24"/>
          <w:szCs w:val="24"/>
        </w:rPr>
        <w:t>:</w:t>
      </w:r>
    </w:p>
    <w:p w14:paraId="47AEFC6A" w14:textId="77777777" w:rsidR="00A746D5" w:rsidRPr="00D434DA" w:rsidRDefault="00A746D5" w:rsidP="00A746D5">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2019</w:t>
      </w:r>
      <w:r w:rsidRPr="00D434DA">
        <w:rPr>
          <w:rFonts w:ascii="Times New Roman" w:hAnsi="Times New Roman" w:cs="Times New Roman"/>
          <w:sz w:val="24"/>
          <w:szCs w:val="24"/>
        </w:rPr>
        <w:t>:</w:t>
      </w:r>
    </w:p>
    <w:p w14:paraId="1F163B29"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Start Price (September 2019): €60.10</w:t>
      </w:r>
    </w:p>
    <w:p w14:paraId="32E866C4"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2019): €57.17</w:t>
      </w:r>
    </w:p>
    <w:p w14:paraId="18BB4300"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57.17-60.10</m:t>
            </m:r>
          </m:num>
          <m:den>
            <m:r>
              <m:rPr>
                <m:sty m:val="p"/>
              </m:rPr>
              <w:rPr>
                <w:rFonts w:ascii="Cambria Math" w:hAnsi="Cambria Math" w:cs="Times New Roman"/>
                <w:sz w:val="24"/>
                <w:szCs w:val="24"/>
              </w:rPr>
              <m:t>60.10</m:t>
            </m:r>
          </m:den>
        </m:f>
        <m:r>
          <m:rPr>
            <m:sty m:val="p"/>
          </m:rPr>
          <w:rPr>
            <w:rFonts w:ascii="Cambria Math" w:hAnsi="Cambria Math" w:cs="Times New Roman"/>
            <w:sz w:val="24"/>
            <w:szCs w:val="24"/>
          </w:rPr>
          <m:t>×100=-4.88%</m:t>
        </m:r>
      </m:oMath>
    </w:p>
    <w:p w14:paraId="630609A6" w14:textId="77777777" w:rsidR="00A746D5" w:rsidRPr="00D434DA" w:rsidRDefault="00A746D5" w:rsidP="00A746D5">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2020</w:t>
      </w:r>
      <w:r w:rsidRPr="00D434DA">
        <w:rPr>
          <w:rFonts w:ascii="Times New Roman" w:hAnsi="Times New Roman" w:cs="Times New Roman"/>
          <w:sz w:val="24"/>
          <w:szCs w:val="24"/>
        </w:rPr>
        <w:t>:</w:t>
      </w:r>
    </w:p>
    <w:p w14:paraId="79AD1D69"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Start Price (January 2020): €59.77</w:t>
      </w:r>
    </w:p>
    <w:p w14:paraId="014E4BDF"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2020): €60.36</w:t>
      </w:r>
    </w:p>
    <w:p w14:paraId="33C14DE7"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60.36-59.77</m:t>
            </m:r>
          </m:num>
          <m:den>
            <m:r>
              <m:rPr>
                <m:sty m:val="p"/>
              </m:rPr>
              <w:rPr>
                <w:rFonts w:ascii="Cambria Math" w:hAnsi="Cambria Math" w:cs="Times New Roman"/>
                <w:sz w:val="24"/>
                <w:szCs w:val="24"/>
              </w:rPr>
              <m:t>59.77</m:t>
            </m:r>
          </m:den>
        </m:f>
        <m:r>
          <m:rPr>
            <m:sty m:val="p"/>
          </m:rPr>
          <w:rPr>
            <w:rFonts w:ascii="Cambria Math" w:hAnsi="Cambria Math" w:cs="Times New Roman"/>
            <w:sz w:val="24"/>
            <w:szCs w:val="24"/>
          </w:rPr>
          <m:t>×100=0.98%</m:t>
        </m:r>
      </m:oMath>
    </w:p>
    <w:p w14:paraId="19D670FC" w14:textId="77777777" w:rsidR="00A746D5" w:rsidRPr="00D434DA" w:rsidRDefault="00A746D5" w:rsidP="00A746D5">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2021</w:t>
      </w:r>
      <w:r w:rsidRPr="00D434DA">
        <w:rPr>
          <w:rFonts w:ascii="Times New Roman" w:hAnsi="Times New Roman" w:cs="Times New Roman"/>
          <w:sz w:val="24"/>
          <w:szCs w:val="24"/>
        </w:rPr>
        <w:t>:</w:t>
      </w:r>
    </w:p>
    <w:p w14:paraId="52B93F43"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Start Price (January 2021): €58.34</w:t>
      </w:r>
    </w:p>
    <w:p w14:paraId="27BCC904"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2021): €53.79</w:t>
      </w:r>
    </w:p>
    <w:p w14:paraId="10786E2E"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53.79-58.34</m:t>
            </m:r>
          </m:num>
          <m:den>
            <m:r>
              <m:rPr>
                <m:sty m:val="p"/>
              </m:rPr>
              <w:rPr>
                <w:rFonts w:ascii="Cambria Math" w:hAnsi="Cambria Math" w:cs="Times New Roman"/>
                <w:sz w:val="24"/>
                <w:szCs w:val="24"/>
              </w:rPr>
              <m:t>58.34</m:t>
            </m:r>
          </m:den>
        </m:f>
        <m:r>
          <m:rPr>
            <m:sty m:val="p"/>
          </m:rPr>
          <w:rPr>
            <w:rFonts w:ascii="Cambria Math" w:hAnsi="Cambria Math" w:cs="Times New Roman"/>
            <w:sz w:val="24"/>
            <w:szCs w:val="24"/>
          </w:rPr>
          <m:t>×100=-7.85%</m:t>
        </m:r>
      </m:oMath>
    </w:p>
    <w:p w14:paraId="77279860" w14:textId="77777777" w:rsidR="00A746D5" w:rsidRPr="00D434DA" w:rsidRDefault="00A746D5" w:rsidP="00A746D5">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t>2022</w:t>
      </w:r>
      <w:r w:rsidRPr="00D434DA">
        <w:rPr>
          <w:rFonts w:ascii="Times New Roman" w:hAnsi="Times New Roman" w:cs="Times New Roman"/>
          <w:sz w:val="24"/>
          <w:szCs w:val="24"/>
        </w:rPr>
        <w:t>:</w:t>
      </w:r>
    </w:p>
    <w:p w14:paraId="450D8785"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Start Price (January 2022): €51.39</w:t>
      </w:r>
    </w:p>
    <w:p w14:paraId="3314E1D8"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2022): €50.35</w:t>
      </w:r>
    </w:p>
    <w:p w14:paraId="4328DDDB"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50.35-51.39</m:t>
            </m:r>
          </m:num>
          <m:den>
            <m:r>
              <m:rPr>
                <m:sty m:val="p"/>
              </m:rPr>
              <w:rPr>
                <w:rFonts w:ascii="Cambria Math" w:hAnsi="Cambria Math" w:cs="Times New Roman"/>
                <w:sz w:val="24"/>
                <w:szCs w:val="24"/>
              </w:rPr>
              <m:t>51.39</m:t>
            </m:r>
          </m:den>
        </m:f>
        <m:r>
          <m:rPr>
            <m:sty m:val="p"/>
          </m:rPr>
          <w:rPr>
            <w:rFonts w:ascii="Cambria Math" w:hAnsi="Cambria Math" w:cs="Times New Roman"/>
            <w:sz w:val="24"/>
            <w:szCs w:val="24"/>
          </w:rPr>
          <m:t>×100=-2.02%</m:t>
        </m:r>
      </m:oMath>
    </w:p>
    <w:p w14:paraId="11D3F1DA" w14:textId="77777777" w:rsidR="00A746D5" w:rsidRPr="00D434DA" w:rsidRDefault="00A746D5" w:rsidP="00A746D5">
      <w:pPr>
        <w:numPr>
          <w:ilvl w:val="0"/>
          <w:numId w:val="3"/>
        </w:numPr>
        <w:spacing w:line="360" w:lineRule="auto"/>
        <w:jc w:val="both"/>
        <w:rPr>
          <w:rFonts w:ascii="Times New Roman" w:hAnsi="Times New Roman" w:cs="Times New Roman"/>
          <w:sz w:val="24"/>
          <w:szCs w:val="24"/>
        </w:rPr>
      </w:pPr>
      <w:r w:rsidRPr="00D434DA">
        <w:rPr>
          <w:rFonts w:ascii="Times New Roman" w:hAnsi="Times New Roman" w:cs="Times New Roman"/>
          <w:b/>
          <w:bCs/>
          <w:sz w:val="24"/>
          <w:szCs w:val="24"/>
        </w:rPr>
        <w:lastRenderedPageBreak/>
        <w:t>2023</w:t>
      </w:r>
      <w:r w:rsidRPr="00D434DA">
        <w:rPr>
          <w:rFonts w:ascii="Times New Roman" w:hAnsi="Times New Roman" w:cs="Times New Roman"/>
          <w:sz w:val="24"/>
          <w:szCs w:val="24"/>
        </w:rPr>
        <w:t>:</w:t>
      </w:r>
    </w:p>
    <w:p w14:paraId="0AF20321"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Start Price (January 2023): €51.10</w:t>
      </w:r>
    </w:p>
    <w:p w14:paraId="016EAEAE"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End Price (December 2023): €48.48</w:t>
      </w:r>
    </w:p>
    <w:p w14:paraId="0E300AB4" w14:textId="77777777" w:rsidR="00A746D5" w:rsidRPr="00D434DA" w:rsidRDefault="00A746D5" w:rsidP="00A746D5">
      <w:pPr>
        <w:numPr>
          <w:ilvl w:val="1"/>
          <w:numId w:val="3"/>
        </w:numPr>
        <w:spacing w:line="360" w:lineRule="auto"/>
        <w:jc w:val="both"/>
        <w:rPr>
          <w:rFonts w:ascii="Times New Roman" w:hAnsi="Times New Roman" w:cs="Times New Roman"/>
          <w:sz w:val="24"/>
          <w:szCs w:val="24"/>
        </w:rPr>
      </w:pPr>
      <w:r w:rsidRPr="00D434DA">
        <w:rPr>
          <w:rFonts w:ascii="Times New Roman" w:hAnsi="Times New Roman" w:cs="Times New Roman"/>
          <w:sz w:val="24"/>
          <w:szCs w:val="24"/>
        </w:rPr>
        <w:t xml:space="preserve">Calculation: </w:t>
      </w:r>
      <m:oMath>
        <m:r>
          <m:rPr>
            <m:sty m:val="p"/>
          </m:rPr>
          <w:rPr>
            <w:rFonts w:ascii="Cambria Math" w:hAnsi="Cambria Math" w:cs="Times New Roman"/>
            <w:sz w:val="24"/>
            <w:szCs w:val="24"/>
          </w:rPr>
          <m:t>Return=</m:t>
        </m:r>
        <m:f>
          <m:fPr>
            <m:ctrlPr>
              <w:rPr>
                <w:rFonts w:ascii="Cambria Math" w:hAnsi="Cambria Math" w:cs="Times New Roman"/>
                <w:sz w:val="24"/>
                <w:szCs w:val="24"/>
              </w:rPr>
            </m:ctrlPr>
          </m:fPr>
          <m:num>
            <m:r>
              <m:rPr>
                <m:sty m:val="p"/>
              </m:rPr>
              <w:rPr>
                <w:rFonts w:ascii="Cambria Math" w:hAnsi="Cambria Math" w:cs="Times New Roman"/>
                <w:sz w:val="24"/>
                <w:szCs w:val="24"/>
              </w:rPr>
              <m:t>48.48-51.10</m:t>
            </m:r>
          </m:num>
          <m:den>
            <m:r>
              <m:rPr>
                <m:sty m:val="p"/>
              </m:rPr>
              <w:rPr>
                <w:rFonts w:ascii="Cambria Math" w:hAnsi="Cambria Math" w:cs="Times New Roman"/>
                <w:sz w:val="24"/>
                <w:szCs w:val="24"/>
              </w:rPr>
              <m:t>51.10</m:t>
            </m:r>
          </m:den>
        </m:f>
        <m:r>
          <m:rPr>
            <m:sty m:val="p"/>
          </m:rPr>
          <w:rPr>
            <w:rFonts w:ascii="Cambria Math" w:hAnsi="Cambria Math" w:cs="Times New Roman"/>
            <w:sz w:val="24"/>
            <w:szCs w:val="24"/>
          </w:rPr>
          <m:t>×100=-5.09%</m:t>
        </m:r>
      </m:oMath>
    </w:p>
    <w:p w14:paraId="0428B34F" w14:textId="77777777" w:rsidR="00A746D5" w:rsidRPr="00A746D5" w:rsidRDefault="00A746D5" w:rsidP="00A746D5">
      <w:pPr>
        <w:rPr>
          <w:rFonts w:eastAsiaTheme="minorEastAsia"/>
        </w:rPr>
      </w:pPr>
    </w:p>
    <w:p w14:paraId="1729CF70" w14:textId="77777777" w:rsidR="00006F86" w:rsidRPr="00A746D5" w:rsidRDefault="00006F86" w:rsidP="00A746D5">
      <w:pPr>
        <w:ind w:firstLine="720"/>
      </w:pPr>
    </w:p>
    <w:sectPr w:rsidR="00006F86" w:rsidRPr="00A746D5" w:rsidSect="00D434DA">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AFB23" w14:textId="77777777" w:rsidR="005E17A1" w:rsidRDefault="005E17A1" w:rsidP="00006F86">
      <w:pPr>
        <w:spacing w:after="0" w:line="240" w:lineRule="auto"/>
      </w:pPr>
      <w:r>
        <w:separator/>
      </w:r>
    </w:p>
  </w:endnote>
  <w:endnote w:type="continuationSeparator" w:id="0">
    <w:p w14:paraId="016111F4" w14:textId="77777777" w:rsidR="005E17A1" w:rsidRDefault="005E17A1" w:rsidP="00006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5167776"/>
      <w:docPartObj>
        <w:docPartGallery w:val="Page Numbers (Bottom of Page)"/>
        <w:docPartUnique/>
      </w:docPartObj>
    </w:sdtPr>
    <w:sdtEndPr>
      <w:rPr>
        <w:noProof/>
      </w:rPr>
    </w:sdtEndPr>
    <w:sdtContent>
      <w:p w14:paraId="61EB87D7" w14:textId="2991575F" w:rsidR="00B91A3E" w:rsidRDefault="00B91A3E">
        <w:pPr>
          <w:pStyle w:val="Footer"/>
          <w:jc w:val="center"/>
        </w:pPr>
        <w:r>
          <w:fldChar w:fldCharType="begin"/>
        </w:r>
        <w:r>
          <w:instrText xml:space="preserve"> PAGE   \* MERGEFORMAT </w:instrText>
        </w:r>
        <w:r>
          <w:fldChar w:fldCharType="separate"/>
        </w:r>
        <w:r w:rsidR="001D2514">
          <w:rPr>
            <w:noProof/>
          </w:rPr>
          <w:t>11</w:t>
        </w:r>
        <w:r>
          <w:rPr>
            <w:noProof/>
          </w:rPr>
          <w:fldChar w:fldCharType="end"/>
        </w:r>
      </w:p>
    </w:sdtContent>
  </w:sdt>
  <w:p w14:paraId="5AAA4ECA" w14:textId="77777777" w:rsidR="00B91A3E" w:rsidRDefault="00B91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92976" w14:textId="77777777" w:rsidR="005E17A1" w:rsidRDefault="005E17A1" w:rsidP="00006F86">
      <w:pPr>
        <w:spacing w:after="0" w:line="240" w:lineRule="auto"/>
      </w:pPr>
      <w:r>
        <w:separator/>
      </w:r>
    </w:p>
  </w:footnote>
  <w:footnote w:type="continuationSeparator" w:id="0">
    <w:p w14:paraId="378A7CEC" w14:textId="77777777" w:rsidR="005E17A1" w:rsidRDefault="005E17A1" w:rsidP="00006F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84EC3"/>
    <w:multiLevelType w:val="multilevel"/>
    <w:tmpl w:val="8A648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817CD2"/>
    <w:multiLevelType w:val="multilevel"/>
    <w:tmpl w:val="C7966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D11921"/>
    <w:multiLevelType w:val="multilevel"/>
    <w:tmpl w:val="61F21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D57E63"/>
    <w:multiLevelType w:val="multilevel"/>
    <w:tmpl w:val="E2C0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8B4519"/>
    <w:multiLevelType w:val="multilevel"/>
    <w:tmpl w:val="1F72A1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9953D3D"/>
    <w:multiLevelType w:val="multilevel"/>
    <w:tmpl w:val="2B26D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5732536">
    <w:abstractNumId w:val="2"/>
  </w:num>
  <w:num w:numId="2" w16cid:durableId="32924989">
    <w:abstractNumId w:val="1"/>
  </w:num>
  <w:num w:numId="3" w16cid:durableId="812062185">
    <w:abstractNumId w:val="5"/>
  </w:num>
  <w:num w:numId="4" w16cid:durableId="1808548595">
    <w:abstractNumId w:val="3"/>
  </w:num>
  <w:num w:numId="5" w16cid:durableId="578249416">
    <w:abstractNumId w:val="0"/>
  </w:num>
  <w:num w:numId="6" w16cid:durableId="20845271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6A"/>
    <w:rsid w:val="00003C33"/>
    <w:rsid w:val="00006F86"/>
    <w:rsid w:val="00017436"/>
    <w:rsid w:val="0002567D"/>
    <w:rsid w:val="00070930"/>
    <w:rsid w:val="000B0AAE"/>
    <w:rsid w:val="000E7B5C"/>
    <w:rsid w:val="00126311"/>
    <w:rsid w:val="0019132A"/>
    <w:rsid w:val="001B3908"/>
    <w:rsid w:val="001D2514"/>
    <w:rsid w:val="001D3541"/>
    <w:rsid w:val="001E7F59"/>
    <w:rsid w:val="001F6039"/>
    <w:rsid w:val="00243CEB"/>
    <w:rsid w:val="002673DA"/>
    <w:rsid w:val="002773A8"/>
    <w:rsid w:val="002D0D09"/>
    <w:rsid w:val="002D2566"/>
    <w:rsid w:val="002F13FF"/>
    <w:rsid w:val="003006B4"/>
    <w:rsid w:val="00302622"/>
    <w:rsid w:val="003108ED"/>
    <w:rsid w:val="00370E80"/>
    <w:rsid w:val="0038684D"/>
    <w:rsid w:val="003D7793"/>
    <w:rsid w:val="003E2A2C"/>
    <w:rsid w:val="003F67BF"/>
    <w:rsid w:val="003F6ACE"/>
    <w:rsid w:val="00406ED9"/>
    <w:rsid w:val="00410BC0"/>
    <w:rsid w:val="004207F6"/>
    <w:rsid w:val="00461A6F"/>
    <w:rsid w:val="00484F43"/>
    <w:rsid w:val="00493C31"/>
    <w:rsid w:val="00496413"/>
    <w:rsid w:val="0049793A"/>
    <w:rsid w:val="004B6F7E"/>
    <w:rsid w:val="00502637"/>
    <w:rsid w:val="00532754"/>
    <w:rsid w:val="00543518"/>
    <w:rsid w:val="00550FD1"/>
    <w:rsid w:val="005A29B9"/>
    <w:rsid w:val="005C6710"/>
    <w:rsid w:val="005E17A1"/>
    <w:rsid w:val="00645237"/>
    <w:rsid w:val="006A67BC"/>
    <w:rsid w:val="006B0FC7"/>
    <w:rsid w:val="00705BCC"/>
    <w:rsid w:val="00712B67"/>
    <w:rsid w:val="007724F9"/>
    <w:rsid w:val="00790089"/>
    <w:rsid w:val="00791CA4"/>
    <w:rsid w:val="00795121"/>
    <w:rsid w:val="007B45FD"/>
    <w:rsid w:val="007B5459"/>
    <w:rsid w:val="007D15E1"/>
    <w:rsid w:val="007F2184"/>
    <w:rsid w:val="00820F32"/>
    <w:rsid w:val="0082516A"/>
    <w:rsid w:val="0083060B"/>
    <w:rsid w:val="00866E3D"/>
    <w:rsid w:val="00922AD8"/>
    <w:rsid w:val="00923FD5"/>
    <w:rsid w:val="00982847"/>
    <w:rsid w:val="009A1B59"/>
    <w:rsid w:val="009C7F7F"/>
    <w:rsid w:val="009D7122"/>
    <w:rsid w:val="009E38A7"/>
    <w:rsid w:val="009F530F"/>
    <w:rsid w:val="00A0417F"/>
    <w:rsid w:val="00A2033B"/>
    <w:rsid w:val="00A35CA2"/>
    <w:rsid w:val="00A4231D"/>
    <w:rsid w:val="00A70C2A"/>
    <w:rsid w:val="00A746D5"/>
    <w:rsid w:val="00A810A9"/>
    <w:rsid w:val="00A830D2"/>
    <w:rsid w:val="00A84522"/>
    <w:rsid w:val="00A848CF"/>
    <w:rsid w:val="00A8711F"/>
    <w:rsid w:val="00AC6BAD"/>
    <w:rsid w:val="00AE7492"/>
    <w:rsid w:val="00B277A9"/>
    <w:rsid w:val="00B27EC6"/>
    <w:rsid w:val="00B479ED"/>
    <w:rsid w:val="00B6035B"/>
    <w:rsid w:val="00B81CCA"/>
    <w:rsid w:val="00B85A92"/>
    <w:rsid w:val="00B91A3E"/>
    <w:rsid w:val="00C009AA"/>
    <w:rsid w:val="00C3089F"/>
    <w:rsid w:val="00C83C47"/>
    <w:rsid w:val="00CB572B"/>
    <w:rsid w:val="00D22D62"/>
    <w:rsid w:val="00D41F91"/>
    <w:rsid w:val="00D42B06"/>
    <w:rsid w:val="00D434DA"/>
    <w:rsid w:val="00D63508"/>
    <w:rsid w:val="00D72C67"/>
    <w:rsid w:val="00D911B4"/>
    <w:rsid w:val="00DC62F3"/>
    <w:rsid w:val="00DE473C"/>
    <w:rsid w:val="00E06FCD"/>
    <w:rsid w:val="00E07C4F"/>
    <w:rsid w:val="00E10D98"/>
    <w:rsid w:val="00E32D3E"/>
    <w:rsid w:val="00E374F6"/>
    <w:rsid w:val="00EA0A6F"/>
    <w:rsid w:val="00EB55C7"/>
    <w:rsid w:val="00EC42E3"/>
    <w:rsid w:val="00EC5DE2"/>
    <w:rsid w:val="00EE1785"/>
    <w:rsid w:val="00F05E6A"/>
    <w:rsid w:val="00F30488"/>
    <w:rsid w:val="00F3321E"/>
    <w:rsid w:val="00F404A5"/>
    <w:rsid w:val="00F42DD9"/>
    <w:rsid w:val="00F52FCF"/>
    <w:rsid w:val="00F878A0"/>
    <w:rsid w:val="00FA40AA"/>
    <w:rsid w:val="00FC5AD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19930"/>
  <w15:docId w15:val="{BC9F0F51-6327-4004-B921-896CC1AFA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F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B0F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70E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1B3908"/>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5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51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16A"/>
    <w:rPr>
      <w:rFonts w:ascii="Tahoma" w:hAnsi="Tahoma" w:cs="Tahoma"/>
      <w:sz w:val="16"/>
      <w:szCs w:val="16"/>
    </w:rPr>
  </w:style>
  <w:style w:type="paragraph" w:styleId="NormalWeb">
    <w:name w:val="Normal (Web)"/>
    <w:basedOn w:val="Normal"/>
    <w:uiPriority w:val="99"/>
    <w:semiHidden/>
    <w:unhideWhenUsed/>
    <w:rsid w:val="00D72C6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D72C67"/>
    <w:rPr>
      <w:b/>
      <w:bCs/>
    </w:rPr>
  </w:style>
  <w:style w:type="character" w:customStyle="1" w:styleId="katex-mathml">
    <w:name w:val="katex-mathml"/>
    <w:basedOn w:val="DefaultParagraphFont"/>
    <w:rsid w:val="00D72C67"/>
  </w:style>
  <w:style w:type="character" w:customStyle="1" w:styleId="mord">
    <w:name w:val="mord"/>
    <w:basedOn w:val="DefaultParagraphFont"/>
    <w:rsid w:val="00D72C67"/>
  </w:style>
  <w:style w:type="character" w:customStyle="1" w:styleId="mrel">
    <w:name w:val="mrel"/>
    <w:basedOn w:val="DefaultParagraphFont"/>
    <w:rsid w:val="00D72C67"/>
  </w:style>
  <w:style w:type="character" w:customStyle="1" w:styleId="mpunct">
    <w:name w:val="mpunct"/>
    <w:basedOn w:val="DefaultParagraphFont"/>
    <w:rsid w:val="00D72C67"/>
  </w:style>
  <w:style w:type="character" w:customStyle="1" w:styleId="mbin">
    <w:name w:val="mbin"/>
    <w:basedOn w:val="DefaultParagraphFont"/>
    <w:rsid w:val="00D72C67"/>
  </w:style>
  <w:style w:type="character" w:customStyle="1" w:styleId="vlist-s">
    <w:name w:val="vlist-s"/>
    <w:basedOn w:val="DefaultParagraphFont"/>
    <w:rsid w:val="00D72C67"/>
  </w:style>
  <w:style w:type="character" w:customStyle="1" w:styleId="Heading4Char">
    <w:name w:val="Heading 4 Char"/>
    <w:basedOn w:val="DefaultParagraphFont"/>
    <w:link w:val="Heading4"/>
    <w:uiPriority w:val="9"/>
    <w:rsid w:val="001B3908"/>
    <w:rPr>
      <w:rFonts w:ascii="Times New Roman" w:eastAsia="Times New Roman" w:hAnsi="Times New Roman" w:cs="Times New Roman"/>
      <w:b/>
      <w:bCs/>
      <w:sz w:val="24"/>
      <w:szCs w:val="24"/>
      <w:lang w:eastAsia="en-IN"/>
    </w:rPr>
  </w:style>
  <w:style w:type="paragraph" w:styleId="ListParagraph">
    <w:name w:val="List Paragraph"/>
    <w:basedOn w:val="Normal"/>
    <w:uiPriority w:val="34"/>
    <w:qFormat/>
    <w:rsid w:val="00370E80"/>
    <w:pPr>
      <w:ind w:left="720"/>
      <w:contextualSpacing/>
    </w:pPr>
  </w:style>
  <w:style w:type="character" w:customStyle="1" w:styleId="Heading3Char">
    <w:name w:val="Heading 3 Char"/>
    <w:basedOn w:val="DefaultParagraphFont"/>
    <w:link w:val="Heading3"/>
    <w:uiPriority w:val="9"/>
    <w:semiHidden/>
    <w:rsid w:val="00370E80"/>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6B0FC7"/>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70930"/>
    <w:rPr>
      <w:color w:val="0000FF" w:themeColor="hyperlink"/>
      <w:u w:val="single"/>
    </w:rPr>
  </w:style>
  <w:style w:type="character" w:customStyle="1" w:styleId="Heading1Char">
    <w:name w:val="Heading 1 Char"/>
    <w:basedOn w:val="DefaultParagraphFont"/>
    <w:link w:val="Heading1"/>
    <w:uiPriority w:val="9"/>
    <w:rsid w:val="00006F8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06F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F86"/>
  </w:style>
  <w:style w:type="paragraph" w:styleId="Footer">
    <w:name w:val="footer"/>
    <w:basedOn w:val="Normal"/>
    <w:link w:val="FooterChar"/>
    <w:uiPriority w:val="99"/>
    <w:unhideWhenUsed/>
    <w:rsid w:val="00006F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F86"/>
  </w:style>
  <w:style w:type="paragraph" w:styleId="TOCHeading">
    <w:name w:val="TOC Heading"/>
    <w:basedOn w:val="Heading1"/>
    <w:next w:val="Normal"/>
    <w:uiPriority w:val="39"/>
    <w:semiHidden/>
    <w:unhideWhenUsed/>
    <w:qFormat/>
    <w:rsid w:val="00006F86"/>
    <w:pPr>
      <w:outlineLvl w:val="9"/>
    </w:pPr>
    <w:rPr>
      <w:lang w:val="en-US" w:eastAsia="ja-JP"/>
    </w:rPr>
  </w:style>
  <w:style w:type="paragraph" w:styleId="TOC1">
    <w:name w:val="toc 1"/>
    <w:basedOn w:val="Normal"/>
    <w:next w:val="Normal"/>
    <w:autoRedefine/>
    <w:uiPriority w:val="39"/>
    <w:unhideWhenUsed/>
    <w:rsid w:val="00006F86"/>
    <w:pPr>
      <w:spacing w:after="100"/>
    </w:pPr>
  </w:style>
  <w:style w:type="paragraph" w:styleId="TOC2">
    <w:name w:val="toc 2"/>
    <w:basedOn w:val="Normal"/>
    <w:next w:val="Normal"/>
    <w:autoRedefine/>
    <w:uiPriority w:val="39"/>
    <w:unhideWhenUsed/>
    <w:rsid w:val="00006F86"/>
    <w:pPr>
      <w:spacing w:after="100"/>
      <w:ind w:left="220"/>
    </w:pPr>
  </w:style>
  <w:style w:type="paragraph" w:styleId="Title">
    <w:name w:val="Title"/>
    <w:basedOn w:val="Normal"/>
    <w:next w:val="Normal"/>
    <w:link w:val="TitleChar"/>
    <w:uiPriority w:val="10"/>
    <w:qFormat/>
    <w:rsid w:val="00A203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033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07694">
      <w:bodyDiv w:val="1"/>
      <w:marLeft w:val="0"/>
      <w:marRight w:val="0"/>
      <w:marTop w:val="0"/>
      <w:marBottom w:val="0"/>
      <w:divBdr>
        <w:top w:val="none" w:sz="0" w:space="0" w:color="auto"/>
        <w:left w:val="none" w:sz="0" w:space="0" w:color="auto"/>
        <w:bottom w:val="none" w:sz="0" w:space="0" w:color="auto"/>
        <w:right w:val="none" w:sz="0" w:space="0" w:color="auto"/>
      </w:divBdr>
    </w:div>
    <w:div w:id="86392401">
      <w:bodyDiv w:val="1"/>
      <w:marLeft w:val="0"/>
      <w:marRight w:val="0"/>
      <w:marTop w:val="0"/>
      <w:marBottom w:val="0"/>
      <w:divBdr>
        <w:top w:val="none" w:sz="0" w:space="0" w:color="auto"/>
        <w:left w:val="none" w:sz="0" w:space="0" w:color="auto"/>
        <w:bottom w:val="none" w:sz="0" w:space="0" w:color="auto"/>
        <w:right w:val="none" w:sz="0" w:space="0" w:color="auto"/>
      </w:divBdr>
    </w:div>
    <w:div w:id="92670428">
      <w:bodyDiv w:val="1"/>
      <w:marLeft w:val="0"/>
      <w:marRight w:val="0"/>
      <w:marTop w:val="0"/>
      <w:marBottom w:val="0"/>
      <w:divBdr>
        <w:top w:val="none" w:sz="0" w:space="0" w:color="auto"/>
        <w:left w:val="none" w:sz="0" w:space="0" w:color="auto"/>
        <w:bottom w:val="none" w:sz="0" w:space="0" w:color="auto"/>
        <w:right w:val="none" w:sz="0" w:space="0" w:color="auto"/>
      </w:divBdr>
    </w:div>
    <w:div w:id="136609656">
      <w:bodyDiv w:val="1"/>
      <w:marLeft w:val="0"/>
      <w:marRight w:val="0"/>
      <w:marTop w:val="0"/>
      <w:marBottom w:val="0"/>
      <w:divBdr>
        <w:top w:val="none" w:sz="0" w:space="0" w:color="auto"/>
        <w:left w:val="none" w:sz="0" w:space="0" w:color="auto"/>
        <w:bottom w:val="none" w:sz="0" w:space="0" w:color="auto"/>
        <w:right w:val="none" w:sz="0" w:space="0" w:color="auto"/>
      </w:divBdr>
    </w:div>
    <w:div w:id="156700154">
      <w:bodyDiv w:val="1"/>
      <w:marLeft w:val="0"/>
      <w:marRight w:val="0"/>
      <w:marTop w:val="0"/>
      <w:marBottom w:val="0"/>
      <w:divBdr>
        <w:top w:val="none" w:sz="0" w:space="0" w:color="auto"/>
        <w:left w:val="none" w:sz="0" w:space="0" w:color="auto"/>
        <w:bottom w:val="none" w:sz="0" w:space="0" w:color="auto"/>
        <w:right w:val="none" w:sz="0" w:space="0" w:color="auto"/>
      </w:divBdr>
    </w:div>
    <w:div w:id="163478238">
      <w:bodyDiv w:val="1"/>
      <w:marLeft w:val="0"/>
      <w:marRight w:val="0"/>
      <w:marTop w:val="0"/>
      <w:marBottom w:val="0"/>
      <w:divBdr>
        <w:top w:val="none" w:sz="0" w:space="0" w:color="auto"/>
        <w:left w:val="none" w:sz="0" w:space="0" w:color="auto"/>
        <w:bottom w:val="none" w:sz="0" w:space="0" w:color="auto"/>
        <w:right w:val="none" w:sz="0" w:space="0" w:color="auto"/>
      </w:divBdr>
    </w:div>
    <w:div w:id="175309057">
      <w:bodyDiv w:val="1"/>
      <w:marLeft w:val="0"/>
      <w:marRight w:val="0"/>
      <w:marTop w:val="0"/>
      <w:marBottom w:val="0"/>
      <w:divBdr>
        <w:top w:val="none" w:sz="0" w:space="0" w:color="auto"/>
        <w:left w:val="none" w:sz="0" w:space="0" w:color="auto"/>
        <w:bottom w:val="none" w:sz="0" w:space="0" w:color="auto"/>
        <w:right w:val="none" w:sz="0" w:space="0" w:color="auto"/>
      </w:divBdr>
    </w:div>
    <w:div w:id="228618439">
      <w:bodyDiv w:val="1"/>
      <w:marLeft w:val="0"/>
      <w:marRight w:val="0"/>
      <w:marTop w:val="0"/>
      <w:marBottom w:val="0"/>
      <w:divBdr>
        <w:top w:val="none" w:sz="0" w:space="0" w:color="auto"/>
        <w:left w:val="none" w:sz="0" w:space="0" w:color="auto"/>
        <w:bottom w:val="none" w:sz="0" w:space="0" w:color="auto"/>
        <w:right w:val="none" w:sz="0" w:space="0" w:color="auto"/>
      </w:divBdr>
    </w:div>
    <w:div w:id="248931043">
      <w:bodyDiv w:val="1"/>
      <w:marLeft w:val="0"/>
      <w:marRight w:val="0"/>
      <w:marTop w:val="0"/>
      <w:marBottom w:val="0"/>
      <w:divBdr>
        <w:top w:val="none" w:sz="0" w:space="0" w:color="auto"/>
        <w:left w:val="none" w:sz="0" w:space="0" w:color="auto"/>
        <w:bottom w:val="none" w:sz="0" w:space="0" w:color="auto"/>
        <w:right w:val="none" w:sz="0" w:space="0" w:color="auto"/>
      </w:divBdr>
    </w:div>
    <w:div w:id="267203947">
      <w:bodyDiv w:val="1"/>
      <w:marLeft w:val="0"/>
      <w:marRight w:val="0"/>
      <w:marTop w:val="0"/>
      <w:marBottom w:val="0"/>
      <w:divBdr>
        <w:top w:val="none" w:sz="0" w:space="0" w:color="auto"/>
        <w:left w:val="none" w:sz="0" w:space="0" w:color="auto"/>
        <w:bottom w:val="none" w:sz="0" w:space="0" w:color="auto"/>
        <w:right w:val="none" w:sz="0" w:space="0" w:color="auto"/>
      </w:divBdr>
    </w:div>
    <w:div w:id="361784678">
      <w:bodyDiv w:val="1"/>
      <w:marLeft w:val="0"/>
      <w:marRight w:val="0"/>
      <w:marTop w:val="0"/>
      <w:marBottom w:val="0"/>
      <w:divBdr>
        <w:top w:val="none" w:sz="0" w:space="0" w:color="auto"/>
        <w:left w:val="none" w:sz="0" w:space="0" w:color="auto"/>
        <w:bottom w:val="none" w:sz="0" w:space="0" w:color="auto"/>
        <w:right w:val="none" w:sz="0" w:space="0" w:color="auto"/>
      </w:divBdr>
    </w:div>
    <w:div w:id="422648875">
      <w:bodyDiv w:val="1"/>
      <w:marLeft w:val="0"/>
      <w:marRight w:val="0"/>
      <w:marTop w:val="0"/>
      <w:marBottom w:val="0"/>
      <w:divBdr>
        <w:top w:val="none" w:sz="0" w:space="0" w:color="auto"/>
        <w:left w:val="none" w:sz="0" w:space="0" w:color="auto"/>
        <w:bottom w:val="none" w:sz="0" w:space="0" w:color="auto"/>
        <w:right w:val="none" w:sz="0" w:space="0" w:color="auto"/>
      </w:divBdr>
    </w:div>
    <w:div w:id="423645957">
      <w:bodyDiv w:val="1"/>
      <w:marLeft w:val="0"/>
      <w:marRight w:val="0"/>
      <w:marTop w:val="0"/>
      <w:marBottom w:val="0"/>
      <w:divBdr>
        <w:top w:val="none" w:sz="0" w:space="0" w:color="auto"/>
        <w:left w:val="none" w:sz="0" w:space="0" w:color="auto"/>
        <w:bottom w:val="none" w:sz="0" w:space="0" w:color="auto"/>
        <w:right w:val="none" w:sz="0" w:space="0" w:color="auto"/>
      </w:divBdr>
    </w:div>
    <w:div w:id="432479686">
      <w:bodyDiv w:val="1"/>
      <w:marLeft w:val="0"/>
      <w:marRight w:val="0"/>
      <w:marTop w:val="0"/>
      <w:marBottom w:val="0"/>
      <w:divBdr>
        <w:top w:val="none" w:sz="0" w:space="0" w:color="auto"/>
        <w:left w:val="none" w:sz="0" w:space="0" w:color="auto"/>
        <w:bottom w:val="none" w:sz="0" w:space="0" w:color="auto"/>
        <w:right w:val="none" w:sz="0" w:space="0" w:color="auto"/>
      </w:divBdr>
    </w:div>
    <w:div w:id="454910701">
      <w:bodyDiv w:val="1"/>
      <w:marLeft w:val="0"/>
      <w:marRight w:val="0"/>
      <w:marTop w:val="0"/>
      <w:marBottom w:val="0"/>
      <w:divBdr>
        <w:top w:val="none" w:sz="0" w:space="0" w:color="auto"/>
        <w:left w:val="none" w:sz="0" w:space="0" w:color="auto"/>
        <w:bottom w:val="none" w:sz="0" w:space="0" w:color="auto"/>
        <w:right w:val="none" w:sz="0" w:space="0" w:color="auto"/>
      </w:divBdr>
    </w:div>
    <w:div w:id="459156587">
      <w:bodyDiv w:val="1"/>
      <w:marLeft w:val="0"/>
      <w:marRight w:val="0"/>
      <w:marTop w:val="0"/>
      <w:marBottom w:val="0"/>
      <w:divBdr>
        <w:top w:val="none" w:sz="0" w:space="0" w:color="auto"/>
        <w:left w:val="none" w:sz="0" w:space="0" w:color="auto"/>
        <w:bottom w:val="none" w:sz="0" w:space="0" w:color="auto"/>
        <w:right w:val="none" w:sz="0" w:space="0" w:color="auto"/>
      </w:divBdr>
    </w:div>
    <w:div w:id="490219031">
      <w:bodyDiv w:val="1"/>
      <w:marLeft w:val="0"/>
      <w:marRight w:val="0"/>
      <w:marTop w:val="0"/>
      <w:marBottom w:val="0"/>
      <w:divBdr>
        <w:top w:val="none" w:sz="0" w:space="0" w:color="auto"/>
        <w:left w:val="none" w:sz="0" w:space="0" w:color="auto"/>
        <w:bottom w:val="none" w:sz="0" w:space="0" w:color="auto"/>
        <w:right w:val="none" w:sz="0" w:space="0" w:color="auto"/>
      </w:divBdr>
    </w:div>
    <w:div w:id="505291283">
      <w:bodyDiv w:val="1"/>
      <w:marLeft w:val="0"/>
      <w:marRight w:val="0"/>
      <w:marTop w:val="0"/>
      <w:marBottom w:val="0"/>
      <w:divBdr>
        <w:top w:val="none" w:sz="0" w:space="0" w:color="auto"/>
        <w:left w:val="none" w:sz="0" w:space="0" w:color="auto"/>
        <w:bottom w:val="none" w:sz="0" w:space="0" w:color="auto"/>
        <w:right w:val="none" w:sz="0" w:space="0" w:color="auto"/>
      </w:divBdr>
    </w:div>
    <w:div w:id="562059037">
      <w:bodyDiv w:val="1"/>
      <w:marLeft w:val="0"/>
      <w:marRight w:val="0"/>
      <w:marTop w:val="0"/>
      <w:marBottom w:val="0"/>
      <w:divBdr>
        <w:top w:val="none" w:sz="0" w:space="0" w:color="auto"/>
        <w:left w:val="none" w:sz="0" w:space="0" w:color="auto"/>
        <w:bottom w:val="none" w:sz="0" w:space="0" w:color="auto"/>
        <w:right w:val="none" w:sz="0" w:space="0" w:color="auto"/>
      </w:divBdr>
    </w:div>
    <w:div w:id="576212602">
      <w:bodyDiv w:val="1"/>
      <w:marLeft w:val="0"/>
      <w:marRight w:val="0"/>
      <w:marTop w:val="0"/>
      <w:marBottom w:val="0"/>
      <w:divBdr>
        <w:top w:val="none" w:sz="0" w:space="0" w:color="auto"/>
        <w:left w:val="none" w:sz="0" w:space="0" w:color="auto"/>
        <w:bottom w:val="none" w:sz="0" w:space="0" w:color="auto"/>
        <w:right w:val="none" w:sz="0" w:space="0" w:color="auto"/>
      </w:divBdr>
    </w:div>
    <w:div w:id="577374088">
      <w:bodyDiv w:val="1"/>
      <w:marLeft w:val="0"/>
      <w:marRight w:val="0"/>
      <w:marTop w:val="0"/>
      <w:marBottom w:val="0"/>
      <w:divBdr>
        <w:top w:val="none" w:sz="0" w:space="0" w:color="auto"/>
        <w:left w:val="none" w:sz="0" w:space="0" w:color="auto"/>
        <w:bottom w:val="none" w:sz="0" w:space="0" w:color="auto"/>
        <w:right w:val="none" w:sz="0" w:space="0" w:color="auto"/>
      </w:divBdr>
    </w:div>
    <w:div w:id="591200620">
      <w:bodyDiv w:val="1"/>
      <w:marLeft w:val="0"/>
      <w:marRight w:val="0"/>
      <w:marTop w:val="0"/>
      <w:marBottom w:val="0"/>
      <w:divBdr>
        <w:top w:val="none" w:sz="0" w:space="0" w:color="auto"/>
        <w:left w:val="none" w:sz="0" w:space="0" w:color="auto"/>
        <w:bottom w:val="none" w:sz="0" w:space="0" w:color="auto"/>
        <w:right w:val="none" w:sz="0" w:space="0" w:color="auto"/>
      </w:divBdr>
    </w:div>
    <w:div w:id="613901645">
      <w:bodyDiv w:val="1"/>
      <w:marLeft w:val="0"/>
      <w:marRight w:val="0"/>
      <w:marTop w:val="0"/>
      <w:marBottom w:val="0"/>
      <w:divBdr>
        <w:top w:val="none" w:sz="0" w:space="0" w:color="auto"/>
        <w:left w:val="none" w:sz="0" w:space="0" w:color="auto"/>
        <w:bottom w:val="none" w:sz="0" w:space="0" w:color="auto"/>
        <w:right w:val="none" w:sz="0" w:space="0" w:color="auto"/>
      </w:divBdr>
    </w:div>
    <w:div w:id="658730538">
      <w:bodyDiv w:val="1"/>
      <w:marLeft w:val="0"/>
      <w:marRight w:val="0"/>
      <w:marTop w:val="0"/>
      <w:marBottom w:val="0"/>
      <w:divBdr>
        <w:top w:val="none" w:sz="0" w:space="0" w:color="auto"/>
        <w:left w:val="none" w:sz="0" w:space="0" w:color="auto"/>
        <w:bottom w:val="none" w:sz="0" w:space="0" w:color="auto"/>
        <w:right w:val="none" w:sz="0" w:space="0" w:color="auto"/>
      </w:divBdr>
    </w:div>
    <w:div w:id="672345232">
      <w:bodyDiv w:val="1"/>
      <w:marLeft w:val="0"/>
      <w:marRight w:val="0"/>
      <w:marTop w:val="0"/>
      <w:marBottom w:val="0"/>
      <w:divBdr>
        <w:top w:val="none" w:sz="0" w:space="0" w:color="auto"/>
        <w:left w:val="none" w:sz="0" w:space="0" w:color="auto"/>
        <w:bottom w:val="none" w:sz="0" w:space="0" w:color="auto"/>
        <w:right w:val="none" w:sz="0" w:space="0" w:color="auto"/>
      </w:divBdr>
    </w:div>
    <w:div w:id="678388498">
      <w:bodyDiv w:val="1"/>
      <w:marLeft w:val="0"/>
      <w:marRight w:val="0"/>
      <w:marTop w:val="0"/>
      <w:marBottom w:val="0"/>
      <w:divBdr>
        <w:top w:val="none" w:sz="0" w:space="0" w:color="auto"/>
        <w:left w:val="none" w:sz="0" w:space="0" w:color="auto"/>
        <w:bottom w:val="none" w:sz="0" w:space="0" w:color="auto"/>
        <w:right w:val="none" w:sz="0" w:space="0" w:color="auto"/>
      </w:divBdr>
    </w:div>
    <w:div w:id="680199926">
      <w:bodyDiv w:val="1"/>
      <w:marLeft w:val="0"/>
      <w:marRight w:val="0"/>
      <w:marTop w:val="0"/>
      <w:marBottom w:val="0"/>
      <w:divBdr>
        <w:top w:val="none" w:sz="0" w:space="0" w:color="auto"/>
        <w:left w:val="none" w:sz="0" w:space="0" w:color="auto"/>
        <w:bottom w:val="none" w:sz="0" w:space="0" w:color="auto"/>
        <w:right w:val="none" w:sz="0" w:space="0" w:color="auto"/>
      </w:divBdr>
    </w:div>
    <w:div w:id="694696873">
      <w:bodyDiv w:val="1"/>
      <w:marLeft w:val="0"/>
      <w:marRight w:val="0"/>
      <w:marTop w:val="0"/>
      <w:marBottom w:val="0"/>
      <w:divBdr>
        <w:top w:val="none" w:sz="0" w:space="0" w:color="auto"/>
        <w:left w:val="none" w:sz="0" w:space="0" w:color="auto"/>
        <w:bottom w:val="none" w:sz="0" w:space="0" w:color="auto"/>
        <w:right w:val="none" w:sz="0" w:space="0" w:color="auto"/>
      </w:divBdr>
    </w:div>
    <w:div w:id="712080865">
      <w:bodyDiv w:val="1"/>
      <w:marLeft w:val="0"/>
      <w:marRight w:val="0"/>
      <w:marTop w:val="0"/>
      <w:marBottom w:val="0"/>
      <w:divBdr>
        <w:top w:val="none" w:sz="0" w:space="0" w:color="auto"/>
        <w:left w:val="none" w:sz="0" w:space="0" w:color="auto"/>
        <w:bottom w:val="none" w:sz="0" w:space="0" w:color="auto"/>
        <w:right w:val="none" w:sz="0" w:space="0" w:color="auto"/>
      </w:divBdr>
    </w:div>
    <w:div w:id="717508069">
      <w:bodyDiv w:val="1"/>
      <w:marLeft w:val="0"/>
      <w:marRight w:val="0"/>
      <w:marTop w:val="0"/>
      <w:marBottom w:val="0"/>
      <w:divBdr>
        <w:top w:val="none" w:sz="0" w:space="0" w:color="auto"/>
        <w:left w:val="none" w:sz="0" w:space="0" w:color="auto"/>
        <w:bottom w:val="none" w:sz="0" w:space="0" w:color="auto"/>
        <w:right w:val="none" w:sz="0" w:space="0" w:color="auto"/>
      </w:divBdr>
    </w:div>
    <w:div w:id="721558709">
      <w:bodyDiv w:val="1"/>
      <w:marLeft w:val="0"/>
      <w:marRight w:val="0"/>
      <w:marTop w:val="0"/>
      <w:marBottom w:val="0"/>
      <w:divBdr>
        <w:top w:val="none" w:sz="0" w:space="0" w:color="auto"/>
        <w:left w:val="none" w:sz="0" w:space="0" w:color="auto"/>
        <w:bottom w:val="none" w:sz="0" w:space="0" w:color="auto"/>
        <w:right w:val="none" w:sz="0" w:space="0" w:color="auto"/>
      </w:divBdr>
    </w:div>
    <w:div w:id="726952980">
      <w:bodyDiv w:val="1"/>
      <w:marLeft w:val="0"/>
      <w:marRight w:val="0"/>
      <w:marTop w:val="0"/>
      <w:marBottom w:val="0"/>
      <w:divBdr>
        <w:top w:val="none" w:sz="0" w:space="0" w:color="auto"/>
        <w:left w:val="none" w:sz="0" w:space="0" w:color="auto"/>
        <w:bottom w:val="none" w:sz="0" w:space="0" w:color="auto"/>
        <w:right w:val="none" w:sz="0" w:space="0" w:color="auto"/>
      </w:divBdr>
    </w:div>
    <w:div w:id="737093028">
      <w:bodyDiv w:val="1"/>
      <w:marLeft w:val="0"/>
      <w:marRight w:val="0"/>
      <w:marTop w:val="0"/>
      <w:marBottom w:val="0"/>
      <w:divBdr>
        <w:top w:val="none" w:sz="0" w:space="0" w:color="auto"/>
        <w:left w:val="none" w:sz="0" w:space="0" w:color="auto"/>
        <w:bottom w:val="none" w:sz="0" w:space="0" w:color="auto"/>
        <w:right w:val="none" w:sz="0" w:space="0" w:color="auto"/>
      </w:divBdr>
    </w:div>
    <w:div w:id="748381695">
      <w:bodyDiv w:val="1"/>
      <w:marLeft w:val="0"/>
      <w:marRight w:val="0"/>
      <w:marTop w:val="0"/>
      <w:marBottom w:val="0"/>
      <w:divBdr>
        <w:top w:val="none" w:sz="0" w:space="0" w:color="auto"/>
        <w:left w:val="none" w:sz="0" w:space="0" w:color="auto"/>
        <w:bottom w:val="none" w:sz="0" w:space="0" w:color="auto"/>
        <w:right w:val="none" w:sz="0" w:space="0" w:color="auto"/>
      </w:divBdr>
    </w:div>
    <w:div w:id="750348018">
      <w:bodyDiv w:val="1"/>
      <w:marLeft w:val="0"/>
      <w:marRight w:val="0"/>
      <w:marTop w:val="0"/>
      <w:marBottom w:val="0"/>
      <w:divBdr>
        <w:top w:val="none" w:sz="0" w:space="0" w:color="auto"/>
        <w:left w:val="none" w:sz="0" w:space="0" w:color="auto"/>
        <w:bottom w:val="none" w:sz="0" w:space="0" w:color="auto"/>
        <w:right w:val="none" w:sz="0" w:space="0" w:color="auto"/>
      </w:divBdr>
    </w:div>
    <w:div w:id="773403477">
      <w:bodyDiv w:val="1"/>
      <w:marLeft w:val="0"/>
      <w:marRight w:val="0"/>
      <w:marTop w:val="0"/>
      <w:marBottom w:val="0"/>
      <w:divBdr>
        <w:top w:val="none" w:sz="0" w:space="0" w:color="auto"/>
        <w:left w:val="none" w:sz="0" w:space="0" w:color="auto"/>
        <w:bottom w:val="none" w:sz="0" w:space="0" w:color="auto"/>
        <w:right w:val="none" w:sz="0" w:space="0" w:color="auto"/>
      </w:divBdr>
    </w:div>
    <w:div w:id="781996631">
      <w:bodyDiv w:val="1"/>
      <w:marLeft w:val="0"/>
      <w:marRight w:val="0"/>
      <w:marTop w:val="0"/>
      <w:marBottom w:val="0"/>
      <w:divBdr>
        <w:top w:val="none" w:sz="0" w:space="0" w:color="auto"/>
        <w:left w:val="none" w:sz="0" w:space="0" w:color="auto"/>
        <w:bottom w:val="none" w:sz="0" w:space="0" w:color="auto"/>
        <w:right w:val="none" w:sz="0" w:space="0" w:color="auto"/>
      </w:divBdr>
    </w:div>
    <w:div w:id="808325538">
      <w:bodyDiv w:val="1"/>
      <w:marLeft w:val="0"/>
      <w:marRight w:val="0"/>
      <w:marTop w:val="0"/>
      <w:marBottom w:val="0"/>
      <w:divBdr>
        <w:top w:val="none" w:sz="0" w:space="0" w:color="auto"/>
        <w:left w:val="none" w:sz="0" w:space="0" w:color="auto"/>
        <w:bottom w:val="none" w:sz="0" w:space="0" w:color="auto"/>
        <w:right w:val="none" w:sz="0" w:space="0" w:color="auto"/>
      </w:divBdr>
    </w:div>
    <w:div w:id="811825605">
      <w:bodyDiv w:val="1"/>
      <w:marLeft w:val="0"/>
      <w:marRight w:val="0"/>
      <w:marTop w:val="0"/>
      <w:marBottom w:val="0"/>
      <w:divBdr>
        <w:top w:val="none" w:sz="0" w:space="0" w:color="auto"/>
        <w:left w:val="none" w:sz="0" w:space="0" w:color="auto"/>
        <w:bottom w:val="none" w:sz="0" w:space="0" w:color="auto"/>
        <w:right w:val="none" w:sz="0" w:space="0" w:color="auto"/>
      </w:divBdr>
    </w:div>
    <w:div w:id="863010124">
      <w:bodyDiv w:val="1"/>
      <w:marLeft w:val="0"/>
      <w:marRight w:val="0"/>
      <w:marTop w:val="0"/>
      <w:marBottom w:val="0"/>
      <w:divBdr>
        <w:top w:val="none" w:sz="0" w:space="0" w:color="auto"/>
        <w:left w:val="none" w:sz="0" w:space="0" w:color="auto"/>
        <w:bottom w:val="none" w:sz="0" w:space="0" w:color="auto"/>
        <w:right w:val="none" w:sz="0" w:space="0" w:color="auto"/>
      </w:divBdr>
    </w:div>
    <w:div w:id="871460560">
      <w:bodyDiv w:val="1"/>
      <w:marLeft w:val="0"/>
      <w:marRight w:val="0"/>
      <w:marTop w:val="0"/>
      <w:marBottom w:val="0"/>
      <w:divBdr>
        <w:top w:val="none" w:sz="0" w:space="0" w:color="auto"/>
        <w:left w:val="none" w:sz="0" w:space="0" w:color="auto"/>
        <w:bottom w:val="none" w:sz="0" w:space="0" w:color="auto"/>
        <w:right w:val="none" w:sz="0" w:space="0" w:color="auto"/>
      </w:divBdr>
    </w:div>
    <w:div w:id="884873809">
      <w:bodyDiv w:val="1"/>
      <w:marLeft w:val="0"/>
      <w:marRight w:val="0"/>
      <w:marTop w:val="0"/>
      <w:marBottom w:val="0"/>
      <w:divBdr>
        <w:top w:val="none" w:sz="0" w:space="0" w:color="auto"/>
        <w:left w:val="none" w:sz="0" w:space="0" w:color="auto"/>
        <w:bottom w:val="none" w:sz="0" w:space="0" w:color="auto"/>
        <w:right w:val="none" w:sz="0" w:space="0" w:color="auto"/>
      </w:divBdr>
    </w:div>
    <w:div w:id="923146626">
      <w:bodyDiv w:val="1"/>
      <w:marLeft w:val="0"/>
      <w:marRight w:val="0"/>
      <w:marTop w:val="0"/>
      <w:marBottom w:val="0"/>
      <w:divBdr>
        <w:top w:val="none" w:sz="0" w:space="0" w:color="auto"/>
        <w:left w:val="none" w:sz="0" w:space="0" w:color="auto"/>
        <w:bottom w:val="none" w:sz="0" w:space="0" w:color="auto"/>
        <w:right w:val="none" w:sz="0" w:space="0" w:color="auto"/>
      </w:divBdr>
    </w:div>
    <w:div w:id="926226686">
      <w:bodyDiv w:val="1"/>
      <w:marLeft w:val="0"/>
      <w:marRight w:val="0"/>
      <w:marTop w:val="0"/>
      <w:marBottom w:val="0"/>
      <w:divBdr>
        <w:top w:val="none" w:sz="0" w:space="0" w:color="auto"/>
        <w:left w:val="none" w:sz="0" w:space="0" w:color="auto"/>
        <w:bottom w:val="none" w:sz="0" w:space="0" w:color="auto"/>
        <w:right w:val="none" w:sz="0" w:space="0" w:color="auto"/>
      </w:divBdr>
    </w:div>
    <w:div w:id="927423241">
      <w:bodyDiv w:val="1"/>
      <w:marLeft w:val="0"/>
      <w:marRight w:val="0"/>
      <w:marTop w:val="0"/>
      <w:marBottom w:val="0"/>
      <w:divBdr>
        <w:top w:val="none" w:sz="0" w:space="0" w:color="auto"/>
        <w:left w:val="none" w:sz="0" w:space="0" w:color="auto"/>
        <w:bottom w:val="none" w:sz="0" w:space="0" w:color="auto"/>
        <w:right w:val="none" w:sz="0" w:space="0" w:color="auto"/>
      </w:divBdr>
      <w:divsChild>
        <w:div w:id="1507402109">
          <w:marLeft w:val="0"/>
          <w:marRight w:val="0"/>
          <w:marTop w:val="0"/>
          <w:marBottom w:val="0"/>
          <w:divBdr>
            <w:top w:val="none" w:sz="0" w:space="0" w:color="auto"/>
            <w:left w:val="none" w:sz="0" w:space="0" w:color="auto"/>
            <w:bottom w:val="none" w:sz="0" w:space="0" w:color="auto"/>
            <w:right w:val="none" w:sz="0" w:space="0" w:color="auto"/>
          </w:divBdr>
        </w:div>
      </w:divsChild>
    </w:div>
    <w:div w:id="929243126">
      <w:bodyDiv w:val="1"/>
      <w:marLeft w:val="0"/>
      <w:marRight w:val="0"/>
      <w:marTop w:val="0"/>
      <w:marBottom w:val="0"/>
      <w:divBdr>
        <w:top w:val="none" w:sz="0" w:space="0" w:color="auto"/>
        <w:left w:val="none" w:sz="0" w:space="0" w:color="auto"/>
        <w:bottom w:val="none" w:sz="0" w:space="0" w:color="auto"/>
        <w:right w:val="none" w:sz="0" w:space="0" w:color="auto"/>
      </w:divBdr>
    </w:div>
    <w:div w:id="934627734">
      <w:bodyDiv w:val="1"/>
      <w:marLeft w:val="0"/>
      <w:marRight w:val="0"/>
      <w:marTop w:val="0"/>
      <w:marBottom w:val="0"/>
      <w:divBdr>
        <w:top w:val="none" w:sz="0" w:space="0" w:color="auto"/>
        <w:left w:val="none" w:sz="0" w:space="0" w:color="auto"/>
        <w:bottom w:val="none" w:sz="0" w:space="0" w:color="auto"/>
        <w:right w:val="none" w:sz="0" w:space="0" w:color="auto"/>
      </w:divBdr>
    </w:div>
    <w:div w:id="949362263">
      <w:bodyDiv w:val="1"/>
      <w:marLeft w:val="0"/>
      <w:marRight w:val="0"/>
      <w:marTop w:val="0"/>
      <w:marBottom w:val="0"/>
      <w:divBdr>
        <w:top w:val="none" w:sz="0" w:space="0" w:color="auto"/>
        <w:left w:val="none" w:sz="0" w:space="0" w:color="auto"/>
        <w:bottom w:val="none" w:sz="0" w:space="0" w:color="auto"/>
        <w:right w:val="none" w:sz="0" w:space="0" w:color="auto"/>
      </w:divBdr>
    </w:div>
    <w:div w:id="966466738">
      <w:bodyDiv w:val="1"/>
      <w:marLeft w:val="0"/>
      <w:marRight w:val="0"/>
      <w:marTop w:val="0"/>
      <w:marBottom w:val="0"/>
      <w:divBdr>
        <w:top w:val="none" w:sz="0" w:space="0" w:color="auto"/>
        <w:left w:val="none" w:sz="0" w:space="0" w:color="auto"/>
        <w:bottom w:val="none" w:sz="0" w:space="0" w:color="auto"/>
        <w:right w:val="none" w:sz="0" w:space="0" w:color="auto"/>
      </w:divBdr>
    </w:div>
    <w:div w:id="967008693">
      <w:bodyDiv w:val="1"/>
      <w:marLeft w:val="0"/>
      <w:marRight w:val="0"/>
      <w:marTop w:val="0"/>
      <w:marBottom w:val="0"/>
      <w:divBdr>
        <w:top w:val="none" w:sz="0" w:space="0" w:color="auto"/>
        <w:left w:val="none" w:sz="0" w:space="0" w:color="auto"/>
        <w:bottom w:val="none" w:sz="0" w:space="0" w:color="auto"/>
        <w:right w:val="none" w:sz="0" w:space="0" w:color="auto"/>
      </w:divBdr>
    </w:div>
    <w:div w:id="989594818">
      <w:bodyDiv w:val="1"/>
      <w:marLeft w:val="0"/>
      <w:marRight w:val="0"/>
      <w:marTop w:val="0"/>
      <w:marBottom w:val="0"/>
      <w:divBdr>
        <w:top w:val="none" w:sz="0" w:space="0" w:color="auto"/>
        <w:left w:val="none" w:sz="0" w:space="0" w:color="auto"/>
        <w:bottom w:val="none" w:sz="0" w:space="0" w:color="auto"/>
        <w:right w:val="none" w:sz="0" w:space="0" w:color="auto"/>
      </w:divBdr>
    </w:div>
    <w:div w:id="1008750978">
      <w:bodyDiv w:val="1"/>
      <w:marLeft w:val="0"/>
      <w:marRight w:val="0"/>
      <w:marTop w:val="0"/>
      <w:marBottom w:val="0"/>
      <w:divBdr>
        <w:top w:val="none" w:sz="0" w:space="0" w:color="auto"/>
        <w:left w:val="none" w:sz="0" w:space="0" w:color="auto"/>
        <w:bottom w:val="none" w:sz="0" w:space="0" w:color="auto"/>
        <w:right w:val="none" w:sz="0" w:space="0" w:color="auto"/>
      </w:divBdr>
    </w:div>
    <w:div w:id="1031302151">
      <w:bodyDiv w:val="1"/>
      <w:marLeft w:val="0"/>
      <w:marRight w:val="0"/>
      <w:marTop w:val="0"/>
      <w:marBottom w:val="0"/>
      <w:divBdr>
        <w:top w:val="none" w:sz="0" w:space="0" w:color="auto"/>
        <w:left w:val="none" w:sz="0" w:space="0" w:color="auto"/>
        <w:bottom w:val="none" w:sz="0" w:space="0" w:color="auto"/>
        <w:right w:val="none" w:sz="0" w:space="0" w:color="auto"/>
      </w:divBdr>
    </w:div>
    <w:div w:id="1033387929">
      <w:bodyDiv w:val="1"/>
      <w:marLeft w:val="0"/>
      <w:marRight w:val="0"/>
      <w:marTop w:val="0"/>
      <w:marBottom w:val="0"/>
      <w:divBdr>
        <w:top w:val="none" w:sz="0" w:space="0" w:color="auto"/>
        <w:left w:val="none" w:sz="0" w:space="0" w:color="auto"/>
        <w:bottom w:val="none" w:sz="0" w:space="0" w:color="auto"/>
        <w:right w:val="none" w:sz="0" w:space="0" w:color="auto"/>
      </w:divBdr>
    </w:div>
    <w:div w:id="1057246246">
      <w:bodyDiv w:val="1"/>
      <w:marLeft w:val="0"/>
      <w:marRight w:val="0"/>
      <w:marTop w:val="0"/>
      <w:marBottom w:val="0"/>
      <w:divBdr>
        <w:top w:val="none" w:sz="0" w:space="0" w:color="auto"/>
        <w:left w:val="none" w:sz="0" w:space="0" w:color="auto"/>
        <w:bottom w:val="none" w:sz="0" w:space="0" w:color="auto"/>
        <w:right w:val="none" w:sz="0" w:space="0" w:color="auto"/>
      </w:divBdr>
    </w:div>
    <w:div w:id="1067728543">
      <w:bodyDiv w:val="1"/>
      <w:marLeft w:val="0"/>
      <w:marRight w:val="0"/>
      <w:marTop w:val="0"/>
      <w:marBottom w:val="0"/>
      <w:divBdr>
        <w:top w:val="none" w:sz="0" w:space="0" w:color="auto"/>
        <w:left w:val="none" w:sz="0" w:space="0" w:color="auto"/>
        <w:bottom w:val="none" w:sz="0" w:space="0" w:color="auto"/>
        <w:right w:val="none" w:sz="0" w:space="0" w:color="auto"/>
      </w:divBdr>
    </w:div>
    <w:div w:id="1095244685">
      <w:bodyDiv w:val="1"/>
      <w:marLeft w:val="0"/>
      <w:marRight w:val="0"/>
      <w:marTop w:val="0"/>
      <w:marBottom w:val="0"/>
      <w:divBdr>
        <w:top w:val="none" w:sz="0" w:space="0" w:color="auto"/>
        <w:left w:val="none" w:sz="0" w:space="0" w:color="auto"/>
        <w:bottom w:val="none" w:sz="0" w:space="0" w:color="auto"/>
        <w:right w:val="none" w:sz="0" w:space="0" w:color="auto"/>
      </w:divBdr>
    </w:div>
    <w:div w:id="1147474300">
      <w:bodyDiv w:val="1"/>
      <w:marLeft w:val="0"/>
      <w:marRight w:val="0"/>
      <w:marTop w:val="0"/>
      <w:marBottom w:val="0"/>
      <w:divBdr>
        <w:top w:val="none" w:sz="0" w:space="0" w:color="auto"/>
        <w:left w:val="none" w:sz="0" w:space="0" w:color="auto"/>
        <w:bottom w:val="none" w:sz="0" w:space="0" w:color="auto"/>
        <w:right w:val="none" w:sz="0" w:space="0" w:color="auto"/>
      </w:divBdr>
    </w:div>
    <w:div w:id="1159535687">
      <w:bodyDiv w:val="1"/>
      <w:marLeft w:val="0"/>
      <w:marRight w:val="0"/>
      <w:marTop w:val="0"/>
      <w:marBottom w:val="0"/>
      <w:divBdr>
        <w:top w:val="none" w:sz="0" w:space="0" w:color="auto"/>
        <w:left w:val="none" w:sz="0" w:space="0" w:color="auto"/>
        <w:bottom w:val="none" w:sz="0" w:space="0" w:color="auto"/>
        <w:right w:val="none" w:sz="0" w:space="0" w:color="auto"/>
      </w:divBdr>
    </w:div>
    <w:div w:id="1163276000">
      <w:bodyDiv w:val="1"/>
      <w:marLeft w:val="0"/>
      <w:marRight w:val="0"/>
      <w:marTop w:val="0"/>
      <w:marBottom w:val="0"/>
      <w:divBdr>
        <w:top w:val="none" w:sz="0" w:space="0" w:color="auto"/>
        <w:left w:val="none" w:sz="0" w:space="0" w:color="auto"/>
        <w:bottom w:val="none" w:sz="0" w:space="0" w:color="auto"/>
        <w:right w:val="none" w:sz="0" w:space="0" w:color="auto"/>
      </w:divBdr>
    </w:div>
    <w:div w:id="1172573216">
      <w:bodyDiv w:val="1"/>
      <w:marLeft w:val="0"/>
      <w:marRight w:val="0"/>
      <w:marTop w:val="0"/>
      <w:marBottom w:val="0"/>
      <w:divBdr>
        <w:top w:val="none" w:sz="0" w:space="0" w:color="auto"/>
        <w:left w:val="none" w:sz="0" w:space="0" w:color="auto"/>
        <w:bottom w:val="none" w:sz="0" w:space="0" w:color="auto"/>
        <w:right w:val="none" w:sz="0" w:space="0" w:color="auto"/>
      </w:divBdr>
    </w:div>
    <w:div w:id="1205024151">
      <w:bodyDiv w:val="1"/>
      <w:marLeft w:val="0"/>
      <w:marRight w:val="0"/>
      <w:marTop w:val="0"/>
      <w:marBottom w:val="0"/>
      <w:divBdr>
        <w:top w:val="none" w:sz="0" w:space="0" w:color="auto"/>
        <w:left w:val="none" w:sz="0" w:space="0" w:color="auto"/>
        <w:bottom w:val="none" w:sz="0" w:space="0" w:color="auto"/>
        <w:right w:val="none" w:sz="0" w:space="0" w:color="auto"/>
      </w:divBdr>
    </w:div>
    <w:div w:id="1236747721">
      <w:bodyDiv w:val="1"/>
      <w:marLeft w:val="0"/>
      <w:marRight w:val="0"/>
      <w:marTop w:val="0"/>
      <w:marBottom w:val="0"/>
      <w:divBdr>
        <w:top w:val="none" w:sz="0" w:space="0" w:color="auto"/>
        <w:left w:val="none" w:sz="0" w:space="0" w:color="auto"/>
        <w:bottom w:val="none" w:sz="0" w:space="0" w:color="auto"/>
        <w:right w:val="none" w:sz="0" w:space="0" w:color="auto"/>
      </w:divBdr>
    </w:div>
    <w:div w:id="1243874613">
      <w:bodyDiv w:val="1"/>
      <w:marLeft w:val="0"/>
      <w:marRight w:val="0"/>
      <w:marTop w:val="0"/>
      <w:marBottom w:val="0"/>
      <w:divBdr>
        <w:top w:val="none" w:sz="0" w:space="0" w:color="auto"/>
        <w:left w:val="none" w:sz="0" w:space="0" w:color="auto"/>
        <w:bottom w:val="none" w:sz="0" w:space="0" w:color="auto"/>
        <w:right w:val="none" w:sz="0" w:space="0" w:color="auto"/>
      </w:divBdr>
    </w:div>
    <w:div w:id="1249072032">
      <w:bodyDiv w:val="1"/>
      <w:marLeft w:val="0"/>
      <w:marRight w:val="0"/>
      <w:marTop w:val="0"/>
      <w:marBottom w:val="0"/>
      <w:divBdr>
        <w:top w:val="none" w:sz="0" w:space="0" w:color="auto"/>
        <w:left w:val="none" w:sz="0" w:space="0" w:color="auto"/>
        <w:bottom w:val="none" w:sz="0" w:space="0" w:color="auto"/>
        <w:right w:val="none" w:sz="0" w:space="0" w:color="auto"/>
      </w:divBdr>
    </w:div>
    <w:div w:id="1280605376">
      <w:bodyDiv w:val="1"/>
      <w:marLeft w:val="0"/>
      <w:marRight w:val="0"/>
      <w:marTop w:val="0"/>
      <w:marBottom w:val="0"/>
      <w:divBdr>
        <w:top w:val="none" w:sz="0" w:space="0" w:color="auto"/>
        <w:left w:val="none" w:sz="0" w:space="0" w:color="auto"/>
        <w:bottom w:val="none" w:sz="0" w:space="0" w:color="auto"/>
        <w:right w:val="none" w:sz="0" w:space="0" w:color="auto"/>
      </w:divBdr>
    </w:div>
    <w:div w:id="1281454136">
      <w:bodyDiv w:val="1"/>
      <w:marLeft w:val="0"/>
      <w:marRight w:val="0"/>
      <w:marTop w:val="0"/>
      <w:marBottom w:val="0"/>
      <w:divBdr>
        <w:top w:val="none" w:sz="0" w:space="0" w:color="auto"/>
        <w:left w:val="none" w:sz="0" w:space="0" w:color="auto"/>
        <w:bottom w:val="none" w:sz="0" w:space="0" w:color="auto"/>
        <w:right w:val="none" w:sz="0" w:space="0" w:color="auto"/>
      </w:divBdr>
    </w:div>
    <w:div w:id="1282956829">
      <w:bodyDiv w:val="1"/>
      <w:marLeft w:val="0"/>
      <w:marRight w:val="0"/>
      <w:marTop w:val="0"/>
      <w:marBottom w:val="0"/>
      <w:divBdr>
        <w:top w:val="none" w:sz="0" w:space="0" w:color="auto"/>
        <w:left w:val="none" w:sz="0" w:space="0" w:color="auto"/>
        <w:bottom w:val="none" w:sz="0" w:space="0" w:color="auto"/>
        <w:right w:val="none" w:sz="0" w:space="0" w:color="auto"/>
      </w:divBdr>
    </w:div>
    <w:div w:id="1333946766">
      <w:bodyDiv w:val="1"/>
      <w:marLeft w:val="0"/>
      <w:marRight w:val="0"/>
      <w:marTop w:val="0"/>
      <w:marBottom w:val="0"/>
      <w:divBdr>
        <w:top w:val="none" w:sz="0" w:space="0" w:color="auto"/>
        <w:left w:val="none" w:sz="0" w:space="0" w:color="auto"/>
        <w:bottom w:val="none" w:sz="0" w:space="0" w:color="auto"/>
        <w:right w:val="none" w:sz="0" w:space="0" w:color="auto"/>
      </w:divBdr>
    </w:div>
    <w:div w:id="1335109882">
      <w:bodyDiv w:val="1"/>
      <w:marLeft w:val="0"/>
      <w:marRight w:val="0"/>
      <w:marTop w:val="0"/>
      <w:marBottom w:val="0"/>
      <w:divBdr>
        <w:top w:val="none" w:sz="0" w:space="0" w:color="auto"/>
        <w:left w:val="none" w:sz="0" w:space="0" w:color="auto"/>
        <w:bottom w:val="none" w:sz="0" w:space="0" w:color="auto"/>
        <w:right w:val="none" w:sz="0" w:space="0" w:color="auto"/>
      </w:divBdr>
    </w:div>
    <w:div w:id="1337078467">
      <w:bodyDiv w:val="1"/>
      <w:marLeft w:val="0"/>
      <w:marRight w:val="0"/>
      <w:marTop w:val="0"/>
      <w:marBottom w:val="0"/>
      <w:divBdr>
        <w:top w:val="none" w:sz="0" w:space="0" w:color="auto"/>
        <w:left w:val="none" w:sz="0" w:space="0" w:color="auto"/>
        <w:bottom w:val="none" w:sz="0" w:space="0" w:color="auto"/>
        <w:right w:val="none" w:sz="0" w:space="0" w:color="auto"/>
      </w:divBdr>
    </w:div>
    <w:div w:id="1367288042">
      <w:bodyDiv w:val="1"/>
      <w:marLeft w:val="0"/>
      <w:marRight w:val="0"/>
      <w:marTop w:val="0"/>
      <w:marBottom w:val="0"/>
      <w:divBdr>
        <w:top w:val="none" w:sz="0" w:space="0" w:color="auto"/>
        <w:left w:val="none" w:sz="0" w:space="0" w:color="auto"/>
        <w:bottom w:val="none" w:sz="0" w:space="0" w:color="auto"/>
        <w:right w:val="none" w:sz="0" w:space="0" w:color="auto"/>
      </w:divBdr>
    </w:div>
    <w:div w:id="1370257787">
      <w:bodyDiv w:val="1"/>
      <w:marLeft w:val="0"/>
      <w:marRight w:val="0"/>
      <w:marTop w:val="0"/>
      <w:marBottom w:val="0"/>
      <w:divBdr>
        <w:top w:val="none" w:sz="0" w:space="0" w:color="auto"/>
        <w:left w:val="none" w:sz="0" w:space="0" w:color="auto"/>
        <w:bottom w:val="none" w:sz="0" w:space="0" w:color="auto"/>
        <w:right w:val="none" w:sz="0" w:space="0" w:color="auto"/>
      </w:divBdr>
    </w:div>
    <w:div w:id="1398743740">
      <w:bodyDiv w:val="1"/>
      <w:marLeft w:val="0"/>
      <w:marRight w:val="0"/>
      <w:marTop w:val="0"/>
      <w:marBottom w:val="0"/>
      <w:divBdr>
        <w:top w:val="none" w:sz="0" w:space="0" w:color="auto"/>
        <w:left w:val="none" w:sz="0" w:space="0" w:color="auto"/>
        <w:bottom w:val="none" w:sz="0" w:space="0" w:color="auto"/>
        <w:right w:val="none" w:sz="0" w:space="0" w:color="auto"/>
      </w:divBdr>
    </w:div>
    <w:div w:id="1406994108">
      <w:bodyDiv w:val="1"/>
      <w:marLeft w:val="0"/>
      <w:marRight w:val="0"/>
      <w:marTop w:val="0"/>
      <w:marBottom w:val="0"/>
      <w:divBdr>
        <w:top w:val="none" w:sz="0" w:space="0" w:color="auto"/>
        <w:left w:val="none" w:sz="0" w:space="0" w:color="auto"/>
        <w:bottom w:val="none" w:sz="0" w:space="0" w:color="auto"/>
        <w:right w:val="none" w:sz="0" w:space="0" w:color="auto"/>
      </w:divBdr>
    </w:div>
    <w:div w:id="1409231553">
      <w:bodyDiv w:val="1"/>
      <w:marLeft w:val="0"/>
      <w:marRight w:val="0"/>
      <w:marTop w:val="0"/>
      <w:marBottom w:val="0"/>
      <w:divBdr>
        <w:top w:val="none" w:sz="0" w:space="0" w:color="auto"/>
        <w:left w:val="none" w:sz="0" w:space="0" w:color="auto"/>
        <w:bottom w:val="none" w:sz="0" w:space="0" w:color="auto"/>
        <w:right w:val="none" w:sz="0" w:space="0" w:color="auto"/>
      </w:divBdr>
    </w:div>
    <w:div w:id="1414353343">
      <w:bodyDiv w:val="1"/>
      <w:marLeft w:val="0"/>
      <w:marRight w:val="0"/>
      <w:marTop w:val="0"/>
      <w:marBottom w:val="0"/>
      <w:divBdr>
        <w:top w:val="none" w:sz="0" w:space="0" w:color="auto"/>
        <w:left w:val="none" w:sz="0" w:space="0" w:color="auto"/>
        <w:bottom w:val="none" w:sz="0" w:space="0" w:color="auto"/>
        <w:right w:val="none" w:sz="0" w:space="0" w:color="auto"/>
      </w:divBdr>
    </w:div>
    <w:div w:id="1430275961">
      <w:bodyDiv w:val="1"/>
      <w:marLeft w:val="0"/>
      <w:marRight w:val="0"/>
      <w:marTop w:val="0"/>
      <w:marBottom w:val="0"/>
      <w:divBdr>
        <w:top w:val="none" w:sz="0" w:space="0" w:color="auto"/>
        <w:left w:val="none" w:sz="0" w:space="0" w:color="auto"/>
        <w:bottom w:val="none" w:sz="0" w:space="0" w:color="auto"/>
        <w:right w:val="none" w:sz="0" w:space="0" w:color="auto"/>
      </w:divBdr>
    </w:div>
    <w:div w:id="1443916218">
      <w:bodyDiv w:val="1"/>
      <w:marLeft w:val="0"/>
      <w:marRight w:val="0"/>
      <w:marTop w:val="0"/>
      <w:marBottom w:val="0"/>
      <w:divBdr>
        <w:top w:val="none" w:sz="0" w:space="0" w:color="auto"/>
        <w:left w:val="none" w:sz="0" w:space="0" w:color="auto"/>
        <w:bottom w:val="none" w:sz="0" w:space="0" w:color="auto"/>
        <w:right w:val="none" w:sz="0" w:space="0" w:color="auto"/>
      </w:divBdr>
    </w:div>
    <w:div w:id="1462574252">
      <w:bodyDiv w:val="1"/>
      <w:marLeft w:val="0"/>
      <w:marRight w:val="0"/>
      <w:marTop w:val="0"/>
      <w:marBottom w:val="0"/>
      <w:divBdr>
        <w:top w:val="none" w:sz="0" w:space="0" w:color="auto"/>
        <w:left w:val="none" w:sz="0" w:space="0" w:color="auto"/>
        <w:bottom w:val="none" w:sz="0" w:space="0" w:color="auto"/>
        <w:right w:val="none" w:sz="0" w:space="0" w:color="auto"/>
      </w:divBdr>
    </w:div>
    <w:div w:id="1465081432">
      <w:bodyDiv w:val="1"/>
      <w:marLeft w:val="0"/>
      <w:marRight w:val="0"/>
      <w:marTop w:val="0"/>
      <w:marBottom w:val="0"/>
      <w:divBdr>
        <w:top w:val="none" w:sz="0" w:space="0" w:color="auto"/>
        <w:left w:val="none" w:sz="0" w:space="0" w:color="auto"/>
        <w:bottom w:val="none" w:sz="0" w:space="0" w:color="auto"/>
        <w:right w:val="none" w:sz="0" w:space="0" w:color="auto"/>
      </w:divBdr>
    </w:div>
    <w:div w:id="1566799809">
      <w:bodyDiv w:val="1"/>
      <w:marLeft w:val="0"/>
      <w:marRight w:val="0"/>
      <w:marTop w:val="0"/>
      <w:marBottom w:val="0"/>
      <w:divBdr>
        <w:top w:val="none" w:sz="0" w:space="0" w:color="auto"/>
        <w:left w:val="none" w:sz="0" w:space="0" w:color="auto"/>
        <w:bottom w:val="none" w:sz="0" w:space="0" w:color="auto"/>
        <w:right w:val="none" w:sz="0" w:space="0" w:color="auto"/>
      </w:divBdr>
    </w:div>
    <w:div w:id="1567033089">
      <w:bodyDiv w:val="1"/>
      <w:marLeft w:val="0"/>
      <w:marRight w:val="0"/>
      <w:marTop w:val="0"/>
      <w:marBottom w:val="0"/>
      <w:divBdr>
        <w:top w:val="none" w:sz="0" w:space="0" w:color="auto"/>
        <w:left w:val="none" w:sz="0" w:space="0" w:color="auto"/>
        <w:bottom w:val="none" w:sz="0" w:space="0" w:color="auto"/>
        <w:right w:val="none" w:sz="0" w:space="0" w:color="auto"/>
      </w:divBdr>
    </w:div>
    <w:div w:id="1567649347">
      <w:bodyDiv w:val="1"/>
      <w:marLeft w:val="0"/>
      <w:marRight w:val="0"/>
      <w:marTop w:val="0"/>
      <w:marBottom w:val="0"/>
      <w:divBdr>
        <w:top w:val="none" w:sz="0" w:space="0" w:color="auto"/>
        <w:left w:val="none" w:sz="0" w:space="0" w:color="auto"/>
        <w:bottom w:val="none" w:sz="0" w:space="0" w:color="auto"/>
        <w:right w:val="none" w:sz="0" w:space="0" w:color="auto"/>
      </w:divBdr>
    </w:div>
    <w:div w:id="1568808806">
      <w:bodyDiv w:val="1"/>
      <w:marLeft w:val="0"/>
      <w:marRight w:val="0"/>
      <w:marTop w:val="0"/>
      <w:marBottom w:val="0"/>
      <w:divBdr>
        <w:top w:val="none" w:sz="0" w:space="0" w:color="auto"/>
        <w:left w:val="none" w:sz="0" w:space="0" w:color="auto"/>
        <w:bottom w:val="none" w:sz="0" w:space="0" w:color="auto"/>
        <w:right w:val="none" w:sz="0" w:space="0" w:color="auto"/>
      </w:divBdr>
    </w:div>
    <w:div w:id="1624462801">
      <w:bodyDiv w:val="1"/>
      <w:marLeft w:val="0"/>
      <w:marRight w:val="0"/>
      <w:marTop w:val="0"/>
      <w:marBottom w:val="0"/>
      <w:divBdr>
        <w:top w:val="none" w:sz="0" w:space="0" w:color="auto"/>
        <w:left w:val="none" w:sz="0" w:space="0" w:color="auto"/>
        <w:bottom w:val="none" w:sz="0" w:space="0" w:color="auto"/>
        <w:right w:val="none" w:sz="0" w:space="0" w:color="auto"/>
      </w:divBdr>
    </w:div>
    <w:div w:id="1649088375">
      <w:bodyDiv w:val="1"/>
      <w:marLeft w:val="0"/>
      <w:marRight w:val="0"/>
      <w:marTop w:val="0"/>
      <w:marBottom w:val="0"/>
      <w:divBdr>
        <w:top w:val="none" w:sz="0" w:space="0" w:color="auto"/>
        <w:left w:val="none" w:sz="0" w:space="0" w:color="auto"/>
        <w:bottom w:val="none" w:sz="0" w:space="0" w:color="auto"/>
        <w:right w:val="none" w:sz="0" w:space="0" w:color="auto"/>
      </w:divBdr>
    </w:div>
    <w:div w:id="1675573297">
      <w:bodyDiv w:val="1"/>
      <w:marLeft w:val="0"/>
      <w:marRight w:val="0"/>
      <w:marTop w:val="0"/>
      <w:marBottom w:val="0"/>
      <w:divBdr>
        <w:top w:val="none" w:sz="0" w:space="0" w:color="auto"/>
        <w:left w:val="none" w:sz="0" w:space="0" w:color="auto"/>
        <w:bottom w:val="none" w:sz="0" w:space="0" w:color="auto"/>
        <w:right w:val="none" w:sz="0" w:space="0" w:color="auto"/>
      </w:divBdr>
    </w:div>
    <w:div w:id="1689024706">
      <w:bodyDiv w:val="1"/>
      <w:marLeft w:val="0"/>
      <w:marRight w:val="0"/>
      <w:marTop w:val="0"/>
      <w:marBottom w:val="0"/>
      <w:divBdr>
        <w:top w:val="none" w:sz="0" w:space="0" w:color="auto"/>
        <w:left w:val="none" w:sz="0" w:space="0" w:color="auto"/>
        <w:bottom w:val="none" w:sz="0" w:space="0" w:color="auto"/>
        <w:right w:val="none" w:sz="0" w:space="0" w:color="auto"/>
      </w:divBdr>
    </w:div>
    <w:div w:id="1702314991">
      <w:bodyDiv w:val="1"/>
      <w:marLeft w:val="0"/>
      <w:marRight w:val="0"/>
      <w:marTop w:val="0"/>
      <w:marBottom w:val="0"/>
      <w:divBdr>
        <w:top w:val="none" w:sz="0" w:space="0" w:color="auto"/>
        <w:left w:val="none" w:sz="0" w:space="0" w:color="auto"/>
        <w:bottom w:val="none" w:sz="0" w:space="0" w:color="auto"/>
        <w:right w:val="none" w:sz="0" w:space="0" w:color="auto"/>
      </w:divBdr>
    </w:div>
    <w:div w:id="1707293653">
      <w:bodyDiv w:val="1"/>
      <w:marLeft w:val="0"/>
      <w:marRight w:val="0"/>
      <w:marTop w:val="0"/>
      <w:marBottom w:val="0"/>
      <w:divBdr>
        <w:top w:val="none" w:sz="0" w:space="0" w:color="auto"/>
        <w:left w:val="none" w:sz="0" w:space="0" w:color="auto"/>
        <w:bottom w:val="none" w:sz="0" w:space="0" w:color="auto"/>
        <w:right w:val="none" w:sz="0" w:space="0" w:color="auto"/>
      </w:divBdr>
    </w:div>
    <w:div w:id="1730112432">
      <w:bodyDiv w:val="1"/>
      <w:marLeft w:val="0"/>
      <w:marRight w:val="0"/>
      <w:marTop w:val="0"/>
      <w:marBottom w:val="0"/>
      <w:divBdr>
        <w:top w:val="none" w:sz="0" w:space="0" w:color="auto"/>
        <w:left w:val="none" w:sz="0" w:space="0" w:color="auto"/>
        <w:bottom w:val="none" w:sz="0" w:space="0" w:color="auto"/>
        <w:right w:val="none" w:sz="0" w:space="0" w:color="auto"/>
      </w:divBdr>
    </w:div>
    <w:div w:id="1735614998">
      <w:bodyDiv w:val="1"/>
      <w:marLeft w:val="0"/>
      <w:marRight w:val="0"/>
      <w:marTop w:val="0"/>
      <w:marBottom w:val="0"/>
      <w:divBdr>
        <w:top w:val="none" w:sz="0" w:space="0" w:color="auto"/>
        <w:left w:val="none" w:sz="0" w:space="0" w:color="auto"/>
        <w:bottom w:val="none" w:sz="0" w:space="0" w:color="auto"/>
        <w:right w:val="none" w:sz="0" w:space="0" w:color="auto"/>
      </w:divBdr>
    </w:div>
    <w:div w:id="1745226452">
      <w:bodyDiv w:val="1"/>
      <w:marLeft w:val="0"/>
      <w:marRight w:val="0"/>
      <w:marTop w:val="0"/>
      <w:marBottom w:val="0"/>
      <w:divBdr>
        <w:top w:val="none" w:sz="0" w:space="0" w:color="auto"/>
        <w:left w:val="none" w:sz="0" w:space="0" w:color="auto"/>
        <w:bottom w:val="none" w:sz="0" w:space="0" w:color="auto"/>
        <w:right w:val="none" w:sz="0" w:space="0" w:color="auto"/>
      </w:divBdr>
    </w:div>
    <w:div w:id="1773428396">
      <w:bodyDiv w:val="1"/>
      <w:marLeft w:val="0"/>
      <w:marRight w:val="0"/>
      <w:marTop w:val="0"/>
      <w:marBottom w:val="0"/>
      <w:divBdr>
        <w:top w:val="none" w:sz="0" w:space="0" w:color="auto"/>
        <w:left w:val="none" w:sz="0" w:space="0" w:color="auto"/>
        <w:bottom w:val="none" w:sz="0" w:space="0" w:color="auto"/>
        <w:right w:val="none" w:sz="0" w:space="0" w:color="auto"/>
      </w:divBdr>
    </w:div>
    <w:div w:id="1779911953">
      <w:bodyDiv w:val="1"/>
      <w:marLeft w:val="0"/>
      <w:marRight w:val="0"/>
      <w:marTop w:val="0"/>
      <w:marBottom w:val="0"/>
      <w:divBdr>
        <w:top w:val="none" w:sz="0" w:space="0" w:color="auto"/>
        <w:left w:val="none" w:sz="0" w:space="0" w:color="auto"/>
        <w:bottom w:val="none" w:sz="0" w:space="0" w:color="auto"/>
        <w:right w:val="none" w:sz="0" w:space="0" w:color="auto"/>
      </w:divBdr>
    </w:div>
    <w:div w:id="1798448673">
      <w:bodyDiv w:val="1"/>
      <w:marLeft w:val="0"/>
      <w:marRight w:val="0"/>
      <w:marTop w:val="0"/>
      <w:marBottom w:val="0"/>
      <w:divBdr>
        <w:top w:val="none" w:sz="0" w:space="0" w:color="auto"/>
        <w:left w:val="none" w:sz="0" w:space="0" w:color="auto"/>
        <w:bottom w:val="none" w:sz="0" w:space="0" w:color="auto"/>
        <w:right w:val="none" w:sz="0" w:space="0" w:color="auto"/>
      </w:divBdr>
    </w:div>
    <w:div w:id="1809124174">
      <w:bodyDiv w:val="1"/>
      <w:marLeft w:val="0"/>
      <w:marRight w:val="0"/>
      <w:marTop w:val="0"/>
      <w:marBottom w:val="0"/>
      <w:divBdr>
        <w:top w:val="none" w:sz="0" w:space="0" w:color="auto"/>
        <w:left w:val="none" w:sz="0" w:space="0" w:color="auto"/>
        <w:bottom w:val="none" w:sz="0" w:space="0" w:color="auto"/>
        <w:right w:val="none" w:sz="0" w:space="0" w:color="auto"/>
      </w:divBdr>
    </w:div>
    <w:div w:id="1864826999">
      <w:bodyDiv w:val="1"/>
      <w:marLeft w:val="0"/>
      <w:marRight w:val="0"/>
      <w:marTop w:val="0"/>
      <w:marBottom w:val="0"/>
      <w:divBdr>
        <w:top w:val="none" w:sz="0" w:space="0" w:color="auto"/>
        <w:left w:val="none" w:sz="0" w:space="0" w:color="auto"/>
        <w:bottom w:val="none" w:sz="0" w:space="0" w:color="auto"/>
        <w:right w:val="none" w:sz="0" w:space="0" w:color="auto"/>
      </w:divBdr>
    </w:div>
    <w:div w:id="1867015533">
      <w:bodyDiv w:val="1"/>
      <w:marLeft w:val="0"/>
      <w:marRight w:val="0"/>
      <w:marTop w:val="0"/>
      <w:marBottom w:val="0"/>
      <w:divBdr>
        <w:top w:val="none" w:sz="0" w:space="0" w:color="auto"/>
        <w:left w:val="none" w:sz="0" w:space="0" w:color="auto"/>
        <w:bottom w:val="none" w:sz="0" w:space="0" w:color="auto"/>
        <w:right w:val="none" w:sz="0" w:space="0" w:color="auto"/>
      </w:divBdr>
    </w:div>
    <w:div w:id="1878620030">
      <w:bodyDiv w:val="1"/>
      <w:marLeft w:val="0"/>
      <w:marRight w:val="0"/>
      <w:marTop w:val="0"/>
      <w:marBottom w:val="0"/>
      <w:divBdr>
        <w:top w:val="none" w:sz="0" w:space="0" w:color="auto"/>
        <w:left w:val="none" w:sz="0" w:space="0" w:color="auto"/>
        <w:bottom w:val="none" w:sz="0" w:space="0" w:color="auto"/>
        <w:right w:val="none" w:sz="0" w:space="0" w:color="auto"/>
      </w:divBdr>
    </w:div>
    <w:div w:id="1880168736">
      <w:bodyDiv w:val="1"/>
      <w:marLeft w:val="0"/>
      <w:marRight w:val="0"/>
      <w:marTop w:val="0"/>
      <w:marBottom w:val="0"/>
      <w:divBdr>
        <w:top w:val="none" w:sz="0" w:space="0" w:color="auto"/>
        <w:left w:val="none" w:sz="0" w:space="0" w:color="auto"/>
        <w:bottom w:val="none" w:sz="0" w:space="0" w:color="auto"/>
        <w:right w:val="none" w:sz="0" w:space="0" w:color="auto"/>
      </w:divBdr>
    </w:div>
    <w:div w:id="1884437641">
      <w:bodyDiv w:val="1"/>
      <w:marLeft w:val="0"/>
      <w:marRight w:val="0"/>
      <w:marTop w:val="0"/>
      <w:marBottom w:val="0"/>
      <w:divBdr>
        <w:top w:val="none" w:sz="0" w:space="0" w:color="auto"/>
        <w:left w:val="none" w:sz="0" w:space="0" w:color="auto"/>
        <w:bottom w:val="none" w:sz="0" w:space="0" w:color="auto"/>
        <w:right w:val="none" w:sz="0" w:space="0" w:color="auto"/>
      </w:divBdr>
    </w:div>
    <w:div w:id="1897472542">
      <w:bodyDiv w:val="1"/>
      <w:marLeft w:val="0"/>
      <w:marRight w:val="0"/>
      <w:marTop w:val="0"/>
      <w:marBottom w:val="0"/>
      <w:divBdr>
        <w:top w:val="none" w:sz="0" w:space="0" w:color="auto"/>
        <w:left w:val="none" w:sz="0" w:space="0" w:color="auto"/>
        <w:bottom w:val="none" w:sz="0" w:space="0" w:color="auto"/>
        <w:right w:val="none" w:sz="0" w:space="0" w:color="auto"/>
      </w:divBdr>
    </w:div>
    <w:div w:id="1928691574">
      <w:bodyDiv w:val="1"/>
      <w:marLeft w:val="0"/>
      <w:marRight w:val="0"/>
      <w:marTop w:val="0"/>
      <w:marBottom w:val="0"/>
      <w:divBdr>
        <w:top w:val="none" w:sz="0" w:space="0" w:color="auto"/>
        <w:left w:val="none" w:sz="0" w:space="0" w:color="auto"/>
        <w:bottom w:val="none" w:sz="0" w:space="0" w:color="auto"/>
        <w:right w:val="none" w:sz="0" w:space="0" w:color="auto"/>
      </w:divBdr>
    </w:div>
    <w:div w:id="1942571105">
      <w:bodyDiv w:val="1"/>
      <w:marLeft w:val="0"/>
      <w:marRight w:val="0"/>
      <w:marTop w:val="0"/>
      <w:marBottom w:val="0"/>
      <w:divBdr>
        <w:top w:val="none" w:sz="0" w:space="0" w:color="auto"/>
        <w:left w:val="none" w:sz="0" w:space="0" w:color="auto"/>
        <w:bottom w:val="none" w:sz="0" w:space="0" w:color="auto"/>
        <w:right w:val="none" w:sz="0" w:space="0" w:color="auto"/>
      </w:divBdr>
    </w:div>
    <w:div w:id="1959215827">
      <w:bodyDiv w:val="1"/>
      <w:marLeft w:val="0"/>
      <w:marRight w:val="0"/>
      <w:marTop w:val="0"/>
      <w:marBottom w:val="0"/>
      <w:divBdr>
        <w:top w:val="none" w:sz="0" w:space="0" w:color="auto"/>
        <w:left w:val="none" w:sz="0" w:space="0" w:color="auto"/>
        <w:bottom w:val="none" w:sz="0" w:space="0" w:color="auto"/>
        <w:right w:val="none" w:sz="0" w:space="0" w:color="auto"/>
      </w:divBdr>
    </w:div>
    <w:div w:id="1970748024">
      <w:bodyDiv w:val="1"/>
      <w:marLeft w:val="0"/>
      <w:marRight w:val="0"/>
      <w:marTop w:val="0"/>
      <w:marBottom w:val="0"/>
      <w:divBdr>
        <w:top w:val="none" w:sz="0" w:space="0" w:color="auto"/>
        <w:left w:val="none" w:sz="0" w:space="0" w:color="auto"/>
        <w:bottom w:val="none" w:sz="0" w:space="0" w:color="auto"/>
        <w:right w:val="none" w:sz="0" w:space="0" w:color="auto"/>
      </w:divBdr>
    </w:div>
    <w:div w:id="1994602611">
      <w:bodyDiv w:val="1"/>
      <w:marLeft w:val="0"/>
      <w:marRight w:val="0"/>
      <w:marTop w:val="0"/>
      <w:marBottom w:val="0"/>
      <w:divBdr>
        <w:top w:val="none" w:sz="0" w:space="0" w:color="auto"/>
        <w:left w:val="none" w:sz="0" w:space="0" w:color="auto"/>
        <w:bottom w:val="none" w:sz="0" w:space="0" w:color="auto"/>
        <w:right w:val="none" w:sz="0" w:space="0" w:color="auto"/>
      </w:divBdr>
    </w:div>
    <w:div w:id="2035960189">
      <w:bodyDiv w:val="1"/>
      <w:marLeft w:val="0"/>
      <w:marRight w:val="0"/>
      <w:marTop w:val="0"/>
      <w:marBottom w:val="0"/>
      <w:divBdr>
        <w:top w:val="none" w:sz="0" w:space="0" w:color="auto"/>
        <w:left w:val="none" w:sz="0" w:space="0" w:color="auto"/>
        <w:bottom w:val="none" w:sz="0" w:space="0" w:color="auto"/>
        <w:right w:val="none" w:sz="0" w:space="0" w:color="auto"/>
      </w:divBdr>
    </w:div>
    <w:div w:id="2037845351">
      <w:bodyDiv w:val="1"/>
      <w:marLeft w:val="0"/>
      <w:marRight w:val="0"/>
      <w:marTop w:val="0"/>
      <w:marBottom w:val="0"/>
      <w:divBdr>
        <w:top w:val="none" w:sz="0" w:space="0" w:color="auto"/>
        <w:left w:val="none" w:sz="0" w:space="0" w:color="auto"/>
        <w:bottom w:val="none" w:sz="0" w:space="0" w:color="auto"/>
        <w:right w:val="none" w:sz="0" w:space="0" w:color="auto"/>
      </w:divBdr>
    </w:div>
    <w:div w:id="2050832992">
      <w:bodyDiv w:val="1"/>
      <w:marLeft w:val="0"/>
      <w:marRight w:val="0"/>
      <w:marTop w:val="0"/>
      <w:marBottom w:val="0"/>
      <w:divBdr>
        <w:top w:val="none" w:sz="0" w:space="0" w:color="auto"/>
        <w:left w:val="none" w:sz="0" w:space="0" w:color="auto"/>
        <w:bottom w:val="none" w:sz="0" w:space="0" w:color="auto"/>
        <w:right w:val="none" w:sz="0" w:space="0" w:color="auto"/>
      </w:divBdr>
    </w:div>
    <w:div w:id="2053263491">
      <w:bodyDiv w:val="1"/>
      <w:marLeft w:val="0"/>
      <w:marRight w:val="0"/>
      <w:marTop w:val="0"/>
      <w:marBottom w:val="0"/>
      <w:divBdr>
        <w:top w:val="none" w:sz="0" w:space="0" w:color="auto"/>
        <w:left w:val="none" w:sz="0" w:space="0" w:color="auto"/>
        <w:bottom w:val="none" w:sz="0" w:space="0" w:color="auto"/>
        <w:right w:val="none" w:sz="0" w:space="0" w:color="auto"/>
      </w:divBdr>
    </w:div>
    <w:div w:id="2055806548">
      <w:bodyDiv w:val="1"/>
      <w:marLeft w:val="0"/>
      <w:marRight w:val="0"/>
      <w:marTop w:val="0"/>
      <w:marBottom w:val="0"/>
      <w:divBdr>
        <w:top w:val="none" w:sz="0" w:space="0" w:color="auto"/>
        <w:left w:val="none" w:sz="0" w:space="0" w:color="auto"/>
        <w:bottom w:val="none" w:sz="0" w:space="0" w:color="auto"/>
        <w:right w:val="none" w:sz="0" w:space="0" w:color="auto"/>
      </w:divBdr>
    </w:div>
    <w:div w:id="2060592331">
      <w:bodyDiv w:val="1"/>
      <w:marLeft w:val="0"/>
      <w:marRight w:val="0"/>
      <w:marTop w:val="0"/>
      <w:marBottom w:val="0"/>
      <w:divBdr>
        <w:top w:val="none" w:sz="0" w:space="0" w:color="auto"/>
        <w:left w:val="none" w:sz="0" w:space="0" w:color="auto"/>
        <w:bottom w:val="none" w:sz="0" w:space="0" w:color="auto"/>
        <w:right w:val="none" w:sz="0" w:space="0" w:color="auto"/>
      </w:divBdr>
    </w:div>
    <w:div w:id="2067995003">
      <w:bodyDiv w:val="1"/>
      <w:marLeft w:val="0"/>
      <w:marRight w:val="0"/>
      <w:marTop w:val="0"/>
      <w:marBottom w:val="0"/>
      <w:divBdr>
        <w:top w:val="none" w:sz="0" w:space="0" w:color="auto"/>
        <w:left w:val="none" w:sz="0" w:space="0" w:color="auto"/>
        <w:bottom w:val="none" w:sz="0" w:space="0" w:color="auto"/>
        <w:right w:val="none" w:sz="0" w:space="0" w:color="auto"/>
      </w:divBdr>
    </w:div>
    <w:div w:id="2086682129">
      <w:bodyDiv w:val="1"/>
      <w:marLeft w:val="0"/>
      <w:marRight w:val="0"/>
      <w:marTop w:val="0"/>
      <w:marBottom w:val="0"/>
      <w:divBdr>
        <w:top w:val="none" w:sz="0" w:space="0" w:color="auto"/>
        <w:left w:val="none" w:sz="0" w:space="0" w:color="auto"/>
        <w:bottom w:val="none" w:sz="0" w:space="0" w:color="auto"/>
        <w:right w:val="none" w:sz="0" w:space="0" w:color="auto"/>
      </w:divBdr>
    </w:div>
    <w:div w:id="2112124042">
      <w:bodyDiv w:val="1"/>
      <w:marLeft w:val="0"/>
      <w:marRight w:val="0"/>
      <w:marTop w:val="0"/>
      <w:marBottom w:val="0"/>
      <w:divBdr>
        <w:top w:val="none" w:sz="0" w:space="0" w:color="auto"/>
        <w:left w:val="none" w:sz="0" w:space="0" w:color="auto"/>
        <w:bottom w:val="none" w:sz="0" w:space="0" w:color="auto"/>
        <w:right w:val="none" w:sz="0" w:space="0" w:color="auto"/>
      </w:divBdr>
    </w:div>
    <w:div w:id="2123910860">
      <w:bodyDiv w:val="1"/>
      <w:marLeft w:val="0"/>
      <w:marRight w:val="0"/>
      <w:marTop w:val="0"/>
      <w:marBottom w:val="0"/>
      <w:divBdr>
        <w:top w:val="none" w:sz="0" w:space="0" w:color="auto"/>
        <w:left w:val="none" w:sz="0" w:space="0" w:color="auto"/>
        <w:bottom w:val="none" w:sz="0" w:space="0" w:color="auto"/>
        <w:right w:val="none" w:sz="0" w:space="0" w:color="auto"/>
      </w:divBdr>
    </w:div>
    <w:div w:id="2128352481">
      <w:bodyDiv w:val="1"/>
      <w:marLeft w:val="0"/>
      <w:marRight w:val="0"/>
      <w:marTop w:val="0"/>
      <w:marBottom w:val="0"/>
      <w:divBdr>
        <w:top w:val="none" w:sz="0" w:space="0" w:color="auto"/>
        <w:left w:val="none" w:sz="0" w:space="0" w:color="auto"/>
        <w:bottom w:val="none" w:sz="0" w:space="0" w:color="auto"/>
        <w:right w:val="none" w:sz="0" w:space="0" w:color="auto"/>
      </w:divBdr>
    </w:div>
    <w:div w:id="2129273257">
      <w:bodyDiv w:val="1"/>
      <w:marLeft w:val="0"/>
      <w:marRight w:val="0"/>
      <w:marTop w:val="0"/>
      <w:marBottom w:val="0"/>
      <w:divBdr>
        <w:top w:val="none" w:sz="0" w:space="0" w:color="auto"/>
        <w:left w:val="none" w:sz="0" w:space="0" w:color="auto"/>
        <w:bottom w:val="none" w:sz="0" w:space="0" w:color="auto"/>
        <w:right w:val="none" w:sz="0" w:space="0" w:color="auto"/>
      </w:divBdr>
    </w:div>
    <w:div w:id="2132698929">
      <w:bodyDiv w:val="1"/>
      <w:marLeft w:val="0"/>
      <w:marRight w:val="0"/>
      <w:marTop w:val="0"/>
      <w:marBottom w:val="0"/>
      <w:divBdr>
        <w:top w:val="none" w:sz="0" w:space="0" w:color="auto"/>
        <w:left w:val="none" w:sz="0" w:space="0" w:color="auto"/>
        <w:bottom w:val="none" w:sz="0" w:space="0" w:color="auto"/>
        <w:right w:val="none" w:sz="0" w:space="0" w:color="auto"/>
      </w:divBdr>
    </w:div>
    <w:div w:id="213394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6799/jss.v3i1.293" TargetMode="External"/><Relationship Id="rId18" Type="http://schemas.openxmlformats.org/officeDocument/2006/relationships/hyperlink" Target="https://doi.org/10.1007/978-3-031-55036-2_8" TargetMode="External"/><Relationship Id="rId26" Type="http://schemas.openxmlformats.org/officeDocument/2006/relationships/hyperlink" Target="https://doi.org/10.55606/makreju.v1i3.1647" TargetMode="External"/><Relationship Id="rId3" Type="http://schemas.openxmlformats.org/officeDocument/2006/relationships/customXml" Target="../customXml/item3.xml"/><Relationship Id="rId21" Type="http://schemas.openxmlformats.org/officeDocument/2006/relationships/hyperlink" Target="https://doi.org/10.32509/mirshus.v4i1.68"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doi.org/10.48112/iijbs.v1i1.777" TargetMode="External"/><Relationship Id="rId17" Type="http://schemas.openxmlformats.org/officeDocument/2006/relationships/hyperlink" Target="https://www.theseus.fi/handle/10024/861615" TargetMode="External"/><Relationship Id="rId25" Type="http://schemas.openxmlformats.org/officeDocument/2006/relationships/hyperlink" Target="https://run.unl.pt/bitstream/10362/138429/1/2021-22_fall_43487_andreia-bettencourt.pdf" TargetMode="External"/><Relationship Id="rId33" Type="http://schemas.openxmlformats.org/officeDocument/2006/relationships/hyperlink" Target="https://doi.org/10.1086/718380" TargetMode="External"/><Relationship Id="rId2" Type="http://schemas.openxmlformats.org/officeDocument/2006/relationships/customXml" Target="../customXml/item2.xml"/><Relationship Id="rId16" Type="http://schemas.openxmlformats.org/officeDocument/2006/relationships/hyperlink" Target="https://doi.org/10.56127/ijml.v2i2.679" TargetMode="External"/><Relationship Id="rId20" Type="http://schemas.openxmlformats.org/officeDocument/2006/relationships/hyperlink" Target="https://doi.org/10.1051/shsconf/202418101036" TargetMode="External"/><Relationship Id="rId29" Type="http://schemas.openxmlformats.org/officeDocument/2006/relationships/hyperlink" Target="https://mpra.ub.uni-muenchen.de/id/eprint/10858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ijbel.com/wp-content/uploads/2020/11/IJBEL23-232.pdf" TargetMode="External"/><Relationship Id="rId32" Type="http://schemas.openxmlformats.org/officeDocument/2006/relationships/hyperlink" Target="https://pdfs.semanticscholar.org/db3f/eb5c80d3778b1ec00f24667275cb8f7512fc.pdf" TargetMode="External"/><Relationship Id="rId5" Type="http://schemas.openxmlformats.org/officeDocument/2006/relationships/numbering" Target="numbering.xml"/><Relationship Id="rId15" Type="http://schemas.openxmlformats.org/officeDocument/2006/relationships/hyperlink" Target="https://doi.org/10.35629/5252-0204590596" TargetMode="External"/><Relationship Id="rId23" Type="http://schemas.openxmlformats.org/officeDocument/2006/relationships/hyperlink" Target="http://iajournals.org/articles/iajispm_v3_i6_392_418.pdf" TargetMode="External"/><Relationship Id="rId28" Type="http://schemas.openxmlformats.org/officeDocument/2006/relationships/hyperlink" Target="https://doi.org/10.1016/j.mar.2024.100901"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finance.yahoo.com/quote/UL/" TargetMode="External"/><Relationship Id="rId31" Type="http://schemas.openxmlformats.org/officeDocument/2006/relationships/hyperlink" Target="https://www.wsj.com/market-data/quotes/U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litesi.polimi.it/handle/10589/195916" TargetMode="External"/><Relationship Id="rId22" Type="http://schemas.openxmlformats.org/officeDocument/2006/relationships/hyperlink" Target="http://dspace.fcu.edu.tw/handle/2377/32072" TargetMode="External"/><Relationship Id="rId27" Type="http://schemas.openxmlformats.org/officeDocument/2006/relationships/hyperlink" Target="https://doi.org/10.47205/jdss.2022(3-III)57" TargetMode="External"/><Relationship Id="rId30" Type="http://schemas.openxmlformats.org/officeDocument/2006/relationships/hyperlink" Target="https://doi.org/10.2991/aebmr.k.211207.032"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5CD177605638449ACF4FC492614136" ma:contentTypeVersion="5" ma:contentTypeDescription="Create a new document." ma:contentTypeScope="" ma:versionID="3c9f3b4a0eeef9859cfe3be681014f2e">
  <xsd:schema xmlns:xsd="http://www.w3.org/2001/XMLSchema" xmlns:xs="http://www.w3.org/2001/XMLSchema" xmlns:p="http://schemas.microsoft.com/office/2006/metadata/properties" xmlns:ns3="2d143874-f5b4-41c3-b060-be4eec52b23c" targetNamespace="http://schemas.microsoft.com/office/2006/metadata/properties" ma:root="true" ma:fieldsID="8d1a9f9bae3b513cb004f4133400f034" ns3:_="">
    <xsd:import namespace="2d143874-f5b4-41c3-b060-be4eec52b23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3874-f5b4-41c3-b060-be4eec52b23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2393A8-F185-4E58-960F-94FCF3B5324C}">
  <ds:schemaRefs>
    <ds:schemaRef ds:uri="http://schemas.openxmlformats.org/officeDocument/2006/bibliography"/>
  </ds:schemaRefs>
</ds:datastoreItem>
</file>

<file path=customXml/itemProps2.xml><?xml version="1.0" encoding="utf-8"?>
<ds:datastoreItem xmlns:ds="http://schemas.openxmlformats.org/officeDocument/2006/customXml" ds:itemID="{40F089D0-521D-4F46-801E-3679388400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4B0D495-7168-4EA0-973E-BE4F26B01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43874-f5b4-41c3-b060-be4eec52b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FE4661-27AC-47BD-AC22-52BCA46135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6769</Words>
  <Characters>38584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atishaya kadam</cp:lastModifiedBy>
  <cp:revision>3</cp:revision>
  <dcterms:created xsi:type="dcterms:W3CDTF">2024-08-20T17:25:00Z</dcterms:created>
  <dcterms:modified xsi:type="dcterms:W3CDTF">2024-08-20T17:27:00Z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0x010100EE5CD177605638449ACF4FC492614136</vt:lpwstr>
  </property>
</Properties>
</file>