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1A669" w14:textId="5115FE65" w:rsidR="005D5840" w:rsidRDefault="005D5840" w:rsidP="00C1370C">
      <w:pPr>
        <w:spacing w:before="100" w:beforeAutospacing="1"/>
        <w:jc w:val="center"/>
        <w:rPr>
          <w:rFonts w:ascii="Arial" w:hAnsi="Arial" w:cs="Arial"/>
          <w:b/>
          <w:bCs/>
          <w:sz w:val="24"/>
          <w:szCs w:val="24"/>
        </w:rPr>
      </w:pPr>
    </w:p>
    <w:p w14:paraId="0A624234" w14:textId="6E5466A0" w:rsidR="00C1370C" w:rsidRDefault="0036509F" w:rsidP="0036509F">
      <w:pPr>
        <w:spacing w:before="100" w:beforeAutospacing="1"/>
        <w:jc w:val="center"/>
        <w:rPr>
          <w:rFonts w:ascii="Arial" w:hAnsi="Arial" w:cs="Arial"/>
          <w:b/>
          <w:bCs/>
          <w:sz w:val="24"/>
          <w:szCs w:val="24"/>
        </w:rPr>
      </w:pPr>
      <w:r>
        <w:rPr>
          <w:rFonts w:ascii="Arial" w:hAnsi="Arial" w:cs="Arial"/>
          <w:b/>
          <w:bCs/>
          <w:noProof/>
          <w:sz w:val="24"/>
          <w:szCs w:val="24"/>
        </w:rPr>
        <w:drawing>
          <wp:inline distT="0" distB="0" distL="0" distR="0" wp14:anchorId="36F1F273" wp14:editId="53FFE860">
            <wp:extent cx="4619625" cy="2150649"/>
            <wp:effectExtent l="0" t="0" r="0" b="2540"/>
            <wp:docPr id="1051209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209991" name="Picture 1051209991"/>
                    <pic:cNvPicPr/>
                  </pic:nvPicPr>
                  <pic:blipFill>
                    <a:blip r:embed="rId8">
                      <a:extLst>
                        <a:ext uri="{28A0092B-C50C-407E-A947-70E740481C1C}">
                          <a14:useLocalDpi xmlns:a14="http://schemas.microsoft.com/office/drawing/2010/main" val="0"/>
                        </a:ext>
                      </a:extLst>
                    </a:blip>
                    <a:stretch>
                      <a:fillRect/>
                    </a:stretch>
                  </pic:blipFill>
                  <pic:spPr>
                    <a:xfrm>
                      <a:off x="0" y="0"/>
                      <a:ext cx="4639072" cy="2159702"/>
                    </a:xfrm>
                    <a:prstGeom prst="rect">
                      <a:avLst/>
                    </a:prstGeom>
                  </pic:spPr>
                </pic:pic>
              </a:graphicData>
            </a:graphic>
          </wp:inline>
        </w:drawing>
      </w:r>
    </w:p>
    <w:p w14:paraId="09935A58" w14:textId="77777777" w:rsidR="00C1370C" w:rsidRDefault="00C1370C" w:rsidP="00C1370C">
      <w:pPr>
        <w:spacing w:before="100" w:beforeAutospacing="1"/>
        <w:rPr>
          <w:rFonts w:ascii="Arial" w:hAnsi="Arial" w:cs="Arial"/>
          <w:b/>
          <w:bCs/>
          <w:sz w:val="24"/>
          <w:szCs w:val="24"/>
        </w:rPr>
      </w:pPr>
    </w:p>
    <w:p w14:paraId="683BCF7E" w14:textId="77777777" w:rsidR="005F61C3" w:rsidRPr="00C1370C" w:rsidRDefault="005F61C3" w:rsidP="00C1370C">
      <w:pPr>
        <w:spacing w:before="100" w:beforeAutospacing="1"/>
        <w:rPr>
          <w:rFonts w:ascii="Arial" w:hAnsi="Arial" w:cs="Arial"/>
          <w:b/>
          <w:bCs/>
          <w:sz w:val="24"/>
          <w:szCs w:val="24"/>
        </w:rPr>
      </w:pPr>
    </w:p>
    <w:p w14:paraId="7EBAB6C2" w14:textId="77777777" w:rsidR="00C1370C" w:rsidRPr="00C1370C" w:rsidRDefault="00C1370C" w:rsidP="00C1370C">
      <w:pPr>
        <w:rPr>
          <w:rFonts w:ascii="Arial" w:hAnsi="Arial" w:cs="Arial"/>
          <w:b/>
          <w:bCs/>
          <w:sz w:val="24"/>
          <w:szCs w:val="24"/>
        </w:rPr>
      </w:pPr>
    </w:p>
    <w:p w14:paraId="5C022391" w14:textId="77777777" w:rsidR="00C1370C" w:rsidRPr="005F61C3" w:rsidRDefault="00C1370C" w:rsidP="00C1370C">
      <w:pPr>
        <w:jc w:val="center"/>
        <w:rPr>
          <w:rFonts w:ascii="Arial" w:hAnsi="Arial" w:cs="Arial"/>
          <w:b/>
          <w:bCs/>
          <w:sz w:val="36"/>
          <w:szCs w:val="36"/>
        </w:rPr>
      </w:pPr>
      <w:r w:rsidRPr="005F61C3">
        <w:rPr>
          <w:rFonts w:ascii="Arial" w:hAnsi="Arial" w:cs="Arial"/>
          <w:b/>
          <w:bCs/>
          <w:sz w:val="36"/>
          <w:szCs w:val="36"/>
        </w:rPr>
        <w:t>MODULE: Project Management (LCLM5003_LON)</w:t>
      </w:r>
    </w:p>
    <w:p w14:paraId="591B4B83" w14:textId="77777777" w:rsidR="00C1370C" w:rsidRPr="005F61C3" w:rsidRDefault="00C1370C" w:rsidP="00C1370C">
      <w:pPr>
        <w:jc w:val="center"/>
        <w:rPr>
          <w:rFonts w:ascii="Arial" w:hAnsi="Arial" w:cs="Arial"/>
          <w:b/>
          <w:bCs/>
          <w:sz w:val="36"/>
          <w:szCs w:val="36"/>
        </w:rPr>
      </w:pPr>
    </w:p>
    <w:p w14:paraId="072CD8A1" w14:textId="1F67A44F" w:rsidR="00C1370C" w:rsidRPr="005F61C3" w:rsidRDefault="00CD2939" w:rsidP="00C1370C">
      <w:pPr>
        <w:jc w:val="center"/>
        <w:rPr>
          <w:rFonts w:ascii="Arial" w:hAnsi="Arial" w:cs="Arial"/>
          <w:b/>
          <w:bCs/>
          <w:sz w:val="36"/>
          <w:szCs w:val="36"/>
        </w:rPr>
      </w:pPr>
      <w:r>
        <w:rPr>
          <w:rFonts w:ascii="Arial" w:hAnsi="Arial" w:cs="Arial"/>
          <w:b/>
          <w:bCs/>
          <w:sz w:val="36"/>
          <w:szCs w:val="36"/>
        </w:rPr>
        <w:t>PROJECT</w:t>
      </w:r>
      <w:r w:rsidR="00C1370C" w:rsidRPr="005F61C3">
        <w:rPr>
          <w:rFonts w:ascii="Arial" w:hAnsi="Arial" w:cs="Arial"/>
          <w:b/>
          <w:bCs/>
          <w:sz w:val="36"/>
          <w:szCs w:val="36"/>
        </w:rPr>
        <w:t xml:space="preserve"> PORTFOLIO: </w:t>
      </w:r>
      <w:r w:rsidR="00C429EE" w:rsidRPr="005F61C3">
        <w:rPr>
          <w:rFonts w:ascii="Arial" w:hAnsi="Arial" w:cs="Arial"/>
          <w:b/>
          <w:bCs/>
          <w:sz w:val="36"/>
          <w:szCs w:val="36"/>
        </w:rPr>
        <w:t xml:space="preserve">PART </w:t>
      </w:r>
      <w:r w:rsidR="00C429EE">
        <w:rPr>
          <w:rFonts w:ascii="Arial" w:hAnsi="Arial" w:cs="Arial"/>
          <w:b/>
          <w:bCs/>
          <w:sz w:val="36"/>
          <w:szCs w:val="36"/>
        </w:rPr>
        <w:t xml:space="preserve">A, </w:t>
      </w:r>
      <w:r w:rsidR="00C1370C" w:rsidRPr="005F61C3">
        <w:rPr>
          <w:rFonts w:ascii="Arial" w:hAnsi="Arial" w:cs="Arial"/>
          <w:b/>
          <w:bCs/>
          <w:sz w:val="36"/>
          <w:szCs w:val="36"/>
        </w:rPr>
        <w:t>PART B &amp; PART C</w:t>
      </w:r>
    </w:p>
    <w:p w14:paraId="5E7F4B83" w14:textId="4F117429" w:rsidR="00C1370C" w:rsidRPr="005F61C3" w:rsidRDefault="00C1370C" w:rsidP="00C1370C">
      <w:pPr>
        <w:jc w:val="center"/>
        <w:rPr>
          <w:rFonts w:ascii="Arial" w:hAnsi="Arial" w:cs="Arial"/>
          <w:b/>
          <w:bCs/>
          <w:sz w:val="36"/>
          <w:szCs w:val="36"/>
        </w:rPr>
      </w:pPr>
      <w:r w:rsidRPr="005F61C3">
        <w:rPr>
          <w:rFonts w:ascii="Arial" w:hAnsi="Arial" w:cs="Arial"/>
          <w:b/>
          <w:bCs/>
          <w:sz w:val="36"/>
          <w:szCs w:val="36"/>
        </w:rPr>
        <w:t>Central Transport Hub Redevelopment Programme: A Smart, Sustainable and Inclusive Transport Interchange for</w:t>
      </w:r>
      <w:r w:rsidR="00312C9B" w:rsidRPr="005F61C3">
        <w:rPr>
          <w:rFonts w:ascii="Arial" w:hAnsi="Arial" w:cs="Arial"/>
          <w:b/>
          <w:bCs/>
          <w:sz w:val="36"/>
          <w:szCs w:val="36"/>
        </w:rPr>
        <w:t xml:space="preserve"> </w:t>
      </w:r>
      <w:r w:rsidRPr="005F61C3">
        <w:rPr>
          <w:rFonts w:ascii="Arial" w:hAnsi="Arial" w:cs="Arial"/>
          <w:b/>
          <w:bCs/>
          <w:sz w:val="36"/>
          <w:szCs w:val="36"/>
        </w:rPr>
        <w:t>City</w:t>
      </w:r>
    </w:p>
    <w:p w14:paraId="5480D52D" w14:textId="77777777" w:rsidR="00C1370C" w:rsidRPr="005F61C3" w:rsidRDefault="00C1370C" w:rsidP="00C1370C">
      <w:pPr>
        <w:jc w:val="center"/>
        <w:rPr>
          <w:rFonts w:ascii="Arial" w:hAnsi="Arial" w:cs="Arial"/>
          <w:b/>
          <w:bCs/>
          <w:sz w:val="36"/>
          <w:szCs w:val="36"/>
        </w:rPr>
      </w:pPr>
    </w:p>
    <w:p w14:paraId="6D7F1176" w14:textId="77777777" w:rsidR="00C1370C" w:rsidRPr="005F61C3" w:rsidRDefault="00C1370C" w:rsidP="00C1370C">
      <w:pPr>
        <w:jc w:val="center"/>
        <w:rPr>
          <w:rFonts w:ascii="Arial" w:hAnsi="Arial" w:cs="Arial"/>
          <w:b/>
          <w:bCs/>
          <w:sz w:val="36"/>
          <w:szCs w:val="36"/>
        </w:rPr>
      </w:pPr>
      <w:r w:rsidRPr="005F61C3">
        <w:rPr>
          <w:rFonts w:ascii="Arial" w:hAnsi="Arial" w:cs="Arial"/>
          <w:b/>
          <w:bCs/>
          <w:sz w:val="36"/>
          <w:szCs w:val="36"/>
        </w:rPr>
        <w:t>Student Name: Taisiia Pavliukova</w:t>
      </w:r>
    </w:p>
    <w:p w14:paraId="3ECDCE35" w14:textId="77777777" w:rsidR="00C1370C" w:rsidRPr="005F61C3" w:rsidRDefault="00C1370C" w:rsidP="00C1370C">
      <w:pPr>
        <w:jc w:val="center"/>
        <w:rPr>
          <w:rFonts w:ascii="Arial" w:hAnsi="Arial" w:cs="Arial"/>
          <w:b/>
          <w:bCs/>
          <w:sz w:val="36"/>
          <w:szCs w:val="36"/>
        </w:rPr>
      </w:pPr>
      <w:r w:rsidRPr="005F61C3">
        <w:rPr>
          <w:rFonts w:ascii="Arial" w:hAnsi="Arial" w:cs="Arial"/>
          <w:b/>
          <w:bCs/>
          <w:sz w:val="36"/>
          <w:szCs w:val="36"/>
        </w:rPr>
        <w:t>Student ID: 2429456</w:t>
      </w:r>
    </w:p>
    <w:p w14:paraId="786CA848" w14:textId="77777777" w:rsidR="00C1370C" w:rsidRPr="005F61C3" w:rsidRDefault="00C1370C" w:rsidP="00C1370C">
      <w:pPr>
        <w:jc w:val="center"/>
        <w:rPr>
          <w:rFonts w:ascii="Arial" w:hAnsi="Arial" w:cs="Arial"/>
          <w:b/>
          <w:bCs/>
          <w:sz w:val="36"/>
          <w:szCs w:val="36"/>
        </w:rPr>
      </w:pPr>
      <w:r w:rsidRPr="005F61C3">
        <w:rPr>
          <w:rFonts w:ascii="Arial" w:hAnsi="Arial" w:cs="Arial"/>
          <w:b/>
          <w:bCs/>
          <w:sz w:val="36"/>
          <w:szCs w:val="36"/>
        </w:rPr>
        <w:t>Lecturer: Rexon Nting</w:t>
      </w:r>
    </w:p>
    <w:p w14:paraId="6ECC7F89" w14:textId="1B82865D" w:rsidR="00C1370C" w:rsidRPr="0046086C" w:rsidRDefault="00C1370C" w:rsidP="0036509F">
      <w:pPr>
        <w:jc w:val="center"/>
        <w:rPr>
          <w:rFonts w:ascii="Arial" w:hAnsi="Arial" w:cs="Arial"/>
          <w:b/>
          <w:bCs/>
          <w:sz w:val="40"/>
          <w:szCs w:val="40"/>
        </w:rPr>
      </w:pPr>
      <w:r w:rsidRPr="005F61C3">
        <w:rPr>
          <w:rFonts w:ascii="Arial" w:hAnsi="Arial" w:cs="Arial"/>
          <w:b/>
          <w:bCs/>
          <w:sz w:val="36"/>
          <w:szCs w:val="36"/>
        </w:rPr>
        <w:t xml:space="preserve">Date of Submission: </w:t>
      </w:r>
      <w:r w:rsidR="00C41327" w:rsidRPr="005F61C3">
        <w:rPr>
          <w:rFonts w:ascii="Arial" w:hAnsi="Arial" w:cs="Arial"/>
          <w:b/>
          <w:bCs/>
          <w:sz w:val="36"/>
          <w:szCs w:val="36"/>
        </w:rPr>
        <w:t>1</w:t>
      </w:r>
      <w:r w:rsidR="00371234">
        <w:rPr>
          <w:rFonts w:ascii="Arial" w:hAnsi="Arial" w:cs="Arial"/>
          <w:b/>
          <w:bCs/>
          <w:sz w:val="36"/>
          <w:szCs w:val="36"/>
        </w:rPr>
        <w:t>3</w:t>
      </w:r>
      <w:r w:rsidRPr="005F61C3">
        <w:rPr>
          <w:rFonts w:ascii="Arial" w:hAnsi="Arial" w:cs="Arial"/>
          <w:b/>
          <w:bCs/>
          <w:sz w:val="36"/>
          <w:szCs w:val="36"/>
        </w:rPr>
        <w:t>th August 2026</w:t>
      </w:r>
    </w:p>
    <w:p w14:paraId="201B00D7" w14:textId="77777777" w:rsidR="00C1370C" w:rsidRDefault="00C1370C" w:rsidP="00C1370C">
      <w:pPr>
        <w:rPr>
          <w:rFonts w:ascii="Arial" w:hAnsi="Arial" w:cs="Arial"/>
          <w:b/>
          <w:bCs/>
          <w:sz w:val="24"/>
          <w:szCs w:val="24"/>
        </w:rPr>
      </w:pPr>
    </w:p>
    <w:p w14:paraId="4C2D0669" w14:textId="77777777" w:rsidR="00C1370C" w:rsidRDefault="00C1370C" w:rsidP="00C1370C">
      <w:pPr>
        <w:rPr>
          <w:rFonts w:ascii="Arial" w:hAnsi="Arial" w:cs="Arial"/>
          <w:b/>
          <w:bCs/>
          <w:sz w:val="24"/>
          <w:szCs w:val="24"/>
        </w:rPr>
      </w:pPr>
    </w:p>
    <w:p w14:paraId="3801DD29" w14:textId="77777777" w:rsidR="00C1370C" w:rsidRDefault="00C1370C" w:rsidP="00C1370C">
      <w:pPr>
        <w:rPr>
          <w:rFonts w:ascii="Arial" w:hAnsi="Arial" w:cs="Arial"/>
          <w:b/>
          <w:bCs/>
          <w:sz w:val="24"/>
          <w:szCs w:val="24"/>
        </w:rPr>
      </w:pPr>
    </w:p>
    <w:p w14:paraId="25FBB18B" w14:textId="77777777" w:rsidR="008E05BA" w:rsidRDefault="008E05BA" w:rsidP="00C1370C">
      <w:pPr>
        <w:rPr>
          <w:rFonts w:ascii="Arial" w:hAnsi="Arial" w:cs="Arial"/>
          <w:b/>
          <w:bCs/>
          <w:sz w:val="24"/>
          <w:szCs w:val="24"/>
        </w:rPr>
      </w:pPr>
    </w:p>
    <w:p w14:paraId="7FBEC4D4" w14:textId="77777777" w:rsidR="00C1370C" w:rsidRDefault="00C1370C" w:rsidP="00C1370C">
      <w:pPr>
        <w:rPr>
          <w:rFonts w:ascii="Arial" w:hAnsi="Arial" w:cs="Arial"/>
          <w:b/>
          <w:bCs/>
          <w:sz w:val="24"/>
          <w:szCs w:val="24"/>
        </w:rPr>
      </w:pPr>
    </w:p>
    <w:p w14:paraId="1DEB4C03" w14:textId="77777777" w:rsidR="00B86B20" w:rsidRDefault="00B86B20" w:rsidP="00C1370C">
      <w:pPr>
        <w:rPr>
          <w:rFonts w:ascii="Arial" w:hAnsi="Arial" w:cs="Arial"/>
          <w:b/>
          <w:bCs/>
          <w:sz w:val="24"/>
          <w:szCs w:val="24"/>
        </w:rPr>
      </w:pPr>
    </w:p>
    <w:p w14:paraId="244BD1FB" w14:textId="77777777" w:rsidR="005F61C3" w:rsidRDefault="005F61C3" w:rsidP="00C1370C">
      <w:pPr>
        <w:rPr>
          <w:rFonts w:ascii="Arial" w:hAnsi="Arial" w:cs="Arial"/>
          <w:b/>
          <w:bCs/>
          <w:sz w:val="24"/>
          <w:szCs w:val="24"/>
        </w:rPr>
      </w:pPr>
    </w:p>
    <w:p w14:paraId="4B65267A" w14:textId="77777777" w:rsidR="00B86B20" w:rsidRDefault="00B86B20" w:rsidP="00C1370C">
      <w:pPr>
        <w:rPr>
          <w:rFonts w:ascii="Arial" w:hAnsi="Arial" w:cs="Arial"/>
          <w:b/>
          <w:bCs/>
          <w:sz w:val="24"/>
          <w:szCs w:val="24"/>
        </w:rPr>
      </w:pPr>
    </w:p>
    <w:p w14:paraId="7DB8CAD9" w14:textId="77777777" w:rsidR="00FE5A2D" w:rsidRDefault="00FE5A2D" w:rsidP="00FE5A2D">
      <w:pPr>
        <w:rPr>
          <w:rFonts w:ascii="Arial" w:hAnsi="Arial" w:cs="Arial"/>
          <w:b/>
          <w:bCs/>
          <w:sz w:val="24"/>
          <w:szCs w:val="24"/>
        </w:rPr>
      </w:pPr>
    </w:p>
    <w:sdt>
      <w:sdtPr>
        <w:id w:val="-775330193"/>
        <w:docPartObj>
          <w:docPartGallery w:val="Table of Contents"/>
          <w:docPartUnique/>
        </w:docPartObj>
      </w:sdtPr>
      <w:sdtEndPr>
        <w:rPr>
          <w:rFonts w:asciiTheme="minorHAnsi" w:eastAsiaTheme="minorHAnsi" w:hAnsiTheme="minorHAnsi" w:cstheme="minorBidi"/>
          <w:b/>
          <w:bCs/>
          <w:color w:val="auto"/>
          <w:sz w:val="22"/>
          <w:szCs w:val="22"/>
          <w:lang w:eastAsia="en-US"/>
          <w14:ligatures w14:val="standardContextual"/>
        </w:rPr>
      </w:sdtEndPr>
      <w:sdtContent>
        <w:p w14:paraId="26ED5F19" w14:textId="565729A1" w:rsidR="00FE5DED" w:rsidRDefault="00FE5DED">
          <w:pPr>
            <w:pStyle w:val="TOCHeading"/>
          </w:pPr>
          <w:r>
            <w:t>Table of Contents</w:t>
          </w:r>
        </w:p>
        <w:p w14:paraId="0CD94977" w14:textId="0F109DF2" w:rsidR="00FE5DED" w:rsidRDefault="00FE5DED">
          <w:pPr>
            <w:pStyle w:val="TOC1"/>
            <w:tabs>
              <w:tab w:val="right" w:leader="dot" w:pos="9742"/>
            </w:tabs>
            <w:rPr>
              <w:rFonts w:eastAsiaTheme="minorEastAsia"/>
              <w:noProof/>
              <w:kern w:val="2"/>
              <w:sz w:val="24"/>
              <w:szCs w:val="24"/>
              <w:lang w:eastAsia="en-GB"/>
            </w:rPr>
          </w:pPr>
          <w:r>
            <w:fldChar w:fldCharType="begin"/>
          </w:r>
          <w:r>
            <w:instrText xml:space="preserve"> TOC \o "1-3" \h \z \u </w:instrText>
          </w:r>
          <w:r>
            <w:fldChar w:fldCharType="separate"/>
          </w:r>
          <w:hyperlink w:anchor="_Toc237547381" w:history="1">
            <w:r w:rsidRPr="00400FE9">
              <w:rPr>
                <w:rStyle w:val="Hyperlink"/>
                <w:noProof/>
              </w:rPr>
              <w:t>Part A – Project Proposal Poster</w:t>
            </w:r>
            <w:r>
              <w:rPr>
                <w:noProof/>
                <w:webHidden/>
              </w:rPr>
              <w:tab/>
            </w:r>
            <w:r>
              <w:rPr>
                <w:noProof/>
                <w:webHidden/>
              </w:rPr>
              <w:fldChar w:fldCharType="begin"/>
            </w:r>
            <w:r>
              <w:rPr>
                <w:noProof/>
                <w:webHidden/>
              </w:rPr>
              <w:instrText xml:space="preserve"> PAGEREF _Toc237547381 \h </w:instrText>
            </w:r>
            <w:r>
              <w:rPr>
                <w:noProof/>
                <w:webHidden/>
              </w:rPr>
            </w:r>
            <w:r>
              <w:rPr>
                <w:noProof/>
                <w:webHidden/>
              </w:rPr>
              <w:fldChar w:fldCharType="separate"/>
            </w:r>
            <w:r>
              <w:rPr>
                <w:noProof/>
                <w:webHidden/>
              </w:rPr>
              <w:t>3</w:t>
            </w:r>
            <w:r>
              <w:rPr>
                <w:noProof/>
                <w:webHidden/>
              </w:rPr>
              <w:fldChar w:fldCharType="end"/>
            </w:r>
          </w:hyperlink>
        </w:p>
        <w:p w14:paraId="06E40864" w14:textId="79F1601A" w:rsidR="00FE5DED" w:rsidRDefault="00FE5DED">
          <w:pPr>
            <w:pStyle w:val="TOC1"/>
            <w:tabs>
              <w:tab w:val="right" w:leader="dot" w:pos="9742"/>
            </w:tabs>
            <w:rPr>
              <w:rFonts w:eastAsiaTheme="minorEastAsia"/>
              <w:noProof/>
              <w:kern w:val="2"/>
              <w:sz w:val="24"/>
              <w:szCs w:val="24"/>
              <w:lang w:eastAsia="en-GB"/>
            </w:rPr>
          </w:pPr>
          <w:hyperlink w:anchor="_Toc237547382" w:history="1">
            <w:r w:rsidRPr="00400FE9">
              <w:rPr>
                <w:rStyle w:val="Hyperlink"/>
                <w:noProof/>
              </w:rPr>
              <w:t>Part B – Reflective Report</w:t>
            </w:r>
            <w:r>
              <w:rPr>
                <w:noProof/>
                <w:webHidden/>
              </w:rPr>
              <w:tab/>
            </w:r>
            <w:r>
              <w:rPr>
                <w:noProof/>
                <w:webHidden/>
              </w:rPr>
              <w:fldChar w:fldCharType="begin"/>
            </w:r>
            <w:r>
              <w:rPr>
                <w:noProof/>
                <w:webHidden/>
              </w:rPr>
              <w:instrText xml:space="preserve"> PAGEREF _Toc237547382 \h </w:instrText>
            </w:r>
            <w:r>
              <w:rPr>
                <w:noProof/>
                <w:webHidden/>
              </w:rPr>
            </w:r>
            <w:r>
              <w:rPr>
                <w:noProof/>
                <w:webHidden/>
              </w:rPr>
              <w:fldChar w:fldCharType="separate"/>
            </w:r>
            <w:r>
              <w:rPr>
                <w:noProof/>
                <w:webHidden/>
              </w:rPr>
              <w:t>4</w:t>
            </w:r>
            <w:r>
              <w:rPr>
                <w:noProof/>
                <w:webHidden/>
              </w:rPr>
              <w:fldChar w:fldCharType="end"/>
            </w:r>
          </w:hyperlink>
        </w:p>
        <w:p w14:paraId="7522939B" w14:textId="04D3813F" w:rsidR="00FE5DED" w:rsidRDefault="00FE5DED">
          <w:pPr>
            <w:pStyle w:val="TOC2"/>
            <w:tabs>
              <w:tab w:val="right" w:leader="dot" w:pos="9742"/>
            </w:tabs>
            <w:rPr>
              <w:rFonts w:eastAsiaTheme="minorEastAsia"/>
              <w:noProof/>
              <w:kern w:val="2"/>
              <w:sz w:val="24"/>
              <w:szCs w:val="24"/>
              <w:lang w:eastAsia="en-GB"/>
            </w:rPr>
          </w:pPr>
          <w:hyperlink w:anchor="_Toc237547383" w:history="1">
            <w:r w:rsidRPr="00400FE9">
              <w:rPr>
                <w:rStyle w:val="Hyperlink"/>
                <w:noProof/>
              </w:rPr>
              <w:t>Reflection on Tutor Feedback</w:t>
            </w:r>
            <w:r>
              <w:rPr>
                <w:noProof/>
                <w:webHidden/>
              </w:rPr>
              <w:tab/>
            </w:r>
            <w:r>
              <w:rPr>
                <w:noProof/>
                <w:webHidden/>
              </w:rPr>
              <w:fldChar w:fldCharType="begin"/>
            </w:r>
            <w:r>
              <w:rPr>
                <w:noProof/>
                <w:webHidden/>
              </w:rPr>
              <w:instrText xml:space="preserve"> PAGEREF _Toc237547383 \h </w:instrText>
            </w:r>
            <w:r>
              <w:rPr>
                <w:noProof/>
                <w:webHidden/>
              </w:rPr>
            </w:r>
            <w:r>
              <w:rPr>
                <w:noProof/>
                <w:webHidden/>
              </w:rPr>
              <w:fldChar w:fldCharType="separate"/>
            </w:r>
            <w:r>
              <w:rPr>
                <w:noProof/>
                <w:webHidden/>
              </w:rPr>
              <w:t>4</w:t>
            </w:r>
            <w:r>
              <w:rPr>
                <w:noProof/>
                <w:webHidden/>
              </w:rPr>
              <w:fldChar w:fldCharType="end"/>
            </w:r>
          </w:hyperlink>
        </w:p>
        <w:p w14:paraId="4A8592C0" w14:textId="68DF9492" w:rsidR="00FE5DED" w:rsidRDefault="00FE5DED">
          <w:pPr>
            <w:pStyle w:val="TOC1"/>
            <w:tabs>
              <w:tab w:val="right" w:leader="dot" w:pos="9742"/>
            </w:tabs>
            <w:rPr>
              <w:rFonts w:eastAsiaTheme="minorEastAsia"/>
              <w:noProof/>
              <w:kern w:val="2"/>
              <w:sz w:val="24"/>
              <w:szCs w:val="24"/>
              <w:lang w:eastAsia="en-GB"/>
            </w:rPr>
          </w:pPr>
          <w:hyperlink w:anchor="_Toc237547384" w:history="1">
            <w:r w:rsidRPr="00400FE9">
              <w:rPr>
                <w:rStyle w:val="Hyperlink"/>
                <w:rFonts w:ascii="Times New Roman" w:hAnsi="Times New Roman" w:cs="Times New Roman"/>
                <w:noProof/>
              </w:rPr>
              <w:t>Part C – Project Management Plan</w:t>
            </w:r>
            <w:r>
              <w:rPr>
                <w:noProof/>
                <w:webHidden/>
              </w:rPr>
              <w:tab/>
            </w:r>
            <w:r>
              <w:rPr>
                <w:noProof/>
                <w:webHidden/>
              </w:rPr>
              <w:fldChar w:fldCharType="begin"/>
            </w:r>
            <w:r>
              <w:rPr>
                <w:noProof/>
                <w:webHidden/>
              </w:rPr>
              <w:instrText xml:space="preserve"> PAGEREF _Toc237547384 \h </w:instrText>
            </w:r>
            <w:r>
              <w:rPr>
                <w:noProof/>
                <w:webHidden/>
              </w:rPr>
            </w:r>
            <w:r>
              <w:rPr>
                <w:noProof/>
                <w:webHidden/>
              </w:rPr>
              <w:fldChar w:fldCharType="separate"/>
            </w:r>
            <w:r>
              <w:rPr>
                <w:noProof/>
                <w:webHidden/>
              </w:rPr>
              <w:t>6</w:t>
            </w:r>
            <w:r>
              <w:rPr>
                <w:noProof/>
                <w:webHidden/>
              </w:rPr>
              <w:fldChar w:fldCharType="end"/>
            </w:r>
          </w:hyperlink>
        </w:p>
        <w:p w14:paraId="015BA9E5" w14:textId="744557BE" w:rsidR="00FE5DED" w:rsidRDefault="00FE5DED">
          <w:pPr>
            <w:pStyle w:val="TOC2"/>
            <w:tabs>
              <w:tab w:val="right" w:leader="dot" w:pos="9742"/>
            </w:tabs>
            <w:rPr>
              <w:rFonts w:eastAsiaTheme="minorEastAsia"/>
              <w:noProof/>
              <w:kern w:val="2"/>
              <w:sz w:val="24"/>
              <w:szCs w:val="24"/>
              <w:lang w:eastAsia="en-GB"/>
            </w:rPr>
          </w:pPr>
          <w:hyperlink w:anchor="_Toc237547385" w:history="1">
            <w:r w:rsidRPr="00400FE9">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_Toc237547385 \h </w:instrText>
            </w:r>
            <w:r>
              <w:rPr>
                <w:noProof/>
                <w:webHidden/>
              </w:rPr>
            </w:r>
            <w:r>
              <w:rPr>
                <w:noProof/>
                <w:webHidden/>
              </w:rPr>
              <w:fldChar w:fldCharType="separate"/>
            </w:r>
            <w:r>
              <w:rPr>
                <w:noProof/>
                <w:webHidden/>
              </w:rPr>
              <w:t>6</w:t>
            </w:r>
            <w:r>
              <w:rPr>
                <w:noProof/>
                <w:webHidden/>
              </w:rPr>
              <w:fldChar w:fldCharType="end"/>
            </w:r>
          </w:hyperlink>
        </w:p>
        <w:p w14:paraId="34915703" w14:textId="01EED31B" w:rsidR="00FE5DED" w:rsidRDefault="00FE5DED">
          <w:pPr>
            <w:pStyle w:val="TOC2"/>
            <w:tabs>
              <w:tab w:val="right" w:leader="dot" w:pos="9742"/>
            </w:tabs>
            <w:rPr>
              <w:rFonts w:eastAsiaTheme="minorEastAsia"/>
              <w:noProof/>
              <w:kern w:val="2"/>
              <w:sz w:val="24"/>
              <w:szCs w:val="24"/>
              <w:lang w:eastAsia="en-GB"/>
            </w:rPr>
          </w:pPr>
          <w:hyperlink w:anchor="_Toc237547386" w:history="1">
            <w:r w:rsidRPr="00400FE9">
              <w:rPr>
                <w:rStyle w:val="Hyperlink"/>
                <w:rFonts w:ascii="Times New Roman" w:hAnsi="Times New Roman" w:cs="Times New Roman"/>
                <w:noProof/>
              </w:rPr>
              <w:t>2. Project Description</w:t>
            </w:r>
            <w:r>
              <w:rPr>
                <w:noProof/>
                <w:webHidden/>
              </w:rPr>
              <w:tab/>
            </w:r>
            <w:r>
              <w:rPr>
                <w:noProof/>
                <w:webHidden/>
              </w:rPr>
              <w:fldChar w:fldCharType="begin"/>
            </w:r>
            <w:r>
              <w:rPr>
                <w:noProof/>
                <w:webHidden/>
              </w:rPr>
              <w:instrText xml:space="preserve"> PAGEREF _Toc237547386 \h </w:instrText>
            </w:r>
            <w:r>
              <w:rPr>
                <w:noProof/>
                <w:webHidden/>
              </w:rPr>
            </w:r>
            <w:r>
              <w:rPr>
                <w:noProof/>
                <w:webHidden/>
              </w:rPr>
              <w:fldChar w:fldCharType="separate"/>
            </w:r>
            <w:r>
              <w:rPr>
                <w:noProof/>
                <w:webHidden/>
              </w:rPr>
              <w:t>6</w:t>
            </w:r>
            <w:r>
              <w:rPr>
                <w:noProof/>
                <w:webHidden/>
              </w:rPr>
              <w:fldChar w:fldCharType="end"/>
            </w:r>
          </w:hyperlink>
        </w:p>
        <w:p w14:paraId="46C3D6FF" w14:textId="2EDD7B30" w:rsidR="00FE5DED" w:rsidRDefault="00FE5DED">
          <w:pPr>
            <w:pStyle w:val="TOC3"/>
            <w:rPr>
              <w:rFonts w:asciiTheme="minorHAnsi" w:eastAsiaTheme="minorEastAsia" w:hAnsiTheme="minorHAnsi" w:cstheme="minorBidi"/>
              <w:kern w:val="2"/>
              <w:sz w:val="24"/>
              <w:szCs w:val="24"/>
              <w:lang w:eastAsia="en-GB"/>
            </w:rPr>
          </w:pPr>
          <w:hyperlink w:anchor="_Toc237547387" w:history="1">
            <w:r w:rsidRPr="00400FE9">
              <w:rPr>
                <w:rStyle w:val="Hyperlink"/>
                <w:rFonts w:ascii="Times New Roman" w:hAnsi="Times New Roman" w:cs="Times New Roman"/>
              </w:rPr>
              <w:t>2.1 Project Budget and Funding</w:t>
            </w:r>
            <w:r>
              <w:rPr>
                <w:webHidden/>
              </w:rPr>
              <w:tab/>
            </w:r>
            <w:r>
              <w:rPr>
                <w:webHidden/>
              </w:rPr>
              <w:fldChar w:fldCharType="begin"/>
            </w:r>
            <w:r>
              <w:rPr>
                <w:webHidden/>
              </w:rPr>
              <w:instrText xml:space="preserve"> PAGEREF _Toc237547387 \h </w:instrText>
            </w:r>
            <w:r>
              <w:rPr>
                <w:webHidden/>
              </w:rPr>
            </w:r>
            <w:r>
              <w:rPr>
                <w:webHidden/>
              </w:rPr>
              <w:fldChar w:fldCharType="separate"/>
            </w:r>
            <w:r>
              <w:rPr>
                <w:webHidden/>
              </w:rPr>
              <w:t>7</w:t>
            </w:r>
            <w:r>
              <w:rPr>
                <w:webHidden/>
              </w:rPr>
              <w:fldChar w:fldCharType="end"/>
            </w:r>
          </w:hyperlink>
        </w:p>
        <w:p w14:paraId="621BCFDC" w14:textId="7E181A16" w:rsidR="00FE5DED" w:rsidRDefault="00FE5DED">
          <w:pPr>
            <w:pStyle w:val="TOC2"/>
            <w:tabs>
              <w:tab w:val="right" w:leader="dot" w:pos="9742"/>
            </w:tabs>
            <w:rPr>
              <w:rFonts w:eastAsiaTheme="minorEastAsia"/>
              <w:noProof/>
              <w:kern w:val="2"/>
              <w:sz w:val="24"/>
              <w:szCs w:val="24"/>
              <w:lang w:eastAsia="en-GB"/>
            </w:rPr>
          </w:pPr>
          <w:hyperlink w:anchor="_Toc237547388" w:history="1">
            <w:r w:rsidRPr="00400FE9">
              <w:rPr>
                <w:rStyle w:val="Hyperlink"/>
                <w:rFonts w:ascii="Times New Roman" w:hAnsi="Times New Roman" w:cs="Times New Roman"/>
                <w:noProof/>
              </w:rPr>
              <w:t>3. Project Scope</w:t>
            </w:r>
            <w:r>
              <w:rPr>
                <w:noProof/>
                <w:webHidden/>
              </w:rPr>
              <w:tab/>
            </w:r>
            <w:r>
              <w:rPr>
                <w:noProof/>
                <w:webHidden/>
              </w:rPr>
              <w:fldChar w:fldCharType="begin"/>
            </w:r>
            <w:r>
              <w:rPr>
                <w:noProof/>
                <w:webHidden/>
              </w:rPr>
              <w:instrText xml:space="preserve"> PAGEREF _Toc237547388 \h </w:instrText>
            </w:r>
            <w:r>
              <w:rPr>
                <w:noProof/>
                <w:webHidden/>
              </w:rPr>
            </w:r>
            <w:r>
              <w:rPr>
                <w:noProof/>
                <w:webHidden/>
              </w:rPr>
              <w:fldChar w:fldCharType="separate"/>
            </w:r>
            <w:r>
              <w:rPr>
                <w:noProof/>
                <w:webHidden/>
              </w:rPr>
              <w:t>8</w:t>
            </w:r>
            <w:r>
              <w:rPr>
                <w:noProof/>
                <w:webHidden/>
              </w:rPr>
              <w:fldChar w:fldCharType="end"/>
            </w:r>
          </w:hyperlink>
        </w:p>
        <w:p w14:paraId="60021D8F" w14:textId="0A4750CC" w:rsidR="00FE5DED" w:rsidRDefault="00FE5DED">
          <w:pPr>
            <w:pStyle w:val="TOC3"/>
            <w:rPr>
              <w:rFonts w:asciiTheme="minorHAnsi" w:eastAsiaTheme="minorEastAsia" w:hAnsiTheme="minorHAnsi" w:cstheme="minorBidi"/>
              <w:kern w:val="2"/>
              <w:sz w:val="24"/>
              <w:szCs w:val="24"/>
              <w:lang w:eastAsia="en-GB"/>
            </w:rPr>
          </w:pPr>
          <w:hyperlink w:anchor="_Toc237547389" w:history="1">
            <w:r w:rsidRPr="00400FE9">
              <w:rPr>
                <w:rStyle w:val="Hyperlink"/>
                <w:rFonts w:ascii="Times New Roman" w:hAnsi="Times New Roman" w:cs="Times New Roman"/>
              </w:rPr>
              <w:t>3.1 In Scope</w:t>
            </w:r>
            <w:r>
              <w:rPr>
                <w:webHidden/>
              </w:rPr>
              <w:tab/>
            </w:r>
            <w:r>
              <w:rPr>
                <w:webHidden/>
              </w:rPr>
              <w:fldChar w:fldCharType="begin"/>
            </w:r>
            <w:r>
              <w:rPr>
                <w:webHidden/>
              </w:rPr>
              <w:instrText xml:space="preserve"> PAGEREF _Toc237547389 \h </w:instrText>
            </w:r>
            <w:r>
              <w:rPr>
                <w:webHidden/>
              </w:rPr>
            </w:r>
            <w:r>
              <w:rPr>
                <w:webHidden/>
              </w:rPr>
              <w:fldChar w:fldCharType="separate"/>
            </w:r>
            <w:r>
              <w:rPr>
                <w:webHidden/>
              </w:rPr>
              <w:t>8</w:t>
            </w:r>
            <w:r>
              <w:rPr>
                <w:webHidden/>
              </w:rPr>
              <w:fldChar w:fldCharType="end"/>
            </w:r>
          </w:hyperlink>
        </w:p>
        <w:p w14:paraId="4C34F3B4" w14:textId="4BF3C683" w:rsidR="00FE5DED" w:rsidRDefault="00FE5DED">
          <w:pPr>
            <w:pStyle w:val="TOC3"/>
            <w:rPr>
              <w:rFonts w:asciiTheme="minorHAnsi" w:eastAsiaTheme="minorEastAsia" w:hAnsiTheme="minorHAnsi" w:cstheme="minorBidi"/>
              <w:kern w:val="2"/>
              <w:sz w:val="24"/>
              <w:szCs w:val="24"/>
              <w:lang w:eastAsia="en-GB"/>
            </w:rPr>
          </w:pPr>
          <w:hyperlink w:anchor="_Toc237547390" w:history="1">
            <w:r w:rsidRPr="00400FE9">
              <w:rPr>
                <w:rStyle w:val="Hyperlink"/>
                <w:rFonts w:ascii="Times New Roman" w:hAnsi="Times New Roman" w:cs="Times New Roman"/>
              </w:rPr>
              <w:t>3.2 Out of Scope</w:t>
            </w:r>
            <w:r>
              <w:rPr>
                <w:webHidden/>
              </w:rPr>
              <w:tab/>
            </w:r>
            <w:r>
              <w:rPr>
                <w:webHidden/>
              </w:rPr>
              <w:fldChar w:fldCharType="begin"/>
            </w:r>
            <w:r>
              <w:rPr>
                <w:webHidden/>
              </w:rPr>
              <w:instrText xml:space="preserve"> PAGEREF _Toc237547390 \h </w:instrText>
            </w:r>
            <w:r>
              <w:rPr>
                <w:webHidden/>
              </w:rPr>
            </w:r>
            <w:r>
              <w:rPr>
                <w:webHidden/>
              </w:rPr>
              <w:fldChar w:fldCharType="separate"/>
            </w:r>
            <w:r>
              <w:rPr>
                <w:webHidden/>
              </w:rPr>
              <w:t>8</w:t>
            </w:r>
            <w:r>
              <w:rPr>
                <w:webHidden/>
              </w:rPr>
              <w:fldChar w:fldCharType="end"/>
            </w:r>
          </w:hyperlink>
        </w:p>
        <w:p w14:paraId="26762ACA" w14:textId="1E056F88" w:rsidR="00FE5DED" w:rsidRDefault="00FE5DED">
          <w:pPr>
            <w:pStyle w:val="TOC3"/>
            <w:rPr>
              <w:rFonts w:asciiTheme="minorHAnsi" w:eastAsiaTheme="minorEastAsia" w:hAnsiTheme="minorHAnsi" w:cstheme="minorBidi"/>
              <w:kern w:val="2"/>
              <w:sz w:val="24"/>
              <w:szCs w:val="24"/>
              <w:lang w:eastAsia="en-GB"/>
            </w:rPr>
          </w:pPr>
          <w:hyperlink w:anchor="_Toc237547391" w:history="1">
            <w:r w:rsidRPr="00400FE9">
              <w:rPr>
                <w:rStyle w:val="Hyperlink"/>
                <w:rFonts w:ascii="Times New Roman" w:hAnsi="Times New Roman" w:cs="Times New Roman"/>
              </w:rPr>
              <w:t>3.3 Scope Control and Change Management</w:t>
            </w:r>
            <w:r>
              <w:rPr>
                <w:webHidden/>
              </w:rPr>
              <w:tab/>
            </w:r>
            <w:r>
              <w:rPr>
                <w:webHidden/>
              </w:rPr>
              <w:fldChar w:fldCharType="begin"/>
            </w:r>
            <w:r>
              <w:rPr>
                <w:webHidden/>
              </w:rPr>
              <w:instrText xml:space="preserve"> PAGEREF _Toc237547391 \h </w:instrText>
            </w:r>
            <w:r>
              <w:rPr>
                <w:webHidden/>
              </w:rPr>
            </w:r>
            <w:r>
              <w:rPr>
                <w:webHidden/>
              </w:rPr>
              <w:fldChar w:fldCharType="separate"/>
            </w:r>
            <w:r>
              <w:rPr>
                <w:webHidden/>
              </w:rPr>
              <w:t>9</w:t>
            </w:r>
            <w:r>
              <w:rPr>
                <w:webHidden/>
              </w:rPr>
              <w:fldChar w:fldCharType="end"/>
            </w:r>
          </w:hyperlink>
        </w:p>
        <w:p w14:paraId="1E545E87" w14:textId="47BDBF9D" w:rsidR="00FE5DED" w:rsidRDefault="00FE5DED">
          <w:pPr>
            <w:pStyle w:val="TOC2"/>
            <w:tabs>
              <w:tab w:val="right" w:leader="dot" w:pos="9742"/>
            </w:tabs>
            <w:rPr>
              <w:rFonts w:eastAsiaTheme="minorEastAsia"/>
              <w:noProof/>
              <w:kern w:val="2"/>
              <w:sz w:val="24"/>
              <w:szCs w:val="24"/>
              <w:lang w:eastAsia="en-GB"/>
            </w:rPr>
          </w:pPr>
          <w:hyperlink w:anchor="_Toc237547392" w:history="1">
            <w:r w:rsidRPr="00400FE9">
              <w:rPr>
                <w:rStyle w:val="Hyperlink"/>
                <w:rFonts w:ascii="Times New Roman" w:hAnsi="Times New Roman" w:cs="Times New Roman"/>
                <w:noProof/>
              </w:rPr>
              <w:t>4. Work Breakdown Structure (WBS)</w:t>
            </w:r>
            <w:r>
              <w:rPr>
                <w:noProof/>
                <w:webHidden/>
              </w:rPr>
              <w:tab/>
            </w:r>
            <w:r>
              <w:rPr>
                <w:noProof/>
                <w:webHidden/>
              </w:rPr>
              <w:fldChar w:fldCharType="begin"/>
            </w:r>
            <w:r>
              <w:rPr>
                <w:noProof/>
                <w:webHidden/>
              </w:rPr>
              <w:instrText xml:space="preserve"> PAGEREF _Toc237547392 \h </w:instrText>
            </w:r>
            <w:r>
              <w:rPr>
                <w:noProof/>
                <w:webHidden/>
              </w:rPr>
            </w:r>
            <w:r>
              <w:rPr>
                <w:noProof/>
                <w:webHidden/>
              </w:rPr>
              <w:fldChar w:fldCharType="separate"/>
            </w:r>
            <w:r>
              <w:rPr>
                <w:noProof/>
                <w:webHidden/>
              </w:rPr>
              <w:t>9</w:t>
            </w:r>
            <w:r>
              <w:rPr>
                <w:noProof/>
                <w:webHidden/>
              </w:rPr>
              <w:fldChar w:fldCharType="end"/>
            </w:r>
          </w:hyperlink>
        </w:p>
        <w:p w14:paraId="25BB1E09" w14:textId="4B1B9D98" w:rsidR="00FE5DED" w:rsidRDefault="00FE5DED">
          <w:pPr>
            <w:pStyle w:val="TOC2"/>
            <w:tabs>
              <w:tab w:val="right" w:leader="dot" w:pos="9742"/>
            </w:tabs>
            <w:rPr>
              <w:rFonts w:eastAsiaTheme="minorEastAsia"/>
              <w:noProof/>
              <w:kern w:val="2"/>
              <w:sz w:val="24"/>
              <w:szCs w:val="24"/>
              <w:lang w:eastAsia="en-GB"/>
            </w:rPr>
          </w:pPr>
          <w:hyperlink w:anchor="_Toc237547393" w:history="1">
            <w:r w:rsidRPr="00400FE9">
              <w:rPr>
                <w:rStyle w:val="Hyperlink"/>
                <w:rFonts w:ascii="Times New Roman" w:hAnsi="Times New Roman" w:cs="Times New Roman"/>
                <w:noProof/>
              </w:rPr>
              <w:t>5. Quad Chart: Project Overview</w:t>
            </w:r>
            <w:r>
              <w:rPr>
                <w:noProof/>
                <w:webHidden/>
              </w:rPr>
              <w:tab/>
            </w:r>
            <w:r>
              <w:rPr>
                <w:noProof/>
                <w:webHidden/>
              </w:rPr>
              <w:fldChar w:fldCharType="begin"/>
            </w:r>
            <w:r>
              <w:rPr>
                <w:noProof/>
                <w:webHidden/>
              </w:rPr>
              <w:instrText xml:space="preserve"> PAGEREF _Toc237547393 \h </w:instrText>
            </w:r>
            <w:r>
              <w:rPr>
                <w:noProof/>
                <w:webHidden/>
              </w:rPr>
            </w:r>
            <w:r>
              <w:rPr>
                <w:noProof/>
                <w:webHidden/>
              </w:rPr>
              <w:fldChar w:fldCharType="separate"/>
            </w:r>
            <w:r>
              <w:rPr>
                <w:noProof/>
                <w:webHidden/>
              </w:rPr>
              <w:t>10</w:t>
            </w:r>
            <w:r>
              <w:rPr>
                <w:noProof/>
                <w:webHidden/>
              </w:rPr>
              <w:fldChar w:fldCharType="end"/>
            </w:r>
          </w:hyperlink>
        </w:p>
        <w:p w14:paraId="167C1391" w14:textId="4188FB95" w:rsidR="00FE5DED" w:rsidRDefault="00FE5DED">
          <w:pPr>
            <w:pStyle w:val="TOC2"/>
            <w:tabs>
              <w:tab w:val="right" w:leader="dot" w:pos="9742"/>
            </w:tabs>
            <w:rPr>
              <w:rFonts w:eastAsiaTheme="minorEastAsia"/>
              <w:noProof/>
              <w:kern w:val="2"/>
              <w:sz w:val="24"/>
              <w:szCs w:val="24"/>
              <w:lang w:eastAsia="en-GB"/>
            </w:rPr>
          </w:pPr>
          <w:hyperlink w:anchor="_Toc237547394" w:history="1">
            <w:r w:rsidRPr="00400FE9">
              <w:rPr>
                <w:rStyle w:val="Hyperlink"/>
                <w:rFonts w:ascii="Times New Roman" w:hAnsi="Times New Roman" w:cs="Times New Roman"/>
                <w:noProof/>
              </w:rPr>
              <w:t>6. Gantt Chart and Project Milestones</w:t>
            </w:r>
            <w:r>
              <w:rPr>
                <w:noProof/>
                <w:webHidden/>
              </w:rPr>
              <w:tab/>
            </w:r>
            <w:r>
              <w:rPr>
                <w:noProof/>
                <w:webHidden/>
              </w:rPr>
              <w:fldChar w:fldCharType="begin"/>
            </w:r>
            <w:r>
              <w:rPr>
                <w:noProof/>
                <w:webHidden/>
              </w:rPr>
              <w:instrText xml:space="preserve"> PAGEREF _Toc237547394 \h </w:instrText>
            </w:r>
            <w:r>
              <w:rPr>
                <w:noProof/>
                <w:webHidden/>
              </w:rPr>
            </w:r>
            <w:r>
              <w:rPr>
                <w:noProof/>
                <w:webHidden/>
              </w:rPr>
              <w:fldChar w:fldCharType="separate"/>
            </w:r>
            <w:r>
              <w:rPr>
                <w:noProof/>
                <w:webHidden/>
              </w:rPr>
              <w:t>11</w:t>
            </w:r>
            <w:r>
              <w:rPr>
                <w:noProof/>
                <w:webHidden/>
              </w:rPr>
              <w:fldChar w:fldCharType="end"/>
            </w:r>
          </w:hyperlink>
        </w:p>
        <w:p w14:paraId="3107626A" w14:textId="0D074ACD" w:rsidR="00FE5DED" w:rsidRDefault="00FE5DED">
          <w:pPr>
            <w:pStyle w:val="TOC2"/>
            <w:tabs>
              <w:tab w:val="right" w:leader="dot" w:pos="9742"/>
            </w:tabs>
            <w:rPr>
              <w:rFonts w:eastAsiaTheme="minorEastAsia"/>
              <w:noProof/>
              <w:kern w:val="2"/>
              <w:sz w:val="24"/>
              <w:szCs w:val="24"/>
              <w:lang w:eastAsia="en-GB"/>
            </w:rPr>
          </w:pPr>
          <w:hyperlink w:anchor="_Toc237547395" w:history="1">
            <w:r w:rsidRPr="00400FE9">
              <w:rPr>
                <w:rStyle w:val="Hyperlink"/>
                <w:rFonts w:ascii="Times New Roman" w:hAnsi="Times New Roman" w:cs="Times New Roman"/>
                <w:noProof/>
              </w:rPr>
              <w:t>7. Stakeholder Management</w:t>
            </w:r>
            <w:r>
              <w:rPr>
                <w:noProof/>
                <w:webHidden/>
              </w:rPr>
              <w:tab/>
            </w:r>
            <w:r>
              <w:rPr>
                <w:noProof/>
                <w:webHidden/>
              </w:rPr>
              <w:fldChar w:fldCharType="begin"/>
            </w:r>
            <w:r>
              <w:rPr>
                <w:noProof/>
                <w:webHidden/>
              </w:rPr>
              <w:instrText xml:space="preserve"> PAGEREF _Toc237547395 \h </w:instrText>
            </w:r>
            <w:r>
              <w:rPr>
                <w:noProof/>
                <w:webHidden/>
              </w:rPr>
            </w:r>
            <w:r>
              <w:rPr>
                <w:noProof/>
                <w:webHidden/>
              </w:rPr>
              <w:fldChar w:fldCharType="separate"/>
            </w:r>
            <w:r>
              <w:rPr>
                <w:noProof/>
                <w:webHidden/>
              </w:rPr>
              <w:t>12</w:t>
            </w:r>
            <w:r>
              <w:rPr>
                <w:noProof/>
                <w:webHidden/>
              </w:rPr>
              <w:fldChar w:fldCharType="end"/>
            </w:r>
          </w:hyperlink>
        </w:p>
        <w:p w14:paraId="035753F4" w14:textId="3DC6F9DD" w:rsidR="00FE5DED" w:rsidRDefault="00FE5DED">
          <w:pPr>
            <w:pStyle w:val="TOC2"/>
            <w:tabs>
              <w:tab w:val="right" w:leader="dot" w:pos="9742"/>
            </w:tabs>
            <w:rPr>
              <w:rFonts w:eastAsiaTheme="minorEastAsia"/>
              <w:noProof/>
              <w:kern w:val="2"/>
              <w:sz w:val="24"/>
              <w:szCs w:val="24"/>
              <w:lang w:eastAsia="en-GB"/>
            </w:rPr>
          </w:pPr>
          <w:hyperlink w:anchor="_Toc237547396" w:history="1">
            <w:r w:rsidRPr="00400FE9">
              <w:rPr>
                <w:rStyle w:val="Hyperlink"/>
                <w:rFonts w:ascii="Times New Roman" w:hAnsi="Times New Roman" w:cs="Times New Roman"/>
                <w:noProof/>
              </w:rPr>
              <w:t>8. Resource Management and POLC</w:t>
            </w:r>
            <w:r>
              <w:rPr>
                <w:noProof/>
                <w:webHidden/>
              </w:rPr>
              <w:tab/>
            </w:r>
            <w:r>
              <w:rPr>
                <w:noProof/>
                <w:webHidden/>
              </w:rPr>
              <w:fldChar w:fldCharType="begin"/>
            </w:r>
            <w:r>
              <w:rPr>
                <w:noProof/>
                <w:webHidden/>
              </w:rPr>
              <w:instrText xml:space="preserve"> PAGEREF _Toc237547396 \h </w:instrText>
            </w:r>
            <w:r>
              <w:rPr>
                <w:noProof/>
                <w:webHidden/>
              </w:rPr>
            </w:r>
            <w:r>
              <w:rPr>
                <w:noProof/>
                <w:webHidden/>
              </w:rPr>
              <w:fldChar w:fldCharType="separate"/>
            </w:r>
            <w:r>
              <w:rPr>
                <w:noProof/>
                <w:webHidden/>
              </w:rPr>
              <w:t>13</w:t>
            </w:r>
            <w:r>
              <w:rPr>
                <w:noProof/>
                <w:webHidden/>
              </w:rPr>
              <w:fldChar w:fldCharType="end"/>
            </w:r>
          </w:hyperlink>
        </w:p>
        <w:p w14:paraId="483C6A24" w14:textId="7C0AB1A3" w:rsidR="00FE5DED" w:rsidRDefault="00FE5DED">
          <w:pPr>
            <w:pStyle w:val="TOC2"/>
            <w:tabs>
              <w:tab w:val="right" w:leader="dot" w:pos="9742"/>
            </w:tabs>
            <w:rPr>
              <w:rFonts w:eastAsiaTheme="minorEastAsia"/>
              <w:noProof/>
              <w:kern w:val="2"/>
              <w:sz w:val="24"/>
              <w:szCs w:val="24"/>
              <w:lang w:eastAsia="en-GB"/>
            </w:rPr>
          </w:pPr>
          <w:hyperlink w:anchor="_Toc237547397" w:history="1">
            <w:r w:rsidRPr="00400FE9">
              <w:rPr>
                <w:rStyle w:val="Hyperlink"/>
                <w:rFonts w:ascii="Times New Roman" w:hAnsi="Times New Roman" w:cs="Times New Roman"/>
                <w:noProof/>
              </w:rPr>
              <w:t>9. Project Risk Assessment</w:t>
            </w:r>
            <w:r>
              <w:rPr>
                <w:noProof/>
                <w:webHidden/>
              </w:rPr>
              <w:tab/>
            </w:r>
            <w:r>
              <w:rPr>
                <w:noProof/>
                <w:webHidden/>
              </w:rPr>
              <w:fldChar w:fldCharType="begin"/>
            </w:r>
            <w:r>
              <w:rPr>
                <w:noProof/>
                <w:webHidden/>
              </w:rPr>
              <w:instrText xml:space="preserve"> PAGEREF _Toc237547397 \h </w:instrText>
            </w:r>
            <w:r>
              <w:rPr>
                <w:noProof/>
                <w:webHidden/>
              </w:rPr>
            </w:r>
            <w:r>
              <w:rPr>
                <w:noProof/>
                <w:webHidden/>
              </w:rPr>
              <w:fldChar w:fldCharType="separate"/>
            </w:r>
            <w:r>
              <w:rPr>
                <w:noProof/>
                <w:webHidden/>
              </w:rPr>
              <w:t>13</w:t>
            </w:r>
            <w:r>
              <w:rPr>
                <w:noProof/>
                <w:webHidden/>
              </w:rPr>
              <w:fldChar w:fldCharType="end"/>
            </w:r>
          </w:hyperlink>
        </w:p>
        <w:p w14:paraId="50C0D140" w14:textId="5EA7A499" w:rsidR="00FE5DED" w:rsidRDefault="00FE5DED">
          <w:pPr>
            <w:pStyle w:val="TOC2"/>
            <w:tabs>
              <w:tab w:val="right" w:leader="dot" w:pos="9742"/>
            </w:tabs>
            <w:rPr>
              <w:rFonts w:eastAsiaTheme="minorEastAsia"/>
              <w:noProof/>
              <w:kern w:val="2"/>
              <w:sz w:val="24"/>
              <w:szCs w:val="24"/>
              <w:lang w:eastAsia="en-GB"/>
            </w:rPr>
          </w:pPr>
          <w:hyperlink w:anchor="_Toc237547398" w:history="1">
            <w:r w:rsidRPr="00400FE9">
              <w:rPr>
                <w:rStyle w:val="Hyperlink"/>
                <w:rFonts w:ascii="Times New Roman" w:hAnsi="Times New Roman" w:cs="Times New Roman"/>
                <w:noProof/>
              </w:rPr>
              <w:t>10. Conclusion</w:t>
            </w:r>
            <w:r>
              <w:rPr>
                <w:noProof/>
                <w:webHidden/>
              </w:rPr>
              <w:tab/>
            </w:r>
            <w:r>
              <w:rPr>
                <w:noProof/>
                <w:webHidden/>
              </w:rPr>
              <w:fldChar w:fldCharType="begin"/>
            </w:r>
            <w:r>
              <w:rPr>
                <w:noProof/>
                <w:webHidden/>
              </w:rPr>
              <w:instrText xml:space="preserve"> PAGEREF _Toc237547398 \h </w:instrText>
            </w:r>
            <w:r>
              <w:rPr>
                <w:noProof/>
                <w:webHidden/>
              </w:rPr>
            </w:r>
            <w:r>
              <w:rPr>
                <w:noProof/>
                <w:webHidden/>
              </w:rPr>
              <w:fldChar w:fldCharType="separate"/>
            </w:r>
            <w:r>
              <w:rPr>
                <w:noProof/>
                <w:webHidden/>
              </w:rPr>
              <w:t>15</w:t>
            </w:r>
            <w:r>
              <w:rPr>
                <w:noProof/>
                <w:webHidden/>
              </w:rPr>
              <w:fldChar w:fldCharType="end"/>
            </w:r>
          </w:hyperlink>
        </w:p>
        <w:p w14:paraId="10286CDA" w14:textId="3B484E27" w:rsidR="00FE5DED" w:rsidRDefault="00FE5DED">
          <w:pPr>
            <w:pStyle w:val="TOC1"/>
            <w:tabs>
              <w:tab w:val="right" w:leader="dot" w:pos="9742"/>
            </w:tabs>
            <w:rPr>
              <w:rFonts w:eastAsiaTheme="minorEastAsia"/>
              <w:noProof/>
              <w:kern w:val="2"/>
              <w:sz w:val="24"/>
              <w:szCs w:val="24"/>
              <w:lang w:eastAsia="en-GB"/>
            </w:rPr>
          </w:pPr>
          <w:hyperlink w:anchor="_Toc237547399" w:history="1">
            <w:r w:rsidRPr="00400FE9">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_Toc237547399 \h </w:instrText>
            </w:r>
            <w:r>
              <w:rPr>
                <w:noProof/>
                <w:webHidden/>
              </w:rPr>
            </w:r>
            <w:r>
              <w:rPr>
                <w:noProof/>
                <w:webHidden/>
              </w:rPr>
              <w:fldChar w:fldCharType="separate"/>
            </w:r>
            <w:r>
              <w:rPr>
                <w:noProof/>
                <w:webHidden/>
              </w:rPr>
              <w:t>16</w:t>
            </w:r>
            <w:r>
              <w:rPr>
                <w:noProof/>
                <w:webHidden/>
              </w:rPr>
              <w:fldChar w:fldCharType="end"/>
            </w:r>
          </w:hyperlink>
        </w:p>
        <w:p w14:paraId="7B65FB19" w14:textId="5FEB0622" w:rsidR="00FE5DED" w:rsidRDefault="00FE5DED">
          <w:r>
            <w:rPr>
              <w:b/>
              <w:bCs/>
            </w:rPr>
            <w:fldChar w:fldCharType="end"/>
          </w:r>
        </w:p>
      </w:sdtContent>
    </w:sdt>
    <w:p w14:paraId="6E046CC0" w14:textId="77777777" w:rsidR="00EC77A4" w:rsidRDefault="00EC77A4" w:rsidP="00FE5A2D">
      <w:pPr>
        <w:rPr>
          <w:rFonts w:ascii="Arial" w:hAnsi="Arial" w:cs="Arial"/>
          <w:b/>
          <w:bCs/>
          <w:sz w:val="24"/>
          <w:szCs w:val="24"/>
        </w:rPr>
      </w:pPr>
    </w:p>
    <w:p w14:paraId="63B177E7" w14:textId="77777777" w:rsidR="00EC77A4" w:rsidRDefault="00EC77A4" w:rsidP="00FE5A2D">
      <w:pPr>
        <w:rPr>
          <w:rFonts w:ascii="Arial" w:hAnsi="Arial" w:cs="Arial"/>
          <w:b/>
          <w:bCs/>
          <w:sz w:val="24"/>
          <w:szCs w:val="24"/>
        </w:rPr>
      </w:pPr>
    </w:p>
    <w:p w14:paraId="1F0682D4" w14:textId="77777777" w:rsidR="00EC77A4" w:rsidRDefault="00EC77A4" w:rsidP="00FE5A2D">
      <w:pPr>
        <w:rPr>
          <w:rFonts w:ascii="Arial" w:hAnsi="Arial" w:cs="Arial"/>
          <w:b/>
          <w:bCs/>
          <w:sz w:val="24"/>
          <w:szCs w:val="24"/>
        </w:rPr>
      </w:pPr>
    </w:p>
    <w:p w14:paraId="3C303D51" w14:textId="77777777" w:rsidR="00EC77A4" w:rsidRDefault="00EC77A4" w:rsidP="00FE5A2D">
      <w:pPr>
        <w:rPr>
          <w:rFonts w:ascii="Arial" w:hAnsi="Arial" w:cs="Arial"/>
          <w:b/>
          <w:bCs/>
          <w:sz w:val="24"/>
          <w:szCs w:val="24"/>
        </w:rPr>
      </w:pPr>
    </w:p>
    <w:p w14:paraId="09F27844" w14:textId="77777777" w:rsidR="00EC77A4" w:rsidRDefault="00EC77A4" w:rsidP="00FE5A2D">
      <w:pPr>
        <w:rPr>
          <w:rFonts w:ascii="Arial" w:hAnsi="Arial" w:cs="Arial"/>
          <w:b/>
          <w:bCs/>
          <w:sz w:val="24"/>
          <w:szCs w:val="24"/>
        </w:rPr>
      </w:pPr>
    </w:p>
    <w:p w14:paraId="3550FE8F" w14:textId="77777777" w:rsidR="00EC77A4" w:rsidRDefault="00EC77A4" w:rsidP="00FE5A2D">
      <w:pPr>
        <w:rPr>
          <w:rFonts w:ascii="Arial" w:hAnsi="Arial" w:cs="Arial"/>
          <w:b/>
          <w:bCs/>
          <w:sz w:val="24"/>
          <w:szCs w:val="24"/>
        </w:rPr>
      </w:pPr>
    </w:p>
    <w:p w14:paraId="389C60AA" w14:textId="77777777" w:rsidR="00EC77A4" w:rsidRDefault="00EC77A4" w:rsidP="00FE5A2D">
      <w:pPr>
        <w:rPr>
          <w:rFonts w:ascii="Arial" w:hAnsi="Arial" w:cs="Arial"/>
          <w:b/>
          <w:bCs/>
          <w:sz w:val="24"/>
          <w:szCs w:val="24"/>
        </w:rPr>
      </w:pPr>
    </w:p>
    <w:p w14:paraId="37B68185" w14:textId="77777777" w:rsidR="002F4D08" w:rsidRDefault="002F4D08" w:rsidP="00EC77A4">
      <w:pPr>
        <w:pStyle w:val="Heading1"/>
      </w:pPr>
    </w:p>
    <w:p w14:paraId="25E3AC65" w14:textId="77777777" w:rsidR="002F4D08" w:rsidRDefault="002F4D08" w:rsidP="002F4D08"/>
    <w:p w14:paraId="418C57F4" w14:textId="77777777" w:rsidR="002F4D08" w:rsidRPr="002F4D08" w:rsidRDefault="002F4D08" w:rsidP="002F4D08"/>
    <w:p w14:paraId="7CF67E78" w14:textId="0301F32A" w:rsidR="003B0EA8" w:rsidRDefault="003B0EA8" w:rsidP="00EC77A4">
      <w:pPr>
        <w:pStyle w:val="Heading1"/>
      </w:pPr>
    </w:p>
    <w:p w14:paraId="44EAA261" w14:textId="77777777" w:rsidR="008E05BA" w:rsidRDefault="008E05BA" w:rsidP="008E05BA"/>
    <w:p w14:paraId="35F5B78E" w14:textId="77777777" w:rsidR="008E05BA" w:rsidRDefault="008E05BA" w:rsidP="008E05BA"/>
    <w:p w14:paraId="02409A80" w14:textId="77777777" w:rsidR="00C429EE" w:rsidRDefault="00C429EE" w:rsidP="008E05BA">
      <w:pPr>
        <w:sectPr w:rsidR="00C429EE" w:rsidSect="008E05BA">
          <w:footerReference w:type="default" r:id="rId9"/>
          <w:pgSz w:w="11906" w:h="16838"/>
          <w:pgMar w:top="454" w:right="1077" w:bottom="284" w:left="1077" w:header="709" w:footer="709" w:gutter="0"/>
          <w:cols w:space="708"/>
          <w:titlePg/>
          <w:docGrid w:linePitch="360"/>
        </w:sectPr>
      </w:pPr>
    </w:p>
    <w:p w14:paraId="4D11FB82" w14:textId="35BAEAA5" w:rsidR="003E5754" w:rsidRDefault="003E5754" w:rsidP="003E5754">
      <w:pPr>
        <w:pStyle w:val="Heading1"/>
        <w:jc w:val="center"/>
      </w:pPr>
      <w:bookmarkStart w:id="0" w:name="_Toc237547381"/>
      <w:r w:rsidRPr="00EC77A4">
        <w:lastRenderedPageBreak/>
        <w:t xml:space="preserve">Part </w:t>
      </w:r>
      <w:r>
        <w:t>A</w:t>
      </w:r>
      <w:r w:rsidRPr="00EC77A4">
        <w:t xml:space="preserve"> – </w:t>
      </w:r>
      <w:r w:rsidRPr="003E5754">
        <w:t>Project Proposal Poster</w:t>
      </w:r>
      <w:bookmarkEnd w:id="0"/>
    </w:p>
    <w:p w14:paraId="1D37B4A1" w14:textId="4FB2204B" w:rsidR="003E5754" w:rsidRPr="003E5754" w:rsidRDefault="003E5754" w:rsidP="003E5754">
      <w:r>
        <w:rPr>
          <w:noProof/>
        </w:rPr>
        <w:drawing>
          <wp:inline distT="0" distB="0" distL="0" distR="0" wp14:anchorId="7F8DB848" wp14:editId="039EE37D">
            <wp:extent cx="6715125" cy="9705668"/>
            <wp:effectExtent l="0" t="0" r="0" b="0"/>
            <wp:docPr id="106526440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64404" name="Picture 1065264404"/>
                    <pic:cNvPicPr/>
                  </pic:nvPicPr>
                  <pic:blipFill>
                    <a:blip r:embed="rId10">
                      <a:extLst>
                        <a:ext uri="{28A0092B-C50C-407E-A947-70E740481C1C}">
                          <a14:useLocalDpi xmlns:a14="http://schemas.microsoft.com/office/drawing/2010/main" val="0"/>
                        </a:ext>
                      </a:extLst>
                    </a:blip>
                    <a:stretch>
                      <a:fillRect/>
                    </a:stretch>
                  </pic:blipFill>
                  <pic:spPr>
                    <a:xfrm>
                      <a:off x="0" y="0"/>
                      <a:ext cx="6728049" cy="9724348"/>
                    </a:xfrm>
                    <a:prstGeom prst="rect">
                      <a:avLst/>
                    </a:prstGeom>
                  </pic:spPr>
                </pic:pic>
              </a:graphicData>
            </a:graphic>
          </wp:inline>
        </w:drawing>
      </w:r>
    </w:p>
    <w:p w14:paraId="5B871C6B" w14:textId="695A2BEE" w:rsidR="002F4D08" w:rsidRDefault="002F4D08" w:rsidP="002F4D08">
      <w:pPr>
        <w:pStyle w:val="Heading1"/>
        <w:jc w:val="center"/>
      </w:pPr>
      <w:bookmarkStart w:id="1" w:name="_Toc237547382"/>
      <w:r w:rsidRPr="00EC77A4">
        <w:lastRenderedPageBreak/>
        <w:t>Part B – Reflective Report</w:t>
      </w:r>
      <w:bookmarkEnd w:id="1"/>
    </w:p>
    <w:p w14:paraId="50457131" w14:textId="77777777" w:rsidR="002F4D08" w:rsidRPr="002F4D08" w:rsidRDefault="002F4D08" w:rsidP="002F4D08"/>
    <w:p w14:paraId="042EC2B8" w14:textId="7CDA3DF0" w:rsidR="00FE5A2D" w:rsidRPr="008D4DD9" w:rsidRDefault="008D4DD9" w:rsidP="00EC77A4">
      <w:pPr>
        <w:pStyle w:val="Heading2"/>
      </w:pPr>
      <w:bookmarkStart w:id="2" w:name="_Toc237547383"/>
      <w:r w:rsidRPr="008D4DD9">
        <w:t>Reflection on Tutor Feedback</w:t>
      </w:r>
      <w:bookmarkEnd w:id="2"/>
    </w:p>
    <w:p w14:paraId="6B1465BE" w14:textId="1694D18B" w:rsidR="00565BFD" w:rsidRPr="00371234" w:rsidRDefault="00565BFD" w:rsidP="00312C9B">
      <w:pPr>
        <w:pStyle w:val="pdq2pgselectionanchorcontainer"/>
        <w:spacing w:line="360" w:lineRule="auto"/>
        <w:jc w:val="both"/>
      </w:pPr>
      <w:r w:rsidRPr="00371234">
        <w:t xml:space="preserve">Preparing the project proposal poster allowed me to apply project management theory to a realistic infrastructure project and transform academic concepts into a practical proposal. Before presenting the poster, I believed that it addressed the assessment requirements by explaining the project background, objectives, stakeholders, risks, funding strategy and strategic value in a clear and structured format. Presenting the poster to my tutor </w:t>
      </w:r>
      <w:r w:rsidR="004A161E" w:rsidRPr="00371234">
        <w:t xml:space="preserve">and peers </w:t>
      </w:r>
      <w:r w:rsidRPr="00371234">
        <w:t>provided an opportunity to receive constructive feedback, reflect on my initial decisions and identify improvements before developing the final Project Management Plan. This experience demonstrated the importance of reflection and continuous improvement within professional project management practice (Schön, 1983).</w:t>
      </w:r>
    </w:p>
    <w:p w14:paraId="08900D62" w14:textId="77777777" w:rsidR="00565BFD" w:rsidRPr="00371234" w:rsidRDefault="00565BFD" w:rsidP="00312C9B">
      <w:pPr>
        <w:pStyle w:val="NormalWeb"/>
        <w:spacing w:line="360" w:lineRule="auto"/>
        <w:jc w:val="both"/>
      </w:pPr>
      <w:r w:rsidRPr="00371234">
        <w:t xml:space="preserve">One of the strengths identified by the tutor was the overall structure and presentation of the poster. The information was logically organised and communicated the project proposal clearly. The redevelopment of the central transport hub was considered an appropriate response to the scenario because it addressed key challenges including transport disruption, ageing infrastructure, accessibility, sustainability and digital transformation. Including a </w:t>
      </w:r>
      <w:r w:rsidRPr="00371234">
        <w:rPr>
          <w:rStyle w:val="Strong"/>
        </w:rPr>
        <w:t>36-month delivery period</w:t>
      </w:r>
      <w:r w:rsidRPr="00371234">
        <w:t xml:space="preserve"> and an estimated </w:t>
      </w:r>
      <w:r w:rsidRPr="00371234">
        <w:rPr>
          <w:rStyle w:val="Strong"/>
        </w:rPr>
        <w:t>budget of £632.5 million</w:t>
      </w:r>
      <w:r w:rsidRPr="00371234">
        <w:t xml:space="preserve"> also demonstrated that realistic project constraints had been considered.</w:t>
      </w:r>
    </w:p>
    <w:p w14:paraId="195E16AF" w14:textId="77777777" w:rsidR="00565BFD" w:rsidRPr="00371234" w:rsidRDefault="00565BFD" w:rsidP="00312C9B">
      <w:pPr>
        <w:pStyle w:val="NormalWeb"/>
        <w:spacing w:line="360" w:lineRule="auto"/>
        <w:jc w:val="both"/>
      </w:pPr>
      <w:r w:rsidRPr="00371234">
        <w:t xml:space="preserve">However, the tutor identified areas where the proposal required further development. The first area concerned the project funding strategy. In the initial version of the poster, I included several potential funding sources, including </w:t>
      </w:r>
      <w:r w:rsidRPr="00371234">
        <w:rPr>
          <w:rStyle w:val="Strong"/>
        </w:rPr>
        <w:t>UK Government Infrastructure Funding, Developer Contributions, Public-Private Partnerships (PPP), Green Bonds and Local Authority Investment</w:t>
      </w:r>
      <w:r w:rsidRPr="00371234">
        <w:t>. At that stage, I believed that presenting a wider range of financing options would demonstrate stronger knowledge of project funding. However, the tutor highlighted that including too many funding mechanisms reduced the realism of the proposal because each funding model has different purposes, requirements and stakeholder involvement.</w:t>
      </w:r>
    </w:p>
    <w:p w14:paraId="49990640" w14:textId="77777777" w:rsidR="00565BFD" w:rsidRPr="00371234" w:rsidRDefault="00565BFD" w:rsidP="00312C9B">
      <w:pPr>
        <w:pStyle w:val="NormalWeb"/>
        <w:spacing w:line="360" w:lineRule="auto"/>
        <w:jc w:val="both"/>
      </w:pPr>
      <w:r w:rsidRPr="00371234">
        <w:t xml:space="preserve">Following this feedback, I carried out additional research into funding approaches used in UK transport infrastructure projects. This helped me understand the differences between funding mechanisms and evaluate which options were most appropriate for my project. </w:t>
      </w:r>
      <w:r w:rsidRPr="00371234">
        <w:rPr>
          <w:rStyle w:val="Strong"/>
        </w:rPr>
        <w:t>UK Government Infrastructure Funding</w:t>
      </w:r>
      <w:r w:rsidRPr="00371234">
        <w:t xml:space="preserve"> was selected as the primary source because the redevelopment of a major transport hub represents a public investment supporting accessibility, economic development and sustainability objectives. </w:t>
      </w:r>
      <w:r w:rsidRPr="00371234">
        <w:rPr>
          <w:rStyle w:val="Strong"/>
        </w:rPr>
        <w:t>Developer Contributions</w:t>
      </w:r>
      <w:r w:rsidRPr="00371234">
        <w:t xml:space="preserve"> were retained as a supporting source because surrounding regeneration activities could provide opportunities for private-sector involvement. Other options, such as PPP arrangements and Green Bonds, were considered less suitable because they would introduce additional financial complexity and governance requirements. As a </w:t>
      </w:r>
      <w:r w:rsidRPr="00371234">
        <w:lastRenderedPageBreak/>
        <w:t>result, I revised the poster by keeping only these two funding sources, which made the proposal more focused, realistic and easier to justify.</w:t>
      </w:r>
    </w:p>
    <w:p w14:paraId="0E919474" w14:textId="77777777" w:rsidR="00565BFD" w:rsidRPr="00371234" w:rsidRDefault="00565BFD" w:rsidP="00312C9B">
      <w:pPr>
        <w:pStyle w:val="NormalWeb"/>
        <w:spacing w:line="360" w:lineRule="auto"/>
        <w:jc w:val="both"/>
      </w:pPr>
      <w:r w:rsidRPr="00371234">
        <w:t xml:space="preserve">The second recommendation focused on the project objectives. My original objectives described the project's intentions but did not clearly explain how success would be measured. After reviewing the tutor's comments and project management guidance, I replaced the general objectives with </w:t>
      </w:r>
      <w:r w:rsidRPr="00371234">
        <w:rPr>
          <w:rStyle w:val="Strong"/>
        </w:rPr>
        <w:t>SMART objectives</w:t>
      </w:r>
      <w:r w:rsidRPr="00371234">
        <w:t xml:space="preserve"> (PMI, 2021). This change improved the proposal by introducing measurable targets, including increasing transport capacity, reducing journey times, improving accessibility and completing the project within </w:t>
      </w:r>
      <w:r w:rsidRPr="00371234">
        <w:rPr>
          <w:rStyle w:val="Strong"/>
          <w:b w:val="0"/>
          <w:bCs w:val="0"/>
        </w:rPr>
        <w:t>36 months</w:t>
      </w:r>
      <w:r w:rsidRPr="00371234">
        <w:t>. This process changed my understanding of objectives because I realised that they are not simply statements of intention but practical tools for planning, monitoring and controlling project performance.</w:t>
      </w:r>
    </w:p>
    <w:p w14:paraId="01F8D965" w14:textId="19A74838" w:rsidR="00565BFD" w:rsidRPr="00371234" w:rsidRDefault="00565BFD" w:rsidP="00312C9B">
      <w:pPr>
        <w:pStyle w:val="NormalWeb"/>
        <w:spacing w:line="360" w:lineRule="auto"/>
        <w:jc w:val="both"/>
      </w:pPr>
      <w:r w:rsidRPr="00371234">
        <w:t xml:space="preserve">Overall, the tutor's feedback encouraged me to evaluate my work more critically and support my decisions with additional research. The changes made to the funding strategy and objectives strengthened the realism, clarity and credibility of the proposal. These improvements will provide a stronger foundation for the final Project Management Plan by ensuring that project objectives, resources and financial decisions are aligned with recognised project management principles (APM, 2019; </w:t>
      </w:r>
      <w:r w:rsidR="00D52CAE" w:rsidRPr="00371234">
        <w:t xml:space="preserve">Kerzner, 2022; </w:t>
      </w:r>
      <w:r w:rsidRPr="00371234">
        <w:t>PMI, 2021).</w:t>
      </w:r>
    </w:p>
    <w:p w14:paraId="0BFB9C83" w14:textId="77777777" w:rsidR="002F4D08" w:rsidRPr="00371234" w:rsidRDefault="002F4D08" w:rsidP="00312C9B">
      <w:pPr>
        <w:pStyle w:val="NormalWeb"/>
        <w:spacing w:line="360" w:lineRule="auto"/>
        <w:jc w:val="both"/>
      </w:pPr>
    </w:p>
    <w:p w14:paraId="4FAA4BEB" w14:textId="77777777" w:rsidR="002F4D08" w:rsidRPr="00371234" w:rsidRDefault="002F4D08" w:rsidP="00312C9B">
      <w:pPr>
        <w:pStyle w:val="NormalWeb"/>
        <w:spacing w:line="360" w:lineRule="auto"/>
        <w:jc w:val="both"/>
      </w:pPr>
    </w:p>
    <w:p w14:paraId="10813FEE" w14:textId="77777777" w:rsidR="002F4D08" w:rsidRPr="00371234" w:rsidRDefault="002F4D08" w:rsidP="00312C9B">
      <w:pPr>
        <w:pStyle w:val="NormalWeb"/>
        <w:spacing w:line="360" w:lineRule="auto"/>
        <w:jc w:val="both"/>
      </w:pPr>
    </w:p>
    <w:p w14:paraId="2BE2A301" w14:textId="77777777" w:rsidR="002F4D08" w:rsidRPr="00371234" w:rsidRDefault="002F4D08" w:rsidP="003E5754">
      <w:pPr>
        <w:pStyle w:val="NormalWeb"/>
        <w:spacing w:line="360" w:lineRule="auto"/>
        <w:jc w:val="both"/>
      </w:pPr>
    </w:p>
    <w:p w14:paraId="216D70D7" w14:textId="77777777" w:rsidR="003E5754" w:rsidRPr="00371234" w:rsidRDefault="003E5754" w:rsidP="003E5754">
      <w:pPr>
        <w:pStyle w:val="NormalWeb"/>
        <w:spacing w:line="360" w:lineRule="auto"/>
        <w:jc w:val="both"/>
      </w:pPr>
    </w:p>
    <w:p w14:paraId="40359D54" w14:textId="77777777" w:rsidR="003E5754" w:rsidRDefault="003E5754" w:rsidP="003E5754">
      <w:pPr>
        <w:pStyle w:val="NormalWeb"/>
        <w:spacing w:line="360" w:lineRule="auto"/>
        <w:jc w:val="both"/>
      </w:pPr>
    </w:p>
    <w:p w14:paraId="124D90E8" w14:textId="77777777" w:rsidR="00371234" w:rsidRDefault="00371234" w:rsidP="003E5754">
      <w:pPr>
        <w:pStyle w:val="NormalWeb"/>
        <w:spacing w:line="360" w:lineRule="auto"/>
        <w:jc w:val="both"/>
      </w:pPr>
    </w:p>
    <w:p w14:paraId="19762D15" w14:textId="77777777" w:rsidR="00371234" w:rsidRPr="00371234" w:rsidRDefault="00371234" w:rsidP="003E5754">
      <w:pPr>
        <w:pStyle w:val="NormalWeb"/>
        <w:spacing w:line="360" w:lineRule="auto"/>
        <w:jc w:val="both"/>
      </w:pPr>
    </w:p>
    <w:p w14:paraId="140C6930" w14:textId="5A643B1D" w:rsidR="002F4D08" w:rsidRPr="00371234" w:rsidRDefault="002F4D08" w:rsidP="002F4D08">
      <w:pPr>
        <w:tabs>
          <w:tab w:val="left" w:pos="4021"/>
        </w:tabs>
        <w:rPr>
          <w:rFonts w:ascii="Times New Roman" w:hAnsi="Times New Roman" w:cs="Times New Roman"/>
          <w:sz w:val="24"/>
          <w:szCs w:val="24"/>
        </w:rPr>
      </w:pPr>
      <w:r w:rsidRPr="00371234">
        <w:rPr>
          <w:rFonts w:ascii="Times New Roman" w:hAnsi="Times New Roman" w:cs="Times New Roman"/>
          <w:sz w:val="24"/>
          <w:szCs w:val="24"/>
        </w:rPr>
        <w:tab/>
      </w:r>
    </w:p>
    <w:p w14:paraId="16B4328A" w14:textId="77777777" w:rsidR="002F4D08" w:rsidRPr="00371234" w:rsidRDefault="002F4D08" w:rsidP="002F4D08">
      <w:pPr>
        <w:tabs>
          <w:tab w:val="left" w:pos="4021"/>
        </w:tabs>
        <w:rPr>
          <w:rFonts w:ascii="Times New Roman" w:hAnsi="Times New Roman" w:cs="Times New Roman"/>
          <w:sz w:val="24"/>
          <w:szCs w:val="24"/>
        </w:rPr>
      </w:pPr>
    </w:p>
    <w:p w14:paraId="1433C954" w14:textId="77777777" w:rsidR="008E05BA" w:rsidRPr="00371234" w:rsidRDefault="008E05BA" w:rsidP="002F4D08">
      <w:pPr>
        <w:tabs>
          <w:tab w:val="left" w:pos="4021"/>
        </w:tabs>
        <w:rPr>
          <w:rFonts w:ascii="Times New Roman" w:hAnsi="Times New Roman" w:cs="Times New Roman"/>
          <w:sz w:val="24"/>
          <w:szCs w:val="24"/>
        </w:rPr>
      </w:pPr>
    </w:p>
    <w:p w14:paraId="5CE52660" w14:textId="77777777" w:rsidR="00371234" w:rsidRPr="00371234" w:rsidRDefault="00371234" w:rsidP="002F4D08">
      <w:pPr>
        <w:tabs>
          <w:tab w:val="left" w:pos="4021"/>
        </w:tabs>
        <w:rPr>
          <w:rFonts w:ascii="Times New Roman" w:hAnsi="Times New Roman" w:cs="Times New Roman"/>
          <w:sz w:val="24"/>
          <w:szCs w:val="24"/>
        </w:rPr>
      </w:pPr>
    </w:p>
    <w:p w14:paraId="469631CB" w14:textId="77777777" w:rsidR="008E05BA" w:rsidRPr="00371234" w:rsidRDefault="008E05BA" w:rsidP="002F4D08">
      <w:pPr>
        <w:tabs>
          <w:tab w:val="left" w:pos="4021"/>
        </w:tabs>
        <w:rPr>
          <w:rFonts w:ascii="Times New Roman" w:hAnsi="Times New Roman" w:cs="Times New Roman"/>
          <w:sz w:val="24"/>
          <w:szCs w:val="24"/>
        </w:rPr>
      </w:pPr>
    </w:p>
    <w:p w14:paraId="7D5D96A5" w14:textId="77777777" w:rsidR="002F4D08" w:rsidRPr="00371234" w:rsidRDefault="002F4D08" w:rsidP="002F4D08">
      <w:pPr>
        <w:tabs>
          <w:tab w:val="left" w:pos="4021"/>
        </w:tabs>
        <w:rPr>
          <w:rFonts w:ascii="Times New Roman" w:hAnsi="Times New Roman" w:cs="Times New Roman"/>
          <w:sz w:val="24"/>
          <w:szCs w:val="24"/>
        </w:rPr>
      </w:pPr>
    </w:p>
    <w:p w14:paraId="546AC1B8" w14:textId="351C9BB2" w:rsidR="008302E0" w:rsidRPr="00371234" w:rsidRDefault="008302E0" w:rsidP="002F4D08">
      <w:pPr>
        <w:pStyle w:val="Heading1"/>
        <w:jc w:val="center"/>
        <w:rPr>
          <w:rFonts w:ascii="Times New Roman" w:hAnsi="Times New Roman" w:cs="Times New Roman"/>
          <w:sz w:val="24"/>
          <w:szCs w:val="24"/>
        </w:rPr>
      </w:pPr>
      <w:bookmarkStart w:id="3" w:name="_Toc237547384"/>
      <w:r w:rsidRPr="00371234">
        <w:rPr>
          <w:rFonts w:ascii="Times New Roman" w:hAnsi="Times New Roman" w:cs="Times New Roman"/>
          <w:sz w:val="24"/>
          <w:szCs w:val="24"/>
        </w:rPr>
        <w:lastRenderedPageBreak/>
        <w:t>Part C – Project Management Plan</w:t>
      </w:r>
      <w:bookmarkEnd w:id="3"/>
    </w:p>
    <w:p w14:paraId="4CA98427" w14:textId="77777777" w:rsidR="00EC77A4" w:rsidRPr="00371234" w:rsidRDefault="00EC77A4" w:rsidP="00EC77A4">
      <w:pPr>
        <w:rPr>
          <w:rFonts w:ascii="Times New Roman" w:hAnsi="Times New Roman" w:cs="Times New Roman"/>
          <w:sz w:val="24"/>
          <w:szCs w:val="24"/>
        </w:rPr>
      </w:pPr>
    </w:p>
    <w:p w14:paraId="47E96AF1" w14:textId="51C73E42" w:rsidR="00987ECA" w:rsidRPr="00371234" w:rsidRDefault="003A4477" w:rsidP="00EC77A4">
      <w:pPr>
        <w:pStyle w:val="Heading2"/>
        <w:rPr>
          <w:rFonts w:ascii="Times New Roman" w:hAnsi="Times New Roman" w:cs="Times New Roman"/>
          <w:sz w:val="24"/>
          <w:szCs w:val="24"/>
        </w:rPr>
      </w:pPr>
      <w:bookmarkStart w:id="4" w:name="_Toc237547385"/>
      <w:r w:rsidRPr="00371234">
        <w:rPr>
          <w:rFonts w:ascii="Times New Roman" w:hAnsi="Times New Roman" w:cs="Times New Roman"/>
          <w:sz w:val="24"/>
          <w:szCs w:val="24"/>
        </w:rPr>
        <w:t>1. Introduction</w:t>
      </w:r>
      <w:bookmarkEnd w:id="4"/>
    </w:p>
    <w:p w14:paraId="150EAF78" w14:textId="658D2679"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The closure of the Central Transport Hub, which was built more than 40 years ago, has disrupted rail, bus and freight operations, affecting commuters, businesses and local supply chains. Structural and safety concerns, together with accessibility and infrastructure compliance issues, have created a need for a long-term redevelopment solution.</w:t>
      </w:r>
    </w:p>
    <w:p w14:paraId="76F75B08"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This Project Management Plan sets out the proposed approach for delivering the Central Transport Hub Redevelopment Programme over 36 months, from January 2026 to December 2028, with an estimated budget of £632.5 million. The project aims to restore safe and resilient transport capacity while creating a sustainable, digitally enabled and inclusive multimodal transport hub.</w:t>
      </w:r>
    </w:p>
    <w:p w14:paraId="74E38CEB"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Four project options were considered: full redevelopment of the Central Transport Hub, a temporary multimodal transport solution, digital modernisation of passenger flow and logistics coordination, and a sustainable redesign focused on net-zero transport objectives. Full redevelopment was selected because it provides the most comprehensive long-term response to the identified capacity, safety, accessibility, sustainability and digital transformation requirements.</w:t>
      </w:r>
    </w:p>
    <w:p w14:paraId="5AB678AA" w14:textId="7992BD06" w:rsidR="00987ECA" w:rsidRPr="00371234" w:rsidRDefault="007E5F2F"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project will use a structured project life cycle supported by a </w:t>
      </w:r>
      <w:r w:rsidRPr="00371234">
        <w:rPr>
          <w:rFonts w:ascii="Times New Roman" w:hAnsi="Times New Roman" w:cs="Times New Roman"/>
          <w:b/>
          <w:bCs/>
          <w:sz w:val="24"/>
          <w:szCs w:val="24"/>
        </w:rPr>
        <w:t>hybrid project management approach</w:t>
      </w:r>
      <w:r w:rsidRPr="00371234">
        <w:rPr>
          <w:rFonts w:ascii="Times New Roman" w:hAnsi="Times New Roman" w:cs="Times New Roman"/>
          <w:sz w:val="24"/>
          <w:szCs w:val="24"/>
        </w:rPr>
        <w:t xml:space="preserve">. Predictive methods will be applied to major design and construction activities, while adaptive practices will support digital implementation and stakeholder engagement (Costantini, Hall and Rapanotti, 2021). </w:t>
      </w:r>
      <w:r w:rsidR="00987ECA" w:rsidRPr="00371234">
        <w:rPr>
          <w:rFonts w:ascii="Times New Roman" w:hAnsi="Times New Roman" w:cs="Times New Roman"/>
          <w:sz w:val="24"/>
          <w:szCs w:val="24"/>
        </w:rPr>
        <w:t>Elements of PRINCE2, including defined responsibilities, governance, stage control and continued business justification, will also support project decision-making (PeopleCert, 2023). This approach provides appropriate control for a complex infrastructure programme while allowing flexibility where requirements may change.</w:t>
      </w:r>
    </w:p>
    <w:p w14:paraId="12F061A9" w14:textId="25A88664" w:rsidR="00C71C7A" w:rsidRPr="00371234" w:rsidRDefault="00C71C7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project objectives established in the proposal include a </w:t>
      </w:r>
      <w:r w:rsidRPr="00371234">
        <w:rPr>
          <w:rFonts w:ascii="Times New Roman" w:hAnsi="Times New Roman" w:cs="Times New Roman"/>
          <w:b/>
          <w:bCs/>
          <w:sz w:val="24"/>
          <w:szCs w:val="24"/>
        </w:rPr>
        <w:t>30% increase in transport capacity</w:t>
      </w:r>
      <w:r w:rsidRPr="00371234">
        <w:rPr>
          <w:rFonts w:ascii="Times New Roman" w:hAnsi="Times New Roman" w:cs="Times New Roman"/>
          <w:sz w:val="24"/>
          <w:szCs w:val="24"/>
        </w:rPr>
        <w:t xml:space="preserve">, a </w:t>
      </w:r>
      <w:r w:rsidRPr="00371234">
        <w:rPr>
          <w:rFonts w:ascii="Times New Roman" w:hAnsi="Times New Roman" w:cs="Times New Roman"/>
          <w:b/>
          <w:bCs/>
          <w:sz w:val="24"/>
          <w:szCs w:val="24"/>
        </w:rPr>
        <w:t>20% reduction in average journey times</w:t>
      </w:r>
      <w:r w:rsidRPr="00371234">
        <w:rPr>
          <w:rFonts w:ascii="Times New Roman" w:hAnsi="Times New Roman" w:cs="Times New Roman"/>
          <w:sz w:val="24"/>
          <w:szCs w:val="24"/>
        </w:rPr>
        <w:t xml:space="preserve">, a </w:t>
      </w:r>
      <w:r w:rsidRPr="00371234">
        <w:rPr>
          <w:rFonts w:ascii="Times New Roman" w:hAnsi="Times New Roman" w:cs="Times New Roman"/>
          <w:b/>
          <w:bCs/>
          <w:sz w:val="24"/>
          <w:szCs w:val="24"/>
        </w:rPr>
        <w:t>40% reduction in operational CO₂ emissions</w:t>
      </w:r>
      <w:r w:rsidRPr="00371234">
        <w:rPr>
          <w:rFonts w:ascii="Times New Roman" w:hAnsi="Times New Roman" w:cs="Times New Roman"/>
          <w:sz w:val="24"/>
          <w:szCs w:val="24"/>
        </w:rPr>
        <w:t xml:space="preserve"> and achievement of at least </w:t>
      </w:r>
      <w:r w:rsidRPr="00371234">
        <w:rPr>
          <w:rFonts w:ascii="Times New Roman" w:hAnsi="Times New Roman" w:cs="Times New Roman"/>
          <w:b/>
          <w:bCs/>
          <w:sz w:val="24"/>
          <w:szCs w:val="24"/>
        </w:rPr>
        <w:t>90% accessibility compliance</w:t>
      </w:r>
      <w:r w:rsidRPr="00371234">
        <w:rPr>
          <w:rFonts w:ascii="Times New Roman" w:hAnsi="Times New Roman" w:cs="Times New Roman"/>
          <w:sz w:val="24"/>
          <w:szCs w:val="24"/>
        </w:rPr>
        <w:t xml:space="preserve">, with project delivery completed within </w:t>
      </w:r>
      <w:r w:rsidRPr="00371234">
        <w:rPr>
          <w:rFonts w:ascii="Times New Roman" w:hAnsi="Times New Roman" w:cs="Times New Roman"/>
          <w:b/>
          <w:bCs/>
          <w:sz w:val="24"/>
          <w:szCs w:val="24"/>
        </w:rPr>
        <w:t>36 months</w:t>
      </w:r>
      <w:r w:rsidRPr="00371234">
        <w:rPr>
          <w:rFonts w:ascii="Times New Roman" w:hAnsi="Times New Roman" w:cs="Times New Roman"/>
          <w:sz w:val="24"/>
          <w:szCs w:val="24"/>
        </w:rPr>
        <w:t>.</w:t>
      </w:r>
    </w:p>
    <w:p w14:paraId="035CFB50" w14:textId="0D6A87AB"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The overall aim is to deliver a safe, sustainable, digitally enabled and inclusive transport hub that improves connectivity, supports economic growth and contributes to the city's environmental and long-term regeneration objectives.</w:t>
      </w:r>
    </w:p>
    <w:p w14:paraId="1023E016" w14:textId="77777777" w:rsidR="007E5F2F" w:rsidRPr="00371234" w:rsidRDefault="007E5F2F" w:rsidP="00987ECA">
      <w:pPr>
        <w:spacing w:line="360" w:lineRule="auto"/>
        <w:jc w:val="both"/>
        <w:rPr>
          <w:rFonts w:ascii="Times New Roman" w:hAnsi="Times New Roman" w:cs="Times New Roman"/>
          <w:sz w:val="24"/>
          <w:szCs w:val="24"/>
        </w:rPr>
      </w:pPr>
    </w:p>
    <w:p w14:paraId="0D77B6AC" w14:textId="704827A1" w:rsidR="00987ECA" w:rsidRPr="00371234" w:rsidRDefault="003A4477" w:rsidP="00EC77A4">
      <w:pPr>
        <w:pStyle w:val="Heading2"/>
        <w:rPr>
          <w:rFonts w:ascii="Times New Roman" w:hAnsi="Times New Roman" w:cs="Times New Roman"/>
          <w:sz w:val="24"/>
          <w:szCs w:val="24"/>
        </w:rPr>
      </w:pPr>
      <w:bookmarkStart w:id="5" w:name="_Toc237547386"/>
      <w:r w:rsidRPr="00371234">
        <w:rPr>
          <w:rFonts w:ascii="Times New Roman" w:hAnsi="Times New Roman" w:cs="Times New Roman"/>
          <w:sz w:val="24"/>
          <w:szCs w:val="24"/>
        </w:rPr>
        <w:t>2. Project Description</w:t>
      </w:r>
      <w:bookmarkEnd w:id="5"/>
    </w:p>
    <w:p w14:paraId="7D20106B"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w:t>
      </w:r>
      <w:r w:rsidRPr="00371234">
        <w:rPr>
          <w:rFonts w:ascii="Times New Roman" w:hAnsi="Times New Roman" w:cs="Times New Roman"/>
          <w:b/>
          <w:bCs/>
          <w:sz w:val="24"/>
          <w:szCs w:val="24"/>
        </w:rPr>
        <w:t>Central Transport Hub</w:t>
      </w:r>
      <w:r w:rsidRPr="00371234">
        <w:rPr>
          <w:rFonts w:ascii="Times New Roman" w:hAnsi="Times New Roman" w:cs="Times New Roman"/>
          <w:sz w:val="24"/>
          <w:szCs w:val="24"/>
        </w:rPr>
        <w:t xml:space="preserve"> is a critical metropolitan transport asset connecting rail, bus and freight services. Built more than 40 years ago, the hub has been closed because of structural and safety concerns. Its closure </w:t>
      </w:r>
      <w:r w:rsidRPr="00371234">
        <w:rPr>
          <w:rFonts w:ascii="Times New Roman" w:hAnsi="Times New Roman" w:cs="Times New Roman"/>
          <w:sz w:val="24"/>
          <w:szCs w:val="24"/>
        </w:rPr>
        <w:lastRenderedPageBreak/>
        <w:t>has disrupted commuter travel, freight operations and local business activity, resulting in overcrowding, supply chain delays and wider economic impacts on local communities.</w:t>
      </w:r>
    </w:p>
    <w:p w14:paraId="5222C55E"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proposed project will redevelop the existing hub into a </w:t>
      </w:r>
      <w:r w:rsidRPr="00371234">
        <w:rPr>
          <w:rFonts w:ascii="Times New Roman" w:hAnsi="Times New Roman" w:cs="Times New Roman"/>
          <w:b/>
          <w:bCs/>
          <w:sz w:val="24"/>
          <w:szCs w:val="24"/>
        </w:rPr>
        <w:t>future-ready multimodal transport interchange</w:t>
      </w:r>
      <w:r w:rsidRPr="00371234">
        <w:rPr>
          <w:rFonts w:ascii="Times New Roman" w:hAnsi="Times New Roman" w:cs="Times New Roman"/>
          <w:sz w:val="24"/>
          <w:szCs w:val="24"/>
        </w:rPr>
        <w:t>. The redevelopment will restore transport capacity while improving passenger experience, accessibility, digital integration and environmental performance. The proposed solution will integrate rail, bus, taxi, cycling and freight access, together with modern passenger facilities, smart transport systems and sustainable infrastructure.</w:t>
      </w:r>
    </w:p>
    <w:p w14:paraId="1AFA8197"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Four project options</w:t>
      </w:r>
      <w:r w:rsidRPr="00371234">
        <w:rPr>
          <w:rFonts w:ascii="Times New Roman" w:hAnsi="Times New Roman" w:cs="Times New Roman"/>
          <w:sz w:val="24"/>
          <w:szCs w:val="24"/>
        </w:rPr>
        <w:t xml:space="preserve"> were considered as part of the project proposal. The first option was full redevelopment of the Central Transport Hub. The second was a temporary multimodal transport solution to provide short-term additional capacity. The third was digital modernisation of passenger-flow and logistics coordination systems without comprehensive physical redevelopment. The fourth was a sustainable redesign focused primarily on net-zero transport objectives. </w:t>
      </w:r>
      <w:r w:rsidRPr="00371234">
        <w:rPr>
          <w:rFonts w:ascii="Times New Roman" w:hAnsi="Times New Roman" w:cs="Times New Roman"/>
          <w:b/>
          <w:bCs/>
          <w:sz w:val="24"/>
          <w:szCs w:val="24"/>
        </w:rPr>
        <w:t>Full redevelopment was selected</w:t>
      </w:r>
      <w:r w:rsidRPr="00371234">
        <w:rPr>
          <w:rFonts w:ascii="Times New Roman" w:hAnsi="Times New Roman" w:cs="Times New Roman"/>
          <w:sz w:val="24"/>
          <w:szCs w:val="24"/>
        </w:rPr>
        <w:t xml:space="preserve"> because it provides the most comprehensive long-term response to the project's capacity, safety, accessibility, sustainability and digital transformation requirements.</w:t>
      </w:r>
    </w:p>
    <w:p w14:paraId="174A3A8D"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project also supports wider </w:t>
      </w:r>
      <w:r w:rsidRPr="00371234">
        <w:rPr>
          <w:rFonts w:ascii="Times New Roman" w:hAnsi="Times New Roman" w:cs="Times New Roman"/>
          <w:b/>
          <w:bCs/>
          <w:sz w:val="24"/>
          <w:szCs w:val="24"/>
        </w:rPr>
        <w:t>strategic objectives</w:t>
      </w:r>
      <w:r w:rsidRPr="00371234">
        <w:rPr>
          <w:rFonts w:ascii="Times New Roman" w:hAnsi="Times New Roman" w:cs="Times New Roman"/>
          <w:sz w:val="24"/>
          <w:szCs w:val="24"/>
        </w:rPr>
        <w:t>. Improved transport capacity and reliability can support economic activity and local businesses, while improved accessibility and connectivity can create greater social value. Sustainable infrastructure, renewable energy systems and reduced operational emissions support environmental objectives, while digital passenger-flow and logistics systems can improve operational efficiency and resilience.</w:t>
      </w:r>
    </w:p>
    <w:p w14:paraId="15B4EBA6" w14:textId="4C4EDD0C"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A </w:t>
      </w:r>
      <w:r w:rsidRPr="00371234">
        <w:rPr>
          <w:rFonts w:ascii="Times New Roman" w:hAnsi="Times New Roman" w:cs="Times New Roman"/>
          <w:b/>
          <w:bCs/>
          <w:sz w:val="24"/>
          <w:szCs w:val="24"/>
        </w:rPr>
        <w:t>PESTEL perspective</w:t>
      </w:r>
      <w:r w:rsidRPr="00371234">
        <w:rPr>
          <w:rFonts w:ascii="Times New Roman" w:hAnsi="Times New Roman" w:cs="Times New Roman"/>
          <w:sz w:val="24"/>
          <w:szCs w:val="24"/>
        </w:rPr>
        <w:t xml:space="preserve"> was used to consider external factors that may influence project delivery (Yüksel, 2012). Political factors include government priorities for transport infrastructure and urban regeneration. Economic factors include the need to reduce disruption, support businesses and manage the significant investment required. Social factors include accessibility, inclusion and the needs of passengers and local communities. Technological factors include smart ticketing, real-time passenger information, passenger-flow analytics and logistics coordination. </w:t>
      </w:r>
      <w:r w:rsidR="007E5F2F" w:rsidRPr="00371234">
        <w:rPr>
          <w:rFonts w:ascii="Times New Roman" w:hAnsi="Times New Roman" w:cs="Times New Roman"/>
          <w:sz w:val="24"/>
          <w:szCs w:val="24"/>
        </w:rPr>
        <w:t xml:space="preserve">Environmental factors relate to </w:t>
      </w:r>
      <w:r w:rsidR="007E5F2F" w:rsidRPr="00371234">
        <w:rPr>
          <w:rFonts w:ascii="Times New Roman" w:hAnsi="Times New Roman" w:cs="Times New Roman"/>
          <w:b/>
          <w:bCs/>
          <w:sz w:val="24"/>
          <w:szCs w:val="24"/>
        </w:rPr>
        <w:t xml:space="preserve">carbon reduction, renewable energy and sustainable construction </w:t>
      </w:r>
      <w:r w:rsidR="007E5F2F" w:rsidRPr="00371234">
        <w:rPr>
          <w:rFonts w:ascii="Times New Roman" w:hAnsi="Times New Roman" w:cs="Times New Roman"/>
          <w:sz w:val="24"/>
          <w:szCs w:val="24"/>
        </w:rPr>
        <w:t>(Department for Transport, 2021), while legal factors include planning, safety, accessibility and regulatory compliance.</w:t>
      </w:r>
    </w:p>
    <w:p w14:paraId="58C0EA2A"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Overall, the project combines </w:t>
      </w:r>
      <w:r w:rsidRPr="00371234">
        <w:rPr>
          <w:rFonts w:ascii="Times New Roman" w:hAnsi="Times New Roman" w:cs="Times New Roman"/>
          <w:b/>
          <w:bCs/>
          <w:sz w:val="24"/>
          <w:szCs w:val="24"/>
        </w:rPr>
        <w:t>infrastructure redevelopment, digital transformation and sustainable design</w:t>
      </w:r>
      <w:r w:rsidRPr="00371234">
        <w:rPr>
          <w:rFonts w:ascii="Times New Roman" w:hAnsi="Times New Roman" w:cs="Times New Roman"/>
          <w:sz w:val="24"/>
          <w:szCs w:val="24"/>
        </w:rPr>
        <w:t xml:space="preserve"> to create a safer, more accessible, resilient and connected transport hub for the city.</w:t>
      </w:r>
    </w:p>
    <w:p w14:paraId="49836C43" w14:textId="77777777" w:rsidR="00642CDD" w:rsidRPr="00371234" w:rsidRDefault="00642CDD" w:rsidP="00EC77A4">
      <w:pPr>
        <w:pStyle w:val="Heading3"/>
        <w:rPr>
          <w:rFonts w:ascii="Times New Roman" w:hAnsi="Times New Roman" w:cs="Times New Roman"/>
          <w:sz w:val="24"/>
          <w:szCs w:val="24"/>
        </w:rPr>
      </w:pPr>
      <w:bookmarkStart w:id="6" w:name="_Toc237547387"/>
      <w:r w:rsidRPr="00371234">
        <w:rPr>
          <w:rFonts w:ascii="Times New Roman" w:hAnsi="Times New Roman" w:cs="Times New Roman"/>
          <w:sz w:val="24"/>
          <w:szCs w:val="24"/>
        </w:rPr>
        <w:t>2.1 Project Budget and Funding</w:t>
      </w:r>
      <w:bookmarkEnd w:id="6"/>
    </w:p>
    <w:p w14:paraId="51DD24F9" w14:textId="77777777" w:rsidR="00642CDD" w:rsidRPr="00371234" w:rsidRDefault="00642CDD" w:rsidP="00642CDD">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project has an estimated total budget of </w:t>
      </w:r>
      <w:r w:rsidRPr="00371234">
        <w:rPr>
          <w:rFonts w:ascii="Times New Roman" w:hAnsi="Times New Roman" w:cs="Times New Roman"/>
          <w:b/>
          <w:bCs/>
          <w:sz w:val="24"/>
          <w:szCs w:val="24"/>
        </w:rPr>
        <w:t>£632.5 million</w:t>
      </w:r>
      <w:r w:rsidRPr="00371234">
        <w:rPr>
          <w:rFonts w:ascii="Times New Roman" w:hAnsi="Times New Roman" w:cs="Times New Roman"/>
          <w:sz w:val="24"/>
          <w:szCs w:val="24"/>
        </w:rPr>
        <w:t xml:space="preserve">, covering design and professional fees, construction works, digital systems, sustainable infrastructure and contingency. The largest proportion of expenditure is allocated to construction, reflecting the scale of the physical redevelopment. A </w:t>
      </w:r>
      <w:r w:rsidRPr="00371234">
        <w:rPr>
          <w:rFonts w:ascii="Times New Roman" w:hAnsi="Times New Roman" w:cs="Times New Roman"/>
          <w:b/>
          <w:bCs/>
          <w:sz w:val="24"/>
          <w:szCs w:val="24"/>
        </w:rPr>
        <w:t>10% contingency provision</w:t>
      </w:r>
      <w:r w:rsidRPr="00371234">
        <w:rPr>
          <w:rFonts w:ascii="Times New Roman" w:hAnsi="Times New Roman" w:cs="Times New Roman"/>
          <w:sz w:val="24"/>
          <w:szCs w:val="24"/>
        </w:rPr>
        <w:t xml:space="preserve"> is included to manage unforeseen costs and financial uncertainty.</w:t>
      </w:r>
    </w:p>
    <w:p w14:paraId="1413E219" w14:textId="594ACF55" w:rsidR="005F61C3" w:rsidRPr="00371234" w:rsidRDefault="00FF530B" w:rsidP="00312C9B">
      <w:pPr>
        <w:spacing w:line="360" w:lineRule="auto"/>
        <w:jc w:val="both"/>
        <w:rPr>
          <w:rFonts w:ascii="Times New Roman" w:hAnsi="Times New Roman" w:cs="Times New Roman"/>
          <w:b/>
          <w:bCs/>
          <w:sz w:val="24"/>
          <w:szCs w:val="24"/>
          <w:u w:val="single"/>
        </w:rPr>
      </w:pPr>
      <w:r w:rsidRPr="00371234">
        <w:rPr>
          <w:rFonts w:ascii="Times New Roman" w:hAnsi="Times New Roman" w:cs="Times New Roman"/>
          <w:sz w:val="24"/>
          <w:szCs w:val="24"/>
        </w:rPr>
        <w:lastRenderedPageBreak/>
        <w:t xml:space="preserve">The project will be funded primarily through </w:t>
      </w:r>
      <w:r w:rsidRPr="00371234">
        <w:rPr>
          <w:rFonts w:ascii="Times New Roman" w:hAnsi="Times New Roman" w:cs="Times New Roman"/>
          <w:b/>
          <w:bCs/>
          <w:sz w:val="24"/>
          <w:szCs w:val="24"/>
        </w:rPr>
        <w:t>UK Government Infrastructure Funding</w:t>
      </w:r>
      <w:r w:rsidRPr="00371234">
        <w:rPr>
          <w:rFonts w:ascii="Times New Roman" w:hAnsi="Times New Roman" w:cs="Times New Roman"/>
          <w:sz w:val="24"/>
          <w:szCs w:val="24"/>
        </w:rPr>
        <w:t xml:space="preserve">, supported by </w:t>
      </w:r>
      <w:r w:rsidRPr="00371234">
        <w:rPr>
          <w:rFonts w:ascii="Times New Roman" w:hAnsi="Times New Roman" w:cs="Times New Roman"/>
          <w:b/>
          <w:bCs/>
          <w:sz w:val="24"/>
          <w:szCs w:val="24"/>
        </w:rPr>
        <w:t>Developer Contributions</w:t>
      </w:r>
      <w:r w:rsidRPr="00371234">
        <w:rPr>
          <w:rFonts w:ascii="Times New Roman" w:hAnsi="Times New Roman" w:cs="Times New Roman"/>
          <w:sz w:val="24"/>
          <w:szCs w:val="24"/>
        </w:rPr>
        <w:t>. This funding structure reflects the public infrastructure purpose of the project while allowing supporting contributions from development-related activities (HM Treasury, 2020).</w:t>
      </w:r>
    </w:p>
    <w:p w14:paraId="3E9C4B5D" w14:textId="77777777" w:rsidR="003A4477" w:rsidRPr="00371234" w:rsidRDefault="003A4477" w:rsidP="00EC77A4">
      <w:pPr>
        <w:pStyle w:val="Heading2"/>
        <w:rPr>
          <w:rFonts w:ascii="Times New Roman" w:hAnsi="Times New Roman" w:cs="Times New Roman"/>
          <w:sz w:val="24"/>
          <w:szCs w:val="24"/>
        </w:rPr>
      </w:pPr>
      <w:bookmarkStart w:id="7" w:name="_Toc237547388"/>
      <w:r w:rsidRPr="00371234">
        <w:rPr>
          <w:rFonts w:ascii="Times New Roman" w:hAnsi="Times New Roman" w:cs="Times New Roman"/>
          <w:sz w:val="24"/>
          <w:szCs w:val="24"/>
        </w:rPr>
        <w:t>3. Project Scope</w:t>
      </w:r>
      <w:bookmarkEnd w:id="7"/>
    </w:p>
    <w:p w14:paraId="62E172A2"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Project scope management defines the work required to achieve the project objectives and establishes clear boundaries for project delivery (PMI, 2021). For the Central Transport Hub Redevelopment Programme, clear scope definition is important to ensure that the project remains focused on the agreed deliverables and does not expand beyond the approved requirements.</w:t>
      </w:r>
    </w:p>
    <w:p w14:paraId="39D6F563" w14:textId="77777777" w:rsidR="00FF530B" w:rsidRPr="00371234" w:rsidRDefault="00FF530B"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project scope will also be managed in relation to the </w:t>
      </w:r>
      <w:r w:rsidRPr="00371234">
        <w:rPr>
          <w:rFonts w:ascii="Times New Roman" w:hAnsi="Times New Roman" w:cs="Times New Roman"/>
          <w:b/>
          <w:bCs/>
          <w:sz w:val="24"/>
          <w:szCs w:val="24"/>
        </w:rPr>
        <w:t>Iron Triangle of project management</w:t>
      </w:r>
      <w:r w:rsidRPr="00371234">
        <w:rPr>
          <w:rFonts w:ascii="Times New Roman" w:hAnsi="Times New Roman" w:cs="Times New Roman"/>
          <w:sz w:val="24"/>
          <w:szCs w:val="24"/>
        </w:rPr>
        <w:t xml:space="preserve">, which highlights the relationship between </w:t>
      </w:r>
      <w:r w:rsidRPr="00371234">
        <w:rPr>
          <w:rFonts w:ascii="Times New Roman" w:hAnsi="Times New Roman" w:cs="Times New Roman"/>
          <w:b/>
          <w:bCs/>
          <w:sz w:val="24"/>
          <w:szCs w:val="24"/>
        </w:rPr>
        <w:t>cost, time and quality</w:t>
      </w:r>
      <w:r w:rsidRPr="00371234">
        <w:rPr>
          <w:rFonts w:ascii="Times New Roman" w:hAnsi="Times New Roman" w:cs="Times New Roman"/>
          <w:sz w:val="24"/>
          <w:szCs w:val="24"/>
        </w:rPr>
        <w:t xml:space="preserve"> (Atkinson, 1999). For this project, changes to the approved scope may increase costs or extend the 36-month schedule, while pressure to reduce cost or accelerate delivery may affect the required quality and project outcomes. Formal change control will therefore be used to assess these impacts before approval.</w:t>
      </w:r>
    </w:p>
    <w:p w14:paraId="7DF79AF2" w14:textId="39E5A425"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project scope covers the </w:t>
      </w:r>
      <w:r w:rsidRPr="00371234">
        <w:rPr>
          <w:rFonts w:ascii="Times New Roman" w:hAnsi="Times New Roman" w:cs="Times New Roman"/>
          <w:b/>
          <w:bCs/>
          <w:sz w:val="24"/>
          <w:szCs w:val="24"/>
        </w:rPr>
        <w:t>design and construction of the new multimodal transport hub</w:t>
      </w:r>
      <w:r w:rsidRPr="00371234">
        <w:rPr>
          <w:rFonts w:ascii="Times New Roman" w:hAnsi="Times New Roman" w:cs="Times New Roman"/>
          <w:sz w:val="24"/>
          <w:szCs w:val="24"/>
        </w:rPr>
        <w:t>, including the integration of rail, bus, taxi, cycling and freight access. It also includes digital systems for passenger-flow management and logistics coordination, sustainable features and energy systems, public realm improvements, accessibility and wayfinding.</w:t>
      </w:r>
    </w:p>
    <w:p w14:paraId="1F003DE9" w14:textId="77777777" w:rsidR="00987ECA" w:rsidRPr="00371234" w:rsidRDefault="00987ECA" w:rsidP="00EC77A4">
      <w:pPr>
        <w:pStyle w:val="Heading3"/>
        <w:rPr>
          <w:rFonts w:ascii="Times New Roman" w:hAnsi="Times New Roman" w:cs="Times New Roman"/>
          <w:sz w:val="24"/>
          <w:szCs w:val="24"/>
        </w:rPr>
      </w:pPr>
      <w:bookmarkStart w:id="8" w:name="_Toc237547389"/>
      <w:r w:rsidRPr="00371234">
        <w:rPr>
          <w:rFonts w:ascii="Times New Roman" w:hAnsi="Times New Roman" w:cs="Times New Roman"/>
          <w:sz w:val="24"/>
          <w:szCs w:val="24"/>
        </w:rPr>
        <w:t>3.1 In Scope</w:t>
      </w:r>
      <w:bookmarkEnd w:id="8"/>
    </w:p>
    <w:p w14:paraId="6753E131"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The main deliverables included within the project are:</w:t>
      </w:r>
    </w:p>
    <w:p w14:paraId="17F314EE" w14:textId="77777777" w:rsidR="00987ECA" w:rsidRPr="00371234" w:rsidRDefault="00987ECA" w:rsidP="00987ECA">
      <w:pPr>
        <w:numPr>
          <w:ilvl w:val="0"/>
          <w:numId w:val="27"/>
        </w:num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Transport facilities:</w:t>
      </w:r>
      <w:r w:rsidRPr="00371234">
        <w:rPr>
          <w:rFonts w:ascii="Times New Roman" w:hAnsi="Times New Roman" w:cs="Times New Roman"/>
          <w:sz w:val="24"/>
          <w:szCs w:val="24"/>
        </w:rPr>
        <w:t xml:space="preserve"> new rail platforms, bus interchange facilities, taxi rank, cycle parking and freight access. </w:t>
      </w:r>
    </w:p>
    <w:p w14:paraId="6376B92A" w14:textId="77777777" w:rsidR="00987ECA" w:rsidRPr="00371234" w:rsidRDefault="00987ECA" w:rsidP="00987ECA">
      <w:pPr>
        <w:numPr>
          <w:ilvl w:val="0"/>
          <w:numId w:val="27"/>
        </w:num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Passenger experience:</w:t>
      </w:r>
      <w:r w:rsidRPr="00371234">
        <w:rPr>
          <w:rFonts w:ascii="Times New Roman" w:hAnsi="Times New Roman" w:cs="Times New Roman"/>
          <w:sz w:val="24"/>
          <w:szCs w:val="24"/>
        </w:rPr>
        <w:t xml:space="preserve"> modern concourse, retail and waiting areas, passenger information, wayfinding and accessibility facilities. </w:t>
      </w:r>
    </w:p>
    <w:p w14:paraId="5CAA5DC4" w14:textId="77777777" w:rsidR="00987ECA" w:rsidRPr="00371234" w:rsidRDefault="00987ECA" w:rsidP="00987ECA">
      <w:pPr>
        <w:numPr>
          <w:ilvl w:val="0"/>
          <w:numId w:val="27"/>
        </w:num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Digital integration:</w:t>
      </w:r>
      <w:r w:rsidRPr="00371234">
        <w:rPr>
          <w:rFonts w:ascii="Times New Roman" w:hAnsi="Times New Roman" w:cs="Times New Roman"/>
          <w:sz w:val="24"/>
          <w:szCs w:val="24"/>
        </w:rPr>
        <w:t xml:space="preserve"> smart ticketing, real-time passenger information, passenger-flow analytics and logistics coordination systems. </w:t>
      </w:r>
    </w:p>
    <w:p w14:paraId="0EDC1C6C" w14:textId="77777777" w:rsidR="00987ECA" w:rsidRPr="00371234" w:rsidRDefault="00987ECA" w:rsidP="00987ECA">
      <w:pPr>
        <w:numPr>
          <w:ilvl w:val="0"/>
          <w:numId w:val="27"/>
        </w:num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Sustainability features:</w:t>
      </w:r>
      <w:r w:rsidRPr="00371234">
        <w:rPr>
          <w:rFonts w:ascii="Times New Roman" w:hAnsi="Times New Roman" w:cs="Times New Roman"/>
          <w:sz w:val="24"/>
          <w:szCs w:val="24"/>
        </w:rPr>
        <w:t xml:space="preserve"> solar panels, energy-efficient systems, green roofs and rainwater harvesting. </w:t>
      </w:r>
    </w:p>
    <w:p w14:paraId="2D3B0426" w14:textId="77777777" w:rsidR="00987ECA" w:rsidRPr="00371234" w:rsidRDefault="00987ECA" w:rsidP="00987ECA">
      <w:pPr>
        <w:numPr>
          <w:ilvl w:val="0"/>
          <w:numId w:val="27"/>
        </w:num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Public realm and connectivity:</w:t>
      </w:r>
      <w:r w:rsidRPr="00371234">
        <w:rPr>
          <w:rFonts w:ascii="Times New Roman" w:hAnsi="Times New Roman" w:cs="Times New Roman"/>
          <w:sz w:val="24"/>
          <w:szCs w:val="24"/>
        </w:rPr>
        <w:t xml:space="preserve"> landscaping, pedestrian routes and improved connections between the hub, city centre and local communities. </w:t>
      </w:r>
    </w:p>
    <w:p w14:paraId="4C1AE006" w14:textId="77777777" w:rsidR="00987ECA" w:rsidRPr="00371234" w:rsidRDefault="00987ECA" w:rsidP="00EC77A4">
      <w:pPr>
        <w:pStyle w:val="Heading3"/>
        <w:rPr>
          <w:rFonts w:ascii="Times New Roman" w:hAnsi="Times New Roman" w:cs="Times New Roman"/>
          <w:sz w:val="24"/>
          <w:szCs w:val="24"/>
        </w:rPr>
      </w:pPr>
      <w:bookmarkStart w:id="9" w:name="_Toc237547390"/>
      <w:r w:rsidRPr="00371234">
        <w:rPr>
          <w:rFonts w:ascii="Times New Roman" w:hAnsi="Times New Roman" w:cs="Times New Roman"/>
          <w:sz w:val="24"/>
          <w:szCs w:val="24"/>
        </w:rPr>
        <w:t>3.2 Out of Scope</w:t>
      </w:r>
      <w:bookmarkEnd w:id="9"/>
    </w:p>
    <w:p w14:paraId="3E112530"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The following activities are excluded from the project scope:</w:t>
      </w:r>
    </w:p>
    <w:p w14:paraId="32CC8891" w14:textId="77777777" w:rsidR="00987ECA" w:rsidRPr="00371234" w:rsidRDefault="00987ECA" w:rsidP="00987ECA">
      <w:pPr>
        <w:numPr>
          <w:ilvl w:val="0"/>
          <w:numId w:val="28"/>
        </w:num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Residential or commercial property development</w:t>
      </w:r>
      <w:r w:rsidRPr="00371234">
        <w:rPr>
          <w:rFonts w:ascii="Times New Roman" w:hAnsi="Times New Roman" w:cs="Times New Roman"/>
          <w:sz w:val="24"/>
          <w:szCs w:val="24"/>
        </w:rPr>
        <w:t xml:space="preserve"> surrounding the transport hub. </w:t>
      </w:r>
    </w:p>
    <w:p w14:paraId="6B9FEC41" w14:textId="77777777" w:rsidR="00987ECA" w:rsidRPr="00371234" w:rsidRDefault="00987ECA" w:rsidP="00987ECA">
      <w:pPr>
        <w:numPr>
          <w:ilvl w:val="0"/>
          <w:numId w:val="28"/>
        </w:num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lastRenderedPageBreak/>
        <w:t>Existing surrounding road network upgrades</w:t>
      </w:r>
      <w:r w:rsidRPr="00371234">
        <w:rPr>
          <w:rFonts w:ascii="Times New Roman" w:hAnsi="Times New Roman" w:cs="Times New Roman"/>
          <w:sz w:val="24"/>
          <w:szCs w:val="24"/>
        </w:rPr>
        <w:t xml:space="preserve"> that are the responsibility of other projects or organisations. </w:t>
      </w:r>
    </w:p>
    <w:p w14:paraId="713761B0" w14:textId="77777777" w:rsidR="00987ECA" w:rsidRPr="00371234" w:rsidRDefault="00987ECA" w:rsidP="00987ECA">
      <w:pPr>
        <w:numPr>
          <w:ilvl w:val="0"/>
          <w:numId w:val="28"/>
        </w:num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Operation of transport services after project handover.</w:t>
      </w:r>
      <w:r w:rsidRPr="00371234">
        <w:rPr>
          <w:rFonts w:ascii="Times New Roman" w:hAnsi="Times New Roman" w:cs="Times New Roman"/>
          <w:sz w:val="24"/>
          <w:szCs w:val="24"/>
        </w:rPr>
        <w:t xml:space="preserve"> </w:t>
      </w:r>
    </w:p>
    <w:p w14:paraId="74AB8250" w14:textId="77777777" w:rsidR="00987ECA" w:rsidRPr="00371234" w:rsidRDefault="00987ECA" w:rsidP="00EC77A4">
      <w:pPr>
        <w:pStyle w:val="Heading3"/>
        <w:rPr>
          <w:rFonts w:ascii="Times New Roman" w:hAnsi="Times New Roman" w:cs="Times New Roman"/>
          <w:sz w:val="24"/>
          <w:szCs w:val="24"/>
        </w:rPr>
      </w:pPr>
      <w:bookmarkStart w:id="10" w:name="_Toc237547391"/>
      <w:r w:rsidRPr="00371234">
        <w:rPr>
          <w:rFonts w:ascii="Times New Roman" w:hAnsi="Times New Roman" w:cs="Times New Roman"/>
          <w:sz w:val="24"/>
          <w:szCs w:val="24"/>
        </w:rPr>
        <w:t>3.3 Scope Control and Change Management</w:t>
      </w:r>
      <w:bookmarkEnd w:id="10"/>
    </w:p>
    <w:p w14:paraId="72B32E1F"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Any proposed change to the approved scope will be assessed through a formal change control process. Its potential impact on </w:t>
      </w:r>
      <w:r w:rsidRPr="00371234">
        <w:rPr>
          <w:rFonts w:ascii="Times New Roman" w:hAnsi="Times New Roman" w:cs="Times New Roman"/>
          <w:b/>
          <w:bCs/>
          <w:sz w:val="24"/>
          <w:szCs w:val="24"/>
        </w:rPr>
        <w:t>cost, time, resources, quality and project objectives</w:t>
      </w:r>
      <w:r w:rsidRPr="00371234">
        <w:rPr>
          <w:rFonts w:ascii="Times New Roman" w:hAnsi="Times New Roman" w:cs="Times New Roman"/>
          <w:sz w:val="24"/>
          <w:szCs w:val="24"/>
        </w:rPr>
        <w:t xml:space="preserve"> will be considered before approval. This approach will help prevent scope creep while allowing justified changes to be incorporated where they provide sufficient project value.</w:t>
      </w:r>
    </w:p>
    <w:p w14:paraId="5EFD4D3A" w14:textId="77777777" w:rsidR="00987ECA" w:rsidRPr="00371234" w:rsidRDefault="00987ECA" w:rsidP="00987ECA">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defined scope provides the basis for the </w:t>
      </w:r>
      <w:r w:rsidRPr="00371234">
        <w:rPr>
          <w:rFonts w:ascii="Times New Roman" w:hAnsi="Times New Roman" w:cs="Times New Roman"/>
          <w:b/>
          <w:bCs/>
          <w:sz w:val="24"/>
          <w:szCs w:val="24"/>
        </w:rPr>
        <w:t>WBS, project schedule, resource allocation and risk management</w:t>
      </w:r>
      <w:r w:rsidRPr="00371234">
        <w:rPr>
          <w:rFonts w:ascii="Times New Roman" w:hAnsi="Times New Roman" w:cs="Times New Roman"/>
          <w:sz w:val="24"/>
          <w:szCs w:val="24"/>
        </w:rPr>
        <w:t>, ensuring that the subsequent elements of the Project Management Plan remain aligned with the project's approved objectives and deliverables.</w:t>
      </w:r>
    </w:p>
    <w:p w14:paraId="72C3C8E2" w14:textId="77777777" w:rsidR="003A4477" w:rsidRPr="00371234" w:rsidRDefault="003A4477" w:rsidP="00312C9B">
      <w:pPr>
        <w:spacing w:line="360" w:lineRule="auto"/>
        <w:jc w:val="both"/>
        <w:rPr>
          <w:rFonts w:ascii="Times New Roman" w:hAnsi="Times New Roman" w:cs="Times New Roman"/>
          <w:b/>
          <w:bCs/>
          <w:sz w:val="24"/>
          <w:szCs w:val="24"/>
        </w:rPr>
      </w:pPr>
    </w:p>
    <w:p w14:paraId="6CAD4F7F" w14:textId="77777777" w:rsidR="003A4477" w:rsidRPr="00371234" w:rsidRDefault="003A4477" w:rsidP="00EC77A4">
      <w:pPr>
        <w:pStyle w:val="Heading2"/>
        <w:rPr>
          <w:rFonts w:ascii="Times New Roman" w:hAnsi="Times New Roman" w:cs="Times New Roman"/>
          <w:sz w:val="24"/>
          <w:szCs w:val="24"/>
        </w:rPr>
      </w:pPr>
      <w:bookmarkStart w:id="11" w:name="_Toc237547392"/>
      <w:r w:rsidRPr="00371234">
        <w:rPr>
          <w:rFonts w:ascii="Times New Roman" w:hAnsi="Times New Roman" w:cs="Times New Roman"/>
          <w:sz w:val="24"/>
          <w:szCs w:val="24"/>
        </w:rPr>
        <w:t>4. Work Breakdown Structure (WBS)</w:t>
      </w:r>
      <w:bookmarkEnd w:id="11"/>
    </w:p>
    <w:p w14:paraId="4D8CC3B5" w14:textId="77777777" w:rsidR="00ED7BC3" w:rsidRPr="00371234" w:rsidRDefault="00ED7BC3" w:rsidP="00ED7BC3">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A Work Breakdown Structure (WBS) divides the project scope into manageable work packages and provides a structured basis for planning, scheduling, resource allocation and project monitoring (PMI, 2021). For the Central Transport Hub Redevelopment Programme, the WBS translates the approved scope into six main lifecycle phases covering project management, design, construction, digital transformation, sustainability, and testing and handover.</w:t>
      </w:r>
    </w:p>
    <w:p w14:paraId="58DDD819" w14:textId="328973C2" w:rsidR="00A67F0E" w:rsidRPr="00371234" w:rsidRDefault="00ED7BC3" w:rsidP="00A67F0E">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WBS provides a clear connection between the </w:t>
      </w:r>
      <w:r w:rsidRPr="00371234">
        <w:rPr>
          <w:rFonts w:ascii="Times New Roman" w:hAnsi="Times New Roman" w:cs="Times New Roman"/>
          <w:b/>
          <w:bCs/>
          <w:sz w:val="24"/>
          <w:szCs w:val="24"/>
        </w:rPr>
        <w:t>project scope and delivery activities</w:t>
      </w:r>
      <w:r w:rsidRPr="00371234">
        <w:rPr>
          <w:rFonts w:ascii="Times New Roman" w:hAnsi="Times New Roman" w:cs="Times New Roman"/>
          <w:sz w:val="24"/>
          <w:szCs w:val="24"/>
        </w:rPr>
        <w:t>. It also supports the development of the Gantt Chart, allocation of resources and monitoring of progress throughout the 36-month programme.</w:t>
      </w:r>
    </w:p>
    <w:tbl>
      <w:tblPr>
        <w:tblStyle w:val="GridTable5Dark-Accent1"/>
        <w:tblW w:w="9918" w:type="dxa"/>
        <w:tblLook w:val="04A0" w:firstRow="1" w:lastRow="0" w:firstColumn="1" w:lastColumn="0" w:noHBand="0" w:noVBand="1"/>
      </w:tblPr>
      <w:tblGrid>
        <w:gridCol w:w="1267"/>
        <w:gridCol w:w="2130"/>
        <w:gridCol w:w="3255"/>
        <w:gridCol w:w="3266"/>
      </w:tblGrid>
      <w:tr w:rsidR="00A67F0E" w:rsidRPr="00371234" w14:paraId="3D9A75C6" w14:textId="77777777" w:rsidTr="008E05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Pr>
          <w:p w14:paraId="57155CC0" w14:textId="77777777" w:rsidR="00A67F0E" w:rsidRPr="00371234" w:rsidRDefault="00A67F0E" w:rsidP="00BC6F12">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WBS Code</w:t>
            </w:r>
          </w:p>
        </w:tc>
        <w:tc>
          <w:tcPr>
            <w:tcW w:w="2130" w:type="dxa"/>
          </w:tcPr>
          <w:p w14:paraId="69941A6C" w14:textId="77777777" w:rsidR="00A67F0E" w:rsidRPr="00371234" w:rsidRDefault="00A67F0E" w:rsidP="00BC6F1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Lifecycle Phase</w:t>
            </w:r>
          </w:p>
        </w:tc>
        <w:tc>
          <w:tcPr>
            <w:tcW w:w="3255" w:type="dxa"/>
          </w:tcPr>
          <w:p w14:paraId="71C697EB" w14:textId="77777777" w:rsidR="00A67F0E" w:rsidRPr="00371234" w:rsidRDefault="00A67F0E" w:rsidP="00BC6F1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Key Work Packages</w:t>
            </w:r>
          </w:p>
        </w:tc>
        <w:tc>
          <w:tcPr>
            <w:tcW w:w="3266" w:type="dxa"/>
          </w:tcPr>
          <w:p w14:paraId="6ABF07C8" w14:textId="77777777" w:rsidR="00A67F0E" w:rsidRPr="00371234" w:rsidRDefault="00A67F0E" w:rsidP="00BC6F12">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Key Deliverables</w:t>
            </w:r>
          </w:p>
        </w:tc>
      </w:tr>
      <w:tr w:rsidR="00A67F0E" w:rsidRPr="00371234" w14:paraId="2EAC7544" w14:textId="77777777" w:rsidTr="008E0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Pr>
          <w:p w14:paraId="69A4F8E8" w14:textId="77777777" w:rsidR="00A67F0E" w:rsidRPr="00371234" w:rsidRDefault="00A67F0E" w:rsidP="00BC6F12">
            <w:pPr>
              <w:spacing w:line="360" w:lineRule="auto"/>
              <w:jc w:val="both"/>
              <w:rPr>
                <w:rFonts w:ascii="Times New Roman" w:hAnsi="Times New Roman" w:cs="Times New Roman"/>
                <w:color w:val="F2F2F2" w:themeColor="background1" w:themeShade="F2"/>
                <w:sz w:val="24"/>
                <w:szCs w:val="24"/>
              </w:rPr>
            </w:pPr>
            <w:r w:rsidRPr="00371234">
              <w:rPr>
                <w:rFonts w:ascii="Times New Roman" w:hAnsi="Times New Roman" w:cs="Times New Roman"/>
                <w:color w:val="F2F2F2" w:themeColor="background1" w:themeShade="F2"/>
                <w:sz w:val="24"/>
                <w:szCs w:val="24"/>
              </w:rPr>
              <w:t>1.0</w:t>
            </w:r>
          </w:p>
        </w:tc>
        <w:tc>
          <w:tcPr>
            <w:tcW w:w="2130" w:type="dxa"/>
          </w:tcPr>
          <w:p w14:paraId="78EDBD29" w14:textId="77777777" w:rsidR="00A67F0E" w:rsidRPr="00371234" w:rsidRDefault="00A67F0E" w:rsidP="00BC6F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Project Initiation &amp; Management</w:t>
            </w:r>
          </w:p>
        </w:tc>
        <w:tc>
          <w:tcPr>
            <w:tcW w:w="3255" w:type="dxa"/>
          </w:tcPr>
          <w:p w14:paraId="7EB74CB2" w14:textId="77777777" w:rsidR="00322047" w:rsidRPr="00371234" w:rsidRDefault="00A67F0E" w:rsidP="0032204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1.1</w:t>
            </w:r>
            <w:r w:rsidR="00322047" w:rsidRPr="00371234">
              <w:rPr>
                <w:rFonts w:ascii="Times New Roman" w:hAnsi="Times New Roman" w:cs="Times New Roman"/>
                <w:sz w:val="24"/>
                <w:szCs w:val="24"/>
              </w:rPr>
              <w:t xml:space="preserve"> </w:t>
            </w:r>
            <w:r w:rsidRPr="00371234">
              <w:rPr>
                <w:rFonts w:ascii="Times New Roman" w:hAnsi="Times New Roman" w:cs="Times New Roman"/>
                <w:sz w:val="24"/>
                <w:szCs w:val="24"/>
              </w:rPr>
              <w:t xml:space="preserve">Project Governance; </w:t>
            </w:r>
          </w:p>
          <w:p w14:paraId="537EC8C7" w14:textId="5A07F7B9" w:rsidR="00A67F0E" w:rsidRPr="00371234" w:rsidRDefault="00A67F0E" w:rsidP="0032204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1.2 Stakeholder Planning; 1.3 Baseline &amp; Change Management</w:t>
            </w:r>
          </w:p>
        </w:tc>
        <w:tc>
          <w:tcPr>
            <w:tcW w:w="3266" w:type="dxa"/>
          </w:tcPr>
          <w:p w14:paraId="41E94FF0" w14:textId="77777777" w:rsidR="00A67F0E" w:rsidRPr="00371234" w:rsidRDefault="00A67F0E" w:rsidP="0032204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Project charter; governance; stakeholder plan; baseline</w:t>
            </w:r>
          </w:p>
        </w:tc>
      </w:tr>
      <w:tr w:rsidR="00A67F0E" w:rsidRPr="00371234" w14:paraId="1117D6EB" w14:textId="77777777" w:rsidTr="008E05BA">
        <w:tc>
          <w:tcPr>
            <w:cnfStyle w:val="001000000000" w:firstRow="0" w:lastRow="0" w:firstColumn="1" w:lastColumn="0" w:oddVBand="0" w:evenVBand="0" w:oddHBand="0" w:evenHBand="0" w:firstRowFirstColumn="0" w:firstRowLastColumn="0" w:lastRowFirstColumn="0" w:lastRowLastColumn="0"/>
            <w:tcW w:w="1267" w:type="dxa"/>
          </w:tcPr>
          <w:p w14:paraId="291B8BB2" w14:textId="77777777" w:rsidR="00A67F0E" w:rsidRPr="00371234" w:rsidRDefault="00A67F0E" w:rsidP="00BC6F12">
            <w:pPr>
              <w:spacing w:line="360" w:lineRule="auto"/>
              <w:jc w:val="both"/>
              <w:rPr>
                <w:rFonts w:ascii="Times New Roman" w:hAnsi="Times New Roman" w:cs="Times New Roman"/>
                <w:color w:val="F2F2F2" w:themeColor="background1" w:themeShade="F2"/>
                <w:sz w:val="24"/>
                <w:szCs w:val="24"/>
              </w:rPr>
            </w:pPr>
            <w:r w:rsidRPr="00371234">
              <w:rPr>
                <w:rFonts w:ascii="Times New Roman" w:hAnsi="Times New Roman" w:cs="Times New Roman"/>
                <w:color w:val="F2F2F2" w:themeColor="background1" w:themeShade="F2"/>
                <w:sz w:val="24"/>
                <w:szCs w:val="24"/>
              </w:rPr>
              <w:t>2.0</w:t>
            </w:r>
          </w:p>
        </w:tc>
        <w:tc>
          <w:tcPr>
            <w:tcW w:w="2130" w:type="dxa"/>
          </w:tcPr>
          <w:p w14:paraId="20CAE4E9" w14:textId="77777777" w:rsidR="00A67F0E" w:rsidRPr="00371234" w:rsidRDefault="00A67F0E" w:rsidP="00BC6F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Design &amp; Planning</w:t>
            </w:r>
          </w:p>
        </w:tc>
        <w:tc>
          <w:tcPr>
            <w:tcW w:w="3255" w:type="dxa"/>
          </w:tcPr>
          <w:p w14:paraId="22BC8FCB" w14:textId="77777777" w:rsidR="00A67F0E" w:rsidRPr="00371234" w:rsidRDefault="00A67F0E" w:rsidP="0032204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2.1 Site Investigations; 2.2 Engineering &amp; Architecture; 2.3 Statutory Approvals</w:t>
            </w:r>
          </w:p>
        </w:tc>
        <w:tc>
          <w:tcPr>
            <w:tcW w:w="3266" w:type="dxa"/>
          </w:tcPr>
          <w:p w14:paraId="36E52DB9" w14:textId="77777777" w:rsidR="00A67F0E" w:rsidRPr="00371234" w:rsidRDefault="00A67F0E" w:rsidP="0032204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Site assessment; detailed design; planning approvals</w:t>
            </w:r>
          </w:p>
        </w:tc>
      </w:tr>
      <w:tr w:rsidR="00A67F0E" w:rsidRPr="00371234" w14:paraId="7D5C987F" w14:textId="77777777" w:rsidTr="008E0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Pr>
          <w:p w14:paraId="5A9CBE80" w14:textId="77777777" w:rsidR="00A67F0E" w:rsidRPr="00371234" w:rsidRDefault="00A67F0E" w:rsidP="00BC6F12">
            <w:pPr>
              <w:spacing w:line="360" w:lineRule="auto"/>
              <w:jc w:val="both"/>
              <w:rPr>
                <w:rFonts w:ascii="Times New Roman" w:hAnsi="Times New Roman" w:cs="Times New Roman"/>
                <w:color w:val="F2F2F2" w:themeColor="background1" w:themeShade="F2"/>
                <w:sz w:val="24"/>
                <w:szCs w:val="24"/>
              </w:rPr>
            </w:pPr>
            <w:r w:rsidRPr="00371234">
              <w:rPr>
                <w:rFonts w:ascii="Times New Roman" w:hAnsi="Times New Roman" w:cs="Times New Roman"/>
                <w:color w:val="F2F2F2" w:themeColor="background1" w:themeShade="F2"/>
                <w:sz w:val="24"/>
                <w:szCs w:val="24"/>
              </w:rPr>
              <w:t>3.0</w:t>
            </w:r>
          </w:p>
        </w:tc>
        <w:tc>
          <w:tcPr>
            <w:tcW w:w="2130" w:type="dxa"/>
          </w:tcPr>
          <w:p w14:paraId="4A451921" w14:textId="77777777" w:rsidR="00A67F0E" w:rsidRPr="00371234" w:rsidRDefault="00A67F0E" w:rsidP="00BC6F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Construction &amp; Infrastructure</w:t>
            </w:r>
          </w:p>
        </w:tc>
        <w:tc>
          <w:tcPr>
            <w:tcW w:w="3255" w:type="dxa"/>
          </w:tcPr>
          <w:p w14:paraId="57E1DEA7" w14:textId="77777777" w:rsidR="00A67F0E" w:rsidRPr="00371234" w:rsidRDefault="00A67F0E" w:rsidP="0032204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 xml:space="preserve">3.1 Site Preparation &amp; Demolition; 3.2 Main Station </w:t>
            </w:r>
            <w:r w:rsidRPr="00371234">
              <w:rPr>
                <w:rFonts w:ascii="Times New Roman" w:hAnsi="Times New Roman" w:cs="Times New Roman"/>
                <w:sz w:val="24"/>
                <w:szCs w:val="24"/>
              </w:rPr>
              <w:lastRenderedPageBreak/>
              <w:t>Concourse; 3.3 Multimodal &amp; Accessibility Works</w:t>
            </w:r>
          </w:p>
        </w:tc>
        <w:tc>
          <w:tcPr>
            <w:tcW w:w="3266" w:type="dxa"/>
          </w:tcPr>
          <w:p w14:paraId="0F279A71" w14:textId="77777777" w:rsidR="00A67F0E" w:rsidRPr="00371234" w:rsidRDefault="00A67F0E" w:rsidP="0032204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lastRenderedPageBreak/>
              <w:t>Demolition; station redevelopment; transport facilities; accessibility</w:t>
            </w:r>
          </w:p>
        </w:tc>
      </w:tr>
      <w:tr w:rsidR="00A67F0E" w:rsidRPr="00371234" w14:paraId="245EC43B" w14:textId="77777777" w:rsidTr="008E05BA">
        <w:tc>
          <w:tcPr>
            <w:cnfStyle w:val="001000000000" w:firstRow="0" w:lastRow="0" w:firstColumn="1" w:lastColumn="0" w:oddVBand="0" w:evenVBand="0" w:oddHBand="0" w:evenHBand="0" w:firstRowFirstColumn="0" w:firstRowLastColumn="0" w:lastRowFirstColumn="0" w:lastRowLastColumn="0"/>
            <w:tcW w:w="1267" w:type="dxa"/>
          </w:tcPr>
          <w:p w14:paraId="645329DC" w14:textId="77777777" w:rsidR="00A67F0E" w:rsidRPr="00371234" w:rsidRDefault="00A67F0E" w:rsidP="00BC6F12">
            <w:pPr>
              <w:spacing w:line="360" w:lineRule="auto"/>
              <w:jc w:val="both"/>
              <w:rPr>
                <w:rFonts w:ascii="Times New Roman" w:hAnsi="Times New Roman" w:cs="Times New Roman"/>
                <w:color w:val="F2F2F2" w:themeColor="background1" w:themeShade="F2"/>
                <w:sz w:val="24"/>
                <w:szCs w:val="24"/>
              </w:rPr>
            </w:pPr>
            <w:r w:rsidRPr="00371234">
              <w:rPr>
                <w:rFonts w:ascii="Times New Roman" w:hAnsi="Times New Roman" w:cs="Times New Roman"/>
                <w:color w:val="F2F2F2" w:themeColor="background1" w:themeShade="F2"/>
                <w:sz w:val="24"/>
                <w:szCs w:val="24"/>
              </w:rPr>
              <w:t>4.0</w:t>
            </w:r>
          </w:p>
        </w:tc>
        <w:tc>
          <w:tcPr>
            <w:tcW w:w="2130" w:type="dxa"/>
          </w:tcPr>
          <w:p w14:paraId="6579C226" w14:textId="77777777" w:rsidR="00A67F0E" w:rsidRPr="00371234" w:rsidRDefault="00A67F0E" w:rsidP="00BC6F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Digital Transformation</w:t>
            </w:r>
          </w:p>
        </w:tc>
        <w:tc>
          <w:tcPr>
            <w:tcW w:w="3255" w:type="dxa"/>
          </w:tcPr>
          <w:p w14:paraId="0B1A14DC" w14:textId="77777777" w:rsidR="00A67F0E" w:rsidRPr="00371234" w:rsidRDefault="00A67F0E" w:rsidP="0032204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4.1 Passenger Flow Systems; 4.2 Ticketing &amp; Information; 4.3 Operational Integration</w:t>
            </w:r>
          </w:p>
        </w:tc>
        <w:tc>
          <w:tcPr>
            <w:tcW w:w="3266" w:type="dxa"/>
          </w:tcPr>
          <w:p w14:paraId="029EE25D" w14:textId="77777777" w:rsidR="00A67F0E" w:rsidRPr="00371234" w:rsidRDefault="00A67F0E" w:rsidP="0032204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Smart monitoring; digital information; systems integration</w:t>
            </w:r>
          </w:p>
        </w:tc>
      </w:tr>
      <w:tr w:rsidR="00A67F0E" w:rsidRPr="00371234" w14:paraId="0442DC96" w14:textId="77777777" w:rsidTr="008E05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Pr>
          <w:p w14:paraId="629AD8FC" w14:textId="77777777" w:rsidR="00A67F0E" w:rsidRPr="00371234" w:rsidRDefault="00A67F0E" w:rsidP="00BC6F12">
            <w:pPr>
              <w:spacing w:line="360" w:lineRule="auto"/>
              <w:jc w:val="both"/>
              <w:rPr>
                <w:rFonts w:ascii="Times New Roman" w:hAnsi="Times New Roman" w:cs="Times New Roman"/>
                <w:color w:val="F2F2F2" w:themeColor="background1" w:themeShade="F2"/>
                <w:sz w:val="24"/>
                <w:szCs w:val="24"/>
              </w:rPr>
            </w:pPr>
            <w:r w:rsidRPr="00371234">
              <w:rPr>
                <w:rFonts w:ascii="Times New Roman" w:hAnsi="Times New Roman" w:cs="Times New Roman"/>
                <w:color w:val="F2F2F2" w:themeColor="background1" w:themeShade="F2"/>
                <w:sz w:val="24"/>
                <w:szCs w:val="24"/>
              </w:rPr>
              <w:t>5.0</w:t>
            </w:r>
          </w:p>
        </w:tc>
        <w:tc>
          <w:tcPr>
            <w:tcW w:w="2130" w:type="dxa"/>
          </w:tcPr>
          <w:p w14:paraId="69832C50" w14:textId="77777777" w:rsidR="00A67F0E" w:rsidRPr="00371234" w:rsidRDefault="00A67F0E" w:rsidP="00BC6F1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Sustainability Implementation</w:t>
            </w:r>
          </w:p>
        </w:tc>
        <w:tc>
          <w:tcPr>
            <w:tcW w:w="3255" w:type="dxa"/>
          </w:tcPr>
          <w:p w14:paraId="6847E110" w14:textId="77777777" w:rsidR="00A67F0E" w:rsidRPr="00371234" w:rsidRDefault="00A67F0E" w:rsidP="0032204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5.1 Clean Energy Systems; 5.2 Sustainable Features; 5.3 Environmental Audits</w:t>
            </w:r>
          </w:p>
        </w:tc>
        <w:tc>
          <w:tcPr>
            <w:tcW w:w="3266" w:type="dxa"/>
          </w:tcPr>
          <w:p w14:paraId="28920126" w14:textId="77777777" w:rsidR="00A67F0E" w:rsidRPr="00371234" w:rsidRDefault="00A67F0E" w:rsidP="0032204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Renewable energy; sustainable features; environmental monitoring</w:t>
            </w:r>
          </w:p>
        </w:tc>
      </w:tr>
      <w:tr w:rsidR="00A67F0E" w:rsidRPr="00371234" w14:paraId="6EFC6DD2" w14:textId="77777777" w:rsidTr="008E05BA">
        <w:tc>
          <w:tcPr>
            <w:cnfStyle w:val="001000000000" w:firstRow="0" w:lastRow="0" w:firstColumn="1" w:lastColumn="0" w:oddVBand="0" w:evenVBand="0" w:oddHBand="0" w:evenHBand="0" w:firstRowFirstColumn="0" w:firstRowLastColumn="0" w:lastRowFirstColumn="0" w:lastRowLastColumn="0"/>
            <w:tcW w:w="1267" w:type="dxa"/>
          </w:tcPr>
          <w:p w14:paraId="14150870" w14:textId="77777777" w:rsidR="00A67F0E" w:rsidRPr="00371234" w:rsidRDefault="00A67F0E" w:rsidP="00BC6F12">
            <w:pPr>
              <w:spacing w:line="360" w:lineRule="auto"/>
              <w:jc w:val="both"/>
              <w:rPr>
                <w:rFonts w:ascii="Times New Roman" w:hAnsi="Times New Roman" w:cs="Times New Roman"/>
                <w:color w:val="F2F2F2" w:themeColor="background1" w:themeShade="F2"/>
                <w:sz w:val="24"/>
                <w:szCs w:val="24"/>
              </w:rPr>
            </w:pPr>
            <w:r w:rsidRPr="00371234">
              <w:rPr>
                <w:rFonts w:ascii="Times New Roman" w:hAnsi="Times New Roman" w:cs="Times New Roman"/>
                <w:color w:val="F2F2F2" w:themeColor="background1" w:themeShade="F2"/>
                <w:sz w:val="24"/>
                <w:szCs w:val="24"/>
              </w:rPr>
              <w:t>6.0</w:t>
            </w:r>
          </w:p>
        </w:tc>
        <w:tc>
          <w:tcPr>
            <w:tcW w:w="2130" w:type="dxa"/>
          </w:tcPr>
          <w:p w14:paraId="05F16F08" w14:textId="77777777" w:rsidR="00A67F0E" w:rsidRPr="00371234" w:rsidRDefault="00A67F0E" w:rsidP="00BC6F12">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Testing, Handover &amp; Closure</w:t>
            </w:r>
          </w:p>
        </w:tc>
        <w:tc>
          <w:tcPr>
            <w:tcW w:w="3255" w:type="dxa"/>
          </w:tcPr>
          <w:p w14:paraId="1A3D3E2E" w14:textId="77777777" w:rsidR="00A67F0E" w:rsidRPr="00371234" w:rsidRDefault="00A67F0E" w:rsidP="0032204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6.1 Systems &amp; Safety Testing; 6.2 Stakeholder Acceptance; 6.3 Handover &amp; Closure</w:t>
            </w:r>
          </w:p>
        </w:tc>
        <w:tc>
          <w:tcPr>
            <w:tcW w:w="3266" w:type="dxa"/>
          </w:tcPr>
          <w:p w14:paraId="3A872DFF" w14:textId="77777777" w:rsidR="00A67F0E" w:rsidRPr="00371234" w:rsidRDefault="00A67F0E" w:rsidP="0032204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Testing; training; stakeholder sign-off; handover</w:t>
            </w:r>
          </w:p>
        </w:tc>
      </w:tr>
    </w:tbl>
    <w:p w14:paraId="10C3AD86" w14:textId="087FDC44" w:rsidR="00CD2939" w:rsidRPr="00371234" w:rsidRDefault="00CD2939" w:rsidP="00312C9B">
      <w:p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Figure 1. Work Breakdown Structure – Central Transport Hub Redevelopment Project</w:t>
      </w:r>
    </w:p>
    <w:p w14:paraId="0467BFAF" w14:textId="69F5AB90" w:rsidR="00ED7BC3" w:rsidRPr="00371234" w:rsidRDefault="00ED7BC3" w:rsidP="00312C9B">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The WBS therefore provides a practical structure for organising the project's major deliverables and ensuring that the approved scope can be translated into specific and manageable areas of work.</w:t>
      </w:r>
    </w:p>
    <w:p w14:paraId="0E0A9DF1" w14:textId="77777777" w:rsidR="00642CDD" w:rsidRPr="00371234" w:rsidRDefault="00642CDD" w:rsidP="00312C9B">
      <w:pPr>
        <w:spacing w:line="360" w:lineRule="auto"/>
        <w:jc w:val="both"/>
        <w:rPr>
          <w:rFonts w:ascii="Times New Roman" w:hAnsi="Times New Roman" w:cs="Times New Roman"/>
          <w:sz w:val="24"/>
          <w:szCs w:val="24"/>
        </w:rPr>
      </w:pPr>
    </w:p>
    <w:p w14:paraId="709ECEF4" w14:textId="77777777" w:rsidR="003C6959" w:rsidRPr="00371234" w:rsidRDefault="003C6959" w:rsidP="003C6959">
      <w:pPr>
        <w:pStyle w:val="Heading2"/>
        <w:rPr>
          <w:rFonts w:ascii="Times New Roman" w:hAnsi="Times New Roman" w:cs="Times New Roman"/>
          <w:sz w:val="24"/>
          <w:szCs w:val="24"/>
        </w:rPr>
      </w:pPr>
      <w:bookmarkStart w:id="12" w:name="_Toc237547393"/>
      <w:r w:rsidRPr="00371234">
        <w:rPr>
          <w:rFonts w:ascii="Times New Roman" w:hAnsi="Times New Roman" w:cs="Times New Roman"/>
          <w:sz w:val="24"/>
          <w:szCs w:val="24"/>
        </w:rPr>
        <w:t>5. Quad Chart: Project Overview</w:t>
      </w:r>
      <w:bookmarkEnd w:id="12"/>
    </w:p>
    <w:p w14:paraId="49EE2632" w14:textId="5E2AB809" w:rsidR="00CB216D" w:rsidRPr="00371234" w:rsidRDefault="00642CDD" w:rsidP="00312C9B">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w:t>
      </w:r>
      <w:r w:rsidRPr="00371234">
        <w:rPr>
          <w:rFonts w:ascii="Times New Roman" w:hAnsi="Times New Roman" w:cs="Times New Roman"/>
          <w:b/>
          <w:bCs/>
          <w:sz w:val="24"/>
          <w:szCs w:val="24"/>
        </w:rPr>
        <w:t>Quad Chart</w:t>
      </w:r>
      <w:r w:rsidRPr="00371234">
        <w:rPr>
          <w:rFonts w:ascii="Times New Roman" w:hAnsi="Times New Roman" w:cs="Times New Roman"/>
          <w:sz w:val="24"/>
          <w:szCs w:val="24"/>
        </w:rPr>
        <w:t xml:space="preserve"> summarises the project's </w:t>
      </w:r>
      <w:r w:rsidRPr="00371234">
        <w:rPr>
          <w:rFonts w:ascii="Times New Roman" w:hAnsi="Times New Roman" w:cs="Times New Roman"/>
          <w:b/>
          <w:bCs/>
          <w:sz w:val="24"/>
          <w:szCs w:val="24"/>
        </w:rPr>
        <w:t>purpose, key stakeholders, measurable outcomes and success criteria</w:t>
      </w:r>
      <w:r w:rsidRPr="00371234">
        <w:rPr>
          <w:rFonts w:ascii="Times New Roman" w:hAnsi="Times New Roman" w:cs="Times New Roman"/>
          <w:sz w:val="24"/>
          <w:szCs w:val="24"/>
        </w:rPr>
        <w:t>. These elements provide a concise overview of the project's strategic direction and the outcomes that will guide project delivery.</w:t>
      </w:r>
    </w:p>
    <w:tbl>
      <w:tblPr>
        <w:tblStyle w:val="TableGrid"/>
        <w:tblW w:w="0" w:type="auto"/>
        <w:tblLook w:val="04A0" w:firstRow="1" w:lastRow="0" w:firstColumn="1" w:lastColumn="0" w:noHBand="0" w:noVBand="1"/>
      </w:tblPr>
      <w:tblGrid>
        <w:gridCol w:w="4672"/>
        <w:gridCol w:w="4673"/>
      </w:tblGrid>
      <w:tr w:rsidR="006E7A3D" w:rsidRPr="00371234" w14:paraId="7ABCE1EE" w14:textId="77777777" w:rsidTr="006E7A3D">
        <w:tc>
          <w:tcPr>
            <w:tcW w:w="4672" w:type="dxa"/>
            <w:shd w:val="clear" w:color="auto" w:fill="0B769F" w:themeFill="accent4" w:themeFillShade="BF"/>
          </w:tcPr>
          <w:p w14:paraId="4F4DDE21" w14:textId="713C8445" w:rsidR="006E7A3D" w:rsidRPr="00371234" w:rsidRDefault="00F2736D" w:rsidP="00F2736D">
            <w:pPr>
              <w:spacing w:line="360" w:lineRule="auto"/>
              <w:jc w:val="center"/>
              <w:rPr>
                <w:rFonts w:ascii="Times New Roman" w:hAnsi="Times New Roman" w:cs="Times New Roman"/>
                <w:b/>
                <w:bCs/>
                <w:color w:val="F2F2F2" w:themeColor="background1" w:themeShade="F2"/>
                <w:sz w:val="24"/>
                <w:szCs w:val="24"/>
              </w:rPr>
            </w:pPr>
            <w:r w:rsidRPr="00371234">
              <w:rPr>
                <w:rFonts w:ascii="Times New Roman" w:hAnsi="Times New Roman" w:cs="Times New Roman"/>
                <w:b/>
                <w:bCs/>
                <w:color w:val="F2F2F2" w:themeColor="background1" w:themeShade="F2"/>
                <w:sz w:val="24"/>
                <w:szCs w:val="24"/>
              </w:rPr>
              <w:t>PURPOSE</w:t>
            </w:r>
          </w:p>
        </w:tc>
        <w:tc>
          <w:tcPr>
            <w:tcW w:w="4673" w:type="dxa"/>
            <w:shd w:val="clear" w:color="auto" w:fill="0B769F" w:themeFill="accent4" w:themeFillShade="BF"/>
          </w:tcPr>
          <w:p w14:paraId="794F8561" w14:textId="77777777" w:rsidR="006E7A3D" w:rsidRPr="00371234" w:rsidRDefault="006E7A3D" w:rsidP="009E3894">
            <w:pPr>
              <w:spacing w:line="360" w:lineRule="auto"/>
              <w:jc w:val="both"/>
              <w:rPr>
                <w:rFonts w:ascii="Times New Roman" w:hAnsi="Times New Roman" w:cs="Times New Roman"/>
                <w:b/>
                <w:bCs/>
                <w:color w:val="F2F2F2" w:themeColor="background1" w:themeShade="F2"/>
                <w:sz w:val="24"/>
                <w:szCs w:val="24"/>
              </w:rPr>
            </w:pPr>
            <w:r w:rsidRPr="00371234">
              <w:rPr>
                <w:rFonts w:ascii="Times New Roman" w:hAnsi="Times New Roman" w:cs="Times New Roman"/>
                <w:b/>
                <w:bCs/>
                <w:color w:val="F2F2F2" w:themeColor="background1" w:themeShade="F2"/>
                <w:sz w:val="24"/>
                <w:szCs w:val="24"/>
              </w:rPr>
              <w:t>STAKEHOLDERS</w:t>
            </w:r>
          </w:p>
        </w:tc>
      </w:tr>
      <w:tr w:rsidR="006E7A3D" w:rsidRPr="00371234" w14:paraId="55C165D8" w14:textId="77777777" w:rsidTr="006E7A3D">
        <w:tc>
          <w:tcPr>
            <w:tcW w:w="4672" w:type="dxa"/>
          </w:tcPr>
          <w:p w14:paraId="3B3465DE" w14:textId="3984E90B" w:rsidR="006E7A3D" w:rsidRPr="00371234" w:rsidRDefault="00C71C7A" w:rsidP="009E3894">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To deliver a safe, sustainable, digitally enabled and inclusive transport hub that connects people, places and opportunities, supporting economic growth and environmental goals.</w:t>
            </w:r>
          </w:p>
        </w:tc>
        <w:tc>
          <w:tcPr>
            <w:tcW w:w="4673" w:type="dxa"/>
          </w:tcPr>
          <w:p w14:paraId="6434B99B" w14:textId="2EB655A3" w:rsidR="006E7A3D" w:rsidRPr="00371234" w:rsidRDefault="00C71C7A" w:rsidP="009E3894">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Passengers, Local Authorities, Transport Operators, Businesses, Community Groups, Freight Partners, Government Bodies, Investors, Contractors, Employees, Emergency Services.</w:t>
            </w:r>
          </w:p>
        </w:tc>
      </w:tr>
      <w:tr w:rsidR="006E7A3D" w:rsidRPr="00371234" w14:paraId="05975701" w14:textId="77777777" w:rsidTr="006E7A3D">
        <w:tc>
          <w:tcPr>
            <w:tcW w:w="4672" w:type="dxa"/>
            <w:shd w:val="clear" w:color="auto" w:fill="0B769F" w:themeFill="accent4" w:themeFillShade="BF"/>
          </w:tcPr>
          <w:p w14:paraId="776CF6F1" w14:textId="77777777" w:rsidR="006E7A3D" w:rsidRPr="00371234" w:rsidRDefault="006E7A3D" w:rsidP="006E7A3D">
            <w:pPr>
              <w:spacing w:line="360" w:lineRule="auto"/>
              <w:jc w:val="center"/>
              <w:rPr>
                <w:rFonts w:ascii="Times New Roman" w:hAnsi="Times New Roman" w:cs="Times New Roman"/>
                <w:b/>
                <w:bCs/>
                <w:color w:val="F2F2F2" w:themeColor="background1" w:themeShade="F2"/>
                <w:sz w:val="24"/>
                <w:szCs w:val="24"/>
              </w:rPr>
            </w:pPr>
            <w:r w:rsidRPr="00371234">
              <w:rPr>
                <w:rFonts w:ascii="Times New Roman" w:hAnsi="Times New Roman" w:cs="Times New Roman"/>
                <w:b/>
                <w:bCs/>
                <w:color w:val="F2F2F2" w:themeColor="background1" w:themeShade="F2"/>
                <w:sz w:val="24"/>
                <w:szCs w:val="24"/>
              </w:rPr>
              <w:t>MEASURABLE OUTCOMES</w:t>
            </w:r>
          </w:p>
        </w:tc>
        <w:tc>
          <w:tcPr>
            <w:tcW w:w="4673" w:type="dxa"/>
            <w:shd w:val="clear" w:color="auto" w:fill="0B769F" w:themeFill="accent4" w:themeFillShade="BF"/>
          </w:tcPr>
          <w:p w14:paraId="2A4A75D6" w14:textId="77777777" w:rsidR="006E7A3D" w:rsidRPr="00371234" w:rsidRDefault="006E7A3D" w:rsidP="006E7A3D">
            <w:pPr>
              <w:spacing w:line="360" w:lineRule="auto"/>
              <w:jc w:val="center"/>
              <w:rPr>
                <w:rFonts w:ascii="Times New Roman" w:hAnsi="Times New Roman" w:cs="Times New Roman"/>
                <w:b/>
                <w:bCs/>
                <w:color w:val="F2F2F2" w:themeColor="background1" w:themeShade="F2"/>
                <w:sz w:val="24"/>
                <w:szCs w:val="24"/>
              </w:rPr>
            </w:pPr>
            <w:r w:rsidRPr="00371234">
              <w:rPr>
                <w:rFonts w:ascii="Times New Roman" w:hAnsi="Times New Roman" w:cs="Times New Roman"/>
                <w:b/>
                <w:bCs/>
                <w:color w:val="F2F2F2" w:themeColor="background1" w:themeShade="F2"/>
                <w:sz w:val="24"/>
                <w:szCs w:val="24"/>
              </w:rPr>
              <w:t>SUCCESS CRITERIA</w:t>
            </w:r>
          </w:p>
        </w:tc>
      </w:tr>
      <w:tr w:rsidR="006E7A3D" w:rsidRPr="00371234" w14:paraId="03EB881E" w14:textId="77777777" w:rsidTr="006E7A3D">
        <w:tc>
          <w:tcPr>
            <w:tcW w:w="4672" w:type="dxa"/>
          </w:tcPr>
          <w:p w14:paraId="2FB1FBC4" w14:textId="5262DF1B" w:rsidR="00F2736D" w:rsidRPr="00371234" w:rsidRDefault="00F2736D" w:rsidP="00F2736D">
            <w:pPr>
              <w:pStyle w:val="ListParagraph"/>
              <w:numPr>
                <w:ilvl w:val="0"/>
                <w:numId w:val="28"/>
              </w:num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30% increase in transport capacity </w:t>
            </w:r>
          </w:p>
          <w:p w14:paraId="5A145D8D" w14:textId="649C9441" w:rsidR="00F2736D" w:rsidRPr="00371234" w:rsidRDefault="00F2736D" w:rsidP="00F2736D">
            <w:pPr>
              <w:pStyle w:val="ListParagraph"/>
              <w:numPr>
                <w:ilvl w:val="0"/>
                <w:numId w:val="28"/>
              </w:num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20% reduction in average journey times </w:t>
            </w:r>
          </w:p>
          <w:p w14:paraId="5A55D1C6" w14:textId="6456950F" w:rsidR="00F2736D" w:rsidRPr="00371234" w:rsidRDefault="00F2736D" w:rsidP="00F2736D">
            <w:pPr>
              <w:pStyle w:val="ListParagraph"/>
              <w:numPr>
                <w:ilvl w:val="0"/>
                <w:numId w:val="28"/>
              </w:num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40% reduction in operational CO₂ emissions </w:t>
            </w:r>
          </w:p>
          <w:p w14:paraId="19F1870D" w14:textId="1039CD09" w:rsidR="006E7A3D" w:rsidRPr="00371234" w:rsidRDefault="00F2736D" w:rsidP="00F2736D">
            <w:pPr>
              <w:pStyle w:val="ListParagraph"/>
              <w:numPr>
                <w:ilvl w:val="0"/>
                <w:numId w:val="30"/>
              </w:num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 90% accessibility compliance</w:t>
            </w:r>
          </w:p>
        </w:tc>
        <w:tc>
          <w:tcPr>
            <w:tcW w:w="4673" w:type="dxa"/>
          </w:tcPr>
          <w:p w14:paraId="23C1138B" w14:textId="2C556109" w:rsidR="00642CDD" w:rsidRPr="00371234" w:rsidRDefault="00642CDD" w:rsidP="00C71C7A">
            <w:pPr>
              <w:pStyle w:val="ListParagraph"/>
              <w:numPr>
                <w:ilvl w:val="0"/>
                <w:numId w:val="28"/>
              </w:num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On time, within budget </w:t>
            </w:r>
          </w:p>
          <w:p w14:paraId="41177FAE" w14:textId="155445C4" w:rsidR="00642CDD" w:rsidRPr="00371234" w:rsidRDefault="00642CDD" w:rsidP="00C71C7A">
            <w:pPr>
              <w:pStyle w:val="ListParagraph"/>
              <w:numPr>
                <w:ilvl w:val="0"/>
                <w:numId w:val="28"/>
              </w:num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Meets safety, quality &amp; regulatory standards </w:t>
            </w:r>
          </w:p>
          <w:p w14:paraId="3D8A1B4A" w14:textId="418612C4" w:rsidR="00642CDD" w:rsidRPr="00371234" w:rsidRDefault="00642CDD" w:rsidP="00C71C7A">
            <w:pPr>
              <w:pStyle w:val="ListParagraph"/>
              <w:numPr>
                <w:ilvl w:val="0"/>
                <w:numId w:val="28"/>
              </w:num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Stakeholder satisfaction &gt;85% </w:t>
            </w:r>
          </w:p>
          <w:p w14:paraId="61D6AE59" w14:textId="13E142D6" w:rsidR="006E7A3D" w:rsidRPr="00371234" w:rsidRDefault="00642CDD" w:rsidP="00C71C7A">
            <w:pPr>
              <w:pStyle w:val="ListParagraph"/>
              <w:numPr>
                <w:ilvl w:val="0"/>
                <w:numId w:val="29"/>
              </w:num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Sustainable &amp; resilient infrastructure delivered</w:t>
            </w:r>
          </w:p>
        </w:tc>
      </w:tr>
    </w:tbl>
    <w:p w14:paraId="70A4C0F4" w14:textId="77777777" w:rsidR="00371234" w:rsidRDefault="00CD2939" w:rsidP="00312C9B">
      <w:pPr>
        <w:spacing w:line="360" w:lineRule="auto"/>
        <w:jc w:val="both"/>
        <w:rPr>
          <w:rFonts w:ascii="Times New Roman" w:hAnsi="Times New Roman" w:cs="Times New Roman"/>
          <w:b/>
          <w:bCs/>
          <w:sz w:val="24"/>
          <w:szCs w:val="24"/>
        </w:rPr>
      </w:pPr>
      <w:r w:rsidRPr="00371234">
        <w:rPr>
          <w:rFonts w:ascii="Times New Roman" w:hAnsi="Times New Roman" w:cs="Times New Roman"/>
          <w:b/>
          <w:bCs/>
          <w:sz w:val="24"/>
          <w:szCs w:val="24"/>
        </w:rPr>
        <w:t>Figure 2. Project Purpose, Stakeholders, Measurable Outcomes and Success Criteria</w:t>
      </w:r>
    </w:p>
    <w:p w14:paraId="01AAB207" w14:textId="4D813395" w:rsidR="00EC77A4" w:rsidRPr="00371234" w:rsidRDefault="00642CDD" w:rsidP="00312C9B">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lastRenderedPageBreak/>
        <w:t>Figure 2 presents the project's purpose, key stakeholders, measurable outcomes and success criteria. These elements provide a clear link between the strategic aims presented in the project proposal and the practical delivery arrangements developed in this Project Management Plan.</w:t>
      </w:r>
    </w:p>
    <w:p w14:paraId="1250365D" w14:textId="77777777" w:rsidR="00CD2939" w:rsidRPr="00371234" w:rsidRDefault="00CD2939" w:rsidP="00312C9B">
      <w:pPr>
        <w:spacing w:line="360" w:lineRule="auto"/>
        <w:jc w:val="both"/>
        <w:rPr>
          <w:rFonts w:ascii="Times New Roman" w:hAnsi="Times New Roman" w:cs="Times New Roman"/>
          <w:sz w:val="24"/>
          <w:szCs w:val="24"/>
        </w:rPr>
      </w:pPr>
    </w:p>
    <w:p w14:paraId="2635A58B" w14:textId="6D12FDED" w:rsidR="00ED7BC3" w:rsidRPr="00371234" w:rsidRDefault="00610515" w:rsidP="00EC77A4">
      <w:pPr>
        <w:pStyle w:val="Heading2"/>
        <w:rPr>
          <w:rFonts w:ascii="Times New Roman" w:hAnsi="Times New Roman" w:cs="Times New Roman"/>
          <w:sz w:val="24"/>
          <w:szCs w:val="24"/>
        </w:rPr>
      </w:pPr>
      <w:bookmarkStart w:id="13" w:name="_Toc237547394"/>
      <w:r w:rsidRPr="00371234">
        <w:rPr>
          <w:rFonts w:ascii="Times New Roman" w:hAnsi="Times New Roman" w:cs="Times New Roman"/>
          <w:sz w:val="24"/>
          <w:szCs w:val="24"/>
        </w:rPr>
        <w:t>6. Gantt Chart and Project Milestones</w:t>
      </w:r>
      <w:bookmarkEnd w:id="13"/>
    </w:p>
    <w:p w14:paraId="3ECB4F27" w14:textId="77777777" w:rsidR="003E5754" w:rsidRPr="00371234" w:rsidRDefault="00ED7BC3" w:rsidP="00312C9B">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The Gantt Chart translates the project WBS into a time-based delivery programme and provides a practical tool for scheduling and monitoring progress (PMI, 2021). It shows the planned sequence and duration of major activities across the 36-month project period from January 2026 to December 2028. This allows the project team to identify dependencies, monitor progress and recognise potential schedule delays at an early stage</w:t>
      </w:r>
      <w:r w:rsidR="003C6959" w:rsidRPr="00371234">
        <w:rPr>
          <w:rFonts w:ascii="Times New Roman" w:hAnsi="Times New Roman" w:cs="Times New Roman"/>
          <w:sz w:val="24"/>
          <w:szCs w:val="24"/>
        </w:rPr>
        <w:t>.</w:t>
      </w:r>
    </w:p>
    <w:p w14:paraId="0FED164D" w14:textId="77777777" w:rsidR="00CD2939" w:rsidRPr="00371234" w:rsidRDefault="009E37BD" w:rsidP="00312C9B">
      <w:pPr>
        <w:spacing w:line="360" w:lineRule="auto"/>
        <w:jc w:val="both"/>
        <w:rPr>
          <w:rFonts w:ascii="Times New Roman" w:hAnsi="Times New Roman" w:cs="Times New Roman"/>
          <w:b/>
          <w:bCs/>
          <w:sz w:val="24"/>
          <w:szCs w:val="24"/>
        </w:rPr>
      </w:pPr>
      <w:r w:rsidRPr="00371234">
        <w:rPr>
          <w:rFonts w:ascii="Times New Roman" w:hAnsi="Times New Roman" w:cs="Times New Roman"/>
          <w:b/>
          <w:bCs/>
          <w:noProof/>
          <w:sz w:val="24"/>
          <w:szCs w:val="24"/>
        </w:rPr>
        <w:drawing>
          <wp:inline distT="0" distB="0" distL="0" distR="0" wp14:anchorId="104E2D6A" wp14:editId="254E3C10">
            <wp:extent cx="5924550" cy="2245425"/>
            <wp:effectExtent l="0" t="0" r="0" b="2540"/>
            <wp:docPr id="1809632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32810" name=""/>
                    <pic:cNvPicPr/>
                  </pic:nvPicPr>
                  <pic:blipFill>
                    <a:blip r:embed="rId11"/>
                    <a:stretch>
                      <a:fillRect/>
                    </a:stretch>
                  </pic:blipFill>
                  <pic:spPr>
                    <a:xfrm>
                      <a:off x="0" y="0"/>
                      <a:ext cx="5924550" cy="2245425"/>
                    </a:xfrm>
                    <a:prstGeom prst="rect">
                      <a:avLst/>
                    </a:prstGeom>
                  </pic:spPr>
                </pic:pic>
              </a:graphicData>
            </a:graphic>
          </wp:inline>
        </w:drawing>
      </w:r>
      <w:r w:rsidR="00CD2939" w:rsidRPr="00371234">
        <w:rPr>
          <w:rFonts w:ascii="Times New Roman" w:hAnsi="Times New Roman" w:cs="Times New Roman"/>
          <w:b/>
          <w:bCs/>
          <w:sz w:val="24"/>
          <w:szCs w:val="24"/>
        </w:rPr>
        <w:t xml:space="preserve"> </w:t>
      </w:r>
    </w:p>
    <w:p w14:paraId="0B96F996" w14:textId="465DD3A1" w:rsidR="003E5754" w:rsidRPr="00371234" w:rsidRDefault="00CD2939" w:rsidP="00312C9B">
      <w:p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Figure 3. Gantt Chart – Central Transport Hub Redevelopment Project</w:t>
      </w:r>
    </w:p>
    <w:p w14:paraId="0F1EE35C" w14:textId="622048D5" w:rsidR="002F4D08" w:rsidRPr="00371234" w:rsidRDefault="00ED7BC3" w:rsidP="00312C9B">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The programme begins with initiation and feasibility activities during Months 0–4, followed by design and planning from Months 4–12. Approvals and procurement overlap with the later planning stage and continue through Month 16. Construction is the main delivery phase, running from Months 16–34, while testing and commissioning take place during Months 32–36. Handover and transition are completed during Months 34–36. This phased approach provides a structured sequence while allowing appropriate overlap between activities.</w:t>
      </w:r>
    </w:p>
    <w:p w14:paraId="14526CE4" w14:textId="4CD2D66D" w:rsidR="00610515" w:rsidRPr="00371234" w:rsidRDefault="00CD2939" w:rsidP="00312C9B">
      <w:p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 xml:space="preserve">Table 1: </w:t>
      </w:r>
      <w:r w:rsidR="00610515" w:rsidRPr="00371234">
        <w:rPr>
          <w:rFonts w:ascii="Times New Roman" w:hAnsi="Times New Roman" w:cs="Times New Roman"/>
          <w:b/>
          <w:bCs/>
          <w:sz w:val="24"/>
          <w:szCs w:val="24"/>
        </w:rPr>
        <w:t>Key milestones</w:t>
      </w:r>
    </w:p>
    <w:tbl>
      <w:tblPr>
        <w:tblW w:w="903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73"/>
        <w:gridCol w:w="1963"/>
      </w:tblGrid>
      <w:tr w:rsidR="00ED7BC3" w:rsidRPr="00371234" w14:paraId="5E1D2F52" w14:textId="77777777" w:rsidTr="00EC77A4">
        <w:trPr>
          <w:trHeight w:val="513"/>
          <w:tblHeader/>
          <w:tblCellSpacing w:w="15" w:type="dxa"/>
        </w:trPr>
        <w:tc>
          <w:tcPr>
            <w:tcW w:w="7028" w:type="dxa"/>
            <w:shd w:val="clear" w:color="auto" w:fill="215E99" w:themeFill="text2" w:themeFillTint="BF"/>
            <w:hideMark/>
          </w:tcPr>
          <w:p w14:paraId="39282312" w14:textId="4DFE2310" w:rsidR="00ED7BC3" w:rsidRPr="00371234" w:rsidRDefault="00ED7BC3" w:rsidP="00ED7BC3">
            <w:pPr>
              <w:spacing w:line="360" w:lineRule="auto"/>
              <w:jc w:val="center"/>
              <w:rPr>
                <w:rFonts w:ascii="Times New Roman" w:hAnsi="Times New Roman" w:cs="Times New Roman"/>
                <w:b/>
                <w:bCs/>
                <w:color w:val="F2F2F2" w:themeColor="background1" w:themeShade="F2"/>
                <w:sz w:val="24"/>
                <w:szCs w:val="24"/>
              </w:rPr>
            </w:pPr>
            <w:r w:rsidRPr="00371234">
              <w:rPr>
                <w:rFonts w:ascii="Times New Roman" w:hAnsi="Times New Roman" w:cs="Times New Roman"/>
                <w:b/>
                <w:bCs/>
                <w:color w:val="F2F2F2" w:themeColor="background1" w:themeShade="F2"/>
                <w:sz w:val="24"/>
                <w:szCs w:val="24"/>
              </w:rPr>
              <w:t>Milestone</w:t>
            </w:r>
          </w:p>
        </w:tc>
        <w:tc>
          <w:tcPr>
            <w:tcW w:w="1918" w:type="dxa"/>
            <w:shd w:val="clear" w:color="auto" w:fill="215E99" w:themeFill="text2" w:themeFillTint="BF"/>
            <w:hideMark/>
          </w:tcPr>
          <w:p w14:paraId="53D644E0" w14:textId="2A538E65" w:rsidR="00ED7BC3" w:rsidRPr="00371234" w:rsidRDefault="00ED7BC3" w:rsidP="00ED7BC3">
            <w:pPr>
              <w:spacing w:line="360" w:lineRule="auto"/>
              <w:jc w:val="center"/>
              <w:rPr>
                <w:rFonts w:ascii="Times New Roman" w:hAnsi="Times New Roman" w:cs="Times New Roman"/>
                <w:b/>
                <w:bCs/>
                <w:color w:val="F2F2F2" w:themeColor="background1" w:themeShade="F2"/>
                <w:sz w:val="24"/>
                <w:szCs w:val="24"/>
              </w:rPr>
            </w:pPr>
            <w:r w:rsidRPr="00371234">
              <w:rPr>
                <w:rFonts w:ascii="Times New Roman" w:hAnsi="Times New Roman" w:cs="Times New Roman"/>
                <w:b/>
                <w:bCs/>
                <w:color w:val="F2F2F2" w:themeColor="background1" w:themeShade="F2"/>
                <w:sz w:val="24"/>
                <w:szCs w:val="24"/>
              </w:rPr>
              <w:t>Target</w:t>
            </w:r>
          </w:p>
        </w:tc>
      </w:tr>
      <w:tr w:rsidR="00ED7BC3" w:rsidRPr="00371234" w14:paraId="008E2B46" w14:textId="77777777" w:rsidTr="008E05BA">
        <w:trPr>
          <w:trHeight w:val="414"/>
          <w:tblCellSpacing w:w="15" w:type="dxa"/>
        </w:trPr>
        <w:tc>
          <w:tcPr>
            <w:tcW w:w="7028" w:type="dxa"/>
            <w:hideMark/>
          </w:tcPr>
          <w:p w14:paraId="20AD56D9" w14:textId="78F63F25" w:rsidR="00ED7BC3" w:rsidRPr="00371234" w:rsidRDefault="00ED7BC3" w:rsidP="00ED7BC3">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Initiation and feasibility completed</w:t>
            </w:r>
          </w:p>
        </w:tc>
        <w:tc>
          <w:tcPr>
            <w:tcW w:w="1918" w:type="dxa"/>
            <w:hideMark/>
          </w:tcPr>
          <w:p w14:paraId="34E9988D" w14:textId="76AF5516" w:rsidR="00ED7BC3" w:rsidRPr="00371234" w:rsidRDefault="00ED7BC3" w:rsidP="00ED7BC3">
            <w:pPr>
              <w:spacing w:line="360" w:lineRule="auto"/>
              <w:jc w:val="center"/>
              <w:rPr>
                <w:rFonts w:ascii="Times New Roman" w:hAnsi="Times New Roman" w:cs="Times New Roman"/>
                <w:sz w:val="24"/>
                <w:szCs w:val="24"/>
              </w:rPr>
            </w:pPr>
            <w:r w:rsidRPr="00371234">
              <w:rPr>
                <w:rFonts w:ascii="Times New Roman" w:hAnsi="Times New Roman" w:cs="Times New Roman"/>
                <w:sz w:val="24"/>
                <w:szCs w:val="24"/>
              </w:rPr>
              <w:t>Month 4</w:t>
            </w:r>
          </w:p>
        </w:tc>
      </w:tr>
      <w:tr w:rsidR="00ED7BC3" w:rsidRPr="00371234" w14:paraId="70083149" w14:textId="77777777" w:rsidTr="008E05BA">
        <w:trPr>
          <w:trHeight w:val="323"/>
          <w:tblCellSpacing w:w="15" w:type="dxa"/>
        </w:trPr>
        <w:tc>
          <w:tcPr>
            <w:tcW w:w="7028" w:type="dxa"/>
            <w:hideMark/>
          </w:tcPr>
          <w:p w14:paraId="691ECBEF" w14:textId="6393B84C" w:rsidR="00ED7BC3" w:rsidRPr="00371234" w:rsidRDefault="00ED7BC3" w:rsidP="00ED7BC3">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Design and planning substantially completed</w:t>
            </w:r>
          </w:p>
        </w:tc>
        <w:tc>
          <w:tcPr>
            <w:tcW w:w="1918" w:type="dxa"/>
            <w:hideMark/>
          </w:tcPr>
          <w:p w14:paraId="5D826FCF" w14:textId="142C332A" w:rsidR="00ED7BC3" w:rsidRPr="00371234" w:rsidRDefault="00ED7BC3" w:rsidP="00ED7BC3">
            <w:pPr>
              <w:spacing w:line="360" w:lineRule="auto"/>
              <w:jc w:val="center"/>
              <w:rPr>
                <w:rFonts w:ascii="Times New Roman" w:hAnsi="Times New Roman" w:cs="Times New Roman"/>
                <w:sz w:val="24"/>
                <w:szCs w:val="24"/>
              </w:rPr>
            </w:pPr>
            <w:r w:rsidRPr="00371234">
              <w:rPr>
                <w:rFonts w:ascii="Times New Roman" w:hAnsi="Times New Roman" w:cs="Times New Roman"/>
                <w:sz w:val="24"/>
                <w:szCs w:val="24"/>
              </w:rPr>
              <w:t>Month 12</w:t>
            </w:r>
          </w:p>
        </w:tc>
      </w:tr>
      <w:tr w:rsidR="00ED7BC3" w:rsidRPr="00371234" w14:paraId="02B0E3C6" w14:textId="77777777" w:rsidTr="00EC77A4">
        <w:trPr>
          <w:trHeight w:val="549"/>
          <w:tblCellSpacing w:w="15" w:type="dxa"/>
        </w:trPr>
        <w:tc>
          <w:tcPr>
            <w:tcW w:w="7028" w:type="dxa"/>
            <w:hideMark/>
          </w:tcPr>
          <w:p w14:paraId="0557BC9A" w14:textId="49F899A1" w:rsidR="00ED7BC3" w:rsidRPr="00371234" w:rsidRDefault="00ED7BC3" w:rsidP="00ED7BC3">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Approvals and procurement completed</w:t>
            </w:r>
          </w:p>
        </w:tc>
        <w:tc>
          <w:tcPr>
            <w:tcW w:w="1918" w:type="dxa"/>
            <w:hideMark/>
          </w:tcPr>
          <w:p w14:paraId="11EB15D2" w14:textId="3A50499A" w:rsidR="00ED7BC3" w:rsidRPr="00371234" w:rsidRDefault="00ED7BC3" w:rsidP="00ED7BC3">
            <w:pPr>
              <w:spacing w:line="360" w:lineRule="auto"/>
              <w:jc w:val="center"/>
              <w:rPr>
                <w:rFonts w:ascii="Times New Roman" w:hAnsi="Times New Roman" w:cs="Times New Roman"/>
                <w:sz w:val="24"/>
                <w:szCs w:val="24"/>
              </w:rPr>
            </w:pPr>
            <w:r w:rsidRPr="00371234">
              <w:rPr>
                <w:rFonts w:ascii="Times New Roman" w:hAnsi="Times New Roman" w:cs="Times New Roman"/>
                <w:sz w:val="24"/>
                <w:szCs w:val="24"/>
              </w:rPr>
              <w:t>Month 16</w:t>
            </w:r>
          </w:p>
        </w:tc>
      </w:tr>
      <w:tr w:rsidR="00ED7BC3" w:rsidRPr="00371234" w14:paraId="6DAAA0AE" w14:textId="77777777" w:rsidTr="00EC77A4">
        <w:trPr>
          <w:trHeight w:val="437"/>
          <w:tblCellSpacing w:w="15" w:type="dxa"/>
        </w:trPr>
        <w:tc>
          <w:tcPr>
            <w:tcW w:w="7028" w:type="dxa"/>
            <w:hideMark/>
          </w:tcPr>
          <w:p w14:paraId="571EC52C" w14:textId="4EC243D1" w:rsidR="00ED7BC3" w:rsidRPr="00371234" w:rsidRDefault="00ED7BC3" w:rsidP="00ED7BC3">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Construction substantially completed</w:t>
            </w:r>
          </w:p>
        </w:tc>
        <w:tc>
          <w:tcPr>
            <w:tcW w:w="1918" w:type="dxa"/>
            <w:hideMark/>
          </w:tcPr>
          <w:p w14:paraId="527F0333" w14:textId="486FE10C" w:rsidR="00ED7BC3" w:rsidRPr="00371234" w:rsidRDefault="00ED7BC3" w:rsidP="00ED7BC3">
            <w:pPr>
              <w:spacing w:line="360" w:lineRule="auto"/>
              <w:jc w:val="center"/>
              <w:rPr>
                <w:rFonts w:ascii="Times New Roman" w:hAnsi="Times New Roman" w:cs="Times New Roman"/>
                <w:sz w:val="24"/>
                <w:szCs w:val="24"/>
              </w:rPr>
            </w:pPr>
            <w:r w:rsidRPr="00371234">
              <w:rPr>
                <w:rFonts w:ascii="Times New Roman" w:hAnsi="Times New Roman" w:cs="Times New Roman"/>
                <w:sz w:val="24"/>
                <w:szCs w:val="24"/>
              </w:rPr>
              <w:t>Month 34</w:t>
            </w:r>
          </w:p>
        </w:tc>
      </w:tr>
      <w:tr w:rsidR="00ED7BC3" w:rsidRPr="00371234" w14:paraId="35B3C4ED" w14:textId="77777777" w:rsidTr="00EC77A4">
        <w:trPr>
          <w:trHeight w:val="534"/>
          <w:tblCellSpacing w:w="15" w:type="dxa"/>
        </w:trPr>
        <w:tc>
          <w:tcPr>
            <w:tcW w:w="7028" w:type="dxa"/>
            <w:hideMark/>
          </w:tcPr>
          <w:p w14:paraId="45E3154B" w14:textId="72FCB8D6" w:rsidR="00ED7BC3" w:rsidRPr="00371234" w:rsidRDefault="00ED7BC3" w:rsidP="00ED7BC3">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lastRenderedPageBreak/>
              <w:t>Testing and commissioning completed</w:t>
            </w:r>
          </w:p>
        </w:tc>
        <w:tc>
          <w:tcPr>
            <w:tcW w:w="1918" w:type="dxa"/>
            <w:hideMark/>
          </w:tcPr>
          <w:p w14:paraId="33B4AF3F" w14:textId="4D60D16C" w:rsidR="00ED7BC3" w:rsidRPr="00371234" w:rsidRDefault="00ED7BC3" w:rsidP="00ED7BC3">
            <w:pPr>
              <w:spacing w:line="360" w:lineRule="auto"/>
              <w:jc w:val="center"/>
              <w:rPr>
                <w:rFonts w:ascii="Times New Roman" w:hAnsi="Times New Roman" w:cs="Times New Roman"/>
                <w:sz w:val="24"/>
                <w:szCs w:val="24"/>
              </w:rPr>
            </w:pPr>
            <w:r w:rsidRPr="00371234">
              <w:rPr>
                <w:rFonts w:ascii="Times New Roman" w:hAnsi="Times New Roman" w:cs="Times New Roman"/>
                <w:sz w:val="24"/>
                <w:szCs w:val="24"/>
              </w:rPr>
              <w:t>Month 36</w:t>
            </w:r>
          </w:p>
        </w:tc>
      </w:tr>
      <w:tr w:rsidR="00ED7BC3" w:rsidRPr="00371234" w14:paraId="1C8C2D1F" w14:textId="77777777" w:rsidTr="008E05BA">
        <w:trPr>
          <w:trHeight w:val="132"/>
          <w:tblCellSpacing w:w="15" w:type="dxa"/>
        </w:trPr>
        <w:tc>
          <w:tcPr>
            <w:tcW w:w="7028" w:type="dxa"/>
            <w:hideMark/>
          </w:tcPr>
          <w:p w14:paraId="4C96850C" w14:textId="6EB32387" w:rsidR="00ED7BC3" w:rsidRPr="00371234" w:rsidRDefault="00ED7BC3" w:rsidP="00ED7BC3">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Handover and transition completed</w:t>
            </w:r>
          </w:p>
        </w:tc>
        <w:tc>
          <w:tcPr>
            <w:tcW w:w="1918" w:type="dxa"/>
            <w:hideMark/>
          </w:tcPr>
          <w:p w14:paraId="457B0C1A" w14:textId="2C4019E1" w:rsidR="00ED7BC3" w:rsidRPr="00371234" w:rsidRDefault="00ED7BC3" w:rsidP="00ED7BC3">
            <w:pPr>
              <w:spacing w:line="360" w:lineRule="auto"/>
              <w:jc w:val="center"/>
              <w:rPr>
                <w:rFonts w:ascii="Times New Roman" w:hAnsi="Times New Roman" w:cs="Times New Roman"/>
                <w:sz w:val="24"/>
                <w:szCs w:val="24"/>
              </w:rPr>
            </w:pPr>
            <w:r w:rsidRPr="00371234">
              <w:rPr>
                <w:rFonts w:ascii="Times New Roman" w:hAnsi="Times New Roman" w:cs="Times New Roman"/>
                <w:sz w:val="24"/>
                <w:szCs w:val="24"/>
              </w:rPr>
              <w:t>Month 36</w:t>
            </w:r>
          </w:p>
        </w:tc>
      </w:tr>
    </w:tbl>
    <w:p w14:paraId="1FD46CB7" w14:textId="77777777" w:rsidR="00EC77A4" w:rsidRPr="00371234" w:rsidRDefault="00EC77A4" w:rsidP="00312C9B">
      <w:pPr>
        <w:spacing w:line="360" w:lineRule="auto"/>
        <w:jc w:val="both"/>
        <w:rPr>
          <w:rFonts w:ascii="Times New Roman" w:hAnsi="Times New Roman" w:cs="Times New Roman"/>
          <w:sz w:val="24"/>
          <w:szCs w:val="24"/>
        </w:rPr>
      </w:pPr>
    </w:p>
    <w:p w14:paraId="521FD133" w14:textId="45065AC1" w:rsidR="00C05EBE" w:rsidRPr="00371234" w:rsidRDefault="00ED7BC3" w:rsidP="00312C9B">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These milestones provide clear control points for monitoring progress against the approved programme. Any significant deviation from the planned dates will be reviewed and corrective action taken where necessary. Changes affecting the completion date will also be assessed in relation to cost, scope, quality and project objectives.</w:t>
      </w:r>
    </w:p>
    <w:p w14:paraId="267A0EF7" w14:textId="7D7A2664" w:rsidR="00610515" w:rsidRPr="00371234" w:rsidRDefault="00610515" w:rsidP="00EC77A4">
      <w:pPr>
        <w:pStyle w:val="Heading2"/>
        <w:rPr>
          <w:rFonts w:ascii="Times New Roman" w:hAnsi="Times New Roman" w:cs="Times New Roman"/>
          <w:sz w:val="24"/>
          <w:szCs w:val="24"/>
        </w:rPr>
      </w:pPr>
      <w:bookmarkStart w:id="14" w:name="_Toc237547395"/>
      <w:r w:rsidRPr="00371234">
        <w:rPr>
          <w:rFonts w:ascii="Times New Roman" w:hAnsi="Times New Roman" w:cs="Times New Roman"/>
          <w:sz w:val="24"/>
          <w:szCs w:val="24"/>
        </w:rPr>
        <w:t>7. Stakeholder Management</w:t>
      </w:r>
      <w:bookmarkEnd w:id="14"/>
    </w:p>
    <w:p w14:paraId="6A07370F" w14:textId="77777777" w:rsidR="00551D64" w:rsidRPr="00371234" w:rsidRDefault="003A3C2B" w:rsidP="007828A8">
      <w:pPr>
        <w:spacing w:line="360" w:lineRule="auto"/>
        <w:rPr>
          <w:rFonts w:ascii="Times New Roman" w:hAnsi="Times New Roman" w:cs="Times New Roman"/>
          <w:sz w:val="24"/>
          <w:szCs w:val="24"/>
        </w:rPr>
      </w:pPr>
      <w:r w:rsidRPr="00371234">
        <w:rPr>
          <w:rFonts w:ascii="Times New Roman" w:hAnsi="Times New Roman" w:cs="Times New Roman"/>
          <w:sz w:val="24"/>
          <w:szCs w:val="24"/>
        </w:rPr>
        <w:t>Effective stakeholder management is essential because the Central Transport Hub Redevelopment Project involves organisations, service users and local communities with different levels of power and interest. Stakeholders were therefore assessed using a Power–Interest Matrix to determine the appropriate level of engagement (Mendelow, 1981).</w:t>
      </w:r>
    </w:p>
    <w:p w14:paraId="661A2962" w14:textId="48AB3132" w:rsidR="003A3C2B" w:rsidRPr="00371234" w:rsidRDefault="00CB216D" w:rsidP="007828A8">
      <w:pPr>
        <w:spacing w:line="360" w:lineRule="auto"/>
        <w:rPr>
          <w:rFonts w:ascii="Times New Roman" w:hAnsi="Times New Roman" w:cs="Times New Roman"/>
          <w:sz w:val="24"/>
          <w:szCs w:val="24"/>
        </w:rPr>
      </w:pPr>
      <w:r w:rsidRPr="00371234">
        <w:rPr>
          <w:rFonts w:ascii="Times New Roman" w:hAnsi="Times New Roman" w:cs="Times New Roman"/>
          <w:noProof/>
          <w:sz w:val="24"/>
          <w:szCs w:val="24"/>
        </w:rPr>
        <w:drawing>
          <wp:inline distT="0" distB="0" distL="0" distR="0" wp14:anchorId="55147AAA" wp14:editId="33814DE4">
            <wp:extent cx="6098875" cy="4723137"/>
            <wp:effectExtent l="0" t="0" r="0" b="1270"/>
            <wp:docPr id="1436670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670865" name=""/>
                    <pic:cNvPicPr/>
                  </pic:nvPicPr>
                  <pic:blipFill>
                    <a:blip r:embed="rId12"/>
                    <a:stretch>
                      <a:fillRect/>
                    </a:stretch>
                  </pic:blipFill>
                  <pic:spPr>
                    <a:xfrm>
                      <a:off x="0" y="0"/>
                      <a:ext cx="6192136" cy="4795361"/>
                    </a:xfrm>
                    <a:prstGeom prst="rect">
                      <a:avLst/>
                    </a:prstGeom>
                  </pic:spPr>
                </pic:pic>
              </a:graphicData>
            </a:graphic>
          </wp:inline>
        </w:drawing>
      </w:r>
    </w:p>
    <w:p w14:paraId="7930F0D9" w14:textId="6594B136" w:rsidR="00CD2939" w:rsidRPr="00371234" w:rsidRDefault="00CD2939" w:rsidP="007828A8">
      <w:pPr>
        <w:spacing w:line="360" w:lineRule="auto"/>
        <w:rPr>
          <w:rFonts w:ascii="Times New Roman" w:hAnsi="Times New Roman" w:cs="Times New Roman"/>
          <w:sz w:val="24"/>
          <w:szCs w:val="24"/>
        </w:rPr>
      </w:pPr>
      <w:r w:rsidRPr="00371234">
        <w:rPr>
          <w:rFonts w:ascii="Times New Roman" w:hAnsi="Times New Roman" w:cs="Times New Roman"/>
          <w:b/>
          <w:bCs/>
          <w:sz w:val="24"/>
          <w:szCs w:val="24"/>
        </w:rPr>
        <w:t>Figure 4. Stakeholder Power–Interest Matrix</w:t>
      </w:r>
    </w:p>
    <w:p w14:paraId="573CCB84" w14:textId="44C62BF0" w:rsidR="00ED7BC3" w:rsidRPr="00371234" w:rsidRDefault="00ED7BC3" w:rsidP="003A3C2B">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lastRenderedPageBreak/>
        <w:t xml:space="preserve">The matrix categorises stakeholders into four groups: </w:t>
      </w:r>
      <w:r w:rsidRPr="00371234">
        <w:rPr>
          <w:rFonts w:ascii="Times New Roman" w:hAnsi="Times New Roman" w:cs="Times New Roman"/>
          <w:b/>
          <w:bCs/>
          <w:sz w:val="24"/>
          <w:szCs w:val="24"/>
        </w:rPr>
        <w:t>Manage Closely, Keep Satisfied, Keep Informed and Monitor. High-power</w:t>
      </w:r>
      <w:r w:rsidRPr="00371234">
        <w:rPr>
          <w:rFonts w:ascii="Times New Roman" w:hAnsi="Times New Roman" w:cs="Times New Roman"/>
          <w:sz w:val="24"/>
          <w:szCs w:val="24"/>
        </w:rPr>
        <w:t xml:space="preserve"> stakeholders require particular attention because they can influence project decisions, approvals and resources, while high-interest stakeholders should receive regular information and opportunities to provide feedback.</w:t>
      </w:r>
    </w:p>
    <w:p w14:paraId="2D8CD598" w14:textId="7851D2AB" w:rsidR="003A3C2B" w:rsidRPr="00371234" w:rsidRDefault="007828A8" w:rsidP="00312C9B">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Stakeholder engagement will continue throughout the project through progress meetings, consultation, updates and feedback mechanisms. Particular attention will be given to passengers, accessibility groups, local residents and businesses to ensure that concerns relating to accessibility, passenger experience and construction disruption are addressed. This approach recognises that successful project delivery depends not only on technical performance but also on effective stakeholder cooperation and engagement (Waris et al., 2022).</w:t>
      </w:r>
    </w:p>
    <w:p w14:paraId="39D07F9B" w14:textId="6A98437B" w:rsidR="00A87B3E" w:rsidRPr="00371234" w:rsidRDefault="00A87B3E" w:rsidP="00EC77A4">
      <w:pPr>
        <w:pStyle w:val="Heading2"/>
        <w:rPr>
          <w:rFonts w:ascii="Times New Roman" w:hAnsi="Times New Roman" w:cs="Times New Roman"/>
          <w:sz w:val="24"/>
          <w:szCs w:val="24"/>
        </w:rPr>
      </w:pPr>
      <w:bookmarkStart w:id="15" w:name="_Toc237547396"/>
      <w:r w:rsidRPr="00371234">
        <w:rPr>
          <w:rFonts w:ascii="Times New Roman" w:hAnsi="Times New Roman" w:cs="Times New Roman"/>
          <w:sz w:val="24"/>
          <w:szCs w:val="24"/>
        </w:rPr>
        <w:t>8. Resource Management and POLC</w:t>
      </w:r>
      <w:bookmarkEnd w:id="15"/>
    </w:p>
    <w:p w14:paraId="1A5991EA" w14:textId="14F7BE8C" w:rsidR="007828A8" w:rsidRPr="00371234" w:rsidRDefault="007828A8" w:rsidP="007828A8">
      <w:p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Effective resource management</w:t>
      </w:r>
      <w:r w:rsidRPr="00371234">
        <w:rPr>
          <w:rFonts w:ascii="Times New Roman" w:hAnsi="Times New Roman" w:cs="Times New Roman"/>
          <w:sz w:val="24"/>
          <w:szCs w:val="24"/>
        </w:rPr>
        <w:t xml:space="preserve"> is required to coordinate the </w:t>
      </w:r>
      <w:r w:rsidRPr="00371234">
        <w:rPr>
          <w:rFonts w:ascii="Times New Roman" w:hAnsi="Times New Roman" w:cs="Times New Roman"/>
          <w:b/>
          <w:bCs/>
          <w:sz w:val="24"/>
          <w:szCs w:val="24"/>
        </w:rPr>
        <w:t>financial, human, technical and material resources</w:t>
      </w:r>
      <w:r w:rsidRPr="00371234">
        <w:rPr>
          <w:rFonts w:ascii="Times New Roman" w:hAnsi="Times New Roman" w:cs="Times New Roman"/>
          <w:sz w:val="24"/>
          <w:szCs w:val="24"/>
        </w:rPr>
        <w:t xml:space="preserve"> needed to deliver the Central Transport Hub Redevelopment Project. Resource requirements will be linked to the WBS and project schedule to ensure that resources are available when required and used efficiently.</w:t>
      </w:r>
    </w:p>
    <w:p w14:paraId="793F6EB5" w14:textId="1AED47BF" w:rsidR="007828A8" w:rsidRPr="00371234" w:rsidRDefault="007828A8" w:rsidP="007828A8">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POLC framework — </w:t>
      </w:r>
      <w:r w:rsidRPr="00371234">
        <w:rPr>
          <w:rFonts w:ascii="Times New Roman" w:hAnsi="Times New Roman" w:cs="Times New Roman"/>
          <w:b/>
          <w:bCs/>
          <w:sz w:val="24"/>
          <w:szCs w:val="24"/>
        </w:rPr>
        <w:t>Planning, Organising, Leading and Controlling</w:t>
      </w:r>
      <w:r w:rsidRPr="00371234">
        <w:rPr>
          <w:rFonts w:ascii="Times New Roman" w:hAnsi="Times New Roman" w:cs="Times New Roman"/>
          <w:sz w:val="24"/>
          <w:szCs w:val="24"/>
        </w:rPr>
        <w:t xml:space="preserve"> — provides a useful structure for managing these resources </w:t>
      </w:r>
      <w:r w:rsidR="003C6959" w:rsidRPr="00371234">
        <w:rPr>
          <w:rFonts w:ascii="Times New Roman" w:hAnsi="Times New Roman" w:cs="Times New Roman"/>
          <w:sz w:val="24"/>
          <w:szCs w:val="24"/>
        </w:rPr>
        <w:t xml:space="preserve">(Gitman et al., 2018). </w:t>
      </w:r>
      <w:r w:rsidRPr="00371234">
        <w:rPr>
          <w:rFonts w:ascii="Times New Roman" w:hAnsi="Times New Roman" w:cs="Times New Roman"/>
          <w:sz w:val="24"/>
          <w:szCs w:val="24"/>
        </w:rPr>
        <w:t>Planning involves identifying the resources required for each work package, including engineers, construction teams, designers, digital specialists, materials and funding. Organising involves allocating these resources and establishing clear responsibilities between the project manager, sponsor, technical teams, contractors and suppliers.</w:t>
      </w:r>
    </w:p>
    <w:p w14:paraId="11871882" w14:textId="77777777" w:rsidR="007828A8" w:rsidRPr="00371234" w:rsidRDefault="007828A8" w:rsidP="007828A8">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Leading focuses on coordinating multidisciplinary teams and maintaining effective communication across the project. This is particularly important where </w:t>
      </w:r>
      <w:r w:rsidRPr="00371234">
        <w:rPr>
          <w:rFonts w:ascii="Times New Roman" w:hAnsi="Times New Roman" w:cs="Times New Roman"/>
          <w:b/>
          <w:bCs/>
          <w:sz w:val="24"/>
          <w:szCs w:val="24"/>
        </w:rPr>
        <w:t>construction, digital transformation and sustainability activities</w:t>
      </w:r>
      <w:r w:rsidRPr="00371234">
        <w:rPr>
          <w:rFonts w:ascii="Times New Roman" w:hAnsi="Times New Roman" w:cs="Times New Roman"/>
          <w:sz w:val="24"/>
          <w:szCs w:val="24"/>
        </w:rPr>
        <w:t xml:space="preserve"> overlap. Controlling involves monitoring resource utilisation, expenditure and performance against the approved project baseline. Variances can then be identified and corrective action taken before they significantly affect delivery.</w:t>
      </w:r>
    </w:p>
    <w:p w14:paraId="03C38F60" w14:textId="17F45F46" w:rsidR="005F61C3" w:rsidRPr="00371234" w:rsidRDefault="007828A8" w:rsidP="007828A8">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Resource requirements will change throughout the project life cycle. </w:t>
      </w:r>
      <w:r w:rsidRPr="00371234">
        <w:rPr>
          <w:rFonts w:ascii="Times New Roman" w:hAnsi="Times New Roman" w:cs="Times New Roman"/>
          <w:b/>
          <w:bCs/>
          <w:sz w:val="24"/>
          <w:szCs w:val="24"/>
        </w:rPr>
        <w:t>Construction resources</w:t>
      </w:r>
      <w:r w:rsidRPr="00371234">
        <w:rPr>
          <w:rFonts w:ascii="Times New Roman" w:hAnsi="Times New Roman" w:cs="Times New Roman"/>
          <w:sz w:val="24"/>
          <w:szCs w:val="24"/>
        </w:rPr>
        <w:t xml:space="preserve"> are expected to be greatest during the main redevelopment phase, while digital specialists and testing teams will become increasingly important towards commissioning and handover. A phased approach to resource allocation will therefore support efficient use of resources while maintaining alignment with the project schedule and project objectives.</w:t>
      </w:r>
    </w:p>
    <w:p w14:paraId="1949D282" w14:textId="77777777" w:rsidR="007828A8" w:rsidRPr="00371234" w:rsidRDefault="007828A8" w:rsidP="007828A8">
      <w:pPr>
        <w:spacing w:line="360" w:lineRule="auto"/>
        <w:jc w:val="both"/>
        <w:rPr>
          <w:rFonts w:ascii="Times New Roman" w:hAnsi="Times New Roman" w:cs="Times New Roman"/>
          <w:sz w:val="24"/>
          <w:szCs w:val="24"/>
        </w:rPr>
      </w:pPr>
    </w:p>
    <w:p w14:paraId="4482819B" w14:textId="77777777" w:rsidR="00A87B3E" w:rsidRPr="00371234" w:rsidRDefault="00A87B3E" w:rsidP="00EC77A4">
      <w:pPr>
        <w:pStyle w:val="Heading2"/>
        <w:rPr>
          <w:rFonts w:ascii="Times New Roman" w:hAnsi="Times New Roman" w:cs="Times New Roman"/>
          <w:sz w:val="24"/>
          <w:szCs w:val="24"/>
        </w:rPr>
      </w:pPr>
      <w:bookmarkStart w:id="16" w:name="_Toc237547397"/>
      <w:r w:rsidRPr="00371234">
        <w:rPr>
          <w:rFonts w:ascii="Times New Roman" w:hAnsi="Times New Roman" w:cs="Times New Roman"/>
          <w:sz w:val="24"/>
          <w:szCs w:val="24"/>
        </w:rPr>
        <w:t>9. Project Risk Assessment</w:t>
      </w:r>
      <w:bookmarkEnd w:id="16"/>
    </w:p>
    <w:p w14:paraId="70EAA309" w14:textId="33DC8CAB" w:rsidR="005F61C3" w:rsidRPr="00371234" w:rsidRDefault="005F61C3" w:rsidP="005F61C3">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Risk assessment is an important part of project planning because infrastructure projects are exposed to uncertainty that can affect cost, schedule, quality and stakeholder confidence (PMI, 2021). For the Central </w:t>
      </w:r>
      <w:r w:rsidRPr="00371234">
        <w:rPr>
          <w:rFonts w:ascii="Times New Roman" w:hAnsi="Times New Roman" w:cs="Times New Roman"/>
          <w:sz w:val="24"/>
          <w:szCs w:val="24"/>
        </w:rPr>
        <w:lastRenderedPageBreak/>
        <w:t>Transport Hub Redevelopment Project, the main risks were assessed according to their impact and likelihood, with mitigation strategies identified for each risk.</w:t>
      </w:r>
    </w:p>
    <w:tbl>
      <w:tblPr>
        <w:tblStyle w:val="GridTable5Dark-Accent4"/>
        <w:tblW w:w="9785" w:type="dxa"/>
        <w:tblLook w:val="04A0" w:firstRow="1" w:lastRow="0" w:firstColumn="1" w:lastColumn="0" w:noHBand="0" w:noVBand="1"/>
      </w:tblPr>
      <w:tblGrid>
        <w:gridCol w:w="2520"/>
        <w:gridCol w:w="1190"/>
        <w:gridCol w:w="1804"/>
        <w:gridCol w:w="1190"/>
        <w:gridCol w:w="3081"/>
      </w:tblGrid>
      <w:tr w:rsidR="005F61C3" w:rsidRPr="00371234" w14:paraId="4B49D07A" w14:textId="77777777" w:rsidTr="008E05BA">
        <w:trPr>
          <w:cnfStyle w:val="100000000000" w:firstRow="1" w:lastRow="0" w:firstColumn="0" w:lastColumn="0" w:oddVBand="0" w:evenVBand="0" w:oddHBand="0"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0" w:type="auto"/>
            <w:shd w:val="clear" w:color="auto" w:fill="0B769F" w:themeFill="accent4" w:themeFillShade="BF"/>
            <w:hideMark/>
          </w:tcPr>
          <w:p w14:paraId="79365C5D" w14:textId="77777777" w:rsidR="005F61C3" w:rsidRPr="00371234" w:rsidRDefault="005F61C3" w:rsidP="005F61C3">
            <w:pPr>
              <w:spacing w:after="160" w:line="360" w:lineRule="auto"/>
              <w:jc w:val="both"/>
              <w:rPr>
                <w:rFonts w:ascii="Times New Roman" w:hAnsi="Times New Roman" w:cs="Times New Roman"/>
                <w:sz w:val="24"/>
                <w:szCs w:val="24"/>
              </w:rPr>
            </w:pPr>
            <w:r w:rsidRPr="00371234">
              <w:rPr>
                <w:rFonts w:ascii="Times New Roman" w:hAnsi="Times New Roman" w:cs="Times New Roman"/>
                <w:sz w:val="24"/>
                <w:szCs w:val="24"/>
              </w:rPr>
              <w:t>RISK</w:t>
            </w:r>
          </w:p>
        </w:tc>
        <w:tc>
          <w:tcPr>
            <w:tcW w:w="0" w:type="auto"/>
            <w:shd w:val="clear" w:color="auto" w:fill="0B769F" w:themeFill="accent4" w:themeFillShade="BF"/>
            <w:hideMark/>
          </w:tcPr>
          <w:p w14:paraId="3582588B" w14:textId="77777777" w:rsidR="005F61C3" w:rsidRPr="00371234" w:rsidRDefault="005F61C3" w:rsidP="005F61C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IMPACT</w:t>
            </w:r>
          </w:p>
        </w:tc>
        <w:tc>
          <w:tcPr>
            <w:tcW w:w="0" w:type="auto"/>
            <w:shd w:val="clear" w:color="auto" w:fill="0B769F" w:themeFill="accent4" w:themeFillShade="BF"/>
            <w:hideMark/>
          </w:tcPr>
          <w:p w14:paraId="648B909B" w14:textId="77777777" w:rsidR="005F61C3" w:rsidRPr="00371234" w:rsidRDefault="005F61C3" w:rsidP="005F61C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LIKELIHOOD</w:t>
            </w:r>
          </w:p>
        </w:tc>
        <w:tc>
          <w:tcPr>
            <w:tcW w:w="0" w:type="auto"/>
            <w:shd w:val="clear" w:color="auto" w:fill="0B769F" w:themeFill="accent4" w:themeFillShade="BF"/>
            <w:hideMark/>
          </w:tcPr>
          <w:p w14:paraId="5937686B" w14:textId="77777777" w:rsidR="005F61C3" w:rsidRPr="00371234" w:rsidRDefault="005F61C3" w:rsidP="005F61C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RISK LEVEL</w:t>
            </w:r>
          </w:p>
        </w:tc>
        <w:tc>
          <w:tcPr>
            <w:tcW w:w="0" w:type="auto"/>
            <w:shd w:val="clear" w:color="auto" w:fill="0B769F" w:themeFill="accent4" w:themeFillShade="BF"/>
            <w:hideMark/>
          </w:tcPr>
          <w:p w14:paraId="3DADB01B" w14:textId="77777777" w:rsidR="005F61C3" w:rsidRPr="00371234" w:rsidRDefault="005F61C3" w:rsidP="005F61C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MITIGATION STRATEGY</w:t>
            </w:r>
          </w:p>
        </w:tc>
      </w:tr>
      <w:tr w:rsidR="005F61C3" w:rsidRPr="00371234" w14:paraId="1E4BBA8B" w14:textId="77777777" w:rsidTr="008E05BA">
        <w:trPr>
          <w:cnfStyle w:val="000000100000" w:firstRow="0" w:lastRow="0" w:firstColumn="0" w:lastColumn="0" w:oddVBand="0" w:evenVBand="0" w:oddHBand="1" w:evenHBand="0" w:firstRowFirstColumn="0" w:firstRowLastColumn="0" w:lastRowFirstColumn="0" w:lastRowLastColumn="0"/>
          <w:trHeight w:val="1152"/>
        </w:trPr>
        <w:tc>
          <w:tcPr>
            <w:cnfStyle w:val="001000000000" w:firstRow="0" w:lastRow="0" w:firstColumn="1" w:lastColumn="0" w:oddVBand="0" w:evenVBand="0" w:oddHBand="0" w:evenHBand="0" w:firstRowFirstColumn="0" w:firstRowLastColumn="0" w:lastRowFirstColumn="0" w:lastRowLastColumn="0"/>
            <w:tcW w:w="0" w:type="auto"/>
            <w:shd w:val="clear" w:color="auto" w:fill="0B769F" w:themeFill="accent4" w:themeFillShade="BF"/>
            <w:hideMark/>
          </w:tcPr>
          <w:p w14:paraId="69CFBBE6" w14:textId="77777777" w:rsidR="005F61C3" w:rsidRPr="00371234" w:rsidRDefault="005F61C3" w:rsidP="005F61C3">
            <w:pPr>
              <w:spacing w:after="160" w:line="360" w:lineRule="auto"/>
              <w:jc w:val="both"/>
              <w:rPr>
                <w:rFonts w:ascii="Times New Roman" w:hAnsi="Times New Roman" w:cs="Times New Roman"/>
                <w:sz w:val="24"/>
                <w:szCs w:val="24"/>
              </w:rPr>
            </w:pPr>
            <w:r w:rsidRPr="00371234">
              <w:rPr>
                <w:rFonts w:ascii="Times New Roman" w:hAnsi="Times New Roman" w:cs="Times New Roman"/>
                <w:sz w:val="24"/>
                <w:szCs w:val="24"/>
              </w:rPr>
              <w:t>Construction delay (unforeseen conditions)</w:t>
            </w:r>
          </w:p>
        </w:tc>
        <w:tc>
          <w:tcPr>
            <w:tcW w:w="0" w:type="auto"/>
            <w:hideMark/>
          </w:tcPr>
          <w:p w14:paraId="61684FC1"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High</w:t>
            </w:r>
          </w:p>
        </w:tc>
        <w:tc>
          <w:tcPr>
            <w:tcW w:w="0" w:type="auto"/>
            <w:hideMark/>
          </w:tcPr>
          <w:p w14:paraId="79C879D9"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Medium</w:t>
            </w:r>
          </w:p>
        </w:tc>
        <w:tc>
          <w:tcPr>
            <w:tcW w:w="0" w:type="auto"/>
            <w:hideMark/>
          </w:tcPr>
          <w:p w14:paraId="1AF778C3"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High</w:t>
            </w:r>
          </w:p>
        </w:tc>
        <w:tc>
          <w:tcPr>
            <w:tcW w:w="0" w:type="auto"/>
            <w:hideMark/>
          </w:tcPr>
          <w:p w14:paraId="22E09F4B"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Detailed surveys, contingency planning, flexible schedule.</w:t>
            </w:r>
          </w:p>
        </w:tc>
      </w:tr>
      <w:tr w:rsidR="005F61C3" w:rsidRPr="00371234" w14:paraId="2EBB335E" w14:textId="77777777" w:rsidTr="008E05BA">
        <w:trPr>
          <w:trHeight w:val="1486"/>
        </w:trPr>
        <w:tc>
          <w:tcPr>
            <w:cnfStyle w:val="001000000000" w:firstRow="0" w:lastRow="0" w:firstColumn="1" w:lastColumn="0" w:oddVBand="0" w:evenVBand="0" w:oddHBand="0" w:evenHBand="0" w:firstRowFirstColumn="0" w:firstRowLastColumn="0" w:lastRowFirstColumn="0" w:lastRowLastColumn="0"/>
            <w:tcW w:w="0" w:type="auto"/>
            <w:shd w:val="clear" w:color="auto" w:fill="0B769F" w:themeFill="accent4" w:themeFillShade="BF"/>
            <w:hideMark/>
          </w:tcPr>
          <w:p w14:paraId="5A40261C" w14:textId="77777777" w:rsidR="005F61C3" w:rsidRPr="00371234" w:rsidRDefault="005F61C3" w:rsidP="005F61C3">
            <w:pPr>
              <w:spacing w:after="160" w:line="360" w:lineRule="auto"/>
              <w:jc w:val="both"/>
              <w:rPr>
                <w:rFonts w:ascii="Times New Roman" w:hAnsi="Times New Roman" w:cs="Times New Roman"/>
                <w:sz w:val="24"/>
                <w:szCs w:val="24"/>
              </w:rPr>
            </w:pPr>
            <w:r w:rsidRPr="00371234">
              <w:rPr>
                <w:rFonts w:ascii="Times New Roman" w:hAnsi="Times New Roman" w:cs="Times New Roman"/>
                <w:sz w:val="24"/>
                <w:szCs w:val="24"/>
              </w:rPr>
              <w:t>Cost overrun</w:t>
            </w:r>
          </w:p>
        </w:tc>
        <w:tc>
          <w:tcPr>
            <w:tcW w:w="0" w:type="auto"/>
            <w:hideMark/>
          </w:tcPr>
          <w:p w14:paraId="6A02E22D"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High</w:t>
            </w:r>
          </w:p>
        </w:tc>
        <w:tc>
          <w:tcPr>
            <w:tcW w:w="0" w:type="auto"/>
            <w:hideMark/>
          </w:tcPr>
          <w:p w14:paraId="0BABC8AB"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Medium</w:t>
            </w:r>
          </w:p>
        </w:tc>
        <w:tc>
          <w:tcPr>
            <w:tcW w:w="0" w:type="auto"/>
            <w:hideMark/>
          </w:tcPr>
          <w:p w14:paraId="583E064F"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High</w:t>
            </w:r>
          </w:p>
        </w:tc>
        <w:tc>
          <w:tcPr>
            <w:tcW w:w="0" w:type="auto"/>
            <w:hideMark/>
          </w:tcPr>
          <w:p w14:paraId="5E84FBC2"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Robust cost control, value engineering, contingency reserves (10%).</w:t>
            </w:r>
          </w:p>
        </w:tc>
      </w:tr>
      <w:tr w:rsidR="005F61C3" w:rsidRPr="00371234" w14:paraId="546474BC" w14:textId="77777777" w:rsidTr="008E05BA">
        <w:trPr>
          <w:cnfStyle w:val="000000100000" w:firstRow="0" w:lastRow="0" w:firstColumn="0" w:lastColumn="0" w:oddVBand="0" w:evenVBand="0" w:oddHBand="1" w:evenHBand="0" w:firstRowFirstColumn="0" w:firstRowLastColumn="0" w:lastRowFirstColumn="0" w:lastRowLastColumn="0"/>
          <w:trHeight w:val="1498"/>
        </w:trPr>
        <w:tc>
          <w:tcPr>
            <w:cnfStyle w:val="001000000000" w:firstRow="0" w:lastRow="0" w:firstColumn="1" w:lastColumn="0" w:oddVBand="0" w:evenVBand="0" w:oddHBand="0" w:evenHBand="0" w:firstRowFirstColumn="0" w:firstRowLastColumn="0" w:lastRowFirstColumn="0" w:lastRowLastColumn="0"/>
            <w:tcW w:w="0" w:type="auto"/>
            <w:shd w:val="clear" w:color="auto" w:fill="0B769F" w:themeFill="accent4" w:themeFillShade="BF"/>
            <w:hideMark/>
          </w:tcPr>
          <w:p w14:paraId="5EAE7A95" w14:textId="77777777" w:rsidR="005F61C3" w:rsidRPr="00371234" w:rsidRDefault="005F61C3" w:rsidP="005F61C3">
            <w:pPr>
              <w:spacing w:after="160" w:line="360" w:lineRule="auto"/>
              <w:jc w:val="both"/>
              <w:rPr>
                <w:rFonts w:ascii="Times New Roman" w:hAnsi="Times New Roman" w:cs="Times New Roman"/>
                <w:sz w:val="24"/>
                <w:szCs w:val="24"/>
              </w:rPr>
            </w:pPr>
            <w:r w:rsidRPr="00371234">
              <w:rPr>
                <w:rFonts w:ascii="Times New Roman" w:hAnsi="Times New Roman" w:cs="Times New Roman"/>
                <w:sz w:val="24"/>
                <w:szCs w:val="24"/>
              </w:rPr>
              <w:t>Stakeholder resistance</w:t>
            </w:r>
          </w:p>
        </w:tc>
        <w:tc>
          <w:tcPr>
            <w:tcW w:w="0" w:type="auto"/>
            <w:hideMark/>
          </w:tcPr>
          <w:p w14:paraId="66A1935F"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Medium</w:t>
            </w:r>
          </w:p>
        </w:tc>
        <w:tc>
          <w:tcPr>
            <w:tcW w:w="0" w:type="auto"/>
            <w:hideMark/>
          </w:tcPr>
          <w:p w14:paraId="5F9F9D45"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Medium</w:t>
            </w:r>
          </w:p>
        </w:tc>
        <w:tc>
          <w:tcPr>
            <w:tcW w:w="0" w:type="auto"/>
            <w:hideMark/>
          </w:tcPr>
          <w:p w14:paraId="09614047"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Medium</w:t>
            </w:r>
          </w:p>
        </w:tc>
        <w:tc>
          <w:tcPr>
            <w:tcW w:w="0" w:type="auto"/>
            <w:hideMark/>
          </w:tcPr>
          <w:p w14:paraId="72EB9FF5"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Early engagement, transparent communication, stakeholder workshops.</w:t>
            </w:r>
          </w:p>
        </w:tc>
      </w:tr>
      <w:tr w:rsidR="005F61C3" w:rsidRPr="00371234" w14:paraId="3E58C209" w14:textId="77777777" w:rsidTr="008E05BA">
        <w:trPr>
          <w:trHeight w:val="816"/>
        </w:trPr>
        <w:tc>
          <w:tcPr>
            <w:cnfStyle w:val="001000000000" w:firstRow="0" w:lastRow="0" w:firstColumn="1" w:lastColumn="0" w:oddVBand="0" w:evenVBand="0" w:oddHBand="0" w:evenHBand="0" w:firstRowFirstColumn="0" w:firstRowLastColumn="0" w:lastRowFirstColumn="0" w:lastRowLastColumn="0"/>
            <w:tcW w:w="0" w:type="auto"/>
            <w:shd w:val="clear" w:color="auto" w:fill="0B769F" w:themeFill="accent4" w:themeFillShade="BF"/>
            <w:hideMark/>
          </w:tcPr>
          <w:p w14:paraId="2CDF3E85" w14:textId="77777777" w:rsidR="005F61C3" w:rsidRPr="00371234" w:rsidRDefault="005F61C3" w:rsidP="005F61C3">
            <w:pPr>
              <w:spacing w:after="160" w:line="360" w:lineRule="auto"/>
              <w:jc w:val="both"/>
              <w:rPr>
                <w:rFonts w:ascii="Times New Roman" w:hAnsi="Times New Roman" w:cs="Times New Roman"/>
                <w:sz w:val="24"/>
                <w:szCs w:val="24"/>
              </w:rPr>
            </w:pPr>
            <w:r w:rsidRPr="00371234">
              <w:rPr>
                <w:rFonts w:ascii="Times New Roman" w:hAnsi="Times New Roman" w:cs="Times New Roman"/>
                <w:sz w:val="24"/>
                <w:szCs w:val="24"/>
              </w:rPr>
              <w:t>Safety incidents</w:t>
            </w:r>
          </w:p>
        </w:tc>
        <w:tc>
          <w:tcPr>
            <w:tcW w:w="0" w:type="auto"/>
            <w:hideMark/>
          </w:tcPr>
          <w:p w14:paraId="0B6E2F37"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High</w:t>
            </w:r>
          </w:p>
        </w:tc>
        <w:tc>
          <w:tcPr>
            <w:tcW w:w="0" w:type="auto"/>
            <w:hideMark/>
          </w:tcPr>
          <w:p w14:paraId="1D15FB9E"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Low</w:t>
            </w:r>
          </w:p>
        </w:tc>
        <w:tc>
          <w:tcPr>
            <w:tcW w:w="0" w:type="auto"/>
            <w:hideMark/>
          </w:tcPr>
          <w:p w14:paraId="6F629D6F"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Medium</w:t>
            </w:r>
          </w:p>
        </w:tc>
        <w:tc>
          <w:tcPr>
            <w:tcW w:w="0" w:type="auto"/>
            <w:hideMark/>
          </w:tcPr>
          <w:p w14:paraId="353E9EA4"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Strict HSE plan, training, regular inspections.</w:t>
            </w:r>
          </w:p>
        </w:tc>
      </w:tr>
      <w:tr w:rsidR="005F61C3" w:rsidRPr="00371234" w14:paraId="015BCA25" w14:textId="77777777" w:rsidTr="008E05BA">
        <w:trPr>
          <w:cnfStyle w:val="000000100000" w:firstRow="0" w:lastRow="0" w:firstColumn="0" w:lastColumn="0" w:oddVBand="0" w:evenVBand="0" w:oddHBand="1" w:evenHBand="0" w:firstRowFirstColumn="0" w:firstRowLastColumn="0" w:lastRowFirstColumn="0" w:lastRowLastColumn="0"/>
          <w:trHeight w:val="1138"/>
        </w:trPr>
        <w:tc>
          <w:tcPr>
            <w:cnfStyle w:val="001000000000" w:firstRow="0" w:lastRow="0" w:firstColumn="1" w:lastColumn="0" w:oddVBand="0" w:evenVBand="0" w:oddHBand="0" w:evenHBand="0" w:firstRowFirstColumn="0" w:firstRowLastColumn="0" w:lastRowFirstColumn="0" w:lastRowLastColumn="0"/>
            <w:tcW w:w="0" w:type="auto"/>
            <w:shd w:val="clear" w:color="auto" w:fill="0B769F" w:themeFill="accent4" w:themeFillShade="BF"/>
            <w:hideMark/>
          </w:tcPr>
          <w:p w14:paraId="6E189F8B" w14:textId="77777777" w:rsidR="005F61C3" w:rsidRPr="00371234" w:rsidRDefault="005F61C3" w:rsidP="005F61C3">
            <w:pPr>
              <w:spacing w:after="160" w:line="360" w:lineRule="auto"/>
              <w:jc w:val="both"/>
              <w:rPr>
                <w:rFonts w:ascii="Times New Roman" w:hAnsi="Times New Roman" w:cs="Times New Roman"/>
                <w:sz w:val="24"/>
                <w:szCs w:val="24"/>
              </w:rPr>
            </w:pPr>
            <w:r w:rsidRPr="00371234">
              <w:rPr>
                <w:rFonts w:ascii="Times New Roman" w:hAnsi="Times New Roman" w:cs="Times New Roman"/>
                <w:sz w:val="24"/>
                <w:szCs w:val="24"/>
              </w:rPr>
              <w:t>Technology implementation challenges</w:t>
            </w:r>
          </w:p>
        </w:tc>
        <w:tc>
          <w:tcPr>
            <w:tcW w:w="0" w:type="auto"/>
            <w:hideMark/>
          </w:tcPr>
          <w:p w14:paraId="41AD9440"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Medium</w:t>
            </w:r>
          </w:p>
        </w:tc>
        <w:tc>
          <w:tcPr>
            <w:tcW w:w="0" w:type="auto"/>
            <w:hideMark/>
          </w:tcPr>
          <w:p w14:paraId="3B1D45B9"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Medium</w:t>
            </w:r>
          </w:p>
        </w:tc>
        <w:tc>
          <w:tcPr>
            <w:tcW w:w="0" w:type="auto"/>
            <w:hideMark/>
          </w:tcPr>
          <w:p w14:paraId="6D08A851"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Medium</w:t>
            </w:r>
          </w:p>
        </w:tc>
        <w:tc>
          <w:tcPr>
            <w:tcW w:w="0" w:type="auto"/>
            <w:hideMark/>
          </w:tcPr>
          <w:p w14:paraId="002E0AAA" w14:textId="77777777" w:rsidR="005F61C3" w:rsidRPr="00371234" w:rsidRDefault="005F61C3" w:rsidP="005F61C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Use proven solutions, pilot testing, vendor collaboration.</w:t>
            </w:r>
          </w:p>
        </w:tc>
      </w:tr>
      <w:tr w:rsidR="005F61C3" w:rsidRPr="00371234" w14:paraId="6844AB2D" w14:textId="77777777" w:rsidTr="008E05BA">
        <w:trPr>
          <w:trHeight w:val="1018"/>
        </w:trPr>
        <w:tc>
          <w:tcPr>
            <w:cnfStyle w:val="001000000000" w:firstRow="0" w:lastRow="0" w:firstColumn="1" w:lastColumn="0" w:oddVBand="0" w:evenVBand="0" w:oddHBand="0" w:evenHBand="0" w:firstRowFirstColumn="0" w:firstRowLastColumn="0" w:lastRowFirstColumn="0" w:lastRowLastColumn="0"/>
            <w:tcW w:w="0" w:type="auto"/>
            <w:shd w:val="clear" w:color="auto" w:fill="0B769F" w:themeFill="accent4" w:themeFillShade="BF"/>
            <w:hideMark/>
          </w:tcPr>
          <w:p w14:paraId="39668B44" w14:textId="77777777" w:rsidR="005F61C3" w:rsidRPr="00371234" w:rsidRDefault="005F61C3" w:rsidP="005F61C3">
            <w:pPr>
              <w:spacing w:after="160" w:line="360" w:lineRule="auto"/>
              <w:jc w:val="both"/>
              <w:rPr>
                <w:rFonts w:ascii="Times New Roman" w:hAnsi="Times New Roman" w:cs="Times New Roman"/>
                <w:sz w:val="24"/>
                <w:szCs w:val="24"/>
              </w:rPr>
            </w:pPr>
            <w:r w:rsidRPr="00371234">
              <w:rPr>
                <w:rFonts w:ascii="Times New Roman" w:hAnsi="Times New Roman" w:cs="Times New Roman"/>
                <w:sz w:val="24"/>
                <w:szCs w:val="24"/>
              </w:rPr>
              <w:t>Funding / cash flow issues</w:t>
            </w:r>
          </w:p>
        </w:tc>
        <w:tc>
          <w:tcPr>
            <w:tcW w:w="0" w:type="auto"/>
            <w:hideMark/>
          </w:tcPr>
          <w:p w14:paraId="2DF97CCB"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High</w:t>
            </w:r>
          </w:p>
        </w:tc>
        <w:tc>
          <w:tcPr>
            <w:tcW w:w="0" w:type="auto"/>
            <w:hideMark/>
          </w:tcPr>
          <w:p w14:paraId="573542AC"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Low</w:t>
            </w:r>
          </w:p>
        </w:tc>
        <w:tc>
          <w:tcPr>
            <w:tcW w:w="0" w:type="auto"/>
            <w:hideMark/>
          </w:tcPr>
          <w:p w14:paraId="314BB2E7"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Medium</w:t>
            </w:r>
          </w:p>
        </w:tc>
        <w:tc>
          <w:tcPr>
            <w:tcW w:w="0" w:type="auto"/>
            <w:hideMark/>
          </w:tcPr>
          <w:p w14:paraId="401B0968" w14:textId="77777777" w:rsidR="005F61C3" w:rsidRPr="00371234" w:rsidRDefault="005F61C3" w:rsidP="005F61C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71234">
              <w:rPr>
                <w:rFonts w:ascii="Times New Roman" w:hAnsi="Times New Roman" w:cs="Times New Roman"/>
                <w:sz w:val="24"/>
                <w:szCs w:val="24"/>
              </w:rPr>
              <w:t>Secure funding agreements, stage payments.</w:t>
            </w:r>
          </w:p>
        </w:tc>
      </w:tr>
    </w:tbl>
    <w:p w14:paraId="750D449E" w14:textId="7870B4CE" w:rsidR="005F61C3" w:rsidRPr="00371234" w:rsidRDefault="00CD2939" w:rsidP="00312C9B">
      <w:pPr>
        <w:spacing w:line="360" w:lineRule="auto"/>
        <w:jc w:val="both"/>
        <w:rPr>
          <w:rFonts w:ascii="Times New Roman" w:hAnsi="Times New Roman" w:cs="Times New Roman"/>
          <w:sz w:val="24"/>
          <w:szCs w:val="24"/>
        </w:rPr>
      </w:pPr>
      <w:r w:rsidRPr="00371234">
        <w:rPr>
          <w:rFonts w:ascii="Times New Roman" w:hAnsi="Times New Roman" w:cs="Times New Roman"/>
          <w:b/>
          <w:bCs/>
          <w:sz w:val="24"/>
          <w:szCs w:val="24"/>
        </w:rPr>
        <w:t>Figure 5. Risk Management – Key Project Risks and Mitigation Strategies</w:t>
      </w:r>
    </w:p>
    <w:p w14:paraId="535BE001" w14:textId="77777777" w:rsidR="005F61C3" w:rsidRPr="00371234" w:rsidRDefault="005F61C3" w:rsidP="005F61C3">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The risk assessment identifies construction delays and cost overruns as high-level risks requiring particular attention. Stakeholder resistance, safety incidents, technology implementation challenges and funding or cash flow issues also require active monitoring and appropriate mitigation. Preventive measures include detailed surveys, cost control, early stakeholder engagement, safety procedures, pilot testing and secure funding arrangements.</w:t>
      </w:r>
    </w:p>
    <w:p w14:paraId="06AD6800" w14:textId="77777777" w:rsidR="005F61C3" w:rsidRPr="00371234" w:rsidRDefault="005F61C3" w:rsidP="005F61C3">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Risk management will remain an ongoing activity throughout the project life cycle. The risk register should be reviewed regularly, with risk owners monitoring changes in likelihood, impact and mitigation actions. This will support proactive decision-making and help protect the project's scope, cost, schedule and quality objectives.</w:t>
      </w:r>
    </w:p>
    <w:p w14:paraId="21864571" w14:textId="77777777" w:rsidR="00A87B3E" w:rsidRPr="00371234" w:rsidRDefault="00A87B3E" w:rsidP="00312C9B">
      <w:pPr>
        <w:spacing w:line="360" w:lineRule="auto"/>
        <w:jc w:val="both"/>
        <w:rPr>
          <w:rFonts w:ascii="Times New Roman" w:hAnsi="Times New Roman" w:cs="Times New Roman"/>
          <w:sz w:val="24"/>
          <w:szCs w:val="24"/>
        </w:rPr>
      </w:pPr>
    </w:p>
    <w:p w14:paraId="40E67B8F" w14:textId="77777777" w:rsidR="00A87B3E" w:rsidRPr="00371234" w:rsidRDefault="00A87B3E" w:rsidP="00EC77A4">
      <w:pPr>
        <w:pStyle w:val="Heading2"/>
        <w:rPr>
          <w:rFonts w:ascii="Times New Roman" w:hAnsi="Times New Roman" w:cs="Times New Roman"/>
          <w:sz w:val="24"/>
          <w:szCs w:val="24"/>
        </w:rPr>
      </w:pPr>
      <w:bookmarkStart w:id="17" w:name="_Toc237547398"/>
      <w:r w:rsidRPr="00371234">
        <w:rPr>
          <w:rFonts w:ascii="Times New Roman" w:hAnsi="Times New Roman" w:cs="Times New Roman"/>
          <w:sz w:val="24"/>
          <w:szCs w:val="24"/>
        </w:rPr>
        <w:lastRenderedPageBreak/>
        <w:t>10. Conclusion</w:t>
      </w:r>
      <w:bookmarkEnd w:id="17"/>
    </w:p>
    <w:p w14:paraId="1946B380" w14:textId="77777777" w:rsidR="00642CDD" w:rsidRPr="00371234" w:rsidRDefault="00642CDD" w:rsidP="00642CDD">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w:t>
      </w:r>
      <w:r w:rsidRPr="00371234">
        <w:rPr>
          <w:rFonts w:ascii="Times New Roman" w:hAnsi="Times New Roman" w:cs="Times New Roman"/>
          <w:b/>
          <w:bCs/>
          <w:sz w:val="24"/>
          <w:szCs w:val="24"/>
        </w:rPr>
        <w:t>Central Transport Hub Redevelopment Project</w:t>
      </w:r>
      <w:r w:rsidRPr="00371234">
        <w:rPr>
          <w:rFonts w:ascii="Times New Roman" w:hAnsi="Times New Roman" w:cs="Times New Roman"/>
          <w:sz w:val="24"/>
          <w:szCs w:val="24"/>
        </w:rPr>
        <w:t xml:space="preserve"> requires a structured and integrated project management approach because of its scale, complexity and significant impact on transport users, businesses and the wider community. The proposed </w:t>
      </w:r>
      <w:r w:rsidRPr="00371234">
        <w:rPr>
          <w:rFonts w:ascii="Times New Roman" w:hAnsi="Times New Roman" w:cs="Times New Roman"/>
          <w:b/>
          <w:bCs/>
          <w:sz w:val="24"/>
          <w:szCs w:val="24"/>
        </w:rPr>
        <w:t>36-month programme</w:t>
      </w:r>
      <w:r w:rsidRPr="00371234">
        <w:rPr>
          <w:rFonts w:ascii="Times New Roman" w:hAnsi="Times New Roman" w:cs="Times New Roman"/>
          <w:sz w:val="24"/>
          <w:szCs w:val="24"/>
        </w:rPr>
        <w:t xml:space="preserve"> provides a clear framework for delivering a safer, more accessible, sustainable and digitally enabled multimodal transport hub.</w:t>
      </w:r>
    </w:p>
    <w:p w14:paraId="486102AD" w14:textId="7E20FB70" w:rsidR="00642CDD" w:rsidRPr="00371234" w:rsidRDefault="00642CDD" w:rsidP="00642CDD">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Project Management Plan translates the strategic aims and SMART objectives presented in the project proposal into practical delivery arrangements. The defined </w:t>
      </w:r>
      <w:r w:rsidRPr="00371234">
        <w:rPr>
          <w:rFonts w:ascii="Times New Roman" w:hAnsi="Times New Roman" w:cs="Times New Roman"/>
          <w:b/>
          <w:bCs/>
          <w:sz w:val="24"/>
          <w:szCs w:val="24"/>
        </w:rPr>
        <w:t>scope and WBS</w:t>
      </w:r>
      <w:r w:rsidRPr="00371234">
        <w:rPr>
          <w:rFonts w:ascii="Times New Roman" w:hAnsi="Times New Roman" w:cs="Times New Roman"/>
          <w:sz w:val="24"/>
          <w:szCs w:val="24"/>
        </w:rPr>
        <w:t xml:space="preserve"> establish clear project boundaries and work packages, while the </w:t>
      </w:r>
      <w:r w:rsidRPr="00371234">
        <w:rPr>
          <w:rFonts w:ascii="Times New Roman" w:hAnsi="Times New Roman" w:cs="Times New Roman"/>
          <w:b/>
          <w:bCs/>
          <w:sz w:val="24"/>
          <w:szCs w:val="24"/>
        </w:rPr>
        <w:t>Gantt Chart and milestones</w:t>
      </w:r>
      <w:r w:rsidRPr="00371234">
        <w:rPr>
          <w:rFonts w:ascii="Times New Roman" w:hAnsi="Times New Roman" w:cs="Times New Roman"/>
          <w:sz w:val="24"/>
          <w:szCs w:val="24"/>
        </w:rPr>
        <w:t xml:space="preserve"> provide a basis for scheduling and monitoring progress. Resource planning, budget allocation and the </w:t>
      </w:r>
      <w:r w:rsidRPr="00371234">
        <w:rPr>
          <w:rFonts w:ascii="Times New Roman" w:hAnsi="Times New Roman" w:cs="Times New Roman"/>
          <w:b/>
          <w:bCs/>
          <w:sz w:val="24"/>
          <w:szCs w:val="24"/>
        </w:rPr>
        <w:t>POLC framework</w:t>
      </w:r>
      <w:r w:rsidRPr="00371234">
        <w:rPr>
          <w:rFonts w:ascii="Times New Roman" w:hAnsi="Times New Roman" w:cs="Times New Roman"/>
          <w:sz w:val="24"/>
          <w:szCs w:val="24"/>
        </w:rPr>
        <w:t xml:space="preserve"> support the effective coordination of financial, human, technical and material resources </w:t>
      </w:r>
      <w:r w:rsidR="003C6959" w:rsidRPr="00371234">
        <w:rPr>
          <w:rFonts w:ascii="Times New Roman" w:hAnsi="Times New Roman" w:cs="Times New Roman"/>
          <w:sz w:val="24"/>
          <w:szCs w:val="24"/>
        </w:rPr>
        <w:t>(Gitman et al., 2018).</w:t>
      </w:r>
    </w:p>
    <w:p w14:paraId="6A8ECC9D" w14:textId="77777777" w:rsidR="00FF530B" w:rsidRPr="00371234" w:rsidRDefault="00FF530B" w:rsidP="00642CDD">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use of a </w:t>
      </w:r>
      <w:r w:rsidRPr="00371234">
        <w:rPr>
          <w:rFonts w:ascii="Times New Roman" w:hAnsi="Times New Roman" w:cs="Times New Roman"/>
          <w:b/>
          <w:bCs/>
          <w:sz w:val="24"/>
          <w:szCs w:val="24"/>
        </w:rPr>
        <w:t>hybrid project management approach</w:t>
      </w:r>
      <w:r w:rsidRPr="00371234">
        <w:rPr>
          <w:rFonts w:ascii="Times New Roman" w:hAnsi="Times New Roman" w:cs="Times New Roman"/>
          <w:sz w:val="24"/>
          <w:szCs w:val="24"/>
        </w:rPr>
        <w:t xml:space="preserve">, supported by relevant PRINCE2 principles, provides an appropriate balance between structured control and flexibility. The </w:t>
      </w:r>
      <w:r w:rsidRPr="00371234">
        <w:rPr>
          <w:rFonts w:ascii="Times New Roman" w:hAnsi="Times New Roman" w:cs="Times New Roman"/>
          <w:b/>
          <w:bCs/>
          <w:sz w:val="24"/>
          <w:szCs w:val="24"/>
        </w:rPr>
        <w:t>Iron Triangle</w:t>
      </w:r>
      <w:r w:rsidRPr="00371234">
        <w:rPr>
          <w:rFonts w:ascii="Times New Roman" w:hAnsi="Times New Roman" w:cs="Times New Roman"/>
          <w:sz w:val="24"/>
          <w:szCs w:val="24"/>
        </w:rPr>
        <w:t xml:space="preserve"> provides an important basis for maintaining the balance between </w:t>
      </w:r>
      <w:r w:rsidRPr="00371234">
        <w:rPr>
          <w:rFonts w:ascii="Times New Roman" w:hAnsi="Times New Roman" w:cs="Times New Roman"/>
          <w:b/>
          <w:bCs/>
          <w:sz w:val="24"/>
          <w:szCs w:val="24"/>
        </w:rPr>
        <w:t>cost, time and quality</w:t>
      </w:r>
      <w:r w:rsidRPr="00371234">
        <w:rPr>
          <w:rFonts w:ascii="Times New Roman" w:hAnsi="Times New Roman" w:cs="Times New Roman"/>
          <w:sz w:val="24"/>
          <w:szCs w:val="24"/>
        </w:rPr>
        <w:t>, while formal change control will help assess the consequences of proposed changes before approval (Atkinson, 1999). Stakeholder engagement will also support cooperation between government bodies, transport operators, passengers, communities and other interested parties (PeopleCert, 2023; PMI, 2021).</w:t>
      </w:r>
    </w:p>
    <w:p w14:paraId="2AC9EBA9" w14:textId="4BDBA134" w:rsidR="00642CDD" w:rsidRPr="00371234" w:rsidRDefault="00642CDD" w:rsidP="00642CDD">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The risk assessment further supports proactive project management by identifying key threats including </w:t>
      </w:r>
      <w:r w:rsidRPr="00371234">
        <w:rPr>
          <w:rFonts w:ascii="Times New Roman" w:hAnsi="Times New Roman" w:cs="Times New Roman"/>
          <w:b/>
          <w:bCs/>
          <w:sz w:val="24"/>
          <w:szCs w:val="24"/>
        </w:rPr>
        <w:t>construction delays, cost overruns, stakeholder resistance, safety incidents, technology challenges and funding issues</w:t>
      </w:r>
      <w:r w:rsidRPr="00371234">
        <w:rPr>
          <w:rFonts w:ascii="Times New Roman" w:hAnsi="Times New Roman" w:cs="Times New Roman"/>
          <w:sz w:val="24"/>
          <w:szCs w:val="24"/>
        </w:rPr>
        <w:t xml:space="preserve">. </w:t>
      </w:r>
      <w:r w:rsidR="008E05BA" w:rsidRPr="00371234">
        <w:rPr>
          <w:rFonts w:ascii="Times New Roman" w:hAnsi="Times New Roman" w:cs="Times New Roman"/>
          <w:sz w:val="24"/>
          <w:szCs w:val="24"/>
        </w:rPr>
        <w:t>Regular monitoring</w:t>
      </w:r>
      <w:r w:rsidRPr="00371234">
        <w:rPr>
          <w:rFonts w:ascii="Times New Roman" w:hAnsi="Times New Roman" w:cs="Times New Roman"/>
          <w:sz w:val="24"/>
          <w:szCs w:val="24"/>
        </w:rPr>
        <w:t xml:space="preserve"> assigned risk ownership and appropriate mitigation measures will help protect the project's objectives and delivery performance.</w:t>
      </w:r>
    </w:p>
    <w:p w14:paraId="1F628E09" w14:textId="77777777" w:rsidR="00642CDD" w:rsidRPr="00371234" w:rsidRDefault="00642CDD" w:rsidP="00642CDD">
      <w:pPr>
        <w:spacing w:line="360" w:lineRule="auto"/>
        <w:jc w:val="both"/>
        <w:rPr>
          <w:rFonts w:ascii="Times New Roman" w:hAnsi="Times New Roman" w:cs="Times New Roman"/>
          <w:sz w:val="24"/>
          <w:szCs w:val="24"/>
        </w:rPr>
      </w:pPr>
      <w:r w:rsidRPr="00371234">
        <w:rPr>
          <w:rFonts w:ascii="Times New Roman" w:hAnsi="Times New Roman" w:cs="Times New Roman"/>
          <w:sz w:val="24"/>
          <w:szCs w:val="24"/>
        </w:rPr>
        <w:t xml:space="preserve">Overall, the proposed management approach provides a realistic framework for transforming the closed transport hub into a </w:t>
      </w:r>
      <w:r w:rsidRPr="00371234">
        <w:rPr>
          <w:rFonts w:ascii="Times New Roman" w:hAnsi="Times New Roman" w:cs="Times New Roman"/>
          <w:b/>
          <w:bCs/>
          <w:sz w:val="24"/>
          <w:szCs w:val="24"/>
        </w:rPr>
        <w:t>safe, inclusive, sustainable and future-ready transport interchange</w:t>
      </w:r>
      <w:r w:rsidRPr="00371234">
        <w:rPr>
          <w:rFonts w:ascii="Times New Roman" w:hAnsi="Times New Roman" w:cs="Times New Roman"/>
          <w:sz w:val="24"/>
          <w:szCs w:val="24"/>
        </w:rPr>
        <w:t>. Successful delivery will not only restore transport capacity but also contribute to improved passenger experience, economic activity, environmental performance and long-term value for the city.</w:t>
      </w:r>
    </w:p>
    <w:p w14:paraId="50523C93" w14:textId="77777777" w:rsidR="00470ED7" w:rsidRDefault="00470ED7" w:rsidP="00642CDD">
      <w:pPr>
        <w:spacing w:line="360" w:lineRule="auto"/>
        <w:jc w:val="both"/>
        <w:rPr>
          <w:rFonts w:ascii="Times New Roman" w:hAnsi="Times New Roman" w:cs="Times New Roman"/>
          <w:sz w:val="24"/>
          <w:szCs w:val="24"/>
        </w:rPr>
      </w:pPr>
    </w:p>
    <w:p w14:paraId="29382320" w14:textId="77777777" w:rsidR="00371234" w:rsidRDefault="00371234" w:rsidP="00642CDD">
      <w:pPr>
        <w:spacing w:line="360" w:lineRule="auto"/>
        <w:jc w:val="both"/>
        <w:rPr>
          <w:rFonts w:ascii="Times New Roman" w:hAnsi="Times New Roman" w:cs="Times New Roman"/>
          <w:sz w:val="24"/>
          <w:szCs w:val="24"/>
        </w:rPr>
      </w:pPr>
    </w:p>
    <w:p w14:paraId="779A594F" w14:textId="77777777" w:rsidR="00371234" w:rsidRDefault="00371234" w:rsidP="00642CDD">
      <w:pPr>
        <w:spacing w:line="360" w:lineRule="auto"/>
        <w:jc w:val="both"/>
        <w:rPr>
          <w:rFonts w:ascii="Times New Roman" w:hAnsi="Times New Roman" w:cs="Times New Roman"/>
          <w:sz w:val="24"/>
          <w:szCs w:val="24"/>
        </w:rPr>
      </w:pPr>
    </w:p>
    <w:p w14:paraId="653FF5B3" w14:textId="77777777" w:rsidR="00371234" w:rsidRDefault="00371234" w:rsidP="00642CDD">
      <w:pPr>
        <w:spacing w:line="360" w:lineRule="auto"/>
        <w:jc w:val="both"/>
        <w:rPr>
          <w:rFonts w:ascii="Times New Roman" w:hAnsi="Times New Roman" w:cs="Times New Roman"/>
          <w:sz w:val="24"/>
          <w:szCs w:val="24"/>
        </w:rPr>
      </w:pPr>
    </w:p>
    <w:p w14:paraId="636233D4" w14:textId="77777777" w:rsidR="00371234" w:rsidRPr="00371234" w:rsidRDefault="00371234" w:rsidP="00642CDD">
      <w:pPr>
        <w:spacing w:line="360" w:lineRule="auto"/>
        <w:jc w:val="both"/>
        <w:rPr>
          <w:rFonts w:ascii="Times New Roman" w:hAnsi="Times New Roman" w:cs="Times New Roman"/>
          <w:sz w:val="24"/>
          <w:szCs w:val="24"/>
        </w:rPr>
      </w:pPr>
    </w:p>
    <w:p w14:paraId="55A05F50" w14:textId="77777777" w:rsidR="003E5754" w:rsidRPr="00371234" w:rsidRDefault="003E5754" w:rsidP="00642CDD">
      <w:pPr>
        <w:spacing w:line="360" w:lineRule="auto"/>
        <w:jc w:val="both"/>
        <w:rPr>
          <w:rFonts w:ascii="Times New Roman" w:hAnsi="Times New Roman" w:cs="Times New Roman"/>
          <w:sz w:val="24"/>
          <w:szCs w:val="24"/>
        </w:rPr>
      </w:pPr>
    </w:p>
    <w:p w14:paraId="23BC3377" w14:textId="77777777" w:rsidR="003E5754" w:rsidRPr="00371234" w:rsidRDefault="003E5754" w:rsidP="00642CDD">
      <w:pPr>
        <w:spacing w:line="360" w:lineRule="auto"/>
        <w:jc w:val="both"/>
        <w:rPr>
          <w:rFonts w:ascii="Times New Roman" w:hAnsi="Times New Roman" w:cs="Times New Roman"/>
          <w:sz w:val="24"/>
          <w:szCs w:val="24"/>
        </w:rPr>
      </w:pPr>
    </w:p>
    <w:p w14:paraId="446C33FA" w14:textId="16334DD1" w:rsidR="00A13CDB" w:rsidRPr="00371234" w:rsidRDefault="00A13CDB" w:rsidP="00592C39">
      <w:pPr>
        <w:pStyle w:val="Heading1"/>
        <w:rPr>
          <w:rFonts w:ascii="Times New Roman" w:hAnsi="Times New Roman" w:cs="Times New Roman"/>
          <w:sz w:val="24"/>
          <w:szCs w:val="24"/>
        </w:rPr>
      </w:pPr>
      <w:bookmarkStart w:id="18" w:name="_Toc237547399"/>
      <w:r w:rsidRPr="00371234">
        <w:rPr>
          <w:rFonts w:ascii="Times New Roman" w:hAnsi="Times New Roman" w:cs="Times New Roman"/>
          <w:sz w:val="24"/>
          <w:szCs w:val="24"/>
        </w:rPr>
        <w:lastRenderedPageBreak/>
        <w:t>References</w:t>
      </w:r>
      <w:bookmarkEnd w:id="18"/>
    </w:p>
    <w:p w14:paraId="596A61A8"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Association for Project Management (APM) (2019) </w:t>
      </w:r>
      <w:r w:rsidRPr="00371234">
        <w:rPr>
          <w:rFonts w:ascii="Times New Roman" w:hAnsi="Times New Roman" w:cs="Times New Roman"/>
          <w:i/>
          <w:iCs/>
          <w:sz w:val="24"/>
          <w:szCs w:val="24"/>
        </w:rPr>
        <w:t>APM Body of Knowledge</w:t>
      </w:r>
      <w:r w:rsidRPr="00371234">
        <w:rPr>
          <w:rFonts w:ascii="Times New Roman" w:hAnsi="Times New Roman" w:cs="Times New Roman"/>
          <w:sz w:val="24"/>
          <w:szCs w:val="24"/>
        </w:rPr>
        <w:t>. 7th edn. Princes Risborough: Association for Project Management.</w:t>
      </w:r>
    </w:p>
    <w:p w14:paraId="6131491D"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Atkinson, R. (1999) ‘Project management: cost, time and quality, two best guesses and a phenomenon, its time to accept other success criteria’, </w:t>
      </w:r>
      <w:r w:rsidRPr="00371234">
        <w:rPr>
          <w:rFonts w:ascii="Times New Roman" w:hAnsi="Times New Roman" w:cs="Times New Roman"/>
          <w:i/>
          <w:iCs/>
          <w:sz w:val="24"/>
          <w:szCs w:val="24"/>
        </w:rPr>
        <w:t>International Journal of Project Management</w:t>
      </w:r>
      <w:r w:rsidRPr="00371234">
        <w:rPr>
          <w:rFonts w:ascii="Times New Roman" w:hAnsi="Times New Roman" w:cs="Times New Roman"/>
          <w:sz w:val="24"/>
          <w:szCs w:val="24"/>
        </w:rPr>
        <w:t>, 17(6), pp. 337–342.</w:t>
      </w:r>
    </w:p>
    <w:p w14:paraId="3ACECAA2"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Costantini, S., Hall, J.G. and Rapanotti, L. (2021) ‘Using complexity and volatility characteristics to guide hybrid project management’, </w:t>
      </w:r>
      <w:r w:rsidRPr="00371234">
        <w:rPr>
          <w:rFonts w:ascii="Times New Roman" w:hAnsi="Times New Roman" w:cs="Times New Roman"/>
          <w:i/>
          <w:iCs/>
          <w:sz w:val="24"/>
          <w:szCs w:val="24"/>
        </w:rPr>
        <w:t>International Journal of Managing Projects in Business</w:t>
      </w:r>
      <w:r w:rsidRPr="00371234">
        <w:rPr>
          <w:rFonts w:ascii="Times New Roman" w:hAnsi="Times New Roman" w:cs="Times New Roman"/>
          <w:sz w:val="24"/>
          <w:szCs w:val="24"/>
        </w:rPr>
        <w:t xml:space="preserve">, 14(5), pp. 1135–1162. Available at: </w:t>
      </w:r>
      <w:hyperlink r:id="rId13" w:tgtFrame="_new" w:history="1">
        <w:r w:rsidRPr="00371234">
          <w:rPr>
            <w:rStyle w:val="Hyperlink"/>
            <w:rFonts w:ascii="Times New Roman" w:hAnsi="Times New Roman" w:cs="Times New Roman"/>
            <w:sz w:val="24"/>
            <w:szCs w:val="24"/>
          </w:rPr>
          <w:t>https://doi.org/10.1108/IJMPB-06-2020-0187</w:t>
        </w:r>
      </w:hyperlink>
      <w:r w:rsidRPr="00371234">
        <w:rPr>
          <w:rFonts w:ascii="Times New Roman" w:hAnsi="Times New Roman" w:cs="Times New Roman"/>
          <w:sz w:val="24"/>
          <w:szCs w:val="24"/>
        </w:rPr>
        <w:t xml:space="preserve"> (Accessed: 9 August 2026).</w:t>
      </w:r>
    </w:p>
    <w:p w14:paraId="2A406E50"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Department for Transport (2021) </w:t>
      </w:r>
      <w:r w:rsidRPr="00371234">
        <w:rPr>
          <w:rFonts w:ascii="Times New Roman" w:hAnsi="Times New Roman" w:cs="Times New Roman"/>
          <w:i/>
          <w:iCs/>
          <w:sz w:val="24"/>
          <w:szCs w:val="24"/>
        </w:rPr>
        <w:t>Decarbonising Transport: A Better, Greener Britain</w:t>
      </w:r>
      <w:r w:rsidRPr="00371234">
        <w:rPr>
          <w:rFonts w:ascii="Times New Roman" w:hAnsi="Times New Roman" w:cs="Times New Roman"/>
          <w:sz w:val="24"/>
          <w:szCs w:val="24"/>
        </w:rPr>
        <w:t xml:space="preserve">. London: Department for Transport. Available at: </w:t>
      </w:r>
      <w:hyperlink r:id="rId14" w:tgtFrame="_new" w:history="1">
        <w:r w:rsidRPr="00371234">
          <w:rPr>
            <w:rStyle w:val="Hyperlink"/>
            <w:rFonts w:ascii="Times New Roman" w:hAnsi="Times New Roman" w:cs="Times New Roman"/>
            <w:sz w:val="24"/>
            <w:szCs w:val="24"/>
          </w:rPr>
          <w:t>https://www.gov.uk/government/publications/transport-decarbonisation-plan</w:t>
        </w:r>
      </w:hyperlink>
      <w:r w:rsidRPr="00371234">
        <w:rPr>
          <w:rFonts w:ascii="Times New Roman" w:hAnsi="Times New Roman" w:cs="Times New Roman"/>
          <w:sz w:val="24"/>
          <w:szCs w:val="24"/>
        </w:rPr>
        <w:t xml:space="preserve"> (Accessed: 10 August 2026).</w:t>
      </w:r>
    </w:p>
    <w:p w14:paraId="6D2B9890" w14:textId="772797E3" w:rsidR="003C6959" w:rsidRPr="00371234" w:rsidRDefault="003C6959"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Gitman, L.J., McDaniel, C., Shah, A., Reece, M., Koffel, L., Talsma, B. and Hyatt, J.C. (2018) </w:t>
      </w:r>
      <w:r w:rsidRPr="00371234">
        <w:rPr>
          <w:rFonts w:ascii="Times New Roman" w:hAnsi="Times New Roman" w:cs="Times New Roman"/>
          <w:i/>
          <w:iCs/>
          <w:sz w:val="24"/>
          <w:szCs w:val="24"/>
        </w:rPr>
        <w:t>Introduction to Business</w:t>
      </w:r>
      <w:r w:rsidRPr="00371234">
        <w:rPr>
          <w:rFonts w:ascii="Times New Roman" w:hAnsi="Times New Roman" w:cs="Times New Roman"/>
          <w:sz w:val="24"/>
          <w:szCs w:val="24"/>
        </w:rPr>
        <w:t>. Houston, TX: OpenStax.</w:t>
      </w:r>
    </w:p>
    <w:p w14:paraId="6F365495"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HM Treasury (2020) </w:t>
      </w:r>
      <w:r w:rsidRPr="00371234">
        <w:rPr>
          <w:rFonts w:ascii="Times New Roman" w:hAnsi="Times New Roman" w:cs="Times New Roman"/>
          <w:i/>
          <w:iCs/>
          <w:sz w:val="24"/>
          <w:szCs w:val="24"/>
        </w:rPr>
        <w:t>National Infrastructure Strategy: Fairer, Faster, Greener</w:t>
      </w:r>
      <w:r w:rsidRPr="00371234">
        <w:rPr>
          <w:rFonts w:ascii="Times New Roman" w:hAnsi="Times New Roman" w:cs="Times New Roman"/>
          <w:sz w:val="24"/>
          <w:szCs w:val="24"/>
        </w:rPr>
        <w:t xml:space="preserve">. CP 329. London: HM Treasury. Available at: </w:t>
      </w:r>
      <w:hyperlink r:id="rId15" w:tgtFrame="_new" w:history="1">
        <w:r w:rsidRPr="00371234">
          <w:rPr>
            <w:rStyle w:val="Hyperlink"/>
            <w:rFonts w:ascii="Times New Roman" w:hAnsi="Times New Roman" w:cs="Times New Roman"/>
            <w:sz w:val="24"/>
            <w:szCs w:val="24"/>
          </w:rPr>
          <w:t>https://www.gov.uk/government/publications/national-infrastructure-strategy</w:t>
        </w:r>
      </w:hyperlink>
      <w:r w:rsidRPr="00371234">
        <w:rPr>
          <w:rFonts w:ascii="Times New Roman" w:hAnsi="Times New Roman" w:cs="Times New Roman"/>
          <w:sz w:val="24"/>
          <w:szCs w:val="24"/>
        </w:rPr>
        <w:t xml:space="preserve"> (Accessed: 10 August 2026).</w:t>
      </w:r>
    </w:p>
    <w:p w14:paraId="1257D9E8"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Kerzner, H. (2022) </w:t>
      </w:r>
      <w:r w:rsidRPr="00371234">
        <w:rPr>
          <w:rFonts w:ascii="Times New Roman" w:hAnsi="Times New Roman" w:cs="Times New Roman"/>
          <w:i/>
          <w:iCs/>
          <w:sz w:val="24"/>
          <w:szCs w:val="24"/>
        </w:rPr>
        <w:t>Project Management: A Systems Approach to Planning, Scheduling, and Controlling</w:t>
      </w:r>
      <w:r w:rsidRPr="00371234">
        <w:rPr>
          <w:rFonts w:ascii="Times New Roman" w:hAnsi="Times New Roman" w:cs="Times New Roman"/>
          <w:sz w:val="24"/>
          <w:szCs w:val="24"/>
        </w:rPr>
        <w:t>. 13th edn. Hoboken, NJ: John Wiley &amp; Sons.</w:t>
      </w:r>
    </w:p>
    <w:p w14:paraId="4F4F63D6"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Mendelow, A.L. (1981) ‘Environmental scanning – the impact of the stakeholder concept’, </w:t>
      </w:r>
      <w:r w:rsidRPr="00371234">
        <w:rPr>
          <w:rFonts w:ascii="Times New Roman" w:hAnsi="Times New Roman" w:cs="Times New Roman"/>
          <w:i/>
          <w:iCs/>
          <w:sz w:val="24"/>
          <w:szCs w:val="24"/>
        </w:rPr>
        <w:t>Proceedings of the Second International Conference on Information Systems (ICIS 1981)</w:t>
      </w:r>
      <w:r w:rsidRPr="00371234">
        <w:rPr>
          <w:rFonts w:ascii="Times New Roman" w:hAnsi="Times New Roman" w:cs="Times New Roman"/>
          <w:sz w:val="24"/>
          <w:szCs w:val="24"/>
        </w:rPr>
        <w:t xml:space="preserve">, Cambridge, MA, 7–9 December, pp. 20–27. Available at: </w:t>
      </w:r>
      <w:hyperlink r:id="rId16" w:tgtFrame="_new" w:history="1">
        <w:r w:rsidRPr="00371234">
          <w:rPr>
            <w:rStyle w:val="Hyperlink"/>
            <w:rFonts w:ascii="Times New Roman" w:hAnsi="Times New Roman" w:cs="Times New Roman"/>
            <w:sz w:val="24"/>
            <w:szCs w:val="24"/>
          </w:rPr>
          <w:t>https://aisel.aisnet.org/icis1981/20</w:t>
        </w:r>
      </w:hyperlink>
      <w:r w:rsidRPr="00371234">
        <w:rPr>
          <w:rFonts w:ascii="Times New Roman" w:hAnsi="Times New Roman" w:cs="Times New Roman"/>
          <w:sz w:val="24"/>
          <w:szCs w:val="24"/>
        </w:rPr>
        <w:t xml:space="preserve"> (Accessed: 9 August 2026).</w:t>
      </w:r>
    </w:p>
    <w:p w14:paraId="33B5D851"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PeopleCert (2023) </w:t>
      </w:r>
      <w:r w:rsidRPr="00371234">
        <w:rPr>
          <w:rFonts w:ascii="Times New Roman" w:hAnsi="Times New Roman" w:cs="Times New Roman"/>
          <w:i/>
          <w:iCs/>
          <w:sz w:val="24"/>
          <w:szCs w:val="24"/>
        </w:rPr>
        <w:t>PRINCE2® 7: Managing Successful Projects</w:t>
      </w:r>
      <w:r w:rsidRPr="00371234">
        <w:rPr>
          <w:rFonts w:ascii="Times New Roman" w:hAnsi="Times New Roman" w:cs="Times New Roman"/>
          <w:sz w:val="24"/>
          <w:szCs w:val="24"/>
        </w:rPr>
        <w:t>. London: PeopleCert.</w:t>
      </w:r>
    </w:p>
    <w:p w14:paraId="62387184"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Project Management Institute (PMI) (2021) </w:t>
      </w:r>
      <w:r w:rsidRPr="00371234">
        <w:rPr>
          <w:rFonts w:ascii="Times New Roman" w:hAnsi="Times New Roman" w:cs="Times New Roman"/>
          <w:i/>
          <w:iCs/>
          <w:sz w:val="24"/>
          <w:szCs w:val="24"/>
        </w:rPr>
        <w:t>A Guide to the Project Management Body of Knowledge (PMBOK® Guide)</w:t>
      </w:r>
      <w:r w:rsidRPr="00371234">
        <w:rPr>
          <w:rFonts w:ascii="Times New Roman" w:hAnsi="Times New Roman" w:cs="Times New Roman"/>
          <w:sz w:val="24"/>
          <w:szCs w:val="24"/>
        </w:rPr>
        <w:t>. 7th edn. Newtown Square, PA: Project Management Institute.</w:t>
      </w:r>
    </w:p>
    <w:p w14:paraId="2A67C9D8"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Schön, D.A. (1983) </w:t>
      </w:r>
      <w:r w:rsidRPr="00371234">
        <w:rPr>
          <w:rFonts w:ascii="Times New Roman" w:hAnsi="Times New Roman" w:cs="Times New Roman"/>
          <w:i/>
          <w:iCs/>
          <w:sz w:val="24"/>
          <w:szCs w:val="24"/>
        </w:rPr>
        <w:t>The Reflective Practitioner: How Professionals Think in Action</w:t>
      </w:r>
      <w:r w:rsidRPr="00371234">
        <w:rPr>
          <w:rFonts w:ascii="Times New Roman" w:hAnsi="Times New Roman" w:cs="Times New Roman"/>
          <w:sz w:val="24"/>
          <w:szCs w:val="24"/>
        </w:rPr>
        <w:t>. New York: Basic Books.</w:t>
      </w:r>
    </w:p>
    <w:p w14:paraId="6AB724BB" w14:textId="77777777" w:rsidR="00FF530B" w:rsidRPr="00371234" w:rsidRDefault="00FF530B" w:rsidP="00FF530B">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Waris, M., Khan, A., Abideen, A.Z., Sorooshian, S. and Ullah, M. (2022) ‘Stakeholder Management in Public Sector Infrastructure Projects’, </w:t>
      </w:r>
      <w:r w:rsidRPr="00371234">
        <w:rPr>
          <w:rFonts w:ascii="Times New Roman" w:hAnsi="Times New Roman" w:cs="Times New Roman"/>
          <w:i/>
          <w:iCs/>
          <w:sz w:val="24"/>
          <w:szCs w:val="24"/>
        </w:rPr>
        <w:t>Journal of Engineering, Project, and Production Management</w:t>
      </w:r>
      <w:r w:rsidRPr="00371234">
        <w:rPr>
          <w:rFonts w:ascii="Times New Roman" w:hAnsi="Times New Roman" w:cs="Times New Roman"/>
          <w:sz w:val="24"/>
          <w:szCs w:val="24"/>
        </w:rPr>
        <w:t xml:space="preserve">, 12(3), pp. 188–201. Available at: </w:t>
      </w:r>
      <w:hyperlink r:id="rId17" w:tgtFrame="_new" w:history="1">
        <w:r w:rsidRPr="00371234">
          <w:rPr>
            <w:rStyle w:val="Hyperlink"/>
            <w:rFonts w:ascii="Times New Roman" w:hAnsi="Times New Roman" w:cs="Times New Roman"/>
            <w:sz w:val="24"/>
            <w:szCs w:val="24"/>
          </w:rPr>
          <w:t>https://doi.org/10.32738/JEPPM-2022-0017</w:t>
        </w:r>
      </w:hyperlink>
      <w:r w:rsidRPr="00371234">
        <w:rPr>
          <w:rFonts w:ascii="Times New Roman" w:hAnsi="Times New Roman" w:cs="Times New Roman"/>
          <w:sz w:val="24"/>
          <w:szCs w:val="24"/>
        </w:rPr>
        <w:t xml:space="preserve"> (Accessed: 9 August 2026).</w:t>
      </w:r>
    </w:p>
    <w:p w14:paraId="78CADA23" w14:textId="4562EFB4" w:rsidR="00831804" w:rsidRPr="00371234" w:rsidRDefault="00FF530B" w:rsidP="00470ED7">
      <w:pPr>
        <w:spacing w:line="360" w:lineRule="auto"/>
        <w:rPr>
          <w:rFonts w:ascii="Times New Roman" w:hAnsi="Times New Roman" w:cs="Times New Roman"/>
          <w:sz w:val="24"/>
          <w:szCs w:val="24"/>
        </w:rPr>
      </w:pPr>
      <w:r w:rsidRPr="00371234">
        <w:rPr>
          <w:rFonts w:ascii="Times New Roman" w:hAnsi="Times New Roman" w:cs="Times New Roman"/>
          <w:sz w:val="24"/>
          <w:szCs w:val="24"/>
        </w:rPr>
        <w:t xml:space="preserve">Yüksel, I. (2012) ‘Developing a multi-criteria decision making model for PESTEL analysis’, </w:t>
      </w:r>
      <w:r w:rsidRPr="00371234">
        <w:rPr>
          <w:rFonts w:ascii="Times New Roman" w:hAnsi="Times New Roman" w:cs="Times New Roman"/>
          <w:i/>
          <w:iCs/>
          <w:sz w:val="24"/>
          <w:szCs w:val="24"/>
        </w:rPr>
        <w:t>International Journal of Business and Management</w:t>
      </w:r>
      <w:r w:rsidRPr="00371234">
        <w:rPr>
          <w:rFonts w:ascii="Times New Roman" w:hAnsi="Times New Roman" w:cs="Times New Roman"/>
          <w:sz w:val="24"/>
          <w:szCs w:val="24"/>
        </w:rPr>
        <w:t>, 7(24), pp. 52–66.</w:t>
      </w:r>
    </w:p>
    <w:sectPr w:rsidR="00831804" w:rsidRPr="00371234" w:rsidSect="003E5754">
      <w:pgSz w:w="11906" w:h="16838"/>
      <w:pgMar w:top="454" w:right="851" w:bottom="284"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0DDC4" w14:textId="77777777" w:rsidR="00622F93" w:rsidRDefault="00622F93" w:rsidP="00592C39">
      <w:pPr>
        <w:spacing w:after="0" w:line="240" w:lineRule="auto"/>
      </w:pPr>
      <w:r>
        <w:separator/>
      </w:r>
    </w:p>
  </w:endnote>
  <w:endnote w:type="continuationSeparator" w:id="0">
    <w:p w14:paraId="696242ED" w14:textId="77777777" w:rsidR="00622F93" w:rsidRDefault="00622F93" w:rsidP="00592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065718"/>
      <w:docPartObj>
        <w:docPartGallery w:val="Page Numbers (Bottom of Page)"/>
        <w:docPartUnique/>
      </w:docPartObj>
    </w:sdtPr>
    <w:sdtContent>
      <w:p w14:paraId="177FFB67" w14:textId="51D760B2" w:rsidR="00592C39" w:rsidRDefault="00592C39">
        <w:pPr>
          <w:pStyle w:val="Footer"/>
          <w:jc w:val="right"/>
        </w:pPr>
        <w:r>
          <w:fldChar w:fldCharType="begin"/>
        </w:r>
        <w:r>
          <w:instrText>PAGE   \* MERGEFORMAT</w:instrText>
        </w:r>
        <w:r>
          <w:fldChar w:fldCharType="separate"/>
        </w:r>
        <w:r>
          <w:t>2</w:t>
        </w:r>
        <w:r>
          <w:fldChar w:fldCharType="end"/>
        </w:r>
      </w:p>
    </w:sdtContent>
  </w:sdt>
  <w:p w14:paraId="5D9F8323" w14:textId="77777777" w:rsidR="00592C39" w:rsidRDefault="00592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8C6F6" w14:textId="77777777" w:rsidR="00622F93" w:rsidRDefault="00622F93" w:rsidP="00592C39">
      <w:pPr>
        <w:spacing w:after="0" w:line="240" w:lineRule="auto"/>
      </w:pPr>
      <w:r>
        <w:separator/>
      </w:r>
    </w:p>
  </w:footnote>
  <w:footnote w:type="continuationSeparator" w:id="0">
    <w:p w14:paraId="5C591B8C" w14:textId="77777777" w:rsidR="00622F93" w:rsidRDefault="00622F93" w:rsidP="00592C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4C6"/>
    <w:multiLevelType w:val="hybridMultilevel"/>
    <w:tmpl w:val="59F68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7327B"/>
    <w:multiLevelType w:val="multilevel"/>
    <w:tmpl w:val="93C43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C0556"/>
    <w:multiLevelType w:val="multilevel"/>
    <w:tmpl w:val="EA9AD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44384"/>
    <w:multiLevelType w:val="multilevel"/>
    <w:tmpl w:val="AFF6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5F08F3"/>
    <w:multiLevelType w:val="hybridMultilevel"/>
    <w:tmpl w:val="EF181AA4"/>
    <w:lvl w:ilvl="0" w:tplc="4A588C6A">
      <w:numFmt w:val="bullet"/>
      <w:lvlText w:val="o"/>
      <w:lvlJc w:val="left"/>
      <w:pPr>
        <w:ind w:left="451" w:hanging="356"/>
      </w:pPr>
      <w:rPr>
        <w:rFonts w:ascii="Arial" w:eastAsia="Arial" w:hAnsi="Arial" w:cs="Arial" w:hint="default"/>
        <w:w w:val="131"/>
        <w:position w:val="-4"/>
        <w:lang w:val="en-US" w:eastAsia="en-US" w:bidi="ar-SA"/>
      </w:rPr>
    </w:lvl>
    <w:lvl w:ilvl="1" w:tplc="5EA4308C">
      <w:numFmt w:val="bullet"/>
      <w:lvlText w:val="•"/>
      <w:lvlJc w:val="left"/>
      <w:pPr>
        <w:ind w:left="704" w:hanging="356"/>
      </w:pPr>
      <w:rPr>
        <w:rFonts w:hint="default"/>
        <w:lang w:val="en-US" w:eastAsia="en-US" w:bidi="ar-SA"/>
      </w:rPr>
    </w:lvl>
    <w:lvl w:ilvl="2" w:tplc="D64A4C1E">
      <w:numFmt w:val="bullet"/>
      <w:lvlText w:val="•"/>
      <w:lvlJc w:val="left"/>
      <w:pPr>
        <w:ind w:left="948" w:hanging="356"/>
      </w:pPr>
      <w:rPr>
        <w:rFonts w:hint="default"/>
        <w:lang w:val="en-US" w:eastAsia="en-US" w:bidi="ar-SA"/>
      </w:rPr>
    </w:lvl>
    <w:lvl w:ilvl="3" w:tplc="9DFC6CCA">
      <w:numFmt w:val="bullet"/>
      <w:lvlText w:val="•"/>
      <w:lvlJc w:val="left"/>
      <w:pPr>
        <w:ind w:left="1192" w:hanging="356"/>
      </w:pPr>
      <w:rPr>
        <w:rFonts w:hint="default"/>
        <w:lang w:val="en-US" w:eastAsia="en-US" w:bidi="ar-SA"/>
      </w:rPr>
    </w:lvl>
    <w:lvl w:ilvl="4" w:tplc="18B41B8A">
      <w:numFmt w:val="bullet"/>
      <w:lvlText w:val="•"/>
      <w:lvlJc w:val="left"/>
      <w:pPr>
        <w:ind w:left="1436" w:hanging="356"/>
      </w:pPr>
      <w:rPr>
        <w:rFonts w:hint="default"/>
        <w:lang w:val="en-US" w:eastAsia="en-US" w:bidi="ar-SA"/>
      </w:rPr>
    </w:lvl>
    <w:lvl w:ilvl="5" w:tplc="F8C0A140">
      <w:numFmt w:val="bullet"/>
      <w:lvlText w:val="•"/>
      <w:lvlJc w:val="left"/>
      <w:pPr>
        <w:ind w:left="1680" w:hanging="356"/>
      </w:pPr>
      <w:rPr>
        <w:rFonts w:hint="default"/>
        <w:lang w:val="en-US" w:eastAsia="en-US" w:bidi="ar-SA"/>
      </w:rPr>
    </w:lvl>
    <w:lvl w:ilvl="6" w:tplc="99085878">
      <w:numFmt w:val="bullet"/>
      <w:lvlText w:val="•"/>
      <w:lvlJc w:val="left"/>
      <w:pPr>
        <w:ind w:left="1924" w:hanging="356"/>
      </w:pPr>
      <w:rPr>
        <w:rFonts w:hint="default"/>
        <w:lang w:val="en-US" w:eastAsia="en-US" w:bidi="ar-SA"/>
      </w:rPr>
    </w:lvl>
    <w:lvl w:ilvl="7" w:tplc="7C78903E">
      <w:numFmt w:val="bullet"/>
      <w:lvlText w:val="•"/>
      <w:lvlJc w:val="left"/>
      <w:pPr>
        <w:ind w:left="2169" w:hanging="356"/>
      </w:pPr>
      <w:rPr>
        <w:rFonts w:hint="default"/>
        <w:lang w:val="en-US" w:eastAsia="en-US" w:bidi="ar-SA"/>
      </w:rPr>
    </w:lvl>
    <w:lvl w:ilvl="8" w:tplc="FD8A2276">
      <w:numFmt w:val="bullet"/>
      <w:lvlText w:val="•"/>
      <w:lvlJc w:val="left"/>
      <w:pPr>
        <w:ind w:left="2413" w:hanging="356"/>
      </w:pPr>
      <w:rPr>
        <w:rFonts w:hint="default"/>
        <w:lang w:val="en-US" w:eastAsia="en-US" w:bidi="ar-SA"/>
      </w:rPr>
    </w:lvl>
  </w:abstractNum>
  <w:abstractNum w:abstractNumId="5" w15:restartNumberingAfterBreak="0">
    <w:nsid w:val="0F6F3F2F"/>
    <w:multiLevelType w:val="multilevel"/>
    <w:tmpl w:val="6344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5855A0"/>
    <w:multiLevelType w:val="multilevel"/>
    <w:tmpl w:val="60E2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B70B92"/>
    <w:multiLevelType w:val="multilevel"/>
    <w:tmpl w:val="1D62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C06655"/>
    <w:multiLevelType w:val="multilevel"/>
    <w:tmpl w:val="32288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D946C7"/>
    <w:multiLevelType w:val="multilevel"/>
    <w:tmpl w:val="0F5A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D62F90"/>
    <w:multiLevelType w:val="hybridMultilevel"/>
    <w:tmpl w:val="E2C41618"/>
    <w:lvl w:ilvl="0" w:tplc="E932AA26">
      <w:numFmt w:val="bullet"/>
      <w:lvlText w:val="•"/>
      <w:lvlJc w:val="left"/>
      <w:pPr>
        <w:ind w:left="355" w:hanging="231"/>
      </w:pPr>
      <w:rPr>
        <w:rFonts w:ascii="Arial" w:eastAsia="Arial" w:hAnsi="Arial" w:cs="Arial" w:hint="default"/>
        <w:b w:val="0"/>
        <w:bCs w:val="0"/>
        <w:i w:val="0"/>
        <w:iCs w:val="0"/>
        <w:w w:val="300"/>
        <w:position w:val="1"/>
        <w:sz w:val="10"/>
        <w:szCs w:val="10"/>
        <w:lang w:val="en-US" w:eastAsia="en-US" w:bidi="ar-SA"/>
      </w:rPr>
    </w:lvl>
    <w:lvl w:ilvl="1" w:tplc="1B504BA4">
      <w:numFmt w:val="bullet"/>
      <w:lvlText w:val="•"/>
      <w:lvlJc w:val="left"/>
      <w:pPr>
        <w:ind w:left="403" w:hanging="144"/>
      </w:pPr>
      <w:rPr>
        <w:rFonts w:ascii="Arial" w:eastAsia="Arial" w:hAnsi="Arial" w:cs="Arial" w:hint="default"/>
        <w:b w:val="0"/>
        <w:bCs w:val="0"/>
        <w:i w:val="0"/>
        <w:iCs w:val="0"/>
        <w:w w:val="163"/>
        <w:sz w:val="10"/>
        <w:szCs w:val="10"/>
        <w:lang w:val="en-US" w:eastAsia="en-US" w:bidi="ar-SA"/>
      </w:rPr>
    </w:lvl>
    <w:lvl w:ilvl="2" w:tplc="2848B1C2">
      <w:numFmt w:val="bullet"/>
      <w:lvlText w:val="•"/>
      <w:lvlJc w:val="left"/>
      <w:pPr>
        <w:ind w:left="585" w:hanging="144"/>
      </w:pPr>
      <w:rPr>
        <w:rFonts w:hint="default"/>
        <w:lang w:val="en-US" w:eastAsia="en-US" w:bidi="ar-SA"/>
      </w:rPr>
    </w:lvl>
    <w:lvl w:ilvl="3" w:tplc="D146F958">
      <w:numFmt w:val="bullet"/>
      <w:lvlText w:val="•"/>
      <w:lvlJc w:val="left"/>
      <w:pPr>
        <w:ind w:left="771" w:hanging="144"/>
      </w:pPr>
      <w:rPr>
        <w:rFonts w:hint="default"/>
        <w:lang w:val="en-US" w:eastAsia="en-US" w:bidi="ar-SA"/>
      </w:rPr>
    </w:lvl>
    <w:lvl w:ilvl="4" w:tplc="63FC1A50">
      <w:numFmt w:val="bullet"/>
      <w:lvlText w:val="•"/>
      <w:lvlJc w:val="left"/>
      <w:pPr>
        <w:ind w:left="957" w:hanging="144"/>
      </w:pPr>
      <w:rPr>
        <w:rFonts w:hint="default"/>
        <w:lang w:val="en-US" w:eastAsia="en-US" w:bidi="ar-SA"/>
      </w:rPr>
    </w:lvl>
    <w:lvl w:ilvl="5" w:tplc="E6FA9316">
      <w:numFmt w:val="bullet"/>
      <w:lvlText w:val="•"/>
      <w:lvlJc w:val="left"/>
      <w:pPr>
        <w:ind w:left="1143" w:hanging="144"/>
      </w:pPr>
      <w:rPr>
        <w:rFonts w:hint="default"/>
        <w:lang w:val="en-US" w:eastAsia="en-US" w:bidi="ar-SA"/>
      </w:rPr>
    </w:lvl>
    <w:lvl w:ilvl="6" w:tplc="46AE0F96">
      <w:numFmt w:val="bullet"/>
      <w:lvlText w:val="•"/>
      <w:lvlJc w:val="left"/>
      <w:pPr>
        <w:ind w:left="1329" w:hanging="144"/>
      </w:pPr>
      <w:rPr>
        <w:rFonts w:hint="default"/>
        <w:lang w:val="en-US" w:eastAsia="en-US" w:bidi="ar-SA"/>
      </w:rPr>
    </w:lvl>
    <w:lvl w:ilvl="7" w:tplc="6AE07884">
      <w:numFmt w:val="bullet"/>
      <w:lvlText w:val="•"/>
      <w:lvlJc w:val="left"/>
      <w:pPr>
        <w:ind w:left="1515" w:hanging="144"/>
      </w:pPr>
      <w:rPr>
        <w:rFonts w:hint="default"/>
        <w:lang w:val="en-US" w:eastAsia="en-US" w:bidi="ar-SA"/>
      </w:rPr>
    </w:lvl>
    <w:lvl w:ilvl="8" w:tplc="FB92B82A">
      <w:numFmt w:val="bullet"/>
      <w:lvlText w:val="•"/>
      <w:lvlJc w:val="left"/>
      <w:pPr>
        <w:ind w:left="1701" w:hanging="144"/>
      </w:pPr>
      <w:rPr>
        <w:rFonts w:hint="default"/>
        <w:lang w:val="en-US" w:eastAsia="en-US" w:bidi="ar-SA"/>
      </w:rPr>
    </w:lvl>
  </w:abstractNum>
  <w:abstractNum w:abstractNumId="11" w15:restartNumberingAfterBreak="0">
    <w:nsid w:val="32F5188E"/>
    <w:multiLevelType w:val="multilevel"/>
    <w:tmpl w:val="7672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703563"/>
    <w:multiLevelType w:val="multilevel"/>
    <w:tmpl w:val="CFC8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E23CF3"/>
    <w:multiLevelType w:val="multilevel"/>
    <w:tmpl w:val="F58C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3009F"/>
    <w:multiLevelType w:val="multilevel"/>
    <w:tmpl w:val="1A10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D0AF2"/>
    <w:multiLevelType w:val="multilevel"/>
    <w:tmpl w:val="0A5E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505E2E"/>
    <w:multiLevelType w:val="hybridMultilevel"/>
    <w:tmpl w:val="9F0621B6"/>
    <w:lvl w:ilvl="0" w:tplc="871009BE">
      <w:numFmt w:val="decimal"/>
      <w:lvlText w:val="%1"/>
      <w:lvlJc w:val="left"/>
      <w:pPr>
        <w:ind w:left="461" w:hanging="356"/>
        <w:jc w:val="left"/>
      </w:pPr>
      <w:rPr>
        <w:rFonts w:hint="default"/>
        <w:w w:val="148"/>
        <w:position w:val="-2"/>
        <w:lang w:val="en-US" w:eastAsia="en-US" w:bidi="ar-SA"/>
      </w:rPr>
    </w:lvl>
    <w:lvl w:ilvl="1" w:tplc="01A0A790">
      <w:numFmt w:val="bullet"/>
      <w:lvlText w:val="•"/>
      <w:lvlJc w:val="left"/>
      <w:pPr>
        <w:ind w:left="704" w:hanging="356"/>
      </w:pPr>
      <w:rPr>
        <w:rFonts w:hint="default"/>
        <w:lang w:val="en-US" w:eastAsia="en-US" w:bidi="ar-SA"/>
      </w:rPr>
    </w:lvl>
    <w:lvl w:ilvl="2" w:tplc="E884AB30">
      <w:numFmt w:val="bullet"/>
      <w:lvlText w:val="•"/>
      <w:lvlJc w:val="left"/>
      <w:pPr>
        <w:ind w:left="948" w:hanging="356"/>
      </w:pPr>
      <w:rPr>
        <w:rFonts w:hint="default"/>
        <w:lang w:val="en-US" w:eastAsia="en-US" w:bidi="ar-SA"/>
      </w:rPr>
    </w:lvl>
    <w:lvl w:ilvl="3" w:tplc="D6980C18">
      <w:numFmt w:val="bullet"/>
      <w:lvlText w:val="•"/>
      <w:lvlJc w:val="left"/>
      <w:pPr>
        <w:ind w:left="1192" w:hanging="356"/>
      </w:pPr>
      <w:rPr>
        <w:rFonts w:hint="default"/>
        <w:lang w:val="en-US" w:eastAsia="en-US" w:bidi="ar-SA"/>
      </w:rPr>
    </w:lvl>
    <w:lvl w:ilvl="4" w:tplc="3FAC025A">
      <w:numFmt w:val="bullet"/>
      <w:lvlText w:val="•"/>
      <w:lvlJc w:val="left"/>
      <w:pPr>
        <w:ind w:left="1436" w:hanging="356"/>
      </w:pPr>
      <w:rPr>
        <w:rFonts w:hint="default"/>
        <w:lang w:val="en-US" w:eastAsia="en-US" w:bidi="ar-SA"/>
      </w:rPr>
    </w:lvl>
    <w:lvl w:ilvl="5" w:tplc="9E9AF806">
      <w:numFmt w:val="bullet"/>
      <w:lvlText w:val="•"/>
      <w:lvlJc w:val="left"/>
      <w:pPr>
        <w:ind w:left="1680" w:hanging="356"/>
      </w:pPr>
      <w:rPr>
        <w:rFonts w:hint="default"/>
        <w:lang w:val="en-US" w:eastAsia="en-US" w:bidi="ar-SA"/>
      </w:rPr>
    </w:lvl>
    <w:lvl w:ilvl="6" w:tplc="82CC5C14">
      <w:numFmt w:val="bullet"/>
      <w:lvlText w:val="•"/>
      <w:lvlJc w:val="left"/>
      <w:pPr>
        <w:ind w:left="1924" w:hanging="356"/>
      </w:pPr>
      <w:rPr>
        <w:rFonts w:hint="default"/>
        <w:lang w:val="en-US" w:eastAsia="en-US" w:bidi="ar-SA"/>
      </w:rPr>
    </w:lvl>
    <w:lvl w:ilvl="7" w:tplc="FE70AFCE">
      <w:numFmt w:val="bullet"/>
      <w:lvlText w:val="•"/>
      <w:lvlJc w:val="left"/>
      <w:pPr>
        <w:ind w:left="2169" w:hanging="356"/>
      </w:pPr>
      <w:rPr>
        <w:rFonts w:hint="default"/>
        <w:lang w:val="en-US" w:eastAsia="en-US" w:bidi="ar-SA"/>
      </w:rPr>
    </w:lvl>
    <w:lvl w:ilvl="8" w:tplc="F8580D90">
      <w:numFmt w:val="bullet"/>
      <w:lvlText w:val="•"/>
      <w:lvlJc w:val="left"/>
      <w:pPr>
        <w:ind w:left="2413" w:hanging="356"/>
      </w:pPr>
      <w:rPr>
        <w:rFonts w:hint="default"/>
        <w:lang w:val="en-US" w:eastAsia="en-US" w:bidi="ar-SA"/>
      </w:rPr>
    </w:lvl>
  </w:abstractNum>
  <w:abstractNum w:abstractNumId="17" w15:restartNumberingAfterBreak="0">
    <w:nsid w:val="50812A8B"/>
    <w:multiLevelType w:val="multilevel"/>
    <w:tmpl w:val="AD94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DA6AE0"/>
    <w:multiLevelType w:val="multilevel"/>
    <w:tmpl w:val="DE4A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FD61DF"/>
    <w:multiLevelType w:val="multilevel"/>
    <w:tmpl w:val="FE50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E45DD5"/>
    <w:multiLevelType w:val="multilevel"/>
    <w:tmpl w:val="E7B83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9D6EFC"/>
    <w:multiLevelType w:val="multilevel"/>
    <w:tmpl w:val="811A3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090443"/>
    <w:multiLevelType w:val="multilevel"/>
    <w:tmpl w:val="811A3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FD27AE"/>
    <w:multiLevelType w:val="multilevel"/>
    <w:tmpl w:val="F244D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553ED8"/>
    <w:multiLevelType w:val="multilevel"/>
    <w:tmpl w:val="6E6CA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2D3634"/>
    <w:multiLevelType w:val="multilevel"/>
    <w:tmpl w:val="561C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D22B5D"/>
    <w:multiLevelType w:val="multilevel"/>
    <w:tmpl w:val="992C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322526"/>
    <w:multiLevelType w:val="multilevel"/>
    <w:tmpl w:val="DDD2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4B0F8C"/>
    <w:multiLevelType w:val="multilevel"/>
    <w:tmpl w:val="3924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6573F9"/>
    <w:multiLevelType w:val="multilevel"/>
    <w:tmpl w:val="EA48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B5454C"/>
    <w:multiLevelType w:val="multilevel"/>
    <w:tmpl w:val="5C4E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0E3099"/>
    <w:multiLevelType w:val="multilevel"/>
    <w:tmpl w:val="275C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3E7FAC"/>
    <w:multiLevelType w:val="multilevel"/>
    <w:tmpl w:val="98C89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0521422">
    <w:abstractNumId w:val="3"/>
  </w:num>
  <w:num w:numId="2" w16cid:durableId="1141726654">
    <w:abstractNumId w:val="1"/>
  </w:num>
  <w:num w:numId="3" w16cid:durableId="100347392">
    <w:abstractNumId w:val="7"/>
  </w:num>
  <w:num w:numId="4" w16cid:durableId="20710766">
    <w:abstractNumId w:val="28"/>
  </w:num>
  <w:num w:numId="5" w16cid:durableId="1839153790">
    <w:abstractNumId w:val="32"/>
  </w:num>
  <w:num w:numId="6" w16cid:durableId="1011222006">
    <w:abstractNumId w:val="6"/>
  </w:num>
  <w:num w:numId="7" w16cid:durableId="2053189766">
    <w:abstractNumId w:val="26"/>
  </w:num>
  <w:num w:numId="8" w16cid:durableId="815997291">
    <w:abstractNumId w:val="15"/>
  </w:num>
  <w:num w:numId="9" w16cid:durableId="597719769">
    <w:abstractNumId w:val="17"/>
  </w:num>
  <w:num w:numId="10" w16cid:durableId="1283225706">
    <w:abstractNumId w:val="11"/>
  </w:num>
  <w:num w:numId="11" w16cid:durableId="1422524841">
    <w:abstractNumId w:val="25"/>
  </w:num>
  <w:num w:numId="12" w16cid:durableId="1204831859">
    <w:abstractNumId w:val="23"/>
  </w:num>
  <w:num w:numId="13" w16cid:durableId="241381002">
    <w:abstractNumId w:val="13"/>
  </w:num>
  <w:num w:numId="14" w16cid:durableId="1263340190">
    <w:abstractNumId w:val="5"/>
  </w:num>
  <w:num w:numId="15" w16cid:durableId="2075470706">
    <w:abstractNumId w:val="2"/>
  </w:num>
  <w:num w:numId="16" w16cid:durableId="1513953416">
    <w:abstractNumId w:val="31"/>
  </w:num>
  <w:num w:numId="17" w16cid:durableId="379592812">
    <w:abstractNumId w:val="24"/>
  </w:num>
  <w:num w:numId="18" w16cid:durableId="635989922">
    <w:abstractNumId w:val="29"/>
  </w:num>
  <w:num w:numId="19" w16cid:durableId="73936222">
    <w:abstractNumId w:val="9"/>
  </w:num>
  <w:num w:numId="20" w16cid:durableId="1351639879">
    <w:abstractNumId w:val="14"/>
  </w:num>
  <w:num w:numId="21" w16cid:durableId="1097406198">
    <w:abstractNumId w:val="20"/>
  </w:num>
  <w:num w:numId="22" w16cid:durableId="1947999362">
    <w:abstractNumId w:val="8"/>
  </w:num>
  <w:num w:numId="23" w16cid:durableId="14163694">
    <w:abstractNumId w:val="27"/>
  </w:num>
  <w:num w:numId="24" w16cid:durableId="2073887507">
    <w:abstractNumId w:val="12"/>
  </w:num>
  <w:num w:numId="25" w16cid:durableId="1225067278">
    <w:abstractNumId w:val="18"/>
  </w:num>
  <w:num w:numId="26" w16cid:durableId="1890023181">
    <w:abstractNumId w:val="19"/>
  </w:num>
  <w:num w:numId="27" w16cid:durableId="698166950">
    <w:abstractNumId w:val="30"/>
  </w:num>
  <w:num w:numId="28" w16cid:durableId="1345352851">
    <w:abstractNumId w:val="22"/>
  </w:num>
  <w:num w:numId="29" w16cid:durableId="1689527508">
    <w:abstractNumId w:val="0"/>
  </w:num>
  <w:num w:numId="30" w16cid:durableId="2059351021">
    <w:abstractNumId w:val="21"/>
  </w:num>
  <w:num w:numId="31" w16cid:durableId="314915008">
    <w:abstractNumId w:val="10"/>
  </w:num>
  <w:num w:numId="32" w16cid:durableId="1326277756">
    <w:abstractNumId w:val="16"/>
  </w:num>
  <w:num w:numId="33" w16cid:durableId="8015751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09B"/>
    <w:rsid w:val="000B2F2B"/>
    <w:rsid w:val="000D2AA9"/>
    <w:rsid w:val="000F2511"/>
    <w:rsid w:val="00196D60"/>
    <w:rsid w:val="001B483C"/>
    <w:rsid w:val="00257CF9"/>
    <w:rsid w:val="00293F7F"/>
    <w:rsid w:val="00297498"/>
    <w:rsid w:val="002E1F75"/>
    <w:rsid w:val="002F4D08"/>
    <w:rsid w:val="00312C9B"/>
    <w:rsid w:val="00322047"/>
    <w:rsid w:val="0033409B"/>
    <w:rsid w:val="003426A9"/>
    <w:rsid w:val="00356EE9"/>
    <w:rsid w:val="0036509F"/>
    <w:rsid w:val="00371234"/>
    <w:rsid w:val="003A3C2B"/>
    <w:rsid w:val="003A4477"/>
    <w:rsid w:val="003B0EA8"/>
    <w:rsid w:val="003C6959"/>
    <w:rsid w:val="003E5754"/>
    <w:rsid w:val="00454BA8"/>
    <w:rsid w:val="0046086C"/>
    <w:rsid w:val="00470ED7"/>
    <w:rsid w:val="00485BA6"/>
    <w:rsid w:val="004A161E"/>
    <w:rsid w:val="00503E5F"/>
    <w:rsid w:val="00540B0D"/>
    <w:rsid w:val="0054568F"/>
    <w:rsid w:val="00551172"/>
    <w:rsid w:val="00551D64"/>
    <w:rsid w:val="00565BFD"/>
    <w:rsid w:val="00592C39"/>
    <w:rsid w:val="005D1D34"/>
    <w:rsid w:val="005D5840"/>
    <w:rsid w:val="005F61C3"/>
    <w:rsid w:val="00610515"/>
    <w:rsid w:val="00622F93"/>
    <w:rsid w:val="00633537"/>
    <w:rsid w:val="00637AB2"/>
    <w:rsid w:val="00642CDD"/>
    <w:rsid w:val="006A663C"/>
    <w:rsid w:val="006C4BA4"/>
    <w:rsid w:val="006E7A3D"/>
    <w:rsid w:val="007166EE"/>
    <w:rsid w:val="007828A8"/>
    <w:rsid w:val="007E5F2F"/>
    <w:rsid w:val="00801978"/>
    <w:rsid w:val="00817D45"/>
    <w:rsid w:val="008302E0"/>
    <w:rsid w:val="00831804"/>
    <w:rsid w:val="008B3516"/>
    <w:rsid w:val="008D4DD9"/>
    <w:rsid w:val="008E05BA"/>
    <w:rsid w:val="00973C08"/>
    <w:rsid w:val="00987ECA"/>
    <w:rsid w:val="0099271E"/>
    <w:rsid w:val="009A04A9"/>
    <w:rsid w:val="009C0F5A"/>
    <w:rsid w:val="009E37BD"/>
    <w:rsid w:val="00A13CDB"/>
    <w:rsid w:val="00A67F0E"/>
    <w:rsid w:val="00A87B3E"/>
    <w:rsid w:val="00AB72C6"/>
    <w:rsid w:val="00B86B20"/>
    <w:rsid w:val="00C05EBE"/>
    <w:rsid w:val="00C1370C"/>
    <w:rsid w:val="00C27568"/>
    <w:rsid w:val="00C41327"/>
    <w:rsid w:val="00C429EE"/>
    <w:rsid w:val="00C67FB9"/>
    <w:rsid w:val="00C71C7A"/>
    <w:rsid w:val="00CB216D"/>
    <w:rsid w:val="00CD2939"/>
    <w:rsid w:val="00CF6D00"/>
    <w:rsid w:val="00D0324E"/>
    <w:rsid w:val="00D52CAE"/>
    <w:rsid w:val="00D653BD"/>
    <w:rsid w:val="00DA34F7"/>
    <w:rsid w:val="00DA3A01"/>
    <w:rsid w:val="00DB0AF0"/>
    <w:rsid w:val="00DF7989"/>
    <w:rsid w:val="00E02BD1"/>
    <w:rsid w:val="00EC77A4"/>
    <w:rsid w:val="00ED7BC3"/>
    <w:rsid w:val="00EF2219"/>
    <w:rsid w:val="00F2736D"/>
    <w:rsid w:val="00F45F52"/>
    <w:rsid w:val="00FE5A2D"/>
    <w:rsid w:val="00FE5DED"/>
    <w:rsid w:val="00FF530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A948"/>
  <w15:chartTrackingRefBased/>
  <w15:docId w15:val="{ACDE88EC-27A3-442E-A387-D6A4E1FEC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4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340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340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340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340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0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0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0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0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40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340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0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0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09B"/>
    <w:rPr>
      <w:rFonts w:eastAsiaTheme="majorEastAsia" w:cstheme="majorBidi"/>
      <w:color w:val="272727" w:themeColor="text1" w:themeTint="D8"/>
    </w:rPr>
  </w:style>
  <w:style w:type="paragraph" w:styleId="Title">
    <w:name w:val="Title"/>
    <w:basedOn w:val="Normal"/>
    <w:next w:val="Normal"/>
    <w:link w:val="TitleChar"/>
    <w:uiPriority w:val="10"/>
    <w:qFormat/>
    <w:rsid w:val="00334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09B"/>
    <w:pPr>
      <w:spacing w:before="160"/>
      <w:jc w:val="center"/>
    </w:pPr>
    <w:rPr>
      <w:i/>
      <w:iCs/>
      <w:color w:val="404040" w:themeColor="text1" w:themeTint="BF"/>
    </w:rPr>
  </w:style>
  <w:style w:type="character" w:customStyle="1" w:styleId="QuoteChar">
    <w:name w:val="Quote Char"/>
    <w:basedOn w:val="DefaultParagraphFont"/>
    <w:link w:val="Quote"/>
    <w:uiPriority w:val="29"/>
    <w:rsid w:val="0033409B"/>
    <w:rPr>
      <w:i/>
      <w:iCs/>
      <w:color w:val="404040" w:themeColor="text1" w:themeTint="BF"/>
    </w:rPr>
  </w:style>
  <w:style w:type="paragraph" w:styleId="ListParagraph">
    <w:name w:val="List Paragraph"/>
    <w:basedOn w:val="Normal"/>
    <w:uiPriority w:val="1"/>
    <w:qFormat/>
    <w:rsid w:val="0033409B"/>
    <w:pPr>
      <w:ind w:left="720"/>
      <w:contextualSpacing/>
    </w:pPr>
  </w:style>
  <w:style w:type="character" w:styleId="IntenseEmphasis">
    <w:name w:val="Intense Emphasis"/>
    <w:basedOn w:val="DefaultParagraphFont"/>
    <w:uiPriority w:val="21"/>
    <w:qFormat/>
    <w:rsid w:val="0033409B"/>
    <w:rPr>
      <w:i/>
      <w:iCs/>
      <w:color w:val="0F4761" w:themeColor="accent1" w:themeShade="BF"/>
    </w:rPr>
  </w:style>
  <w:style w:type="paragraph" w:styleId="IntenseQuote">
    <w:name w:val="Intense Quote"/>
    <w:basedOn w:val="Normal"/>
    <w:next w:val="Normal"/>
    <w:link w:val="IntenseQuoteChar"/>
    <w:uiPriority w:val="30"/>
    <w:qFormat/>
    <w:rsid w:val="00334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09B"/>
    <w:rPr>
      <w:i/>
      <w:iCs/>
      <w:color w:val="0F4761" w:themeColor="accent1" w:themeShade="BF"/>
    </w:rPr>
  </w:style>
  <w:style w:type="character" w:styleId="IntenseReference">
    <w:name w:val="Intense Reference"/>
    <w:basedOn w:val="DefaultParagraphFont"/>
    <w:uiPriority w:val="32"/>
    <w:qFormat/>
    <w:rsid w:val="0033409B"/>
    <w:rPr>
      <w:b/>
      <w:bCs/>
      <w:smallCaps/>
      <w:color w:val="0F4761" w:themeColor="accent1" w:themeShade="BF"/>
      <w:spacing w:val="5"/>
    </w:rPr>
  </w:style>
  <w:style w:type="paragraph" w:customStyle="1" w:styleId="pdq2pgselectionanchorcontainer">
    <w:name w:val="pdq2pg_selectionanchorcontainer"/>
    <w:basedOn w:val="Normal"/>
    <w:rsid w:val="00565BFD"/>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paragraph" w:styleId="NormalWeb">
    <w:name w:val="Normal (Web)"/>
    <w:basedOn w:val="Normal"/>
    <w:uiPriority w:val="99"/>
    <w:semiHidden/>
    <w:unhideWhenUsed/>
    <w:rsid w:val="00565BFD"/>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565BFD"/>
    <w:rPr>
      <w:b/>
      <w:bCs/>
    </w:rPr>
  </w:style>
  <w:style w:type="character" w:styleId="Hyperlink">
    <w:name w:val="Hyperlink"/>
    <w:basedOn w:val="DefaultParagraphFont"/>
    <w:uiPriority w:val="99"/>
    <w:unhideWhenUsed/>
    <w:rsid w:val="00312C9B"/>
    <w:rPr>
      <w:color w:val="467886" w:themeColor="hyperlink"/>
      <w:u w:val="single"/>
    </w:rPr>
  </w:style>
  <w:style w:type="character" w:styleId="UnresolvedMention">
    <w:name w:val="Unresolved Mention"/>
    <w:basedOn w:val="DefaultParagraphFont"/>
    <w:uiPriority w:val="99"/>
    <w:semiHidden/>
    <w:unhideWhenUsed/>
    <w:rsid w:val="00312C9B"/>
    <w:rPr>
      <w:color w:val="605E5C"/>
      <w:shd w:val="clear" w:color="auto" w:fill="E1DFDD"/>
    </w:rPr>
  </w:style>
  <w:style w:type="table" w:styleId="TableGrid">
    <w:name w:val="Table Grid"/>
    <w:basedOn w:val="TableNormal"/>
    <w:uiPriority w:val="39"/>
    <w:rsid w:val="00A67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A67F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E1F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5F61C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TOCHeading">
    <w:name w:val="TOC Heading"/>
    <w:basedOn w:val="Heading1"/>
    <w:next w:val="Normal"/>
    <w:uiPriority w:val="39"/>
    <w:unhideWhenUsed/>
    <w:qFormat/>
    <w:rsid w:val="00592C39"/>
    <w:pPr>
      <w:spacing w:before="240" w:after="0"/>
      <w:outlineLvl w:val="9"/>
    </w:pPr>
    <w:rPr>
      <w:sz w:val="32"/>
      <w:szCs w:val="32"/>
      <w:lang w:eastAsia="en-GB"/>
      <w14:ligatures w14:val="none"/>
    </w:rPr>
  </w:style>
  <w:style w:type="paragraph" w:styleId="TOC1">
    <w:name w:val="toc 1"/>
    <w:basedOn w:val="Normal"/>
    <w:next w:val="Normal"/>
    <w:autoRedefine/>
    <w:uiPriority w:val="39"/>
    <w:unhideWhenUsed/>
    <w:rsid w:val="00592C39"/>
    <w:pPr>
      <w:spacing w:after="100"/>
    </w:pPr>
  </w:style>
  <w:style w:type="paragraph" w:styleId="TOC2">
    <w:name w:val="toc 2"/>
    <w:basedOn w:val="Normal"/>
    <w:next w:val="Normal"/>
    <w:autoRedefine/>
    <w:uiPriority w:val="39"/>
    <w:unhideWhenUsed/>
    <w:rsid w:val="00592C39"/>
    <w:pPr>
      <w:spacing w:after="100"/>
      <w:ind w:left="220"/>
    </w:pPr>
  </w:style>
  <w:style w:type="paragraph" w:styleId="TOC3">
    <w:name w:val="toc 3"/>
    <w:basedOn w:val="Normal"/>
    <w:next w:val="Normal"/>
    <w:autoRedefine/>
    <w:uiPriority w:val="39"/>
    <w:unhideWhenUsed/>
    <w:rsid w:val="008E05BA"/>
    <w:pPr>
      <w:tabs>
        <w:tab w:val="right" w:leader="dot" w:pos="9742"/>
      </w:tabs>
      <w:spacing w:after="100"/>
      <w:ind w:left="440"/>
    </w:pPr>
    <w:rPr>
      <w:rFonts w:ascii="Arial" w:hAnsi="Arial" w:cs="Arial"/>
      <w:noProof/>
    </w:rPr>
  </w:style>
  <w:style w:type="paragraph" w:styleId="Header">
    <w:name w:val="header"/>
    <w:basedOn w:val="Normal"/>
    <w:link w:val="HeaderChar"/>
    <w:uiPriority w:val="99"/>
    <w:unhideWhenUsed/>
    <w:rsid w:val="00592C39"/>
    <w:pPr>
      <w:tabs>
        <w:tab w:val="center" w:pos="4677"/>
        <w:tab w:val="right" w:pos="9355"/>
      </w:tabs>
      <w:spacing w:after="0" w:line="240" w:lineRule="auto"/>
    </w:pPr>
  </w:style>
  <w:style w:type="character" w:customStyle="1" w:styleId="HeaderChar">
    <w:name w:val="Header Char"/>
    <w:basedOn w:val="DefaultParagraphFont"/>
    <w:link w:val="Header"/>
    <w:uiPriority w:val="99"/>
    <w:rsid w:val="00592C39"/>
  </w:style>
  <w:style w:type="paragraph" w:styleId="Footer">
    <w:name w:val="footer"/>
    <w:basedOn w:val="Normal"/>
    <w:link w:val="FooterChar"/>
    <w:uiPriority w:val="99"/>
    <w:unhideWhenUsed/>
    <w:rsid w:val="00592C39"/>
    <w:pPr>
      <w:tabs>
        <w:tab w:val="center" w:pos="4677"/>
        <w:tab w:val="right" w:pos="9355"/>
      </w:tabs>
      <w:spacing w:after="0" w:line="240" w:lineRule="auto"/>
    </w:pPr>
  </w:style>
  <w:style w:type="character" w:customStyle="1" w:styleId="FooterChar">
    <w:name w:val="Footer Char"/>
    <w:basedOn w:val="DefaultParagraphFont"/>
    <w:link w:val="Footer"/>
    <w:uiPriority w:val="99"/>
    <w:rsid w:val="00592C39"/>
  </w:style>
  <w:style w:type="paragraph" w:styleId="BodyText">
    <w:name w:val="Body Text"/>
    <w:basedOn w:val="Normal"/>
    <w:link w:val="BodyTextChar"/>
    <w:uiPriority w:val="1"/>
    <w:qFormat/>
    <w:rsid w:val="003E5754"/>
    <w:pPr>
      <w:widowControl w:val="0"/>
      <w:autoSpaceDE w:val="0"/>
      <w:autoSpaceDN w:val="0"/>
      <w:spacing w:after="0" w:line="240" w:lineRule="auto"/>
    </w:pPr>
    <w:rPr>
      <w:rFonts w:ascii="Arial" w:eastAsia="Arial" w:hAnsi="Arial" w:cs="Arial"/>
      <w:sz w:val="10"/>
      <w:szCs w:val="10"/>
      <w:lang w:val="en-US"/>
      <w14:ligatures w14:val="none"/>
    </w:rPr>
  </w:style>
  <w:style w:type="character" w:customStyle="1" w:styleId="BodyTextChar">
    <w:name w:val="Body Text Char"/>
    <w:basedOn w:val="DefaultParagraphFont"/>
    <w:link w:val="BodyText"/>
    <w:uiPriority w:val="1"/>
    <w:rsid w:val="003E5754"/>
    <w:rPr>
      <w:rFonts w:ascii="Arial" w:eastAsia="Arial" w:hAnsi="Arial" w:cs="Arial"/>
      <w:sz w:val="10"/>
      <w:szCs w:val="10"/>
      <w:lang w:val="en-US"/>
      <w14:ligatures w14:val="none"/>
    </w:rPr>
  </w:style>
  <w:style w:type="paragraph" w:customStyle="1" w:styleId="TableParagraph">
    <w:name w:val="Table Paragraph"/>
    <w:basedOn w:val="Normal"/>
    <w:uiPriority w:val="1"/>
    <w:qFormat/>
    <w:rsid w:val="003E5754"/>
    <w:pPr>
      <w:widowControl w:val="0"/>
      <w:autoSpaceDE w:val="0"/>
      <w:autoSpaceDN w:val="0"/>
      <w:spacing w:after="0" w:line="240" w:lineRule="auto"/>
    </w:pPr>
    <w:rPr>
      <w:rFonts w:ascii="Arial" w:eastAsia="Arial" w:hAnsi="Arial" w:cs="Arial"/>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IJMPB-06-2020-0187?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32738/JEPPM-2022-0017" TargetMode="External"/><Relationship Id="rId2" Type="http://schemas.openxmlformats.org/officeDocument/2006/relationships/numbering" Target="numbering.xml"/><Relationship Id="rId16" Type="http://schemas.openxmlformats.org/officeDocument/2006/relationships/hyperlink" Target="https://aisel.aisnet.org/icis1981/20?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gov.uk/government/publications/national-infrastructure-strategy?utm_source=chatgpt.com"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uk/government/publications/transport-decarbonisation-pl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EC6A6-A540-4581-AD42-A644806A2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16</Pages>
  <Words>4601</Words>
  <Characters>26230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Taisiia Pavliukova</dc:creator>
  <cp:keywords/>
  <dc:description/>
  <cp:lastModifiedBy>Taisiia Pavliukova</cp:lastModifiedBy>
  <cp:revision>25</cp:revision>
  <cp:lastPrinted>2026-08-13T16:58:00Z</cp:lastPrinted>
  <dcterms:created xsi:type="dcterms:W3CDTF">2026-08-06T10:40:00Z</dcterms:created>
  <dcterms:modified xsi:type="dcterms:W3CDTF">2026-08-13T20:02:00Z</dcterms:modified>
</cp:coreProperties>
</file>