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3EDCF" w14:textId="77777777" w:rsidR="0044311E" w:rsidRPr="00F77219" w:rsidRDefault="00B1133F" w:rsidP="00056983">
      <w:pPr>
        <w:rPr>
          <w:lang w:eastAsia="en-GB"/>
        </w:rPr>
      </w:pPr>
      <w:r w:rsidRPr="00F77219">
        <w:rPr>
          <w:lang w:eastAsia="en-GB"/>
        </w:rPr>
        <w:t xml:space="preserve"> </w:t>
      </w:r>
    </w:p>
    <w:p w14:paraId="42E6CE01" w14:textId="77777777" w:rsidR="0044311E" w:rsidRPr="00F77219" w:rsidRDefault="00B1133F" w:rsidP="00F77219">
      <w:pPr>
        <w:pStyle w:val="Title"/>
        <w:spacing w:line="360" w:lineRule="auto"/>
        <w:rPr>
          <w:rFonts w:eastAsia="Times New Roman" w:cs="Arial"/>
          <w:szCs w:val="24"/>
          <w:lang w:eastAsia="en-GB"/>
        </w:rPr>
      </w:pPr>
      <w:r w:rsidRPr="00F77219">
        <w:rPr>
          <w:rFonts w:eastAsia="Times New Roman" w:cs="Arial"/>
          <w:lang w:eastAsia="en-GB"/>
        </w:rPr>
        <w:t>Introduction to Physiology</w:t>
      </w:r>
    </w:p>
    <w:p w14:paraId="2B79D1DC" w14:textId="77777777" w:rsidR="0044311E" w:rsidRPr="00F77219" w:rsidRDefault="0044311E" w:rsidP="00326CB2">
      <w:pPr>
        <w:spacing w:after="0"/>
        <w:rPr>
          <w:rFonts w:eastAsia="Times New Roman" w:cs="Arial"/>
          <w:szCs w:val="24"/>
          <w:lang w:eastAsia="en-GB"/>
        </w:rPr>
      </w:pPr>
    </w:p>
    <w:p w14:paraId="7B74A20F" w14:textId="77777777" w:rsidR="00F50846" w:rsidRPr="00F77219" w:rsidRDefault="00B1133F" w:rsidP="00326CB2">
      <w:pPr>
        <w:rPr>
          <w:rFonts w:eastAsia="Times New Roman" w:cs="Arial"/>
          <w:b/>
          <w:bCs/>
          <w:sz w:val="27"/>
          <w:szCs w:val="27"/>
          <w:lang w:eastAsia="en-GB"/>
        </w:rPr>
      </w:pPr>
      <w:r w:rsidRPr="00F77219">
        <w:rPr>
          <w:rFonts w:eastAsia="Times New Roman" w:cs="Arial"/>
          <w:b/>
          <w:bCs/>
          <w:sz w:val="27"/>
          <w:szCs w:val="27"/>
          <w:lang w:eastAsia="en-GB"/>
        </w:rPr>
        <w:br w:type="page"/>
      </w:r>
    </w:p>
    <w:sdt>
      <w:sdtPr>
        <w:rPr>
          <w:rFonts w:ascii="Arial" w:eastAsiaTheme="minorHAnsi" w:hAnsi="Arial" w:cs="Arial"/>
          <w:b/>
          <w:color w:val="auto"/>
          <w:sz w:val="22"/>
          <w:szCs w:val="22"/>
          <w:lang w:val="en-GB"/>
        </w:rPr>
        <w:id w:val="-1347400156"/>
        <w:docPartObj>
          <w:docPartGallery w:val="Table of Contents"/>
          <w:docPartUnique/>
        </w:docPartObj>
      </w:sdtPr>
      <w:sdtEndPr>
        <w:rPr>
          <w:bCs/>
          <w:noProof/>
        </w:rPr>
      </w:sdtEndPr>
      <w:sdtContent>
        <w:p w14:paraId="447A220B" w14:textId="77777777" w:rsidR="00735104" w:rsidRPr="00F77219" w:rsidRDefault="00B1133F" w:rsidP="00F77219">
          <w:pPr>
            <w:pStyle w:val="TOCHeading"/>
            <w:spacing w:line="360" w:lineRule="auto"/>
            <w:jc w:val="center"/>
            <w:rPr>
              <w:rFonts w:ascii="Arial" w:hAnsi="Arial" w:cs="Arial"/>
              <w:b/>
              <w:color w:val="auto"/>
            </w:rPr>
          </w:pPr>
          <w:r w:rsidRPr="00F77219">
            <w:rPr>
              <w:rFonts w:ascii="Arial" w:hAnsi="Arial" w:cs="Arial"/>
              <w:b/>
              <w:color w:val="auto"/>
            </w:rPr>
            <w:t>TABLE OF CONTENTS</w:t>
          </w:r>
        </w:p>
        <w:p w14:paraId="1C78DEEF" w14:textId="77777777" w:rsidR="00F77219" w:rsidRDefault="00B1133F">
          <w:pPr>
            <w:pStyle w:val="TOC1"/>
            <w:tabs>
              <w:tab w:val="right" w:leader="dot" w:pos="9016"/>
            </w:tabs>
            <w:rPr>
              <w:rFonts w:asciiTheme="minorHAnsi" w:eastAsiaTheme="minorEastAsia" w:hAnsiTheme="minorHAnsi"/>
              <w:noProof/>
              <w:lang w:eastAsia="en-GB"/>
            </w:rPr>
          </w:pPr>
          <w:r w:rsidRPr="00F77219">
            <w:rPr>
              <w:rFonts w:cs="Arial"/>
            </w:rPr>
            <w:fldChar w:fldCharType="begin"/>
          </w:r>
          <w:r w:rsidRPr="00F77219">
            <w:rPr>
              <w:rFonts w:cs="Arial"/>
            </w:rPr>
            <w:instrText xml:space="preserve"> TOC \o "1-3" \h \z \u </w:instrText>
          </w:r>
          <w:r w:rsidRPr="00F77219">
            <w:rPr>
              <w:rFonts w:cs="Arial"/>
            </w:rPr>
            <w:fldChar w:fldCharType="separate"/>
          </w:r>
          <w:hyperlink w:anchor="_Toc212725830" w:history="1">
            <w:r w:rsidR="00F77219" w:rsidRPr="00A60543">
              <w:rPr>
                <w:rStyle w:val="Hyperlink"/>
                <w:rFonts w:eastAsia="Times New Roman" w:cs="Arial"/>
                <w:noProof/>
                <w:lang w:eastAsia="en-GB"/>
              </w:rPr>
              <w:t>Introduction</w:t>
            </w:r>
            <w:r w:rsidR="00F77219">
              <w:rPr>
                <w:noProof/>
                <w:webHidden/>
              </w:rPr>
              <w:tab/>
            </w:r>
            <w:r w:rsidR="00F77219">
              <w:rPr>
                <w:noProof/>
                <w:webHidden/>
              </w:rPr>
              <w:fldChar w:fldCharType="begin"/>
            </w:r>
            <w:r w:rsidR="00F77219">
              <w:rPr>
                <w:noProof/>
                <w:webHidden/>
              </w:rPr>
              <w:instrText xml:space="preserve"> PAGEREF _Toc212725830 \h </w:instrText>
            </w:r>
            <w:r w:rsidR="00F77219">
              <w:rPr>
                <w:noProof/>
                <w:webHidden/>
              </w:rPr>
            </w:r>
            <w:r w:rsidR="00F77219">
              <w:rPr>
                <w:noProof/>
                <w:webHidden/>
              </w:rPr>
              <w:fldChar w:fldCharType="separate"/>
            </w:r>
            <w:r w:rsidR="00F77219">
              <w:rPr>
                <w:noProof/>
                <w:webHidden/>
              </w:rPr>
              <w:t>3</w:t>
            </w:r>
            <w:r w:rsidR="00F77219">
              <w:rPr>
                <w:noProof/>
                <w:webHidden/>
              </w:rPr>
              <w:fldChar w:fldCharType="end"/>
            </w:r>
          </w:hyperlink>
        </w:p>
        <w:p w14:paraId="640D2F9E" w14:textId="77777777" w:rsidR="00F77219" w:rsidRDefault="00F77219">
          <w:pPr>
            <w:pStyle w:val="TOC2"/>
            <w:tabs>
              <w:tab w:val="right" w:leader="dot" w:pos="9016"/>
            </w:tabs>
            <w:rPr>
              <w:rFonts w:asciiTheme="minorHAnsi" w:eastAsiaTheme="minorEastAsia" w:hAnsiTheme="minorHAnsi"/>
              <w:noProof/>
              <w:lang w:eastAsia="en-GB"/>
            </w:rPr>
          </w:pPr>
          <w:hyperlink w:anchor="_Toc212725831" w:history="1">
            <w:r w:rsidRPr="00A60543">
              <w:rPr>
                <w:rStyle w:val="Hyperlink"/>
                <w:rFonts w:cs="Arial"/>
                <w:noProof/>
              </w:rPr>
              <w:t>Regulation of Blood Sugar Levels</w:t>
            </w:r>
            <w:r>
              <w:rPr>
                <w:noProof/>
                <w:webHidden/>
              </w:rPr>
              <w:tab/>
            </w:r>
            <w:r>
              <w:rPr>
                <w:noProof/>
                <w:webHidden/>
              </w:rPr>
              <w:fldChar w:fldCharType="begin"/>
            </w:r>
            <w:r>
              <w:rPr>
                <w:noProof/>
                <w:webHidden/>
              </w:rPr>
              <w:instrText xml:space="preserve"> PAGEREF _Toc212725831 \h </w:instrText>
            </w:r>
            <w:r>
              <w:rPr>
                <w:noProof/>
                <w:webHidden/>
              </w:rPr>
            </w:r>
            <w:r>
              <w:rPr>
                <w:noProof/>
                <w:webHidden/>
              </w:rPr>
              <w:fldChar w:fldCharType="separate"/>
            </w:r>
            <w:r>
              <w:rPr>
                <w:noProof/>
                <w:webHidden/>
              </w:rPr>
              <w:t>3</w:t>
            </w:r>
            <w:r>
              <w:rPr>
                <w:noProof/>
                <w:webHidden/>
              </w:rPr>
              <w:fldChar w:fldCharType="end"/>
            </w:r>
          </w:hyperlink>
        </w:p>
        <w:p w14:paraId="68E8B476" w14:textId="77777777" w:rsidR="00F77219" w:rsidRDefault="00F77219">
          <w:pPr>
            <w:pStyle w:val="TOC2"/>
            <w:tabs>
              <w:tab w:val="right" w:leader="dot" w:pos="9016"/>
            </w:tabs>
            <w:rPr>
              <w:rFonts w:asciiTheme="minorHAnsi" w:eastAsiaTheme="minorEastAsia" w:hAnsiTheme="minorHAnsi"/>
              <w:noProof/>
              <w:lang w:eastAsia="en-GB"/>
            </w:rPr>
          </w:pPr>
          <w:hyperlink w:anchor="_Toc212725832" w:history="1">
            <w:r w:rsidRPr="00A60543">
              <w:rPr>
                <w:rStyle w:val="Hyperlink"/>
                <w:rFonts w:cs="Arial"/>
                <w:noProof/>
              </w:rPr>
              <w:t>Cell Metabolism and Energy Production</w:t>
            </w:r>
            <w:r>
              <w:rPr>
                <w:noProof/>
                <w:webHidden/>
              </w:rPr>
              <w:tab/>
            </w:r>
            <w:r>
              <w:rPr>
                <w:noProof/>
                <w:webHidden/>
              </w:rPr>
              <w:fldChar w:fldCharType="begin"/>
            </w:r>
            <w:r>
              <w:rPr>
                <w:noProof/>
                <w:webHidden/>
              </w:rPr>
              <w:instrText xml:space="preserve"> PAGEREF _Toc212725832 \h </w:instrText>
            </w:r>
            <w:r>
              <w:rPr>
                <w:noProof/>
                <w:webHidden/>
              </w:rPr>
            </w:r>
            <w:r>
              <w:rPr>
                <w:noProof/>
                <w:webHidden/>
              </w:rPr>
              <w:fldChar w:fldCharType="separate"/>
            </w:r>
            <w:r>
              <w:rPr>
                <w:noProof/>
                <w:webHidden/>
              </w:rPr>
              <w:t>4</w:t>
            </w:r>
            <w:r>
              <w:rPr>
                <w:noProof/>
                <w:webHidden/>
              </w:rPr>
              <w:fldChar w:fldCharType="end"/>
            </w:r>
          </w:hyperlink>
        </w:p>
        <w:p w14:paraId="425FFA91" w14:textId="77777777" w:rsidR="00F77219" w:rsidRDefault="00F77219">
          <w:pPr>
            <w:pStyle w:val="TOC2"/>
            <w:tabs>
              <w:tab w:val="right" w:leader="dot" w:pos="9016"/>
            </w:tabs>
            <w:rPr>
              <w:rFonts w:asciiTheme="minorHAnsi" w:eastAsiaTheme="minorEastAsia" w:hAnsiTheme="minorHAnsi"/>
              <w:noProof/>
              <w:lang w:eastAsia="en-GB"/>
            </w:rPr>
          </w:pPr>
          <w:hyperlink w:anchor="_Toc212725833" w:history="1">
            <w:r w:rsidRPr="00A60543">
              <w:rPr>
                <w:rStyle w:val="Hyperlink"/>
                <w:rFonts w:cs="Arial"/>
                <w:noProof/>
              </w:rPr>
              <w:t>Recording and Tracking Blood Sugar Levels</w:t>
            </w:r>
            <w:r>
              <w:rPr>
                <w:noProof/>
                <w:webHidden/>
              </w:rPr>
              <w:tab/>
            </w:r>
            <w:r>
              <w:rPr>
                <w:noProof/>
                <w:webHidden/>
              </w:rPr>
              <w:fldChar w:fldCharType="begin"/>
            </w:r>
            <w:r>
              <w:rPr>
                <w:noProof/>
                <w:webHidden/>
              </w:rPr>
              <w:instrText xml:space="preserve"> PAGEREF _Toc212725833 \h </w:instrText>
            </w:r>
            <w:r>
              <w:rPr>
                <w:noProof/>
                <w:webHidden/>
              </w:rPr>
            </w:r>
            <w:r>
              <w:rPr>
                <w:noProof/>
                <w:webHidden/>
              </w:rPr>
              <w:fldChar w:fldCharType="separate"/>
            </w:r>
            <w:r>
              <w:rPr>
                <w:noProof/>
                <w:webHidden/>
              </w:rPr>
              <w:t>5</w:t>
            </w:r>
            <w:r>
              <w:rPr>
                <w:noProof/>
                <w:webHidden/>
              </w:rPr>
              <w:fldChar w:fldCharType="end"/>
            </w:r>
          </w:hyperlink>
        </w:p>
        <w:p w14:paraId="771C757F" w14:textId="77777777" w:rsidR="00F77219" w:rsidRDefault="00F77219">
          <w:pPr>
            <w:pStyle w:val="TOC2"/>
            <w:tabs>
              <w:tab w:val="right" w:leader="dot" w:pos="9016"/>
            </w:tabs>
            <w:rPr>
              <w:rFonts w:asciiTheme="minorHAnsi" w:eastAsiaTheme="minorEastAsia" w:hAnsiTheme="minorHAnsi"/>
              <w:noProof/>
              <w:lang w:eastAsia="en-GB"/>
            </w:rPr>
          </w:pPr>
          <w:hyperlink w:anchor="_Toc212725834" w:history="1">
            <w:r w:rsidRPr="00A60543">
              <w:rPr>
                <w:rStyle w:val="Hyperlink"/>
                <w:rFonts w:cs="Arial"/>
                <w:noProof/>
              </w:rPr>
              <w:t>Lifestyle Factors and Evidence-Based Recommendations</w:t>
            </w:r>
            <w:r>
              <w:rPr>
                <w:noProof/>
                <w:webHidden/>
              </w:rPr>
              <w:tab/>
            </w:r>
            <w:r>
              <w:rPr>
                <w:noProof/>
                <w:webHidden/>
              </w:rPr>
              <w:fldChar w:fldCharType="begin"/>
            </w:r>
            <w:r>
              <w:rPr>
                <w:noProof/>
                <w:webHidden/>
              </w:rPr>
              <w:instrText xml:space="preserve"> PAGEREF _Toc212725834 \h </w:instrText>
            </w:r>
            <w:r>
              <w:rPr>
                <w:noProof/>
                <w:webHidden/>
              </w:rPr>
            </w:r>
            <w:r>
              <w:rPr>
                <w:noProof/>
                <w:webHidden/>
              </w:rPr>
              <w:fldChar w:fldCharType="separate"/>
            </w:r>
            <w:r>
              <w:rPr>
                <w:noProof/>
                <w:webHidden/>
              </w:rPr>
              <w:t>5</w:t>
            </w:r>
            <w:r>
              <w:rPr>
                <w:noProof/>
                <w:webHidden/>
              </w:rPr>
              <w:fldChar w:fldCharType="end"/>
            </w:r>
          </w:hyperlink>
        </w:p>
        <w:p w14:paraId="19D48DC3" w14:textId="77777777" w:rsidR="00F77219" w:rsidRDefault="00F77219">
          <w:pPr>
            <w:pStyle w:val="TOC1"/>
            <w:tabs>
              <w:tab w:val="right" w:leader="dot" w:pos="9016"/>
            </w:tabs>
            <w:rPr>
              <w:rFonts w:asciiTheme="minorHAnsi" w:eastAsiaTheme="minorEastAsia" w:hAnsiTheme="minorHAnsi"/>
              <w:noProof/>
              <w:lang w:eastAsia="en-GB"/>
            </w:rPr>
          </w:pPr>
          <w:hyperlink w:anchor="_Toc212725835" w:history="1">
            <w:r w:rsidRPr="00A60543">
              <w:rPr>
                <w:rStyle w:val="Hyperlink"/>
                <w:rFonts w:eastAsia="Times New Roman" w:cs="Arial"/>
                <w:noProof/>
                <w:lang w:eastAsia="en-GB"/>
              </w:rPr>
              <w:t>Conclusion</w:t>
            </w:r>
            <w:r>
              <w:rPr>
                <w:noProof/>
                <w:webHidden/>
              </w:rPr>
              <w:tab/>
            </w:r>
            <w:r>
              <w:rPr>
                <w:noProof/>
                <w:webHidden/>
              </w:rPr>
              <w:fldChar w:fldCharType="begin"/>
            </w:r>
            <w:r>
              <w:rPr>
                <w:noProof/>
                <w:webHidden/>
              </w:rPr>
              <w:instrText xml:space="preserve"> PAGEREF _Toc212725835 \h </w:instrText>
            </w:r>
            <w:r>
              <w:rPr>
                <w:noProof/>
                <w:webHidden/>
              </w:rPr>
            </w:r>
            <w:r>
              <w:rPr>
                <w:noProof/>
                <w:webHidden/>
              </w:rPr>
              <w:fldChar w:fldCharType="separate"/>
            </w:r>
            <w:r>
              <w:rPr>
                <w:noProof/>
                <w:webHidden/>
              </w:rPr>
              <w:t>7</w:t>
            </w:r>
            <w:r>
              <w:rPr>
                <w:noProof/>
                <w:webHidden/>
              </w:rPr>
              <w:fldChar w:fldCharType="end"/>
            </w:r>
          </w:hyperlink>
        </w:p>
        <w:p w14:paraId="0A4F38CD" w14:textId="77777777" w:rsidR="00F77219" w:rsidRDefault="00F77219">
          <w:pPr>
            <w:pStyle w:val="TOC1"/>
            <w:tabs>
              <w:tab w:val="right" w:leader="dot" w:pos="9016"/>
            </w:tabs>
            <w:rPr>
              <w:rFonts w:asciiTheme="minorHAnsi" w:eastAsiaTheme="minorEastAsia" w:hAnsiTheme="minorHAnsi"/>
              <w:noProof/>
              <w:lang w:eastAsia="en-GB"/>
            </w:rPr>
          </w:pPr>
          <w:hyperlink w:anchor="_Toc212725836" w:history="1">
            <w:r w:rsidRPr="00A60543">
              <w:rPr>
                <w:rStyle w:val="Hyperlink"/>
                <w:rFonts w:eastAsia="Times New Roman" w:cs="Arial"/>
                <w:noProof/>
                <w:lang w:eastAsia="en-GB"/>
              </w:rPr>
              <w:t>Reference List</w:t>
            </w:r>
            <w:r>
              <w:rPr>
                <w:noProof/>
                <w:webHidden/>
              </w:rPr>
              <w:tab/>
            </w:r>
            <w:r>
              <w:rPr>
                <w:noProof/>
                <w:webHidden/>
              </w:rPr>
              <w:fldChar w:fldCharType="begin"/>
            </w:r>
            <w:r>
              <w:rPr>
                <w:noProof/>
                <w:webHidden/>
              </w:rPr>
              <w:instrText xml:space="preserve"> PAGEREF _Toc212725836 \h </w:instrText>
            </w:r>
            <w:r>
              <w:rPr>
                <w:noProof/>
                <w:webHidden/>
              </w:rPr>
            </w:r>
            <w:r>
              <w:rPr>
                <w:noProof/>
                <w:webHidden/>
              </w:rPr>
              <w:fldChar w:fldCharType="separate"/>
            </w:r>
            <w:r>
              <w:rPr>
                <w:noProof/>
                <w:webHidden/>
              </w:rPr>
              <w:t>8</w:t>
            </w:r>
            <w:r>
              <w:rPr>
                <w:noProof/>
                <w:webHidden/>
              </w:rPr>
              <w:fldChar w:fldCharType="end"/>
            </w:r>
          </w:hyperlink>
        </w:p>
        <w:p w14:paraId="1C42C47A" w14:textId="77777777" w:rsidR="00735104" w:rsidRPr="00F77219" w:rsidRDefault="00B1133F" w:rsidP="00326CB2">
          <w:pPr>
            <w:rPr>
              <w:rFonts w:cs="Arial"/>
            </w:rPr>
          </w:pPr>
          <w:r w:rsidRPr="00F77219">
            <w:rPr>
              <w:rFonts w:cs="Arial"/>
              <w:b/>
              <w:bCs/>
              <w:noProof/>
            </w:rPr>
            <w:fldChar w:fldCharType="end"/>
          </w:r>
        </w:p>
      </w:sdtContent>
    </w:sdt>
    <w:p w14:paraId="4878320B" w14:textId="77777777" w:rsidR="00735104" w:rsidRPr="00F77219" w:rsidRDefault="00B1133F" w:rsidP="00326CB2">
      <w:pPr>
        <w:rPr>
          <w:rFonts w:eastAsia="Times New Roman" w:cs="Arial"/>
          <w:b/>
          <w:sz w:val="28"/>
          <w:szCs w:val="32"/>
          <w:lang w:eastAsia="en-GB"/>
        </w:rPr>
      </w:pPr>
      <w:r w:rsidRPr="00F77219">
        <w:rPr>
          <w:rFonts w:eastAsia="Times New Roman" w:cs="Arial"/>
          <w:lang w:eastAsia="en-GB"/>
        </w:rPr>
        <w:br w:type="page"/>
      </w:r>
    </w:p>
    <w:p w14:paraId="4624B2E7" w14:textId="77777777" w:rsidR="0044311E" w:rsidRPr="00A677AB" w:rsidRDefault="00B1133F" w:rsidP="00326CB2">
      <w:pPr>
        <w:pStyle w:val="Heading1"/>
        <w:tabs>
          <w:tab w:val="left" w:pos="2940"/>
        </w:tabs>
        <w:rPr>
          <w:rFonts w:eastAsia="Times New Roman" w:cs="Arial"/>
          <w:sz w:val="22"/>
          <w:szCs w:val="22"/>
          <w:lang w:eastAsia="en-GB"/>
        </w:rPr>
      </w:pPr>
      <w:bookmarkStart w:id="0" w:name="_Toc212725830"/>
      <w:r w:rsidRPr="00F77219">
        <w:rPr>
          <w:rFonts w:eastAsia="Times New Roman" w:cs="Arial"/>
          <w:lang w:eastAsia="en-GB"/>
        </w:rPr>
        <w:lastRenderedPageBreak/>
        <w:t>Introd</w:t>
      </w:r>
      <w:r w:rsidRPr="00A677AB">
        <w:rPr>
          <w:rFonts w:eastAsia="Times New Roman" w:cs="Arial"/>
          <w:sz w:val="22"/>
          <w:szCs w:val="22"/>
          <w:lang w:eastAsia="en-GB"/>
        </w:rPr>
        <w:t>uction</w:t>
      </w:r>
      <w:bookmarkEnd w:id="0"/>
      <w:r w:rsidRPr="00A677AB">
        <w:rPr>
          <w:rFonts w:eastAsia="Times New Roman" w:cs="Arial"/>
          <w:sz w:val="22"/>
          <w:szCs w:val="22"/>
          <w:lang w:eastAsia="en-GB"/>
        </w:rPr>
        <w:t xml:space="preserve"> </w:t>
      </w:r>
      <w:r w:rsidR="00B41593" w:rsidRPr="00A677AB">
        <w:rPr>
          <w:rFonts w:eastAsia="Times New Roman" w:cs="Arial"/>
          <w:sz w:val="22"/>
          <w:szCs w:val="22"/>
          <w:lang w:eastAsia="en-GB"/>
        </w:rPr>
        <w:tab/>
      </w:r>
    </w:p>
    <w:p w14:paraId="08F018C5" w14:textId="77777777" w:rsidR="00985F51" w:rsidRPr="00A677AB" w:rsidRDefault="00B1133F" w:rsidP="00326CB2">
      <w:pPr>
        <w:spacing w:before="100" w:beforeAutospacing="1" w:after="100" w:afterAutospacing="1"/>
        <w:rPr>
          <w:rFonts w:eastAsia="Times New Roman" w:cs="Arial"/>
          <w:lang w:eastAsia="en-GB"/>
        </w:rPr>
      </w:pPr>
      <w:r w:rsidRPr="00A677AB">
        <w:rPr>
          <w:rFonts w:cs="Arial"/>
        </w:rPr>
        <w:t>Diabetes mellitus is a chronic metabolic disease that is characterised by the constant rise of blood glucose levels as a result of the malfunction of insulin secretion, insulin activity, or both. Type 2 diabetes, which is the most widespread, is caused by the body being resistant to insulin or being unable to produce adequate quantities</w:t>
      </w:r>
      <w:r w:rsidR="00B32855" w:rsidRPr="00A677AB">
        <w:rPr>
          <w:rFonts w:cs="Arial"/>
        </w:rPr>
        <w:t xml:space="preserve"> </w:t>
      </w:r>
      <w:r w:rsidR="00B32855" w:rsidRPr="00A677AB">
        <w:rPr>
          <w:rFonts w:eastAsia="Times New Roman" w:cs="Arial"/>
          <w:lang w:eastAsia="en-GB"/>
        </w:rPr>
        <w:t xml:space="preserve">(Alam </w:t>
      </w:r>
      <w:r w:rsidR="00B32855" w:rsidRPr="00A677AB">
        <w:rPr>
          <w:rFonts w:eastAsia="Times New Roman" w:cs="Arial"/>
          <w:i/>
          <w:lang w:eastAsia="en-GB"/>
        </w:rPr>
        <w:t>et al.,</w:t>
      </w:r>
      <w:r w:rsidR="00B32855" w:rsidRPr="00A677AB">
        <w:rPr>
          <w:rFonts w:eastAsia="Times New Roman" w:cs="Arial"/>
          <w:lang w:eastAsia="en-GB"/>
        </w:rPr>
        <w:t xml:space="preserve"> 2021)</w:t>
      </w:r>
      <w:r w:rsidRPr="00A677AB">
        <w:rPr>
          <w:rFonts w:cs="Arial"/>
        </w:rPr>
        <w:t>. It has become one of the significant international health issues, and the World Health Organisation approximates that more than half a billion adults around the globe are already infected by this condition, and the numbers are still increasing, especially in developed countries like the United Kingdom</w:t>
      </w:r>
      <w:r w:rsidR="0022238D" w:rsidRPr="00A677AB">
        <w:rPr>
          <w:rFonts w:cs="Arial"/>
        </w:rPr>
        <w:t xml:space="preserve"> (International Diabetes Federation, 2021)</w:t>
      </w:r>
      <w:r w:rsidRPr="00A677AB">
        <w:rPr>
          <w:rFonts w:cs="Arial"/>
        </w:rPr>
        <w:t xml:space="preserve">. </w:t>
      </w:r>
    </w:p>
    <w:p w14:paraId="7DF2F0AA" w14:textId="77777777" w:rsidR="00F0102D" w:rsidRPr="00A677AB" w:rsidRDefault="00B1133F" w:rsidP="00326CB2">
      <w:pPr>
        <w:rPr>
          <w:rFonts w:cs="Arial"/>
          <w:highlight w:val="yellow"/>
        </w:rPr>
      </w:pPr>
      <w:r w:rsidRPr="00A677AB">
        <w:rPr>
          <w:rFonts w:cs="Arial"/>
        </w:rPr>
        <w:t xml:space="preserve">Some modifiable lifestyle factors include obesity, poor diet, physical inactivity and smoking and non-modifiable risk factors that consist of age, ethnicity and family history that are highly related to the </w:t>
      </w:r>
      <w:r w:rsidR="00985F51" w:rsidRPr="00A677AB">
        <w:rPr>
          <w:rFonts w:cs="Arial"/>
        </w:rPr>
        <w:t>development of Type 2 diabetes.</w:t>
      </w:r>
      <w:r w:rsidR="003609E9" w:rsidRPr="00A677AB">
        <w:rPr>
          <w:rFonts w:cs="Arial"/>
        </w:rPr>
        <w:t xml:space="preserve"> </w:t>
      </w:r>
      <w:r w:rsidRPr="00A677AB">
        <w:rPr>
          <w:rFonts w:cs="Arial"/>
        </w:rPr>
        <w:t>This report intends to discuss the topic of blood sugar regulation in the human body and to analyse the role of lifestyle in the management and the long-term control of Type 2 diabetes.</w:t>
      </w:r>
    </w:p>
    <w:p w14:paraId="6C07A550" w14:textId="77777777" w:rsidR="0044311E" w:rsidRPr="00A677AB" w:rsidRDefault="00B1133F" w:rsidP="00326CB2">
      <w:pPr>
        <w:pStyle w:val="Heading2"/>
        <w:spacing w:line="360" w:lineRule="auto"/>
        <w:rPr>
          <w:rFonts w:cs="Arial"/>
          <w:sz w:val="22"/>
          <w:szCs w:val="22"/>
        </w:rPr>
      </w:pPr>
      <w:bookmarkStart w:id="1" w:name="_Toc212725831"/>
      <w:r w:rsidRPr="00A677AB">
        <w:rPr>
          <w:rFonts w:cs="Arial"/>
          <w:sz w:val="22"/>
          <w:szCs w:val="22"/>
        </w:rPr>
        <w:t>Regulation of Blood Sugar Levels</w:t>
      </w:r>
      <w:bookmarkEnd w:id="1"/>
      <w:r w:rsidRPr="00A677AB">
        <w:rPr>
          <w:rFonts w:cs="Arial"/>
          <w:sz w:val="22"/>
          <w:szCs w:val="22"/>
        </w:rPr>
        <w:t xml:space="preserve"> </w:t>
      </w:r>
      <w:r w:rsidR="003609E9" w:rsidRPr="00A677AB">
        <w:rPr>
          <w:rFonts w:cs="Arial"/>
          <w:i/>
          <w:iCs/>
          <w:sz w:val="22"/>
          <w:szCs w:val="22"/>
        </w:rPr>
        <w:t xml:space="preserve">   </w:t>
      </w:r>
    </w:p>
    <w:p w14:paraId="7C5DDC21" w14:textId="77777777" w:rsidR="00F0102D" w:rsidRPr="00A677AB" w:rsidRDefault="00B1133F" w:rsidP="00326CB2">
      <w:pPr>
        <w:spacing w:before="100" w:beforeAutospacing="1" w:after="100" w:afterAutospacing="1"/>
        <w:rPr>
          <w:rFonts w:eastAsia="Times New Roman" w:cs="Arial"/>
          <w:highlight w:val="yellow"/>
          <w:lang w:eastAsia="en-GB"/>
        </w:rPr>
      </w:pPr>
      <w:r w:rsidRPr="00A677AB">
        <w:rPr>
          <w:rFonts w:eastAsia="Times New Roman" w:cs="Arial"/>
          <w:lang w:eastAsia="en-GB"/>
        </w:rPr>
        <w:t xml:space="preserve">A human body can keep blood glucose at a small range of between 4-7 mmol/L in a </w:t>
      </w:r>
      <w:r w:rsidR="00735104" w:rsidRPr="00A677AB">
        <w:rPr>
          <w:rFonts w:eastAsia="Times New Roman" w:cs="Arial"/>
          <w:lang w:eastAsia="en-GB"/>
        </w:rPr>
        <w:t>well-coordinated</w:t>
      </w:r>
      <w:r w:rsidRPr="00A677AB">
        <w:rPr>
          <w:rFonts w:eastAsia="Times New Roman" w:cs="Arial"/>
          <w:lang w:eastAsia="en-GB"/>
        </w:rPr>
        <w:t xml:space="preserve"> process called glucose homeostasis</w:t>
      </w:r>
      <w:r w:rsidR="00375CE1" w:rsidRPr="00A677AB">
        <w:rPr>
          <w:rFonts w:eastAsia="Times New Roman" w:cs="Arial"/>
          <w:lang w:eastAsia="en-GB"/>
        </w:rPr>
        <w:t xml:space="preserve"> (</w:t>
      </w:r>
      <w:r w:rsidR="00375CE1" w:rsidRPr="00A677AB">
        <w:rPr>
          <w:rFonts w:cs="Arial"/>
        </w:rPr>
        <w:t>StatPearls Publishing, 2024)</w:t>
      </w:r>
      <w:r w:rsidRPr="00A677AB">
        <w:rPr>
          <w:rFonts w:eastAsia="Times New Roman" w:cs="Arial"/>
          <w:lang w:eastAsia="en-GB"/>
        </w:rPr>
        <w:t>. This is a regulation that guarantees the cells in the body constant availability of energy and also avoids harm due to an extreme level of glucose. The central part in this process is played by the pancreas, especially the islets of Langerhans, which secrete hormones which regulate glucose uptake, storage and release.</w:t>
      </w:r>
    </w:p>
    <w:p w14:paraId="37D2D7BF" w14:textId="77777777" w:rsidR="00F0102D" w:rsidRPr="00A677AB" w:rsidRDefault="00B1133F" w:rsidP="00326CB2">
      <w:pPr>
        <w:spacing w:before="100" w:beforeAutospacing="1" w:after="100" w:afterAutospacing="1"/>
        <w:rPr>
          <w:rFonts w:eastAsia="Times New Roman" w:cs="Arial"/>
          <w:lang w:eastAsia="en-GB"/>
        </w:rPr>
      </w:pPr>
      <w:r w:rsidRPr="00A677AB">
        <w:rPr>
          <w:rFonts w:eastAsia="Times New Roman" w:cs="Arial"/>
          <w:lang w:eastAsia="en-GB"/>
        </w:rPr>
        <w:t>These two hormones, insulin and glucagon, are in charge of such a balance. The secretion of insulin by the β-cells of the pancreas in response to the increase in blood glucose after eating assists the movement of glucose in the bloodstream into body cells, especially in the liver, skeletal muscles and fat</w:t>
      </w:r>
      <w:r w:rsidR="00B32855" w:rsidRPr="00A677AB">
        <w:rPr>
          <w:rFonts w:eastAsia="Times New Roman" w:cs="Arial"/>
          <w:lang w:eastAsia="en-GB"/>
        </w:rPr>
        <w:t xml:space="preserve"> </w:t>
      </w:r>
      <w:r w:rsidR="00B32855" w:rsidRPr="00A677AB">
        <w:rPr>
          <w:rFonts w:cs="Arial"/>
        </w:rPr>
        <w:t>(Bereda, 2021)</w:t>
      </w:r>
      <w:r w:rsidRPr="00A677AB">
        <w:rPr>
          <w:rFonts w:eastAsia="Times New Roman" w:cs="Arial"/>
          <w:lang w:eastAsia="en-GB"/>
        </w:rPr>
        <w:t>. Glycogenesis converts the glucose in the liver and muscle to glycogen, which stores energy, whereas in the adipose tissue, the surplus glucose is used in fat generation. On the contrary, the decrease in blood glucose will cause the a-cells of the pancreas to secrete glucagon, subsequently causing the liver to break down glycogen into glucose (glycogenolysis) and to synthesise glucose out of non-carbohydrates (gluconeogenesis). This synchronised action ensures constant levels of blood glucose during and between meals as well as in fasting.</w:t>
      </w:r>
    </w:p>
    <w:p w14:paraId="2EAB9AAC" w14:textId="77777777" w:rsidR="00F0102D" w:rsidRPr="00A677AB" w:rsidRDefault="00B1133F" w:rsidP="00326CB2">
      <w:pPr>
        <w:spacing w:before="100" w:beforeAutospacing="1" w:after="100" w:afterAutospacing="1"/>
        <w:rPr>
          <w:rFonts w:eastAsia="Times New Roman" w:cs="Arial"/>
          <w:highlight w:val="yellow"/>
          <w:lang w:eastAsia="en-GB"/>
        </w:rPr>
      </w:pPr>
      <w:r w:rsidRPr="00A677AB">
        <w:rPr>
          <w:rFonts w:eastAsia="Times New Roman" w:cs="Arial"/>
          <w:lang w:eastAsia="en-GB"/>
        </w:rPr>
        <w:lastRenderedPageBreak/>
        <w:t>This regulatory system is destroyed in Type 2 diabetes. The cells in the body become insulin-resistant, which implies that their reaction to the action of insulin is reduced. To counteract this, the pancreas starts producing more insulin, but after some time, there is a dysfunction of β-cells that lowers the secretion of insulin. This causes glucose to build up in the blood, resulting in chronic hyperglycaemia. Unrelenting elevated glucose leads to glycation of proteins and destruction of blood vessels and nerve damage, thus leading to long-term effects of cardiovascular disease, neuropathy, nephropathy and retinopathy.</w:t>
      </w:r>
    </w:p>
    <w:p w14:paraId="08597BA0" w14:textId="77777777" w:rsidR="00F0102D" w:rsidRPr="00A677AB" w:rsidRDefault="00B1133F" w:rsidP="00326CB2">
      <w:pPr>
        <w:spacing w:before="100" w:beforeAutospacing="1" w:after="100" w:afterAutospacing="1"/>
        <w:rPr>
          <w:rFonts w:eastAsia="Times New Roman" w:cs="Arial"/>
          <w:highlight w:val="yellow"/>
          <w:lang w:eastAsia="en-GB"/>
        </w:rPr>
      </w:pPr>
      <w:r w:rsidRPr="00A677AB">
        <w:rPr>
          <w:rFonts w:eastAsia="Times New Roman" w:cs="Arial"/>
          <w:lang w:eastAsia="en-GB"/>
        </w:rPr>
        <w:t>Thus, the information about the interplay between the pancreas, liver, muscle, and adipose tissue in determining the level of glucose is essential to understand the effective control of Type 2 diabetes. The role of this feedback system in maintaining metabolic balance, which is affected by medication compliance, nutritional change, and exercise, can be readily evidenced by the disruption of any of the components in the feedback system and insulin insensitivity, resulting in complications.</w:t>
      </w:r>
    </w:p>
    <w:p w14:paraId="6BE85302" w14:textId="28607F2D" w:rsidR="0044311E" w:rsidRPr="00A677AB" w:rsidRDefault="00B1133F" w:rsidP="00326CB2">
      <w:pPr>
        <w:pStyle w:val="Heading2"/>
        <w:spacing w:line="360" w:lineRule="auto"/>
        <w:rPr>
          <w:rFonts w:cs="Arial"/>
          <w:sz w:val="22"/>
          <w:szCs w:val="22"/>
        </w:rPr>
      </w:pPr>
      <w:bookmarkStart w:id="2" w:name="_Toc212725832"/>
      <w:r w:rsidRPr="00A677AB">
        <w:rPr>
          <w:rFonts w:cs="Arial"/>
          <w:sz w:val="22"/>
          <w:szCs w:val="22"/>
        </w:rPr>
        <w:t>Cell Metabolism and Energy Production</w:t>
      </w:r>
      <w:bookmarkEnd w:id="2"/>
      <w:r w:rsidRPr="00A677AB">
        <w:rPr>
          <w:rFonts w:cs="Arial"/>
          <w:sz w:val="22"/>
          <w:szCs w:val="22"/>
        </w:rPr>
        <w:t xml:space="preserve"> </w:t>
      </w:r>
    </w:p>
    <w:p w14:paraId="4AC5622C" w14:textId="7EC00285" w:rsidR="00433FF8" w:rsidRPr="008B2097" w:rsidRDefault="003A5E9A" w:rsidP="00326CB2">
      <w:pPr>
        <w:spacing w:before="100" w:beforeAutospacing="1" w:after="100" w:afterAutospacing="1"/>
        <w:rPr>
          <w:rFonts w:cs="Arial"/>
          <w:highlight w:val="yellow"/>
        </w:rPr>
      </w:pPr>
      <w:r w:rsidRPr="003A5E9A">
        <w:rPr>
          <w:rFonts w:eastAsia="Times New Roman" w:cs="Arial"/>
          <w:lang w:eastAsia="en-GB"/>
        </w:rPr>
        <w:t>The body relies on glucose and oxygen as its main sources of energy supply that is used to support the activity of the cells and the whole process of physiology (Dilworth et al., 2021). When glucose gets into the body cells, it undergoes series of biochemical processes that are usually known as cellular respiration, and through this process approximately 150,000 body cells produce adenosine triphosphate (ATP), the body fuel. ATP plays a critical role in the processes of muscle contracting, conducting nerves and repairing tissues.</w:t>
      </w:r>
    </w:p>
    <w:p w14:paraId="115401F0" w14:textId="5816D396" w:rsidR="00433FF8" w:rsidRPr="00A677AB" w:rsidRDefault="003A5E9A" w:rsidP="00326CB2">
      <w:pPr>
        <w:spacing w:before="100" w:beforeAutospacing="1" w:after="100" w:afterAutospacing="1"/>
        <w:rPr>
          <w:rFonts w:cs="Arial"/>
        </w:rPr>
      </w:pPr>
      <w:r w:rsidRPr="003A5E9A">
        <w:rPr>
          <w:rFonts w:cs="Arial"/>
        </w:rPr>
        <w:t xml:space="preserve">This is catalyzed by glycolysis that occurs in the cytoplasm and this process does not require oxygen (Kumar et al., 2024). During the glycolysis process, a glucose molecule (six-carbon molecule) is further split into two molecules of pyruvate to form low concentration of ATP and nicotinamide adenine dinucleotide (NADH). In the presence of oxygen, pyruvate is taken to the mitochondria, which is transformed into acetyl-coa, which is the initial product of the Krebs cycle (citric acid cycle). </w:t>
      </w:r>
      <w:r w:rsidR="00B1133F" w:rsidRPr="00A677AB">
        <w:rPr>
          <w:rFonts w:cs="Arial"/>
        </w:rPr>
        <w:t>The Krebs cycle produces more NADH and flavin adenine dinucleotide (FADH2), which require high-energy electrons to reach the last step, which is oxidative phosphorylation.</w:t>
      </w:r>
      <w:r w:rsidR="00B1133F" w:rsidRPr="00A677AB">
        <w:rPr>
          <w:rFonts w:cs="Arial"/>
          <w:color w:val="60657B"/>
          <w:shd w:val="clear" w:color="auto" w:fill="FFFFFF"/>
        </w:rPr>
        <w:t xml:space="preserve"> </w:t>
      </w:r>
    </w:p>
    <w:p w14:paraId="5EDB0065" w14:textId="77777777" w:rsidR="00433FF8" w:rsidRPr="00A677AB" w:rsidRDefault="00B1133F" w:rsidP="00326CB2">
      <w:pPr>
        <w:spacing w:before="100" w:beforeAutospacing="1" w:after="100" w:afterAutospacing="1"/>
        <w:rPr>
          <w:rFonts w:cs="Arial"/>
        </w:rPr>
      </w:pPr>
      <w:r w:rsidRPr="00A677AB">
        <w:rPr>
          <w:rFonts w:eastAsia="Times New Roman" w:cs="Arial"/>
          <w:lang w:eastAsia="en-GB"/>
        </w:rPr>
        <w:t>When performing oxidative phosphorylation, these electrons travel through the electron transport chain, which is found in the inner mitochondrial membrane and whose energy is used to produce a significant amount of ATP in the process of chemiosmosis</w:t>
      </w:r>
      <w:r w:rsidR="00B32855" w:rsidRPr="00A677AB">
        <w:rPr>
          <w:rFonts w:eastAsia="Times New Roman" w:cs="Arial"/>
          <w:lang w:eastAsia="en-GB"/>
        </w:rPr>
        <w:t xml:space="preserve"> </w:t>
      </w:r>
      <w:r w:rsidR="00B32855" w:rsidRPr="00A677AB">
        <w:rPr>
          <w:rFonts w:cs="Arial"/>
        </w:rPr>
        <w:t xml:space="preserve">(Lagerlöf </w:t>
      </w:r>
      <w:r w:rsidR="00B32855" w:rsidRPr="00A677AB">
        <w:rPr>
          <w:rFonts w:eastAsia="Times New Roman" w:cs="Arial"/>
          <w:i/>
          <w:lang w:eastAsia="en-GB"/>
        </w:rPr>
        <w:t>et al.,</w:t>
      </w:r>
      <w:r w:rsidR="00B32855" w:rsidRPr="00A677AB">
        <w:rPr>
          <w:rFonts w:eastAsia="Times New Roman" w:cs="Arial"/>
          <w:lang w:eastAsia="en-GB"/>
        </w:rPr>
        <w:t xml:space="preserve"> </w:t>
      </w:r>
      <w:r w:rsidR="00B32855" w:rsidRPr="00A677AB">
        <w:rPr>
          <w:rFonts w:cs="Arial"/>
        </w:rPr>
        <w:t>2021)</w:t>
      </w:r>
      <w:r w:rsidRPr="00A677AB">
        <w:rPr>
          <w:rFonts w:eastAsia="Times New Roman" w:cs="Arial"/>
          <w:lang w:eastAsia="en-GB"/>
        </w:rPr>
        <w:t>. Oxygen is the ultimate electron acceptor, and it reacts with the hydrogen ions to produce water; hence, the process is very efficient.</w:t>
      </w:r>
    </w:p>
    <w:p w14:paraId="12AB02FA" w14:textId="12A28DF7" w:rsidR="0044311E" w:rsidRPr="00A677AB" w:rsidRDefault="003A5E9A" w:rsidP="00326CB2">
      <w:pPr>
        <w:spacing w:before="100" w:beforeAutospacing="1" w:after="100" w:afterAutospacing="1"/>
        <w:rPr>
          <w:rFonts w:cs="Arial"/>
        </w:rPr>
      </w:pPr>
      <w:r w:rsidRPr="003A5E9A">
        <w:rPr>
          <w:rFonts w:eastAsia="Times New Roman" w:cs="Arial"/>
          <w:lang w:eastAsia="en-GB"/>
        </w:rPr>
        <w:lastRenderedPageBreak/>
        <w:t xml:space="preserve">Normal glucose level is therefore extremely vital in energy management and well-being of cells. In diabetes, the deteriorated ATP is due to the deteriorated glucose uptake due to insulin resistance, which leads to fatigue, inability to repair injuries, and organ dysfunction (Ojo et al., 2023). </w:t>
      </w:r>
      <w:r w:rsidR="00B1133F" w:rsidRPr="00A677AB">
        <w:rPr>
          <w:rFonts w:eastAsia="Times New Roman" w:cs="Arial"/>
          <w:lang w:eastAsia="en-GB"/>
        </w:rPr>
        <w:t>Proper glucose control leads to the maintenance of optimum cellular metabolism and averts any metabolic complications that come with Type 2 diabetes.</w:t>
      </w:r>
    </w:p>
    <w:p w14:paraId="459DF3F5" w14:textId="77777777" w:rsidR="0044311E" w:rsidRPr="00A677AB" w:rsidRDefault="00B1133F" w:rsidP="00326CB2">
      <w:pPr>
        <w:pStyle w:val="Heading2"/>
        <w:spacing w:line="360" w:lineRule="auto"/>
        <w:rPr>
          <w:rFonts w:cs="Arial"/>
          <w:i/>
          <w:iCs/>
          <w:sz w:val="22"/>
          <w:szCs w:val="22"/>
        </w:rPr>
      </w:pPr>
      <w:bookmarkStart w:id="3" w:name="_Toc212725833"/>
      <w:r w:rsidRPr="00A677AB">
        <w:rPr>
          <w:rFonts w:cs="Arial"/>
          <w:sz w:val="22"/>
          <w:szCs w:val="22"/>
        </w:rPr>
        <w:t>Recording and Tracking Blood Sugar Levels</w:t>
      </w:r>
      <w:bookmarkEnd w:id="3"/>
      <w:r w:rsidRPr="00A677AB">
        <w:rPr>
          <w:rFonts w:cs="Arial"/>
          <w:sz w:val="22"/>
          <w:szCs w:val="22"/>
        </w:rPr>
        <w:t xml:space="preserve"> </w:t>
      </w:r>
    </w:p>
    <w:p w14:paraId="57A4CE40" w14:textId="77777777" w:rsidR="00433FF8" w:rsidRPr="00A677AB" w:rsidRDefault="00B1133F" w:rsidP="00326CB2">
      <w:pPr>
        <w:spacing w:before="100" w:beforeAutospacing="1" w:after="100" w:afterAutospacing="1"/>
        <w:rPr>
          <w:rFonts w:cs="Arial"/>
        </w:rPr>
      </w:pPr>
      <w:r w:rsidRPr="00A677AB">
        <w:rPr>
          <w:rFonts w:cs="Arial"/>
        </w:rPr>
        <w:t xml:space="preserve">Blood glucose level is a vital aspect of proper management of diabetes, which should be monitored regularly. It allows people and medical workers to evaluate the level of blood sugar control and make appropriate changes to the medical treatment and lifestyle. Capillary blood glucose testing, which is carried out with a small amount of finger blood with a digital glucometer, is the most widespread </w:t>
      </w:r>
      <w:r w:rsidR="00B32855" w:rsidRPr="00A677AB">
        <w:rPr>
          <w:rFonts w:cs="Arial"/>
        </w:rPr>
        <w:t>techniqu</w:t>
      </w:r>
      <w:r w:rsidRPr="00A677AB">
        <w:rPr>
          <w:rFonts w:cs="Arial"/>
        </w:rPr>
        <w:t>e</w:t>
      </w:r>
      <w:r w:rsidR="00B32855" w:rsidRPr="00A677AB">
        <w:rPr>
          <w:rFonts w:cs="Arial"/>
        </w:rPr>
        <w:t xml:space="preserve"> (Rahman </w:t>
      </w:r>
      <w:r w:rsidR="00B32855" w:rsidRPr="00A677AB">
        <w:rPr>
          <w:rFonts w:eastAsia="Times New Roman" w:cs="Arial"/>
          <w:i/>
          <w:lang w:eastAsia="en-GB"/>
        </w:rPr>
        <w:t>et al.,</w:t>
      </w:r>
      <w:r w:rsidR="00B32855" w:rsidRPr="00A677AB">
        <w:rPr>
          <w:rFonts w:eastAsia="Times New Roman" w:cs="Arial"/>
          <w:lang w:eastAsia="en-GB"/>
        </w:rPr>
        <w:t xml:space="preserve"> </w:t>
      </w:r>
      <w:r w:rsidR="00B32855" w:rsidRPr="00A677AB">
        <w:rPr>
          <w:rFonts w:cs="Arial"/>
        </w:rPr>
        <w:t>2021)</w:t>
      </w:r>
      <w:r w:rsidRPr="00A677AB">
        <w:rPr>
          <w:rFonts w:cs="Arial"/>
        </w:rPr>
        <w:t>. This allows an immediate determination of the current glucose levels and assists in identifying cases of hypoglycaemia or hyperglycaemia.</w:t>
      </w:r>
    </w:p>
    <w:p w14:paraId="68895BB1" w14:textId="77777777" w:rsidR="00433FF8" w:rsidRPr="00A677AB" w:rsidRDefault="00B1133F" w:rsidP="00326CB2">
      <w:pPr>
        <w:spacing w:before="100" w:beforeAutospacing="1" w:after="100" w:afterAutospacing="1"/>
        <w:rPr>
          <w:rFonts w:cs="Arial"/>
        </w:rPr>
      </w:pPr>
      <w:r w:rsidRPr="00A677AB">
        <w:rPr>
          <w:rFonts w:cs="Arial"/>
        </w:rPr>
        <w:t>HbA1c (glycated haemoglobin) is another significant value, as the level shows the average concentration of glucose in the blood during the last two to three months. HbA1c testing is usually done after 3-6 months in clinical practice and is one of the most important measurements of glycaemic control in the long term. Moreover, CGM systems as well as flash glucose sensors are becoming more and more popular</w:t>
      </w:r>
      <w:r w:rsidR="00B32855" w:rsidRPr="00A677AB">
        <w:rPr>
          <w:rFonts w:cs="Arial"/>
        </w:rPr>
        <w:t xml:space="preserve"> (Ross </w:t>
      </w:r>
      <w:r w:rsidR="00B32855" w:rsidRPr="00A677AB">
        <w:rPr>
          <w:rFonts w:eastAsia="Times New Roman" w:cs="Arial"/>
          <w:i/>
          <w:lang w:eastAsia="en-GB"/>
        </w:rPr>
        <w:t>et al.,</w:t>
      </w:r>
      <w:r w:rsidR="00B32855" w:rsidRPr="00A677AB">
        <w:rPr>
          <w:rFonts w:eastAsia="Times New Roman" w:cs="Arial"/>
          <w:lang w:eastAsia="en-GB"/>
        </w:rPr>
        <w:t xml:space="preserve"> </w:t>
      </w:r>
      <w:r w:rsidR="00B32855" w:rsidRPr="00A677AB">
        <w:rPr>
          <w:rFonts w:cs="Arial"/>
        </w:rPr>
        <w:t>2022)</w:t>
      </w:r>
      <w:r w:rsidRPr="00A677AB">
        <w:rPr>
          <w:rFonts w:cs="Arial"/>
        </w:rPr>
        <w:t>. These seamlessly check the glucose levels in interstitial fluid, both day and night, and give instant results, and trend comparison without having to test themselves multiple times a day with the finger-prick glucose level test.</w:t>
      </w:r>
    </w:p>
    <w:p w14:paraId="788F8B76" w14:textId="77777777" w:rsidR="00433FF8" w:rsidRPr="00A677AB" w:rsidRDefault="00B1133F" w:rsidP="00326CB2">
      <w:pPr>
        <w:rPr>
          <w:rFonts w:eastAsia="Times New Roman" w:cs="Arial"/>
          <w:highlight w:val="yellow"/>
          <w:lang w:eastAsia="en-GB"/>
        </w:rPr>
      </w:pPr>
      <w:r w:rsidRPr="00A677AB">
        <w:rPr>
          <w:rFonts w:cs="Arial"/>
        </w:rPr>
        <w:t xml:space="preserve">Monitoring and measuring such trends enables patients and clinicians to determine the impact of dietary intake, physical activity, stress, and medication on glucose levels. It can then be corrected by making adjustments in the form of adjusting the carbohydrate intake, meal timing or insulin dosage. Notably, regular surveillance promotes self-advocacy and management, as well as awareness and accountability to self-care among patients. </w:t>
      </w:r>
    </w:p>
    <w:p w14:paraId="35E618DE" w14:textId="77777777" w:rsidR="0044311E" w:rsidRPr="00A677AB" w:rsidRDefault="00B1133F" w:rsidP="00326CB2">
      <w:pPr>
        <w:pStyle w:val="Heading2"/>
        <w:spacing w:line="360" w:lineRule="auto"/>
        <w:rPr>
          <w:rFonts w:cs="Arial"/>
          <w:i/>
          <w:iCs/>
          <w:sz w:val="22"/>
          <w:szCs w:val="22"/>
        </w:rPr>
      </w:pPr>
      <w:r w:rsidRPr="00A677AB">
        <w:rPr>
          <w:rFonts w:cs="Arial"/>
          <w:sz w:val="22"/>
          <w:szCs w:val="22"/>
        </w:rPr>
        <w:t xml:space="preserve"> </w:t>
      </w:r>
      <w:bookmarkStart w:id="4" w:name="_Toc212725834"/>
      <w:r w:rsidRPr="00A677AB">
        <w:rPr>
          <w:rFonts w:cs="Arial"/>
          <w:sz w:val="22"/>
          <w:szCs w:val="22"/>
        </w:rPr>
        <w:t>Lifestyle Factors and Evidence-Based Recommendations</w:t>
      </w:r>
      <w:bookmarkEnd w:id="4"/>
      <w:r w:rsidRPr="00A677AB">
        <w:rPr>
          <w:rFonts w:cs="Arial"/>
          <w:sz w:val="22"/>
          <w:szCs w:val="22"/>
        </w:rPr>
        <w:t xml:space="preserve"> </w:t>
      </w:r>
    </w:p>
    <w:p w14:paraId="5754BECF" w14:textId="77777777" w:rsidR="00433FF8" w:rsidRPr="00A677AB" w:rsidRDefault="00B1133F" w:rsidP="00326CB2">
      <w:pPr>
        <w:spacing w:before="100" w:beforeAutospacing="1" w:after="100" w:afterAutospacing="1"/>
        <w:rPr>
          <w:rFonts w:cs="Arial"/>
        </w:rPr>
      </w:pPr>
      <w:r w:rsidRPr="00A677AB">
        <w:rPr>
          <w:rFonts w:eastAsia="Times New Roman" w:cs="Arial"/>
          <w:lang w:eastAsia="en-GB"/>
        </w:rPr>
        <w:t>One of the foundations of Type 2 diabetes treatment is dietary modification. Reducing post-prandial glucose swings with the emphasis on lower-glycaemic-index (low-GI) foods (whole grains, legumes, non-starchy vegetables), balanced macronutrients, and portion control enhances glycaemic variability in general</w:t>
      </w:r>
      <w:r w:rsidR="00B32855" w:rsidRPr="00A677AB">
        <w:rPr>
          <w:rFonts w:eastAsia="Times New Roman" w:cs="Arial"/>
          <w:lang w:eastAsia="en-GB"/>
        </w:rPr>
        <w:t xml:space="preserve"> </w:t>
      </w:r>
      <w:r w:rsidR="00B32855" w:rsidRPr="00A677AB">
        <w:rPr>
          <w:rFonts w:cs="Arial"/>
        </w:rPr>
        <w:t xml:space="preserve">(Shaikh </w:t>
      </w:r>
      <w:r w:rsidR="00B32855" w:rsidRPr="00A677AB">
        <w:rPr>
          <w:rFonts w:eastAsia="Times New Roman" w:cs="Arial"/>
          <w:i/>
          <w:lang w:eastAsia="en-GB"/>
        </w:rPr>
        <w:t>et al.,</w:t>
      </w:r>
      <w:r w:rsidR="00B32855" w:rsidRPr="00A677AB">
        <w:rPr>
          <w:rFonts w:eastAsia="Times New Roman" w:cs="Arial"/>
          <w:lang w:eastAsia="en-GB"/>
        </w:rPr>
        <w:t xml:space="preserve"> </w:t>
      </w:r>
      <w:r w:rsidR="00B32855" w:rsidRPr="00A677AB">
        <w:rPr>
          <w:rFonts w:cs="Arial"/>
        </w:rPr>
        <w:t>2022)</w:t>
      </w:r>
      <w:r w:rsidRPr="00A677AB">
        <w:rPr>
          <w:rFonts w:eastAsia="Times New Roman" w:cs="Arial"/>
          <w:lang w:eastAsia="en-GB"/>
        </w:rPr>
        <w:t xml:space="preserve">. Low-GI patterns retard the digestion and absorption of carbohydrates and have been shown to increase insulin sensitivity </w:t>
      </w:r>
      <w:r w:rsidRPr="00A677AB">
        <w:rPr>
          <w:rFonts w:eastAsia="Times New Roman" w:cs="Arial"/>
          <w:lang w:eastAsia="en-GB"/>
        </w:rPr>
        <w:lastRenderedPageBreak/>
        <w:t xml:space="preserve">and reduce HbA1c compared with high-GI diets, and recent systematic reviews show uniform advantages in the after-meal glucose regulation and modest increases in long-term metrics when low-GI concepts are used along with energy balance and weight reduction. Increasing fibre to &gt;2530 g/day where acceptable, prioritising wholefood carbohydrates (oats, beans, brown rice), using lean protein and healthy fats (olive oil, oily fish), and portion control aids (hand portions, plate method) are some of the practical advice to give to a patient. </w:t>
      </w:r>
    </w:p>
    <w:p w14:paraId="6928F3F2" w14:textId="77777777" w:rsidR="00433FF8" w:rsidRPr="00A677AB" w:rsidRDefault="00B1133F" w:rsidP="00326CB2">
      <w:pPr>
        <w:spacing w:before="100" w:beforeAutospacing="1" w:after="100" w:afterAutospacing="1"/>
        <w:rPr>
          <w:rFonts w:cs="Arial"/>
        </w:rPr>
      </w:pPr>
      <w:r w:rsidRPr="00A677AB">
        <w:rPr>
          <w:rFonts w:eastAsia="Times New Roman" w:cs="Arial"/>
          <w:lang w:eastAsia="en-GB"/>
        </w:rPr>
        <w:t>Exercise greatly enhances insulin sensitivity and speeds up the peripheral glucose uptake by skeletal muscles, some of which occur even without weight loss. Aerobic (e.g., brisk walking, cycling) and resistance training (e.g., bodyweight or weight machines) have clinically significant effects on fasting glucose and HbA1c, and there are the greatest effects with combined aerobic + resistance programmes</w:t>
      </w:r>
      <w:r w:rsidR="00065927" w:rsidRPr="00A677AB">
        <w:rPr>
          <w:rFonts w:eastAsia="Times New Roman" w:cs="Arial"/>
          <w:lang w:eastAsia="en-GB"/>
        </w:rPr>
        <w:t xml:space="preserve"> </w:t>
      </w:r>
      <w:r w:rsidR="00065927" w:rsidRPr="00A677AB">
        <w:rPr>
          <w:rFonts w:cs="Arial"/>
        </w:rPr>
        <w:t xml:space="preserve">(Zhou </w:t>
      </w:r>
      <w:r w:rsidR="00065927" w:rsidRPr="00A677AB">
        <w:rPr>
          <w:rFonts w:eastAsia="Times New Roman" w:cs="Arial"/>
          <w:i/>
          <w:lang w:eastAsia="en-GB"/>
        </w:rPr>
        <w:t>et al.,</w:t>
      </w:r>
      <w:r w:rsidR="00065927" w:rsidRPr="00A677AB">
        <w:rPr>
          <w:rFonts w:eastAsia="Times New Roman" w:cs="Arial"/>
          <w:lang w:eastAsia="en-GB"/>
        </w:rPr>
        <w:t xml:space="preserve"> </w:t>
      </w:r>
      <w:r w:rsidR="00065927" w:rsidRPr="00A677AB">
        <w:rPr>
          <w:rFonts w:cs="Arial"/>
        </w:rPr>
        <w:t>2021)</w:t>
      </w:r>
      <w:r w:rsidRPr="00A677AB">
        <w:rPr>
          <w:rFonts w:eastAsia="Times New Roman" w:cs="Arial"/>
          <w:lang w:eastAsia="en-GB"/>
        </w:rPr>
        <w:t xml:space="preserve">. The present clinical practice guidelines suggest moderate-intensity aerobic activities of at least 150 minutes/week, two sessions/week of resistance exercises and recommend cutting down the sedentary time by taking short movements during the day. Realistic objectives that many patients can accomplish include 30 minutes of brisk walking 5 days/week and two brief resistance events, which gradually increase as they get fitter. </w:t>
      </w:r>
    </w:p>
    <w:p w14:paraId="63238891" w14:textId="77777777" w:rsidR="00433FF8" w:rsidRPr="00A677AB" w:rsidRDefault="00B1133F" w:rsidP="00326CB2">
      <w:pPr>
        <w:spacing w:before="100" w:beforeAutospacing="1" w:after="100" w:afterAutospacing="1"/>
        <w:rPr>
          <w:rFonts w:eastAsia="Times New Roman" w:cs="Arial"/>
          <w:highlight w:val="yellow"/>
          <w:lang w:eastAsia="en-GB"/>
        </w:rPr>
      </w:pPr>
      <w:r w:rsidRPr="00A677AB">
        <w:rPr>
          <w:rFonts w:eastAsia="Times New Roman" w:cs="Arial"/>
          <w:lang w:eastAsia="en-GB"/>
        </w:rPr>
        <w:t xml:space="preserve">The smoking cessation is necessary as smoking is a risk factor that increases cardiovascular risk in diabetic individuals and is linked to worse glycaemic control and increased complications. Quitting smoking lowers the risk of macrovascular events and the general risk profile; thus, contact with organised cessation services (behavioural support + pharmacotherapy, including Varenicline or NRT) ought to be referred to and encouraged as mainstream care in diabetes. The national and NHS guidelines ensure that cessation support is provided to all diabetic smokers. </w:t>
      </w:r>
    </w:p>
    <w:p w14:paraId="653B13F7" w14:textId="77777777" w:rsidR="00433FF8" w:rsidRPr="00A677AB" w:rsidRDefault="00B1133F" w:rsidP="00326CB2">
      <w:pPr>
        <w:spacing w:before="100" w:beforeAutospacing="1" w:after="100" w:afterAutospacing="1"/>
        <w:rPr>
          <w:rFonts w:eastAsia="Times New Roman" w:cs="Arial"/>
          <w:lang w:eastAsia="en-GB"/>
        </w:rPr>
      </w:pPr>
      <w:r w:rsidRPr="00A677AB">
        <w:rPr>
          <w:rFonts w:eastAsia="Times New Roman" w:cs="Arial"/>
          <w:lang w:eastAsia="en-GB"/>
        </w:rPr>
        <w:t>Additionally, high-value interventions include the management of weight and the reduction of stress</w:t>
      </w:r>
      <w:r w:rsidR="00065927" w:rsidRPr="00A677AB">
        <w:rPr>
          <w:rFonts w:eastAsia="Times New Roman" w:cs="Arial"/>
          <w:lang w:eastAsia="en-GB"/>
        </w:rPr>
        <w:t xml:space="preserve"> (Alam </w:t>
      </w:r>
      <w:r w:rsidR="00065927" w:rsidRPr="00A677AB">
        <w:rPr>
          <w:rFonts w:eastAsia="Times New Roman" w:cs="Arial"/>
          <w:i/>
          <w:lang w:eastAsia="en-GB"/>
        </w:rPr>
        <w:t>et al.,</w:t>
      </w:r>
      <w:r w:rsidR="00065927" w:rsidRPr="00A677AB">
        <w:rPr>
          <w:rFonts w:eastAsia="Times New Roman" w:cs="Arial"/>
          <w:lang w:eastAsia="en-GB"/>
        </w:rPr>
        <w:t xml:space="preserve"> 2021)</w:t>
      </w:r>
      <w:r w:rsidRPr="00A677AB">
        <w:rPr>
          <w:rFonts w:eastAsia="Times New Roman" w:cs="Arial"/>
          <w:lang w:eastAsia="en-GB"/>
        </w:rPr>
        <w:t xml:space="preserve">. Even modest weight loss (5 per cent of body weight) is linked to many treatment benefits in insulin sensitivity, which may delay or even cure early Type 2 diabetes. Diet, physical activity, and behavioural support structured programmes are effective and ought to be provided to potentially eligible patients (e.g., the NHS Diabetes Prevention Programme model). Cortisol-related insulin resistance is decreased by stress management (mindfulness, cognitive behavioural, sleep hygiene) and helps to adhere to the diet and exercise regimen. </w:t>
      </w:r>
    </w:p>
    <w:p w14:paraId="2679DD26" w14:textId="77777777" w:rsidR="00420729" w:rsidRPr="00A677AB" w:rsidRDefault="00B1133F" w:rsidP="00326CB2">
      <w:pPr>
        <w:spacing w:before="100" w:beforeAutospacing="1" w:after="100" w:afterAutospacing="1"/>
        <w:rPr>
          <w:rFonts w:eastAsia="Times New Roman" w:cs="Arial"/>
          <w:lang w:eastAsia="en-GB"/>
        </w:rPr>
      </w:pPr>
      <w:r w:rsidRPr="00A677AB">
        <w:rPr>
          <w:rFonts w:eastAsia="Times New Roman" w:cs="Arial"/>
          <w:lang w:eastAsia="en-GB"/>
        </w:rPr>
        <w:t>Making practical, patient-centred recommendations.</w:t>
      </w:r>
    </w:p>
    <w:p w14:paraId="2C25BC4B" w14:textId="77777777" w:rsidR="00420729" w:rsidRPr="00A677AB" w:rsidRDefault="00B1133F" w:rsidP="00326CB2">
      <w:pPr>
        <w:spacing w:before="100" w:beforeAutospacing="1" w:after="100" w:afterAutospacing="1"/>
        <w:rPr>
          <w:rFonts w:eastAsia="Times New Roman" w:cs="Arial"/>
          <w:lang w:eastAsia="en-GB"/>
        </w:rPr>
      </w:pPr>
      <w:r w:rsidRPr="00A677AB">
        <w:rPr>
          <w:rFonts w:eastAsia="Times New Roman" w:cs="Arial"/>
          <w:lang w:eastAsia="en-GB"/>
        </w:rPr>
        <w:lastRenderedPageBreak/>
        <w:t>• Begin with small sustainable steps: This can include replacing white bread with wholegrain, adding one (10-minute) walk per day, and eliminating sugary beverages in favour of water.</w:t>
      </w:r>
    </w:p>
    <w:p w14:paraId="3EB559A5" w14:textId="77777777" w:rsidR="00420729" w:rsidRPr="00A677AB" w:rsidRDefault="00B1133F" w:rsidP="00326CB2">
      <w:pPr>
        <w:spacing w:before="100" w:beforeAutospacing="1" w:after="100" w:afterAutospacing="1"/>
        <w:rPr>
          <w:rFonts w:cs="Arial"/>
        </w:rPr>
      </w:pPr>
      <w:r w:rsidRPr="00A677AB">
        <w:rPr>
          <w:rFonts w:eastAsia="Times New Roman" w:cs="Arial"/>
          <w:lang w:eastAsia="en-GB"/>
        </w:rPr>
        <w:t>• Self-monitoring (home glucose tests or intermittent CGM) can be used to identify the impact of individual foods and activities; reward successes</w:t>
      </w:r>
      <w:r w:rsidR="00065927" w:rsidRPr="00A677AB">
        <w:rPr>
          <w:rFonts w:eastAsia="Times New Roman" w:cs="Arial"/>
          <w:lang w:eastAsia="en-GB"/>
        </w:rPr>
        <w:t xml:space="preserve"> </w:t>
      </w:r>
      <w:r w:rsidR="00065927" w:rsidRPr="00A677AB">
        <w:rPr>
          <w:rFonts w:cs="Arial"/>
        </w:rPr>
        <w:t>(Bereda, 2021)</w:t>
      </w:r>
      <w:r w:rsidRPr="00A677AB">
        <w:rPr>
          <w:rFonts w:eastAsia="Times New Roman" w:cs="Arial"/>
          <w:lang w:eastAsia="en-GB"/>
        </w:rPr>
        <w:t>.</w:t>
      </w:r>
    </w:p>
    <w:p w14:paraId="4E3CE4F5" w14:textId="77777777" w:rsidR="00420729" w:rsidRPr="00A677AB" w:rsidRDefault="00B1133F" w:rsidP="00326CB2">
      <w:pPr>
        <w:spacing w:before="100" w:beforeAutospacing="1" w:after="100" w:afterAutospacing="1"/>
        <w:rPr>
          <w:rFonts w:eastAsia="Times New Roman" w:cs="Arial"/>
          <w:lang w:eastAsia="en-GB"/>
        </w:rPr>
      </w:pPr>
      <w:r w:rsidRPr="00A677AB">
        <w:rPr>
          <w:rFonts w:eastAsia="Times New Roman" w:cs="Arial"/>
          <w:lang w:eastAsia="en-GB"/>
        </w:rPr>
        <w:t>• Make achievable, specific, and measurable objectives (SMART): e.g., Walk 20 minutes after dinner 4/week or Replace evening biscuits with fruit 5/week.</w:t>
      </w:r>
    </w:p>
    <w:p w14:paraId="112878ED" w14:textId="77777777" w:rsidR="00420729" w:rsidRPr="00A677AB" w:rsidRDefault="00B1133F" w:rsidP="00326CB2">
      <w:pPr>
        <w:spacing w:before="100" w:beforeAutospacing="1" w:after="100" w:afterAutospacing="1"/>
        <w:rPr>
          <w:rFonts w:cs="Arial"/>
        </w:rPr>
      </w:pPr>
      <w:r w:rsidRPr="00A677AB">
        <w:rPr>
          <w:rFonts w:eastAsia="Times New Roman" w:cs="Arial"/>
          <w:lang w:eastAsia="en-GB"/>
        </w:rPr>
        <w:t>• Provide referral services: dietitian to individuals with weight issues: meal plans, organised exercise referral, smoking cessation services, and weight-management local programmes</w:t>
      </w:r>
      <w:r w:rsidR="00612729" w:rsidRPr="00A677AB">
        <w:rPr>
          <w:rFonts w:eastAsia="Times New Roman" w:cs="Arial"/>
          <w:lang w:eastAsia="en-GB"/>
        </w:rPr>
        <w:t xml:space="preserve"> </w:t>
      </w:r>
      <w:r w:rsidR="00612729" w:rsidRPr="00A677AB">
        <w:rPr>
          <w:rFonts w:cs="Arial"/>
        </w:rPr>
        <w:t xml:space="preserve">(Dilworth </w:t>
      </w:r>
      <w:r w:rsidR="00612729" w:rsidRPr="00A677AB">
        <w:rPr>
          <w:rFonts w:eastAsia="Times New Roman" w:cs="Arial"/>
          <w:i/>
          <w:lang w:eastAsia="en-GB"/>
        </w:rPr>
        <w:t>et al.,</w:t>
      </w:r>
      <w:r w:rsidR="00612729" w:rsidRPr="00A677AB">
        <w:rPr>
          <w:rFonts w:eastAsia="Times New Roman" w:cs="Arial"/>
          <w:lang w:eastAsia="en-GB"/>
        </w:rPr>
        <w:t xml:space="preserve"> </w:t>
      </w:r>
      <w:r w:rsidR="00612729" w:rsidRPr="00A677AB">
        <w:rPr>
          <w:rFonts w:cs="Arial"/>
        </w:rPr>
        <w:t>2021)</w:t>
      </w:r>
      <w:r w:rsidRPr="00A677AB">
        <w:rPr>
          <w:rFonts w:eastAsia="Times New Roman" w:cs="Arial"/>
          <w:lang w:eastAsia="en-GB"/>
        </w:rPr>
        <w:t xml:space="preserve">. </w:t>
      </w:r>
    </w:p>
    <w:p w14:paraId="58B3E17B" w14:textId="77777777" w:rsidR="00433FF8" w:rsidRPr="00A677AB" w:rsidRDefault="00B1133F" w:rsidP="00326CB2">
      <w:pPr>
        <w:spacing w:before="100" w:beforeAutospacing="1" w:after="100" w:afterAutospacing="1"/>
        <w:rPr>
          <w:rFonts w:eastAsia="Times New Roman" w:cs="Arial"/>
          <w:highlight w:val="yellow"/>
          <w:lang w:eastAsia="en-GB"/>
        </w:rPr>
      </w:pPr>
      <w:r w:rsidRPr="00A677AB">
        <w:rPr>
          <w:rFonts w:eastAsia="Times New Roman" w:cs="Arial"/>
          <w:lang w:eastAsia="en-GB"/>
        </w:rPr>
        <w:t>In short, evidence-based dietary modifications (low-GI, portion control), periodic combined aerobic and resistance training, quitting smoking, weight loss in selected patients, and stress management can be seen as a realistic and effective approach to decrease glycaemic control, decrease medication requirement in a subset of patients, and decrease the risk of complications in the long run.</w:t>
      </w:r>
    </w:p>
    <w:p w14:paraId="07DE0D2B" w14:textId="77777777" w:rsidR="0044311E" w:rsidRPr="00A677AB" w:rsidRDefault="00B1133F" w:rsidP="00326CB2">
      <w:pPr>
        <w:pStyle w:val="Heading1"/>
        <w:rPr>
          <w:rFonts w:eastAsia="Times New Roman" w:cs="Arial"/>
          <w:i/>
          <w:iCs/>
          <w:sz w:val="22"/>
          <w:szCs w:val="22"/>
          <w:lang w:eastAsia="en-GB"/>
        </w:rPr>
      </w:pPr>
      <w:bookmarkStart w:id="5" w:name="_Toc212725835"/>
      <w:r w:rsidRPr="00A677AB">
        <w:rPr>
          <w:rFonts w:eastAsia="Times New Roman" w:cs="Arial"/>
          <w:sz w:val="22"/>
          <w:szCs w:val="22"/>
          <w:lang w:eastAsia="en-GB"/>
        </w:rPr>
        <w:t>Conclusion</w:t>
      </w:r>
      <w:bookmarkEnd w:id="5"/>
      <w:r w:rsidRPr="00A677AB">
        <w:rPr>
          <w:rFonts w:eastAsia="Times New Roman" w:cs="Arial"/>
          <w:sz w:val="22"/>
          <w:szCs w:val="22"/>
          <w:lang w:eastAsia="en-GB"/>
        </w:rPr>
        <w:t xml:space="preserve"> </w:t>
      </w:r>
      <w:r w:rsidR="003609E9" w:rsidRPr="00A677AB">
        <w:rPr>
          <w:rFonts w:eastAsia="Times New Roman" w:cs="Arial"/>
          <w:i/>
          <w:iCs/>
          <w:sz w:val="22"/>
          <w:szCs w:val="22"/>
          <w:lang w:eastAsia="en-GB"/>
        </w:rPr>
        <w:t xml:space="preserve"> </w:t>
      </w:r>
    </w:p>
    <w:p w14:paraId="6CABEA28" w14:textId="77777777" w:rsidR="00433FF8" w:rsidRPr="00A677AB" w:rsidRDefault="00B1133F" w:rsidP="00326CB2">
      <w:pPr>
        <w:rPr>
          <w:rFonts w:cs="Arial"/>
          <w:highlight w:val="yellow"/>
          <w:lang w:eastAsia="en-GB"/>
        </w:rPr>
      </w:pPr>
      <w:r w:rsidRPr="00A677AB">
        <w:rPr>
          <w:rFonts w:cs="Arial"/>
          <w:lang w:eastAsia="en-GB"/>
        </w:rPr>
        <w:t>A person must understand how the physiological regulation of blood glucose in the body takes place in order to manage diabetes. Understanding the functions of insulin and glucagon can make patients realise the necessity to balance the level of sugar in the bloodstream by means of regular control and following the treatment regimes. Frequent blood glucose and HbA1c monitoring helps to make necessary changes to diet, physical activity, and medications on time and minimise the number of complications. Healthy eating and physical exercises, elimination of smoking, and handling of stress are lifestyle modifications that enhance insulin sensitivity and well-being. Empowering people with self-care and health literacy will allow them to cope with their diabetes and improve their well-being in the long run.</w:t>
      </w:r>
    </w:p>
    <w:p w14:paraId="1A4301EF" w14:textId="77777777" w:rsidR="00AE7E62" w:rsidRPr="00F77219" w:rsidRDefault="00B1133F" w:rsidP="00326CB2">
      <w:pPr>
        <w:rPr>
          <w:rFonts w:eastAsia="Times New Roman" w:cs="Arial"/>
          <w:b/>
          <w:sz w:val="28"/>
          <w:szCs w:val="32"/>
          <w:lang w:eastAsia="en-GB"/>
        </w:rPr>
      </w:pPr>
      <w:r w:rsidRPr="00F77219">
        <w:rPr>
          <w:rFonts w:eastAsia="Times New Roman" w:cs="Arial"/>
          <w:lang w:eastAsia="en-GB"/>
        </w:rPr>
        <w:br w:type="page"/>
      </w:r>
    </w:p>
    <w:p w14:paraId="17ADFBFA" w14:textId="77777777" w:rsidR="0044311E" w:rsidRPr="00F77219" w:rsidRDefault="00B1133F" w:rsidP="00326CB2">
      <w:pPr>
        <w:pStyle w:val="Heading1"/>
        <w:rPr>
          <w:rFonts w:eastAsia="Times New Roman" w:cs="Arial"/>
          <w:lang w:eastAsia="en-GB"/>
        </w:rPr>
      </w:pPr>
      <w:r w:rsidRPr="00F77219">
        <w:rPr>
          <w:rFonts w:eastAsia="Times New Roman" w:cs="Arial"/>
          <w:lang w:eastAsia="en-GB"/>
        </w:rPr>
        <w:lastRenderedPageBreak/>
        <w:t xml:space="preserve"> </w:t>
      </w:r>
      <w:bookmarkStart w:id="6" w:name="_Toc212725836"/>
      <w:r w:rsidRPr="00F77219">
        <w:rPr>
          <w:rFonts w:eastAsia="Times New Roman" w:cs="Arial"/>
          <w:lang w:eastAsia="en-GB"/>
        </w:rPr>
        <w:t>Reference List</w:t>
      </w:r>
      <w:bookmarkEnd w:id="6"/>
      <w:r w:rsidRPr="00F77219">
        <w:rPr>
          <w:rFonts w:eastAsia="Times New Roman" w:cs="Arial"/>
          <w:lang w:eastAsia="en-GB"/>
        </w:rPr>
        <w:t xml:space="preserve"> </w:t>
      </w:r>
    </w:p>
    <w:p w14:paraId="08A86A9C" w14:textId="77777777" w:rsidR="00A907F0" w:rsidRPr="00F77219" w:rsidRDefault="00A907F0" w:rsidP="00326CB2">
      <w:pPr>
        <w:rPr>
          <w:rFonts w:cs="Arial"/>
        </w:rPr>
      </w:pPr>
      <w:r w:rsidRPr="00F77219">
        <w:rPr>
          <w:rFonts w:cs="Arial"/>
        </w:rPr>
        <w:t xml:space="preserve">Alam, S., Hasan, M. K., Neaz, S., Hussain, N., Hossain, M. F., </w:t>
      </w:r>
      <w:r w:rsidR="00B32855" w:rsidRPr="00F77219">
        <w:rPr>
          <w:rFonts w:cs="Arial"/>
        </w:rPr>
        <w:t>and</w:t>
      </w:r>
      <w:r w:rsidRPr="00F77219">
        <w:rPr>
          <w:rFonts w:cs="Arial"/>
        </w:rPr>
        <w:t xml:space="preserve"> Rahman, T. (20</w:t>
      </w:r>
      <w:r w:rsidR="00B32855" w:rsidRPr="00F77219">
        <w:rPr>
          <w:rFonts w:cs="Arial"/>
        </w:rPr>
        <w:t xml:space="preserve">21) </w:t>
      </w:r>
      <w:r w:rsidRPr="00F77219">
        <w:rPr>
          <w:rFonts w:cs="Arial"/>
        </w:rPr>
        <w:t>Diabetes Mellitus: insights from epidemiology, biochemistry, risk factors, diagnosis, complications and comprehensive management. </w:t>
      </w:r>
      <w:r w:rsidRPr="00F77219">
        <w:rPr>
          <w:rFonts w:cs="Arial"/>
          <w:i/>
          <w:iCs/>
        </w:rPr>
        <w:t>Diabetology</w:t>
      </w:r>
      <w:r w:rsidRPr="00F77219">
        <w:rPr>
          <w:rFonts w:cs="Arial"/>
        </w:rPr>
        <w:t>, </w:t>
      </w:r>
      <w:r w:rsidRPr="00F77219">
        <w:rPr>
          <w:rFonts w:cs="Arial"/>
          <w:i/>
          <w:iCs/>
        </w:rPr>
        <w:t>2</w:t>
      </w:r>
      <w:r w:rsidRPr="00F77219">
        <w:rPr>
          <w:rFonts w:cs="Arial"/>
        </w:rPr>
        <w:t>(2), 36-50.</w:t>
      </w:r>
    </w:p>
    <w:p w14:paraId="400E8C68" w14:textId="77777777" w:rsidR="00A907F0" w:rsidRPr="00F77219" w:rsidRDefault="00B32855" w:rsidP="00326CB2">
      <w:pPr>
        <w:rPr>
          <w:rFonts w:cs="Arial"/>
        </w:rPr>
      </w:pPr>
      <w:r w:rsidRPr="00F77219">
        <w:rPr>
          <w:rFonts w:cs="Arial"/>
        </w:rPr>
        <w:t>Bereda, G. (2021)</w:t>
      </w:r>
      <w:r w:rsidR="00A907F0" w:rsidRPr="00F77219">
        <w:rPr>
          <w:rFonts w:cs="Arial"/>
        </w:rPr>
        <w:t xml:space="preserve"> Brief overview of diabetes mellitus. </w:t>
      </w:r>
      <w:r w:rsidR="00A907F0" w:rsidRPr="00F77219">
        <w:rPr>
          <w:rFonts w:cs="Arial"/>
          <w:i/>
          <w:iCs/>
        </w:rPr>
        <w:t>Diabetes Manag</w:t>
      </w:r>
      <w:r w:rsidR="00A907F0" w:rsidRPr="00F77219">
        <w:rPr>
          <w:rFonts w:cs="Arial"/>
        </w:rPr>
        <w:t>, </w:t>
      </w:r>
      <w:r w:rsidR="00A907F0" w:rsidRPr="00F77219">
        <w:rPr>
          <w:rFonts w:cs="Arial"/>
          <w:i/>
          <w:iCs/>
        </w:rPr>
        <w:t>1</w:t>
      </w:r>
      <w:r w:rsidR="00A907F0" w:rsidRPr="00F77219">
        <w:rPr>
          <w:rFonts w:cs="Arial"/>
        </w:rPr>
        <w:t>, 21-7.</w:t>
      </w:r>
    </w:p>
    <w:p w14:paraId="092D524B" w14:textId="77777777" w:rsidR="00A907F0" w:rsidRPr="00F77219" w:rsidRDefault="00A907F0" w:rsidP="00326CB2">
      <w:pPr>
        <w:rPr>
          <w:rFonts w:cs="Arial"/>
        </w:rPr>
      </w:pPr>
      <w:r w:rsidRPr="00F77219">
        <w:rPr>
          <w:rFonts w:cs="Arial"/>
        </w:rPr>
        <w:t xml:space="preserve">Dilworth, L., Facey, A., </w:t>
      </w:r>
      <w:r w:rsidR="00B32855" w:rsidRPr="00F77219">
        <w:rPr>
          <w:rFonts w:cs="Arial"/>
        </w:rPr>
        <w:t>and Omoruyi, F. (2021)</w:t>
      </w:r>
      <w:r w:rsidRPr="00F77219">
        <w:rPr>
          <w:rFonts w:cs="Arial"/>
        </w:rPr>
        <w:t xml:space="preserve"> Diabetes mellitus and its metabolic complications: the role of adipose tissues. </w:t>
      </w:r>
      <w:r w:rsidRPr="00F77219">
        <w:rPr>
          <w:rFonts w:cs="Arial"/>
          <w:i/>
          <w:iCs/>
        </w:rPr>
        <w:t>International journal of molecular sciences</w:t>
      </w:r>
      <w:r w:rsidRPr="00F77219">
        <w:rPr>
          <w:rFonts w:cs="Arial"/>
        </w:rPr>
        <w:t>, </w:t>
      </w:r>
      <w:r w:rsidRPr="00F77219">
        <w:rPr>
          <w:rFonts w:cs="Arial"/>
          <w:i/>
          <w:iCs/>
        </w:rPr>
        <w:t>22</w:t>
      </w:r>
      <w:r w:rsidRPr="00F77219">
        <w:rPr>
          <w:rFonts w:cs="Arial"/>
        </w:rPr>
        <w:t>(14), 7644.</w:t>
      </w:r>
    </w:p>
    <w:p w14:paraId="2ABAB8ED" w14:textId="77777777" w:rsidR="00A907F0" w:rsidRPr="00F77219" w:rsidRDefault="00A907F0" w:rsidP="00326CB2">
      <w:pPr>
        <w:rPr>
          <w:rFonts w:cs="Arial"/>
          <w:bCs/>
        </w:rPr>
      </w:pPr>
      <w:r w:rsidRPr="00F77219">
        <w:rPr>
          <w:rFonts w:cs="Arial"/>
          <w:bCs/>
        </w:rPr>
        <w:t>In</w:t>
      </w:r>
      <w:r w:rsidR="00B32855" w:rsidRPr="00F77219">
        <w:rPr>
          <w:rFonts w:cs="Arial"/>
          <w:bCs/>
        </w:rPr>
        <w:t xml:space="preserve">ternational Diabetes Federation, </w:t>
      </w:r>
      <w:r w:rsidRPr="00F77219">
        <w:rPr>
          <w:rFonts w:cs="Arial"/>
        </w:rPr>
        <w:t xml:space="preserve">(2021). </w:t>
      </w:r>
      <w:r w:rsidRPr="00F77219">
        <w:rPr>
          <w:rFonts w:cs="Arial"/>
          <w:bCs/>
        </w:rPr>
        <w:t>IDF Diabetes Atlas, 10th Edition.</w:t>
      </w:r>
      <w:r w:rsidRPr="00F77219">
        <w:rPr>
          <w:rFonts w:cs="Arial"/>
        </w:rPr>
        <w:t xml:space="preserve"> Brussels, Belgium: International Diabetes Federation. Available at: </w:t>
      </w:r>
      <w:hyperlink r:id="rId8" w:history="1">
        <w:r w:rsidRPr="00F77219">
          <w:rPr>
            <w:rStyle w:val="Hyperlink"/>
            <w:rFonts w:cs="Arial"/>
            <w:bCs/>
          </w:rPr>
          <w:t>https://diabetesatlas.org/atlas/tenth-edition/\</w:t>
        </w:r>
      </w:hyperlink>
    </w:p>
    <w:p w14:paraId="58551FFB" w14:textId="77777777" w:rsidR="00A907F0" w:rsidRPr="00F77219" w:rsidRDefault="00A907F0" w:rsidP="00326CB2">
      <w:pPr>
        <w:rPr>
          <w:rFonts w:cs="Arial"/>
        </w:rPr>
      </w:pPr>
      <w:r w:rsidRPr="00F77219">
        <w:rPr>
          <w:rFonts w:cs="Arial"/>
        </w:rPr>
        <w:t xml:space="preserve">Kumar, B., Ali, M. Z., Tiwari, H., </w:t>
      </w:r>
      <w:r w:rsidR="00B32855" w:rsidRPr="00F77219">
        <w:rPr>
          <w:rFonts w:cs="Arial"/>
        </w:rPr>
        <w:t>and Chandrul, K. K. (2024)</w:t>
      </w:r>
      <w:r w:rsidRPr="00F77219">
        <w:rPr>
          <w:rFonts w:cs="Arial"/>
        </w:rPr>
        <w:t xml:space="preserve"> Review on the role of insulin in regulating Blood sugar levels. </w:t>
      </w:r>
      <w:r w:rsidRPr="00F77219">
        <w:rPr>
          <w:rFonts w:cs="Arial"/>
          <w:i/>
          <w:iCs/>
        </w:rPr>
        <w:t>International Journal of Pharmacy &amp; Life Sciences</w:t>
      </w:r>
      <w:r w:rsidRPr="00F77219">
        <w:rPr>
          <w:rFonts w:cs="Arial"/>
        </w:rPr>
        <w:t>, </w:t>
      </w:r>
      <w:r w:rsidRPr="00F77219">
        <w:rPr>
          <w:rFonts w:cs="Arial"/>
          <w:i/>
          <w:iCs/>
        </w:rPr>
        <w:t>15</w:t>
      </w:r>
      <w:r w:rsidRPr="00F77219">
        <w:rPr>
          <w:rFonts w:cs="Arial"/>
        </w:rPr>
        <w:t>(1).</w:t>
      </w:r>
    </w:p>
    <w:p w14:paraId="54B8CFC0" w14:textId="77777777" w:rsidR="00A907F0" w:rsidRPr="00F77219" w:rsidRDefault="00A907F0" w:rsidP="00326CB2">
      <w:pPr>
        <w:rPr>
          <w:rFonts w:cs="Arial"/>
        </w:rPr>
      </w:pPr>
      <w:r w:rsidRPr="00F77219">
        <w:rPr>
          <w:rFonts w:cs="Arial"/>
        </w:rPr>
        <w:t xml:space="preserve">Lagerlöf, H., Zuiderent-Jerak, T., </w:t>
      </w:r>
      <w:r w:rsidR="00B32855" w:rsidRPr="00F77219">
        <w:rPr>
          <w:rFonts w:cs="Arial"/>
        </w:rPr>
        <w:t>and Sager, M. (2021)</w:t>
      </w:r>
      <w:r w:rsidRPr="00F77219">
        <w:rPr>
          <w:rFonts w:cs="Arial"/>
        </w:rPr>
        <w:t xml:space="preserve"> Epistemological deliberation: the challenges of producing evidence-based guidelines on lifestyle habits. </w:t>
      </w:r>
      <w:r w:rsidRPr="00F77219">
        <w:rPr>
          <w:rFonts w:cs="Arial"/>
          <w:i/>
          <w:iCs/>
        </w:rPr>
        <w:t>Evidence &amp; Policy</w:t>
      </w:r>
      <w:r w:rsidRPr="00F77219">
        <w:rPr>
          <w:rFonts w:cs="Arial"/>
        </w:rPr>
        <w:t>, </w:t>
      </w:r>
      <w:r w:rsidRPr="00F77219">
        <w:rPr>
          <w:rFonts w:cs="Arial"/>
          <w:i/>
          <w:iCs/>
        </w:rPr>
        <w:t>17</w:t>
      </w:r>
      <w:r w:rsidRPr="00F77219">
        <w:rPr>
          <w:rFonts w:cs="Arial"/>
        </w:rPr>
        <w:t>(4), 709-727.</w:t>
      </w:r>
    </w:p>
    <w:p w14:paraId="5106E459" w14:textId="77777777" w:rsidR="00A907F0" w:rsidRPr="00F77219" w:rsidRDefault="00A907F0" w:rsidP="00326CB2">
      <w:pPr>
        <w:rPr>
          <w:rFonts w:cs="Arial"/>
        </w:rPr>
      </w:pPr>
      <w:r w:rsidRPr="00F77219">
        <w:rPr>
          <w:rFonts w:cs="Arial"/>
        </w:rPr>
        <w:t xml:space="preserve">Ojo, O. A., Ibrahim, H. S., Rotimi, D. E., Ogunlakin, A. D., </w:t>
      </w:r>
      <w:r w:rsidR="00B32855" w:rsidRPr="00F77219">
        <w:rPr>
          <w:rFonts w:cs="Arial"/>
        </w:rPr>
        <w:t>and Ojo, A. B. (2023)</w:t>
      </w:r>
      <w:r w:rsidRPr="00F77219">
        <w:rPr>
          <w:rFonts w:cs="Arial"/>
        </w:rPr>
        <w:t xml:space="preserve"> Diabetes mellitus: From molecular mechanism to pathophysiology and pharmacology. </w:t>
      </w:r>
      <w:r w:rsidRPr="00F77219">
        <w:rPr>
          <w:rFonts w:cs="Arial"/>
          <w:i/>
          <w:iCs/>
        </w:rPr>
        <w:t>Medicine in Novel Technology and Devices</w:t>
      </w:r>
      <w:r w:rsidRPr="00F77219">
        <w:rPr>
          <w:rFonts w:cs="Arial"/>
        </w:rPr>
        <w:t>, </w:t>
      </w:r>
      <w:r w:rsidRPr="00F77219">
        <w:rPr>
          <w:rFonts w:cs="Arial"/>
          <w:i/>
          <w:iCs/>
        </w:rPr>
        <w:t>19</w:t>
      </w:r>
      <w:r w:rsidRPr="00F77219">
        <w:rPr>
          <w:rFonts w:cs="Arial"/>
        </w:rPr>
        <w:t>, 100247.</w:t>
      </w:r>
    </w:p>
    <w:p w14:paraId="1072FDE1" w14:textId="77777777" w:rsidR="00A907F0" w:rsidRPr="00F77219" w:rsidRDefault="00A907F0" w:rsidP="00326CB2">
      <w:pPr>
        <w:rPr>
          <w:rFonts w:cs="Arial"/>
        </w:rPr>
      </w:pPr>
      <w:r w:rsidRPr="00F77219">
        <w:rPr>
          <w:rFonts w:cs="Arial"/>
        </w:rPr>
        <w:t xml:space="preserve">Rahman, M. S., Hossain, K. S., Das, S., Kundu, S., Adegoke, E. O., Rahman, M. A., ... </w:t>
      </w:r>
      <w:r w:rsidR="00B32855" w:rsidRPr="00F77219">
        <w:rPr>
          <w:rFonts w:cs="Arial"/>
        </w:rPr>
        <w:t>and Pang, M. G. (2021)</w:t>
      </w:r>
      <w:r w:rsidRPr="00F77219">
        <w:rPr>
          <w:rFonts w:cs="Arial"/>
        </w:rPr>
        <w:t xml:space="preserve"> Role of insulin in health and disease: an update. </w:t>
      </w:r>
      <w:r w:rsidRPr="00F77219">
        <w:rPr>
          <w:rFonts w:cs="Arial"/>
          <w:i/>
          <w:iCs/>
        </w:rPr>
        <w:t>International journal of molecular sciences</w:t>
      </w:r>
      <w:r w:rsidRPr="00F77219">
        <w:rPr>
          <w:rFonts w:cs="Arial"/>
        </w:rPr>
        <w:t>, </w:t>
      </w:r>
      <w:r w:rsidRPr="00F77219">
        <w:rPr>
          <w:rFonts w:cs="Arial"/>
          <w:i/>
          <w:iCs/>
        </w:rPr>
        <w:t>22</w:t>
      </w:r>
      <w:r w:rsidRPr="00F77219">
        <w:rPr>
          <w:rFonts w:cs="Arial"/>
        </w:rPr>
        <w:t>(12), 6403.</w:t>
      </w:r>
    </w:p>
    <w:p w14:paraId="26826885" w14:textId="77777777" w:rsidR="00A907F0" w:rsidRPr="00F77219" w:rsidRDefault="00A907F0" w:rsidP="00326CB2">
      <w:pPr>
        <w:rPr>
          <w:rFonts w:cs="Arial"/>
        </w:rPr>
      </w:pPr>
      <w:r w:rsidRPr="00F77219">
        <w:rPr>
          <w:rFonts w:cs="Arial"/>
        </w:rPr>
        <w:t xml:space="preserve">Ross, J. A. D., Barron, E., McGough, B., Valabhji, J., Daff, K., Irwin, J., ... </w:t>
      </w:r>
      <w:r w:rsidR="00B32855" w:rsidRPr="00F77219">
        <w:rPr>
          <w:rFonts w:cs="Arial"/>
        </w:rPr>
        <w:t>and Murray, E. (2022)</w:t>
      </w:r>
      <w:r w:rsidRPr="00F77219">
        <w:rPr>
          <w:rFonts w:cs="Arial"/>
        </w:rPr>
        <w:t xml:space="preserve"> Uptake and impact of the English National Health Service digital diabetes prevention programme: observational study. </w:t>
      </w:r>
      <w:r w:rsidRPr="00F77219">
        <w:rPr>
          <w:rFonts w:cs="Arial"/>
          <w:i/>
          <w:iCs/>
        </w:rPr>
        <w:t>BMJ Open Diabetes Research &amp; Care</w:t>
      </w:r>
      <w:r w:rsidRPr="00F77219">
        <w:rPr>
          <w:rFonts w:cs="Arial"/>
        </w:rPr>
        <w:t>, </w:t>
      </w:r>
      <w:r w:rsidRPr="00F77219">
        <w:rPr>
          <w:rFonts w:cs="Arial"/>
          <w:i/>
          <w:iCs/>
        </w:rPr>
        <w:t>10</w:t>
      </w:r>
      <w:r w:rsidRPr="00F77219">
        <w:rPr>
          <w:rFonts w:cs="Arial"/>
        </w:rPr>
        <w:t>(3).</w:t>
      </w:r>
    </w:p>
    <w:p w14:paraId="73F0909A" w14:textId="77777777" w:rsidR="00A907F0" w:rsidRPr="00F77219" w:rsidRDefault="00A907F0" w:rsidP="00326CB2">
      <w:pPr>
        <w:rPr>
          <w:rFonts w:cs="Arial"/>
        </w:rPr>
      </w:pPr>
      <w:r w:rsidRPr="00F77219">
        <w:rPr>
          <w:rFonts w:cs="Arial"/>
        </w:rPr>
        <w:t xml:space="preserve">Shaikh, A. A., Kolhatkar, M. K., Sopane, D. R., </w:t>
      </w:r>
      <w:r w:rsidR="00B32855" w:rsidRPr="00F77219">
        <w:rPr>
          <w:rFonts w:cs="Arial"/>
        </w:rPr>
        <w:t>and Thorve, A. N. (2022)</w:t>
      </w:r>
      <w:r w:rsidRPr="00F77219">
        <w:rPr>
          <w:rFonts w:cs="Arial"/>
        </w:rPr>
        <w:t xml:space="preserve"> Review on: Diabetes mellitus is a disease. </w:t>
      </w:r>
      <w:r w:rsidRPr="00F77219">
        <w:rPr>
          <w:rFonts w:cs="Arial"/>
          <w:i/>
          <w:iCs/>
        </w:rPr>
        <w:t>Int J Res Pharm Sci</w:t>
      </w:r>
      <w:r w:rsidRPr="00F77219">
        <w:rPr>
          <w:rFonts w:cs="Arial"/>
        </w:rPr>
        <w:t>, </w:t>
      </w:r>
      <w:r w:rsidRPr="00F77219">
        <w:rPr>
          <w:rFonts w:cs="Arial"/>
          <w:i/>
          <w:iCs/>
        </w:rPr>
        <w:t>13</w:t>
      </w:r>
      <w:r w:rsidRPr="00F77219">
        <w:rPr>
          <w:rFonts w:cs="Arial"/>
        </w:rPr>
        <w:t>(1), 102-109.</w:t>
      </w:r>
    </w:p>
    <w:p w14:paraId="6EE85F6D" w14:textId="77777777" w:rsidR="00A907F0" w:rsidRPr="00F77219" w:rsidRDefault="00B32855" w:rsidP="00326CB2">
      <w:pPr>
        <w:rPr>
          <w:rFonts w:cs="Arial"/>
          <w:b/>
          <w:bCs/>
        </w:rPr>
      </w:pPr>
      <w:r w:rsidRPr="00F77219">
        <w:rPr>
          <w:rFonts w:cs="Arial"/>
        </w:rPr>
        <w:t xml:space="preserve">StatPearls Publishing, </w:t>
      </w:r>
      <w:r w:rsidR="00A907F0" w:rsidRPr="00F77219">
        <w:rPr>
          <w:rFonts w:cs="Arial"/>
        </w:rPr>
        <w:t xml:space="preserve">(2024, April 30). </w:t>
      </w:r>
      <w:r w:rsidR="00A907F0" w:rsidRPr="00F77219">
        <w:rPr>
          <w:rFonts w:cs="Arial"/>
          <w:i/>
          <w:iCs/>
        </w:rPr>
        <w:t>Physiology, Glucose</w:t>
      </w:r>
      <w:r w:rsidR="00A907F0" w:rsidRPr="00F77219">
        <w:rPr>
          <w:rFonts w:cs="Arial"/>
        </w:rPr>
        <w:t xml:space="preserve">. StatPearls [Internet]. National Center for Biotechnology Information (NCBI) Bookshelf. Available at: </w:t>
      </w:r>
      <w:hyperlink r:id="rId9" w:tgtFrame="_blank" w:history="1">
        <w:r w:rsidR="00A907F0" w:rsidRPr="00F77219">
          <w:rPr>
            <w:rStyle w:val="Hyperlink"/>
            <w:rFonts w:cs="Arial"/>
            <w:bCs/>
          </w:rPr>
          <w:t>https://www.ncbi.nlm.nih.gov/books/NBK545201/</w:t>
        </w:r>
      </w:hyperlink>
    </w:p>
    <w:p w14:paraId="63A1BF9F" w14:textId="77777777" w:rsidR="00B32855" w:rsidRPr="00F77219" w:rsidRDefault="00A907F0" w:rsidP="00326CB2">
      <w:pPr>
        <w:rPr>
          <w:rFonts w:cs="Arial"/>
        </w:rPr>
      </w:pPr>
      <w:r w:rsidRPr="00F77219">
        <w:rPr>
          <w:rFonts w:cs="Arial"/>
        </w:rPr>
        <w:t xml:space="preserve">Zhou, R., Guo, Q., Xiao, Y., Guo, Q., Huang, Y., Li, C., </w:t>
      </w:r>
      <w:r w:rsidR="00B32855" w:rsidRPr="00F77219">
        <w:rPr>
          <w:rFonts w:cs="Arial"/>
        </w:rPr>
        <w:t>and Luo, X. (2021)</w:t>
      </w:r>
      <w:r w:rsidRPr="00F77219">
        <w:rPr>
          <w:rFonts w:cs="Arial"/>
        </w:rPr>
        <w:t xml:space="preserve"> Endocrine role of bone in the regulation of energy metabolism. </w:t>
      </w:r>
      <w:r w:rsidRPr="00F77219">
        <w:rPr>
          <w:rFonts w:cs="Arial"/>
          <w:i/>
          <w:iCs/>
        </w:rPr>
        <w:t>Bone research</w:t>
      </w:r>
      <w:r w:rsidRPr="00F77219">
        <w:rPr>
          <w:rFonts w:cs="Arial"/>
        </w:rPr>
        <w:t>, </w:t>
      </w:r>
      <w:r w:rsidRPr="00F77219">
        <w:rPr>
          <w:rFonts w:cs="Arial"/>
          <w:i/>
          <w:iCs/>
        </w:rPr>
        <w:t>9</w:t>
      </w:r>
      <w:r w:rsidRPr="00F77219">
        <w:rPr>
          <w:rFonts w:cs="Arial"/>
        </w:rPr>
        <w:t>(1), 25.</w:t>
      </w:r>
    </w:p>
    <w:sectPr w:rsidR="00B32855" w:rsidRPr="00F7721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5249E" w14:textId="77777777" w:rsidR="00375316" w:rsidRDefault="00375316">
      <w:pPr>
        <w:spacing w:after="0" w:line="240" w:lineRule="auto"/>
      </w:pPr>
      <w:r>
        <w:separator/>
      </w:r>
    </w:p>
  </w:endnote>
  <w:endnote w:type="continuationSeparator" w:id="0">
    <w:p w14:paraId="089B7788" w14:textId="77777777" w:rsidR="00375316" w:rsidRDefault="0037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05932"/>
      <w:docPartObj>
        <w:docPartGallery w:val="Page Numbers (Bottom of Page)"/>
        <w:docPartUnique/>
      </w:docPartObj>
    </w:sdtPr>
    <w:sdtEndPr>
      <w:rPr>
        <w:noProof/>
      </w:rPr>
    </w:sdtEndPr>
    <w:sdtContent>
      <w:p w14:paraId="5DF846B5" w14:textId="77777777" w:rsidR="00260824" w:rsidRDefault="00B1133F">
        <w:pPr>
          <w:pStyle w:val="Footer"/>
          <w:jc w:val="center"/>
        </w:pPr>
        <w:r>
          <w:fldChar w:fldCharType="begin"/>
        </w:r>
        <w:r>
          <w:instrText xml:space="preserve"> PAGE   \* MERGEFORMAT </w:instrText>
        </w:r>
        <w:r>
          <w:fldChar w:fldCharType="separate"/>
        </w:r>
        <w:r w:rsidR="00F77219">
          <w:rPr>
            <w:noProof/>
          </w:rPr>
          <w:t>8</w:t>
        </w:r>
        <w:r>
          <w:rPr>
            <w:noProof/>
          </w:rPr>
          <w:fldChar w:fldCharType="end"/>
        </w:r>
      </w:p>
    </w:sdtContent>
  </w:sdt>
  <w:p w14:paraId="18BD772E" w14:textId="77777777" w:rsidR="00260824" w:rsidRDefault="00260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F7256" w14:textId="77777777" w:rsidR="00375316" w:rsidRDefault="00375316">
      <w:pPr>
        <w:spacing w:after="0" w:line="240" w:lineRule="auto"/>
      </w:pPr>
      <w:r>
        <w:separator/>
      </w:r>
    </w:p>
  </w:footnote>
  <w:footnote w:type="continuationSeparator" w:id="0">
    <w:p w14:paraId="3135CF6C" w14:textId="77777777" w:rsidR="00375316" w:rsidRDefault="00375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343B9"/>
    <w:multiLevelType w:val="multilevel"/>
    <w:tmpl w:val="C538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C73BA"/>
    <w:multiLevelType w:val="hybridMultilevel"/>
    <w:tmpl w:val="CCF2D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008EF"/>
    <w:multiLevelType w:val="multilevel"/>
    <w:tmpl w:val="DEE8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00A38"/>
    <w:multiLevelType w:val="multilevel"/>
    <w:tmpl w:val="85C69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575291"/>
    <w:multiLevelType w:val="hybridMultilevel"/>
    <w:tmpl w:val="904AF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D76B98"/>
    <w:multiLevelType w:val="multilevel"/>
    <w:tmpl w:val="C976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547972"/>
    <w:multiLevelType w:val="multilevel"/>
    <w:tmpl w:val="B114F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EC68E7"/>
    <w:multiLevelType w:val="hybridMultilevel"/>
    <w:tmpl w:val="6B841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800C96"/>
    <w:multiLevelType w:val="multilevel"/>
    <w:tmpl w:val="27D2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2F5CA6"/>
    <w:multiLevelType w:val="multilevel"/>
    <w:tmpl w:val="27C63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D66465"/>
    <w:multiLevelType w:val="multilevel"/>
    <w:tmpl w:val="8E4EB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4962DC"/>
    <w:multiLevelType w:val="multilevel"/>
    <w:tmpl w:val="D660D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3875513">
    <w:abstractNumId w:val="3"/>
  </w:num>
  <w:num w:numId="2" w16cid:durableId="38287613">
    <w:abstractNumId w:val="10"/>
  </w:num>
  <w:num w:numId="3" w16cid:durableId="1197351829">
    <w:abstractNumId w:val="5"/>
  </w:num>
  <w:num w:numId="4" w16cid:durableId="394085115">
    <w:abstractNumId w:val="0"/>
  </w:num>
  <w:num w:numId="5" w16cid:durableId="1237670246">
    <w:abstractNumId w:val="9"/>
  </w:num>
  <w:num w:numId="6" w16cid:durableId="1503660350">
    <w:abstractNumId w:val="2"/>
  </w:num>
  <w:num w:numId="7" w16cid:durableId="136731709">
    <w:abstractNumId w:val="8"/>
  </w:num>
  <w:num w:numId="8" w16cid:durableId="1603145964">
    <w:abstractNumId w:val="11"/>
  </w:num>
  <w:num w:numId="9" w16cid:durableId="1803185863">
    <w:abstractNumId w:val="7"/>
  </w:num>
  <w:num w:numId="10" w16cid:durableId="2087191748">
    <w:abstractNumId w:val="1"/>
  </w:num>
  <w:num w:numId="11" w16cid:durableId="1536310321">
    <w:abstractNumId w:val="4"/>
  </w:num>
  <w:num w:numId="12" w16cid:durableId="652293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11E"/>
    <w:rsid w:val="00056983"/>
    <w:rsid w:val="00065927"/>
    <w:rsid w:val="000B664E"/>
    <w:rsid w:val="00134495"/>
    <w:rsid w:val="00146E72"/>
    <w:rsid w:val="0022238D"/>
    <w:rsid w:val="00260824"/>
    <w:rsid w:val="002F656F"/>
    <w:rsid w:val="00326CB2"/>
    <w:rsid w:val="003609E9"/>
    <w:rsid w:val="00375316"/>
    <w:rsid w:val="00375CE1"/>
    <w:rsid w:val="00384356"/>
    <w:rsid w:val="003A5E9A"/>
    <w:rsid w:val="00401093"/>
    <w:rsid w:val="00420729"/>
    <w:rsid w:val="00433FF8"/>
    <w:rsid w:val="00440CD6"/>
    <w:rsid w:val="00442E88"/>
    <w:rsid w:val="0044311E"/>
    <w:rsid w:val="004D789D"/>
    <w:rsid w:val="005A64C7"/>
    <w:rsid w:val="00612729"/>
    <w:rsid w:val="00735104"/>
    <w:rsid w:val="007A7FCD"/>
    <w:rsid w:val="007C58E4"/>
    <w:rsid w:val="0084201A"/>
    <w:rsid w:val="008B2097"/>
    <w:rsid w:val="008B4921"/>
    <w:rsid w:val="00985F51"/>
    <w:rsid w:val="009A1D9A"/>
    <w:rsid w:val="009E3F92"/>
    <w:rsid w:val="00A677AB"/>
    <w:rsid w:val="00A907F0"/>
    <w:rsid w:val="00AE7E62"/>
    <w:rsid w:val="00B1133F"/>
    <w:rsid w:val="00B32855"/>
    <w:rsid w:val="00B37A18"/>
    <w:rsid w:val="00B41593"/>
    <w:rsid w:val="00BD02E5"/>
    <w:rsid w:val="00DA3666"/>
    <w:rsid w:val="00DE2B33"/>
    <w:rsid w:val="00E55CE6"/>
    <w:rsid w:val="00EA4CF7"/>
    <w:rsid w:val="00F0102D"/>
    <w:rsid w:val="00F2330A"/>
    <w:rsid w:val="00F50846"/>
    <w:rsid w:val="00F77219"/>
    <w:rsid w:val="00F87E94"/>
    <w:rsid w:val="00FF5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54A616"/>
  <w15:chartTrackingRefBased/>
  <w15:docId w15:val="{A9ACF4C7-14DB-4C74-83A8-768FA6C28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846"/>
    <w:pPr>
      <w:spacing w:line="360" w:lineRule="auto"/>
      <w:jc w:val="both"/>
    </w:pPr>
    <w:rPr>
      <w:rFonts w:ascii="Arial" w:hAnsi="Arial"/>
    </w:rPr>
  </w:style>
  <w:style w:type="paragraph" w:styleId="Heading1">
    <w:name w:val="heading 1"/>
    <w:basedOn w:val="Normal"/>
    <w:next w:val="Normal"/>
    <w:link w:val="Heading1Char"/>
    <w:autoRedefine/>
    <w:uiPriority w:val="9"/>
    <w:qFormat/>
    <w:rsid w:val="00DA3666"/>
    <w:pPr>
      <w:keepNext/>
      <w:keepLines/>
      <w:spacing w:before="240" w:after="0"/>
      <w:outlineLvl w:val="0"/>
    </w:pPr>
    <w:rPr>
      <w:rFonts w:eastAsiaTheme="majorEastAsia" w:cstheme="majorBidi"/>
      <w:b/>
      <w:sz w:val="28"/>
      <w:szCs w:val="32"/>
    </w:rPr>
  </w:style>
  <w:style w:type="paragraph" w:styleId="Heading2">
    <w:name w:val="heading 2"/>
    <w:basedOn w:val="Normal"/>
    <w:link w:val="Heading2Char"/>
    <w:uiPriority w:val="9"/>
    <w:qFormat/>
    <w:rsid w:val="00F50846"/>
    <w:pPr>
      <w:spacing w:before="100" w:beforeAutospacing="1" w:after="100" w:afterAutospacing="1" w:line="240" w:lineRule="auto"/>
      <w:outlineLvl w:val="1"/>
    </w:pPr>
    <w:rPr>
      <w:rFonts w:eastAsia="Times New Roman" w:cs="Times New Roman"/>
      <w:bCs/>
      <w:sz w:val="26"/>
      <w:szCs w:val="36"/>
      <w:u w:val="single"/>
      <w:lang w:eastAsia="en-GB"/>
    </w:rPr>
  </w:style>
  <w:style w:type="paragraph" w:styleId="Heading3">
    <w:name w:val="heading 3"/>
    <w:basedOn w:val="Normal"/>
    <w:link w:val="Heading3Char"/>
    <w:uiPriority w:val="9"/>
    <w:qFormat/>
    <w:rsid w:val="0044311E"/>
    <w:pPr>
      <w:spacing w:before="100" w:beforeAutospacing="1" w:after="100" w:afterAutospacing="1" w:line="240" w:lineRule="auto"/>
      <w:jc w:val="left"/>
      <w:outlineLvl w:val="2"/>
    </w:pPr>
    <w:rPr>
      <w:rFonts w:eastAsia="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6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50846"/>
    <w:rPr>
      <w:rFonts w:ascii="Times New Roman" w:eastAsia="Times New Roman" w:hAnsi="Times New Roman" w:cs="Times New Roman"/>
      <w:bCs/>
      <w:sz w:val="26"/>
      <w:szCs w:val="36"/>
      <w:u w:val="single"/>
      <w:lang w:eastAsia="en-GB"/>
    </w:rPr>
  </w:style>
  <w:style w:type="character" w:customStyle="1" w:styleId="Heading3Char">
    <w:name w:val="Heading 3 Char"/>
    <w:basedOn w:val="DefaultParagraphFont"/>
    <w:link w:val="Heading3"/>
    <w:uiPriority w:val="9"/>
    <w:rsid w:val="0044311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4311E"/>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44311E"/>
    <w:rPr>
      <w:b/>
      <w:bCs/>
    </w:rPr>
  </w:style>
  <w:style w:type="character" w:styleId="Emphasis">
    <w:name w:val="Emphasis"/>
    <w:basedOn w:val="DefaultParagraphFont"/>
    <w:uiPriority w:val="20"/>
    <w:qFormat/>
    <w:rsid w:val="0044311E"/>
    <w:rPr>
      <w:i/>
      <w:iCs/>
    </w:rPr>
  </w:style>
  <w:style w:type="paragraph" w:styleId="Title">
    <w:name w:val="Title"/>
    <w:basedOn w:val="Normal"/>
    <w:next w:val="Normal"/>
    <w:link w:val="TitleChar"/>
    <w:uiPriority w:val="10"/>
    <w:qFormat/>
    <w:rsid w:val="00F50846"/>
    <w:pPr>
      <w:spacing w:after="0"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F50846"/>
    <w:rPr>
      <w:rFonts w:ascii="Times New Roman" w:eastAsiaTheme="majorEastAsia" w:hAnsi="Times New Roman" w:cstheme="majorBidi"/>
      <w:b/>
      <w:i/>
      <w:spacing w:val="-10"/>
      <w:kern w:val="28"/>
      <w:sz w:val="56"/>
      <w:szCs w:val="56"/>
    </w:rPr>
  </w:style>
  <w:style w:type="character" w:customStyle="1" w:styleId="ms-1">
    <w:name w:val="ms-1"/>
    <w:basedOn w:val="DefaultParagraphFont"/>
    <w:rsid w:val="00433FF8"/>
  </w:style>
  <w:style w:type="character" w:customStyle="1" w:styleId="max-w-15ch">
    <w:name w:val="max-w-[15ch]"/>
    <w:basedOn w:val="DefaultParagraphFont"/>
    <w:rsid w:val="00433FF8"/>
  </w:style>
  <w:style w:type="character" w:customStyle="1" w:styleId="-me-1">
    <w:name w:val="-me-1"/>
    <w:basedOn w:val="DefaultParagraphFont"/>
    <w:rsid w:val="00433FF8"/>
  </w:style>
  <w:style w:type="paragraph" w:styleId="Header">
    <w:name w:val="header"/>
    <w:basedOn w:val="Normal"/>
    <w:link w:val="HeaderChar"/>
    <w:uiPriority w:val="99"/>
    <w:unhideWhenUsed/>
    <w:rsid w:val="00260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824"/>
    <w:rPr>
      <w:rFonts w:ascii="Arial" w:hAnsi="Arial"/>
    </w:rPr>
  </w:style>
  <w:style w:type="paragraph" w:styleId="Footer">
    <w:name w:val="footer"/>
    <w:basedOn w:val="Normal"/>
    <w:link w:val="FooterChar"/>
    <w:uiPriority w:val="99"/>
    <w:unhideWhenUsed/>
    <w:rsid w:val="00260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824"/>
    <w:rPr>
      <w:rFonts w:ascii="Arial" w:hAnsi="Arial"/>
    </w:rPr>
  </w:style>
  <w:style w:type="paragraph" w:styleId="TOCHeading">
    <w:name w:val="TOC Heading"/>
    <w:basedOn w:val="Heading1"/>
    <w:next w:val="Normal"/>
    <w:uiPriority w:val="39"/>
    <w:unhideWhenUsed/>
    <w:qFormat/>
    <w:rsid w:val="0073510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35104"/>
    <w:pPr>
      <w:spacing w:after="100"/>
    </w:pPr>
  </w:style>
  <w:style w:type="paragraph" w:styleId="TOC2">
    <w:name w:val="toc 2"/>
    <w:basedOn w:val="Normal"/>
    <w:next w:val="Normal"/>
    <w:autoRedefine/>
    <w:uiPriority w:val="39"/>
    <w:unhideWhenUsed/>
    <w:rsid w:val="00735104"/>
    <w:pPr>
      <w:spacing w:after="100"/>
      <w:ind w:left="220"/>
    </w:pPr>
  </w:style>
  <w:style w:type="character" w:styleId="Hyperlink">
    <w:name w:val="Hyperlink"/>
    <w:basedOn w:val="DefaultParagraphFont"/>
    <w:uiPriority w:val="99"/>
    <w:unhideWhenUsed/>
    <w:rsid w:val="00735104"/>
    <w:rPr>
      <w:color w:val="0563C1" w:themeColor="hyperlink"/>
      <w:u w:val="single"/>
    </w:rPr>
  </w:style>
  <w:style w:type="paragraph" w:styleId="ListParagraph">
    <w:name w:val="List Paragraph"/>
    <w:basedOn w:val="Normal"/>
    <w:uiPriority w:val="34"/>
    <w:qFormat/>
    <w:rsid w:val="00B41593"/>
    <w:pPr>
      <w:ind w:left="720"/>
      <w:contextualSpacing/>
    </w:pPr>
  </w:style>
  <w:style w:type="character" w:customStyle="1" w:styleId="math-inline">
    <w:name w:val="math-inline"/>
    <w:basedOn w:val="DefaultParagraphFont"/>
    <w:rsid w:val="00B32855"/>
  </w:style>
  <w:style w:type="character" w:styleId="CommentReference">
    <w:name w:val="annotation reference"/>
    <w:basedOn w:val="DefaultParagraphFont"/>
    <w:uiPriority w:val="99"/>
    <w:semiHidden/>
    <w:unhideWhenUsed/>
    <w:rsid w:val="00056983"/>
    <w:rPr>
      <w:sz w:val="16"/>
      <w:szCs w:val="16"/>
    </w:rPr>
  </w:style>
  <w:style w:type="paragraph" w:styleId="CommentText">
    <w:name w:val="annotation text"/>
    <w:basedOn w:val="Normal"/>
    <w:link w:val="CommentTextChar"/>
    <w:uiPriority w:val="99"/>
    <w:unhideWhenUsed/>
    <w:rsid w:val="00056983"/>
    <w:pPr>
      <w:spacing w:line="240" w:lineRule="auto"/>
    </w:pPr>
    <w:rPr>
      <w:sz w:val="20"/>
      <w:szCs w:val="20"/>
    </w:rPr>
  </w:style>
  <w:style w:type="character" w:customStyle="1" w:styleId="CommentTextChar">
    <w:name w:val="Comment Text Char"/>
    <w:basedOn w:val="DefaultParagraphFont"/>
    <w:link w:val="CommentText"/>
    <w:uiPriority w:val="99"/>
    <w:rsid w:val="0005698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56983"/>
    <w:rPr>
      <w:b/>
      <w:bCs/>
    </w:rPr>
  </w:style>
  <w:style w:type="character" w:customStyle="1" w:styleId="CommentSubjectChar">
    <w:name w:val="Comment Subject Char"/>
    <w:basedOn w:val="CommentTextChar"/>
    <w:link w:val="CommentSubject"/>
    <w:uiPriority w:val="99"/>
    <w:semiHidden/>
    <w:rsid w:val="0005698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4563477">
      <w:bodyDiv w:val="1"/>
      <w:marLeft w:val="0"/>
      <w:marRight w:val="0"/>
      <w:marTop w:val="0"/>
      <w:marBottom w:val="0"/>
      <w:divBdr>
        <w:top w:val="none" w:sz="0" w:space="0" w:color="auto"/>
        <w:left w:val="none" w:sz="0" w:space="0" w:color="auto"/>
        <w:bottom w:val="none" w:sz="0" w:space="0" w:color="auto"/>
        <w:right w:val="none" w:sz="0" w:space="0" w:color="auto"/>
      </w:divBdr>
    </w:div>
    <w:div w:id="1448740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atlas.org/atlas/tenth-edi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cbi.nlm.nih.gov/books/NBK545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B5683-4851-452A-A2AE-3C0161CF9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2353</Words>
  <Characters>13416</Characters>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2025-10-30T11:02:00Z</dcterms:created>
  <dcterms:modified xsi:type="dcterms:W3CDTF">2025-10-30T15:17:00Z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0cc1bcf2-71cb-4e4d-8337-77bd42bd0076</vt:lpwstr>
  </property>
</Properties>
</file>