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438E5" w14:textId="0F034481" w:rsidR="00F90152" w:rsidRDefault="00DB00C9">
      <w:r>
        <w:t xml:space="preserve">Q1. </w:t>
      </w:r>
      <w:r w:rsidR="004165B4">
        <w:t xml:space="preserve">Artiron Motor’s (Artiron) </w:t>
      </w:r>
      <w:r w:rsidR="000F1943">
        <w:t>operates across multiple</w:t>
      </w:r>
      <w:r w:rsidR="00E323D8">
        <w:t xml:space="preserve"> countries and employs over 50,000 people making organi</w:t>
      </w:r>
      <w:r w:rsidR="0088340B">
        <w:t>sational structure important due to the scale and complexity of its operations.</w:t>
      </w:r>
    </w:p>
    <w:p w14:paraId="6415A788" w14:textId="51D6C125" w:rsidR="003E1974" w:rsidRDefault="003E1974">
      <w:r>
        <w:t>A divisional structure separates an organisation based on areas</w:t>
      </w:r>
      <w:r w:rsidR="005647AF">
        <w:t xml:space="preserve"> such as products or geographical locations. As Artiron is multinational, offers a range </w:t>
      </w:r>
      <w:r w:rsidR="00E35698">
        <w:t>of</w:t>
      </w:r>
      <w:r w:rsidR="005647AF">
        <w:t xml:space="preserve"> </w:t>
      </w:r>
      <w:r w:rsidR="00E35698">
        <w:t>electric</w:t>
      </w:r>
      <w:r w:rsidR="005647AF">
        <w:t xml:space="preserve"> vehicles</w:t>
      </w:r>
      <w:r w:rsidR="00454208">
        <w:t xml:space="preserve"> and operates with over 50,000 employees, this structure allows different areas of the business greater autonomy. Belenzon, Hashai and Patacconi (2019, p1614) identify that multidivisional structures are commonly used within large, diverse companies with divisions having substantial decision making authority.</w:t>
      </w:r>
    </w:p>
    <w:p w14:paraId="069F23F9" w14:textId="3D9BF68F" w:rsidR="001F2EB7" w:rsidRDefault="001F2EB7">
      <w:r>
        <w:t>Opening up new operations can be easier with this structure</w:t>
      </w:r>
      <w:r w:rsidR="00B536DA">
        <w:t xml:space="preserve"> when expanding into new territories</w:t>
      </w:r>
      <w:r w:rsidR="000D2301">
        <w:t xml:space="preserve"> as</w:t>
      </w:r>
      <w:r w:rsidR="00B536DA">
        <w:t xml:space="preserve"> only that </w:t>
      </w:r>
      <w:r w:rsidR="00F90152">
        <w:t>division</w:t>
      </w:r>
      <w:r w:rsidR="00B536DA">
        <w:t xml:space="preserve"> needs to be involved in the decision making</w:t>
      </w:r>
      <w:r w:rsidR="00707906">
        <w:t xml:space="preserve"> (Ketchen</w:t>
      </w:r>
      <w:r w:rsidR="00270FDD">
        <w:t>, 2023). This could allow</w:t>
      </w:r>
      <w:r w:rsidR="00210C35">
        <w:t xml:space="preserve"> </w:t>
      </w:r>
      <w:r w:rsidR="00270FDD">
        <w:t xml:space="preserve">Artiron to respond faster </w:t>
      </w:r>
      <w:r w:rsidR="00210C35">
        <w:t xml:space="preserve">to individual markets. </w:t>
      </w:r>
      <w:r w:rsidR="0033338E">
        <w:t xml:space="preserve">Operating in numerous countries however means that different cultures, markets and </w:t>
      </w:r>
      <w:r w:rsidR="008D2072">
        <w:t>employment</w:t>
      </w:r>
      <w:r w:rsidR="0033338E">
        <w:t xml:space="preserve"> laws can impact how </w:t>
      </w:r>
      <w:r w:rsidR="00134D1D">
        <w:t>divisions</w:t>
      </w:r>
      <w:r w:rsidR="0033338E">
        <w:t xml:space="preserve"> operate. Belenzon, Hashai and Patacconi (20</w:t>
      </w:r>
      <w:r w:rsidR="008D2072">
        <w:t>19</w:t>
      </w:r>
      <w:r w:rsidR="0033338E">
        <w:t>, p. 1616) highlight that organisational distance can creat</w:t>
      </w:r>
      <w:r w:rsidR="007114B5">
        <w:t xml:space="preserve">e </w:t>
      </w:r>
      <w:r w:rsidR="0033338E">
        <w:t xml:space="preserve">communication </w:t>
      </w:r>
      <w:r w:rsidR="007114B5">
        <w:t>friction. For Artiron this could create inconsistent practices across divisions and make central coordination more difficult.</w:t>
      </w:r>
    </w:p>
    <w:p w14:paraId="5E38B9EF" w14:textId="1B0A2A41" w:rsidR="0021669F" w:rsidRDefault="00963C28">
      <w:r>
        <w:t>Matrix structure combines divisional and functional structures</w:t>
      </w:r>
      <w:r w:rsidR="00627F81">
        <w:t xml:space="preserve"> bringing</w:t>
      </w:r>
      <w:r>
        <w:t xml:space="preserve"> </w:t>
      </w:r>
      <w:r w:rsidR="00F47A26">
        <w:t>individuals</w:t>
      </w:r>
      <w:r>
        <w:t xml:space="preserve"> into teams to work on specialist </w:t>
      </w:r>
      <w:r w:rsidR="00F47A26">
        <w:t>projects</w:t>
      </w:r>
      <w:r w:rsidR="00627F81">
        <w:t>. This provides flexibility as project teams can be created when new products are needed (Ketchen, 2023)</w:t>
      </w:r>
      <w:r w:rsidR="00B8269B">
        <w:t>. San Cristobal, Fernandez and Diaz (2018) suggest matrix structures suit large, complex organisations where innovation and advanced technology are important. Arti</w:t>
      </w:r>
      <w:r w:rsidR="00134D1D">
        <w:t>r</w:t>
      </w:r>
      <w:r w:rsidR="00B8269B">
        <w:t>on can draw on specialists from across its workforce for new product projects without the need to restructure</w:t>
      </w:r>
      <w:r w:rsidR="00BC023D">
        <w:t>.</w:t>
      </w:r>
    </w:p>
    <w:p w14:paraId="12FF2DE0" w14:textId="60316101" w:rsidR="00656D92" w:rsidRDefault="0049373D" w:rsidP="00741F2A">
      <w:r>
        <w:t>One</w:t>
      </w:r>
      <w:r w:rsidR="00DA7BB9">
        <w:t xml:space="preserve"> downside is individuals now have </w:t>
      </w:r>
      <w:r w:rsidR="00F47A26">
        <w:t xml:space="preserve">multiple </w:t>
      </w:r>
      <w:r w:rsidR="00DE616F">
        <w:t>reporting lines</w:t>
      </w:r>
      <w:r w:rsidR="00DA7BB9">
        <w:t xml:space="preserve"> and it can become unclear who takes priority </w:t>
      </w:r>
      <w:r w:rsidR="00BC023D">
        <w:t>in</w:t>
      </w:r>
      <w:r w:rsidR="00DA7BB9">
        <w:t xml:space="preserve"> leadership</w:t>
      </w:r>
      <w:r w:rsidR="007567C0">
        <w:t xml:space="preserve">. </w:t>
      </w:r>
      <w:r w:rsidR="00BC023D">
        <w:t>As highlighted b</w:t>
      </w:r>
      <w:r w:rsidR="007567C0">
        <w:t>y</w:t>
      </w:r>
      <w:r w:rsidR="00111E2C">
        <w:t xml:space="preserve"> Cristobal, Fernandez and Diaz (2018) who identify complex reporting relationships and potential conflict form shared authority.</w:t>
      </w:r>
      <w:r w:rsidR="008516EB">
        <w:t xml:space="preserve"> </w:t>
      </w:r>
      <w:r w:rsidR="004E3125">
        <w:t>Role ambiguity</w:t>
      </w:r>
      <w:r w:rsidR="00E40E40">
        <w:t xml:space="preserve"> and conflict</w:t>
      </w:r>
      <w:r w:rsidR="004E3125">
        <w:t xml:space="preserve">, as outlined by </w:t>
      </w:r>
      <w:r w:rsidR="004E3125" w:rsidRPr="004E3125">
        <w:t>Schmidt. </w:t>
      </w:r>
      <w:r w:rsidR="004E3125" w:rsidRPr="004E3125">
        <w:rPr>
          <w:i/>
          <w:iCs/>
        </w:rPr>
        <w:t>et al.</w:t>
      </w:r>
      <w:r w:rsidR="004E3125" w:rsidRPr="004E3125">
        <w:t> (2014)</w:t>
      </w:r>
      <w:r w:rsidR="004E3125">
        <w:t xml:space="preserve"> can </w:t>
      </w:r>
      <w:r w:rsidR="003D18A6">
        <w:t>lead to psychological conflict</w:t>
      </w:r>
      <w:r w:rsidR="00E62562">
        <w:t xml:space="preserve"> resulting in an employee becoming incapable o</w:t>
      </w:r>
      <w:r w:rsidR="00A86A2A">
        <w:t>f</w:t>
      </w:r>
      <w:r w:rsidR="00E62562">
        <w:t xml:space="preserve"> fulfilling every expected role </w:t>
      </w:r>
      <w:r w:rsidR="00B51B38">
        <w:t>concurrently</w:t>
      </w:r>
      <w:r w:rsidR="00A86A2A">
        <w:t xml:space="preserve"> </w:t>
      </w:r>
      <w:r w:rsidR="000B7375">
        <w:t xml:space="preserve">potentially </w:t>
      </w:r>
      <w:r w:rsidR="00A86A2A">
        <w:t>resulting in a decrease in productivity across Art</w:t>
      </w:r>
      <w:r w:rsidR="000B7375">
        <w:t>ir</w:t>
      </w:r>
      <w:r w:rsidR="001B3E2F">
        <w:t>o</w:t>
      </w:r>
      <w:r w:rsidR="00A86A2A">
        <w:t xml:space="preserve">n. </w:t>
      </w:r>
    </w:p>
    <w:p w14:paraId="3E537B94" w14:textId="0044743E" w:rsidR="00656D92" w:rsidRDefault="00656D92">
      <w:r>
        <w:t xml:space="preserve">Ultimately, a </w:t>
      </w:r>
      <w:r w:rsidR="006D188C">
        <w:t>combination of divisional and matrix struct</w:t>
      </w:r>
      <w:r w:rsidR="00274AD6">
        <w:t>ure</w:t>
      </w:r>
      <w:r w:rsidR="006D188C">
        <w:t xml:space="preserve"> is appropriate for Artiron</w:t>
      </w:r>
      <w:r w:rsidR="00C70795">
        <w:t xml:space="preserve">. </w:t>
      </w:r>
      <w:r w:rsidR="00F7196A" w:rsidRPr="0025275D">
        <w:rPr>
          <w:b/>
          <w:bCs/>
        </w:rPr>
        <w:t>Divisional</w:t>
      </w:r>
      <w:r w:rsidR="00C70795" w:rsidRPr="0025275D">
        <w:rPr>
          <w:b/>
          <w:bCs/>
        </w:rPr>
        <w:t xml:space="preserve"> </w:t>
      </w:r>
      <w:r w:rsidR="00F66E9D" w:rsidRPr="0025275D">
        <w:rPr>
          <w:b/>
          <w:bCs/>
        </w:rPr>
        <w:t>structure supports international operations and the</w:t>
      </w:r>
      <w:r w:rsidR="00C70795" w:rsidRPr="0025275D">
        <w:rPr>
          <w:b/>
          <w:bCs/>
        </w:rPr>
        <w:t xml:space="preserve"> scale of operations</w:t>
      </w:r>
      <w:r w:rsidR="00F66E9D" w:rsidRPr="0025275D">
        <w:rPr>
          <w:b/>
          <w:bCs/>
        </w:rPr>
        <w:t>, whilst matrix structure supports complex projects requiring expertise from across the company.</w:t>
      </w:r>
      <w:r w:rsidR="00F66E9D">
        <w:t xml:space="preserve"> </w:t>
      </w:r>
      <w:r w:rsidR="00DB32F2">
        <w:t>This said,</w:t>
      </w:r>
      <w:r w:rsidR="00741F2A">
        <w:t xml:space="preserve"> clearly defined roles</w:t>
      </w:r>
      <w:r w:rsidR="00F66E9D">
        <w:t>, responsibilities and communication</w:t>
      </w:r>
      <w:r w:rsidR="00741F2A">
        <w:t xml:space="preserve"> are essential </w:t>
      </w:r>
      <w:r w:rsidR="00F66E9D">
        <w:t>to limit the disadvantages of both structures.</w:t>
      </w:r>
      <w:r w:rsidR="00741F2A">
        <w:t xml:space="preserve"> </w:t>
      </w:r>
    </w:p>
    <w:p w14:paraId="607C007A" w14:textId="77777777" w:rsidR="00E323D8" w:rsidRDefault="00E323D8"/>
    <w:p w14:paraId="01CDA75F" w14:textId="77777777" w:rsidR="007D732D" w:rsidRPr="00805A19" w:rsidRDefault="007D732D" w:rsidP="00FF6852">
      <w:pPr>
        <w:pStyle w:val="Body"/>
        <w:ind w:left="567" w:hanging="567"/>
        <w:rPr>
          <w:rStyle w:val="None"/>
          <w:rFonts w:ascii="Trebuchet MS" w:eastAsia="Trebuchet MS" w:hAnsi="Trebuchet MS" w:cs="Trebuchet MS"/>
        </w:rPr>
      </w:pPr>
    </w:p>
    <w:p w14:paraId="56FAD83A" w14:textId="7FD9AD94" w:rsidR="00F34175" w:rsidRDefault="00DB00C9" w:rsidP="00174A90">
      <w:r>
        <w:lastRenderedPageBreak/>
        <w:t xml:space="preserve">Q2. </w:t>
      </w:r>
      <w:r w:rsidR="00150B16">
        <w:t>Two customer preferences that could affect</w:t>
      </w:r>
      <w:r w:rsidR="001604E0">
        <w:t xml:space="preserve"> strategy at Artiron are the increased demand for </w:t>
      </w:r>
      <w:r w:rsidR="00016B3B">
        <w:t>electric vehicles (EV</w:t>
      </w:r>
      <w:r w:rsidR="00174A90">
        <w:t xml:space="preserve">s) and the global demand for products that are produced sustainably. </w:t>
      </w:r>
    </w:p>
    <w:p w14:paraId="637DA6A9" w14:textId="622B5B09" w:rsidR="00C33515" w:rsidRDefault="00CC5329" w:rsidP="00307582">
      <w:r>
        <w:t>When developing</w:t>
      </w:r>
      <w:r w:rsidR="00B26E0A">
        <w:t xml:space="preserve"> organisational strategy</w:t>
      </w:r>
      <w:r w:rsidR="00BE7BF6">
        <w:t>,</w:t>
      </w:r>
      <w:r w:rsidR="00B26E0A">
        <w:t xml:space="preserve"> </w:t>
      </w:r>
      <w:r w:rsidR="00E4462A">
        <w:t xml:space="preserve">understanding </w:t>
      </w:r>
      <w:r w:rsidR="00C174F0">
        <w:t>the</w:t>
      </w:r>
      <w:r w:rsidR="001E7AE3">
        <w:t xml:space="preserve"> </w:t>
      </w:r>
      <w:r w:rsidR="00BE7BF6">
        <w:t xml:space="preserve">vision for the future </w:t>
      </w:r>
      <w:r w:rsidR="009131A8">
        <w:t>allows</w:t>
      </w:r>
      <w:r w:rsidR="00C33515">
        <w:t xml:space="preserve"> an organisation to understand where it needs to be and </w:t>
      </w:r>
      <w:r w:rsidR="001372B9">
        <w:t xml:space="preserve">sets concrete goals </w:t>
      </w:r>
      <w:r w:rsidR="005B62DC">
        <w:t>to assist in achieving</w:t>
      </w:r>
      <w:r w:rsidR="00C91116">
        <w:t xml:space="preserve"> objectives</w:t>
      </w:r>
      <w:r w:rsidR="00DB067A">
        <w:t xml:space="preserve"> (Hosen, 2017)</w:t>
      </w:r>
      <w:r w:rsidR="005B62DC">
        <w:t xml:space="preserve">. In the case of Artiron </w:t>
      </w:r>
      <w:r w:rsidR="007E617A">
        <w:t xml:space="preserve">one such vision is to </w:t>
      </w:r>
      <w:r w:rsidR="003C78E8">
        <w:t xml:space="preserve">achieve </w:t>
      </w:r>
      <w:r w:rsidR="007E617A">
        <w:t>net zero</w:t>
      </w:r>
      <w:r w:rsidR="003C78E8">
        <w:t xml:space="preserve"> by 2036.</w:t>
      </w:r>
    </w:p>
    <w:p w14:paraId="639F58AF" w14:textId="444B4FCF" w:rsidR="00E13285" w:rsidRDefault="00522C91" w:rsidP="0071149F">
      <w:r>
        <w:t xml:space="preserve">Applying SWOT </w:t>
      </w:r>
      <w:r w:rsidR="00811EFD">
        <w:t>can be a valuable tool in strategic organisational planning</w:t>
      </w:r>
      <w:r w:rsidR="00926A36">
        <w:t xml:space="preserve"> when accounting for external impactors</w:t>
      </w:r>
      <w:r w:rsidR="00F129EF">
        <w:t>.</w:t>
      </w:r>
      <w:r w:rsidR="009047F8">
        <w:t xml:space="preserve"> </w:t>
      </w:r>
      <w:r w:rsidR="00400A1F">
        <w:t xml:space="preserve">SWOT considers internal strengths and weaknesses alongside external </w:t>
      </w:r>
      <w:r w:rsidR="00645594">
        <w:t>opportunities and threats that can affect organisational objectives (CIPD</w:t>
      </w:r>
      <w:r w:rsidR="00257A55">
        <w:t>h</w:t>
      </w:r>
      <w:r w:rsidR="00645594">
        <w:t xml:space="preserve">, 2026). </w:t>
      </w:r>
      <w:r w:rsidR="00E13285">
        <w:t>Using this framework, the two preferences present opportunities for Artiro</w:t>
      </w:r>
      <w:r w:rsidR="00325153">
        <w:t>n but also creates potential threats it its strategy doesn’t respond effectively</w:t>
      </w:r>
      <w:r w:rsidR="00A36009">
        <w:t xml:space="preserve">. </w:t>
      </w:r>
      <w:r w:rsidR="00BF0C7D">
        <w:t>Increased demand for EV’s</w:t>
      </w:r>
      <w:r w:rsidR="00A42D91">
        <w:t xml:space="preserve"> </w:t>
      </w:r>
      <w:r w:rsidR="00A36009">
        <w:t>gives</w:t>
      </w:r>
      <w:r w:rsidR="002B717F">
        <w:t xml:space="preserve"> Artiron a</w:t>
      </w:r>
      <w:r w:rsidR="00A42D91">
        <w:t>n</w:t>
      </w:r>
      <w:r w:rsidR="002B717F">
        <w:t xml:space="preserve"> </w:t>
      </w:r>
      <w:r w:rsidR="00A36009">
        <w:t xml:space="preserve">external </w:t>
      </w:r>
      <w:r w:rsidR="002B717F">
        <w:t>opportunity to</w:t>
      </w:r>
      <w:r w:rsidR="009502CD">
        <w:t xml:space="preserve"> </w:t>
      </w:r>
      <w:r w:rsidR="002B717F">
        <w:t>ex</w:t>
      </w:r>
      <w:r w:rsidR="009502CD">
        <w:t>p</w:t>
      </w:r>
      <w:r w:rsidR="002B717F">
        <w:t xml:space="preserve">and their </w:t>
      </w:r>
      <w:r w:rsidR="009502CD">
        <w:t xml:space="preserve">operations allowing for </w:t>
      </w:r>
      <w:r w:rsidR="00A42D91">
        <w:t>potential</w:t>
      </w:r>
      <w:r w:rsidR="002112DB">
        <w:t xml:space="preserve"> </w:t>
      </w:r>
      <w:r w:rsidR="009502CD">
        <w:t>growth and increased revenue</w:t>
      </w:r>
      <w:r w:rsidR="002112DB">
        <w:t>.</w:t>
      </w:r>
      <w:r w:rsidR="00645594">
        <w:t xml:space="preserve"> This </w:t>
      </w:r>
      <w:r w:rsidR="00A555EC">
        <w:t>is particularly relevant in the US market where environmental benefits influenced 76% of consumers considering purchasing and EV (Shah et al., 2026). Artiron may need to strategically invest in expanding its existing EV production and upgrading plants to meet increased demand.</w:t>
      </w:r>
    </w:p>
    <w:p w14:paraId="22487CE7" w14:textId="2B4F1F82" w:rsidR="00400A1F" w:rsidRDefault="00F129EF" w:rsidP="00EA03C6">
      <w:r>
        <w:t>However, external</w:t>
      </w:r>
      <w:r w:rsidR="001E7BE0">
        <w:t xml:space="preserve"> threats such as competitor growth can have a </w:t>
      </w:r>
      <w:r w:rsidR="00E85ADC">
        <w:t>significant</w:t>
      </w:r>
      <w:r w:rsidR="001E7BE0">
        <w:t xml:space="preserve"> impact if competitors develop and </w:t>
      </w:r>
      <w:r w:rsidR="007E5E21">
        <w:t>introduce</w:t>
      </w:r>
      <w:r w:rsidR="001E7BE0">
        <w:t xml:space="preserve"> products </w:t>
      </w:r>
      <w:r w:rsidR="001F102D">
        <w:t xml:space="preserve">at a </w:t>
      </w:r>
      <w:r w:rsidR="007E5E21">
        <w:t xml:space="preserve">faster rate than Artiron or offer </w:t>
      </w:r>
      <w:r w:rsidR="00622473">
        <w:t>similar products at a lower cost. This c</w:t>
      </w:r>
      <w:r w:rsidR="00E85ADC">
        <w:t>ould</w:t>
      </w:r>
      <w:r w:rsidR="00622473">
        <w:t xml:space="preserve"> result in loss of customer base and </w:t>
      </w:r>
      <w:r w:rsidR="000615FE">
        <w:t>a decrease in</w:t>
      </w:r>
      <w:r w:rsidR="003C246A">
        <w:t xml:space="preserve"> </w:t>
      </w:r>
      <w:r w:rsidR="007F6F6F">
        <w:t>Artiron’s</w:t>
      </w:r>
      <w:r w:rsidR="003C246A">
        <w:t xml:space="preserve"> market share. </w:t>
      </w:r>
      <w:r w:rsidR="00A555EC">
        <w:t>Additionally</w:t>
      </w:r>
      <w:r w:rsidR="00107268">
        <w:t xml:space="preserve">, research within China found that usage, value and risk barriers negatively affected EV purchasing intentions (Xue et al., 2024). </w:t>
      </w:r>
      <w:r w:rsidR="00D46B5B">
        <w:t>This could expose a weakness if Artiron expands production without ensuring vehicles meet customer expectations around price and reliability.</w:t>
      </w:r>
    </w:p>
    <w:p w14:paraId="7CFA7254" w14:textId="35CFA16A" w:rsidR="00CF28E3" w:rsidRPr="00D43ED5" w:rsidRDefault="00C7557C" w:rsidP="005B47F6">
      <w:r>
        <w:t>The second preference towards sustainably produce</w:t>
      </w:r>
      <w:r w:rsidR="00D46B5B">
        <w:t>d</w:t>
      </w:r>
      <w:r>
        <w:t xml:space="preserve"> products </w:t>
      </w:r>
      <w:r w:rsidR="00D46B5B">
        <w:t>presents a further opportunity</w:t>
      </w:r>
      <w:r w:rsidR="0092353E">
        <w:t xml:space="preserve"> as it aligns with</w:t>
      </w:r>
      <w:r>
        <w:t xml:space="preserve"> Artiron</w:t>
      </w:r>
      <w:r w:rsidR="00134D1D">
        <w:t>’</w:t>
      </w:r>
      <w:r>
        <w:t xml:space="preserve">s Evolve strategy. Jordanow (2026) highlights </w:t>
      </w:r>
      <w:r w:rsidR="00742D3E">
        <w:t>increasing</w:t>
      </w:r>
      <w:r>
        <w:t xml:space="preserve"> customer demand for sustainable products which has encouraged organisations to increase development and production of sustainable </w:t>
      </w:r>
      <w:r w:rsidR="001959FA">
        <w:t xml:space="preserve">innovations. This could influence strategy through continued investment in </w:t>
      </w:r>
      <w:r w:rsidR="001A2C20">
        <w:t>sustainable</w:t>
      </w:r>
      <w:r w:rsidR="001959FA">
        <w:t xml:space="preserve"> </w:t>
      </w:r>
      <w:r w:rsidR="001A2C20">
        <w:t>manufacturing</w:t>
      </w:r>
      <w:r w:rsidR="001959FA">
        <w:t xml:space="preserve"> processes, materials and energy use. While this may increase costs in the short term, </w:t>
      </w:r>
      <w:r w:rsidR="005B47F6">
        <w:t>the investment required could provide a potential weakness although responding effectively could strengthen Artiron’s sustainable image and support long term organisational strategy.</w:t>
      </w:r>
    </w:p>
    <w:p w14:paraId="1FA670A8" w14:textId="77777777" w:rsidR="00C0386B" w:rsidRPr="00C0386B" w:rsidRDefault="00C0386B" w:rsidP="00C0386B">
      <w:pPr>
        <w:pStyle w:val="Body"/>
        <w:ind w:left="567" w:hanging="567"/>
        <w:rPr>
          <w:rFonts w:ascii="Trebuchet MS" w:eastAsia="Trebuchet MS" w:hAnsi="Trebuchet MS" w:cs="Trebuchet MS"/>
        </w:rPr>
      </w:pPr>
    </w:p>
    <w:p w14:paraId="1A2E0E21" w14:textId="5351B284" w:rsidR="006C7A8F" w:rsidRDefault="00DB00C9" w:rsidP="006C7A8F">
      <w:r>
        <w:t xml:space="preserve">Q3. </w:t>
      </w:r>
      <w:r w:rsidR="002A09CE" w:rsidRPr="00AA09FA">
        <w:t>PESTLE can be used to analyse the impact of tariffs and supply chain disruption on Artiron</w:t>
      </w:r>
      <w:r w:rsidR="006C7A8F">
        <w:t xml:space="preserve"> by </w:t>
      </w:r>
      <w:r w:rsidR="00C33D4A">
        <w:t>examining</w:t>
      </w:r>
      <w:r w:rsidR="006C7A8F">
        <w:t xml:space="preserve"> the political, environmental, social, technological</w:t>
      </w:r>
      <w:r w:rsidR="00D500F0">
        <w:t>, legal and e</w:t>
      </w:r>
      <w:r w:rsidR="00C33D4A">
        <w:t>conomic</w:t>
      </w:r>
      <w:r w:rsidR="00D500F0">
        <w:t xml:space="preserve"> factors that may </w:t>
      </w:r>
      <w:r w:rsidR="00C33D4A">
        <w:t>impact the organisation.</w:t>
      </w:r>
    </w:p>
    <w:p w14:paraId="6C29CCF7" w14:textId="7161C1CF" w:rsidR="00B44C7A" w:rsidRDefault="00D500F0" w:rsidP="005516E1">
      <w:r>
        <w:lastRenderedPageBreak/>
        <w:t xml:space="preserve">Political </w:t>
      </w:r>
      <w:r w:rsidR="00C33D4A">
        <w:t xml:space="preserve">factors </w:t>
      </w:r>
      <w:r>
        <w:t>hold particular significance</w:t>
      </w:r>
      <w:r w:rsidR="00012E12">
        <w:t xml:space="preserve"> when examining tariffs</w:t>
      </w:r>
      <w:r>
        <w:t xml:space="preserve"> due to</w:t>
      </w:r>
      <w:r w:rsidR="003738A4">
        <w:t xml:space="preserve"> the global climate in which</w:t>
      </w:r>
      <w:r>
        <w:t xml:space="preserve"> Artiron </w:t>
      </w:r>
      <w:r w:rsidR="003738A4">
        <w:t>operates</w:t>
      </w:r>
      <w:r w:rsidR="00012E12">
        <w:t xml:space="preserve">. </w:t>
      </w:r>
      <w:r w:rsidR="00EA4FFA">
        <w:t xml:space="preserve">When tariffs are introduced </w:t>
      </w:r>
      <w:r w:rsidR="007F18C8">
        <w:t xml:space="preserve">or raised, import and </w:t>
      </w:r>
      <w:r w:rsidR="0011039C">
        <w:t>component</w:t>
      </w:r>
      <w:r w:rsidR="007F18C8">
        <w:t xml:space="preserve"> costs</w:t>
      </w:r>
      <w:r w:rsidR="00C33D4A">
        <w:t xml:space="preserve"> can</w:t>
      </w:r>
      <w:r w:rsidR="007F18C8">
        <w:t xml:space="preserve"> rise</w:t>
      </w:r>
      <w:r w:rsidR="00C33D4A">
        <w:t>,</w:t>
      </w:r>
      <w:r w:rsidR="007F18C8">
        <w:t xml:space="preserve"> resulting in an </w:t>
      </w:r>
      <w:r w:rsidR="00C33D4A">
        <w:t>increase in production costs</w:t>
      </w:r>
      <w:r w:rsidR="00A515F0">
        <w:t xml:space="preserve"> (Gnocato, Montes-Galdron and Stamato, 2025)</w:t>
      </w:r>
      <w:r w:rsidR="00C33D4A">
        <w:t>.</w:t>
      </w:r>
      <w:r w:rsidR="0096196F">
        <w:t xml:space="preserve"> This leaves </w:t>
      </w:r>
      <w:r w:rsidR="00116998">
        <w:t xml:space="preserve">Artiron with the decision to either absorb additional costs and reduce </w:t>
      </w:r>
      <w:r w:rsidR="0096196F">
        <w:t xml:space="preserve">its </w:t>
      </w:r>
      <w:r w:rsidR="00116998">
        <w:t xml:space="preserve">profit margin </w:t>
      </w:r>
      <w:r w:rsidR="00150D99">
        <w:t xml:space="preserve">or increase product prices which could potentially affect </w:t>
      </w:r>
      <w:r w:rsidR="0096196F">
        <w:t xml:space="preserve">its </w:t>
      </w:r>
      <w:r w:rsidR="00297919">
        <w:t>competitive</w:t>
      </w:r>
      <w:r w:rsidR="00150D99">
        <w:t xml:space="preserve"> standing within the mar</w:t>
      </w:r>
      <w:r w:rsidR="00F45F79">
        <w:t>ket</w:t>
      </w:r>
      <w:r w:rsidR="00ED0262">
        <w:t xml:space="preserve">. </w:t>
      </w:r>
      <w:r w:rsidR="00DF22B7">
        <w:t>Additionally, it is important to consider the relationship between</w:t>
      </w:r>
      <w:r w:rsidR="004B332D">
        <w:t xml:space="preserve"> the countries in which Arti</w:t>
      </w:r>
      <w:r w:rsidR="001219B0">
        <w:t>r</w:t>
      </w:r>
      <w:r w:rsidR="004B332D">
        <w:t xml:space="preserve">on </w:t>
      </w:r>
      <w:r w:rsidR="00ED0262">
        <w:t>operates</w:t>
      </w:r>
      <w:r w:rsidR="00263B0D">
        <w:t xml:space="preserve">. </w:t>
      </w:r>
      <w:r w:rsidR="00C170E2">
        <w:t>For example</w:t>
      </w:r>
      <w:r w:rsidR="00CB0BED">
        <w:t>, d</w:t>
      </w:r>
      <w:r w:rsidR="00AD5F38">
        <w:t>isputes such as t</w:t>
      </w:r>
      <w:r w:rsidR="00DF22B7">
        <w:t>he US- China trade war poses a significant risk because changes to tariffs between major international markets may increase trading costs or create uncertainty for a multinational company such as Artiron (Shaffer, 2021).</w:t>
      </w:r>
      <w:r w:rsidR="00FE4551">
        <w:t xml:space="preserve"> </w:t>
      </w:r>
      <w:r w:rsidR="00C170E2">
        <w:t>Higher vehicle prices could also affect customer purchasing behaviour and demand further impacting Artiron</w:t>
      </w:r>
      <w:r w:rsidR="001219B0">
        <w:t>’</w:t>
      </w:r>
      <w:r w:rsidR="00C170E2">
        <w:t>s profitability.</w:t>
      </w:r>
    </w:p>
    <w:p w14:paraId="2DFC8868" w14:textId="1C4457F6" w:rsidR="007937EB" w:rsidRDefault="007937EB" w:rsidP="000320AD">
      <w:r>
        <w:t>Technologically, Artiron is heavily reliant on technology within manufacturing processes</w:t>
      </w:r>
      <w:r w:rsidR="00E11893">
        <w:t>. Shortages or disruption to the supply of specialist items could hinder</w:t>
      </w:r>
      <w:r w:rsidR="00C170E2">
        <w:t xml:space="preserve"> </w:t>
      </w:r>
      <w:r w:rsidR="00E11893">
        <w:t>production of vehicles and the development of new products</w:t>
      </w:r>
      <w:r w:rsidR="00C56BDC">
        <w:t xml:space="preserve"> as component shortages within the automotive industry have previously resulted </w:t>
      </w:r>
      <w:r w:rsidR="00053292">
        <w:t>in</w:t>
      </w:r>
      <w:r w:rsidR="00C56BDC">
        <w:t xml:space="preserve"> delayed vehicle production (Burkacky et al, 2022)</w:t>
      </w:r>
    </w:p>
    <w:p w14:paraId="0EA7F7E2" w14:textId="714DA1ED" w:rsidR="00680618" w:rsidRDefault="00680618" w:rsidP="00922843">
      <w:r>
        <w:t xml:space="preserve">Applying PESTLE to </w:t>
      </w:r>
      <w:r w:rsidR="003C26F7">
        <w:t>supply chain disruptions</w:t>
      </w:r>
      <w:r w:rsidR="0095113C">
        <w:t xml:space="preserve">, </w:t>
      </w:r>
      <w:r w:rsidR="001E734E">
        <w:t>political factors</w:t>
      </w:r>
      <w:r w:rsidR="00A1476D">
        <w:t xml:space="preserve"> are again significant. </w:t>
      </w:r>
      <w:r w:rsidR="00B46F89">
        <w:t>Geopolitical conflicts can have consequences beyond the countries directly involved</w:t>
      </w:r>
      <w:r w:rsidR="00E00900">
        <w:t xml:space="preserve"> and disrupt international supply chains</w:t>
      </w:r>
      <w:r w:rsidR="008233F8">
        <w:t>.</w:t>
      </w:r>
      <w:r w:rsidR="005975DD">
        <w:t xml:space="preserve"> </w:t>
      </w:r>
      <w:r w:rsidR="00722A26">
        <w:t>According to</w:t>
      </w:r>
      <w:r w:rsidR="00686A1D">
        <w:t xml:space="preserve"> Milenkovic &amp; Milovanovic (2024) </w:t>
      </w:r>
      <w:r w:rsidR="005975DD">
        <w:t xml:space="preserve"> the Ukrain</w:t>
      </w:r>
      <w:r w:rsidR="00BC09D5">
        <w:t>e</w:t>
      </w:r>
      <w:r w:rsidR="005975DD">
        <w:t xml:space="preserve">-Russia war </w:t>
      </w:r>
      <w:r w:rsidR="00AE0497">
        <w:t>for example resulted in</w:t>
      </w:r>
      <w:r w:rsidR="00BC09D5">
        <w:t xml:space="preserve"> a</w:t>
      </w:r>
      <w:r w:rsidR="00AE0497">
        <w:t xml:space="preserve"> widespread European</w:t>
      </w:r>
      <w:r w:rsidR="005975DD">
        <w:t xml:space="preserve"> </w:t>
      </w:r>
      <w:r w:rsidR="005F443F">
        <w:t>decrease</w:t>
      </w:r>
      <w:r w:rsidR="005975DD">
        <w:t xml:space="preserve"> in G</w:t>
      </w:r>
      <w:r w:rsidR="005F443F">
        <w:t xml:space="preserve">ross </w:t>
      </w:r>
      <w:r w:rsidR="005975DD">
        <w:t>D</w:t>
      </w:r>
      <w:r w:rsidR="005F443F">
        <w:t xml:space="preserve">omestic </w:t>
      </w:r>
      <w:r w:rsidR="005975DD">
        <w:t>P</w:t>
      </w:r>
      <w:r w:rsidR="005F443F">
        <w:t>rofit</w:t>
      </w:r>
      <w:r w:rsidR="005975DD">
        <w:t xml:space="preserve"> as a result of supply chain issues resulting f</w:t>
      </w:r>
      <w:r w:rsidR="00BC09D5">
        <w:t>r</w:t>
      </w:r>
      <w:r w:rsidR="005975DD">
        <w:t>om the war</w:t>
      </w:r>
      <w:r w:rsidR="00E955B5">
        <w:t>.</w:t>
      </w:r>
    </w:p>
    <w:p w14:paraId="698D1960" w14:textId="373BF1B3" w:rsidR="00EB3A97" w:rsidRDefault="00EB3A97" w:rsidP="000320AD">
      <w:r>
        <w:t>Economic</w:t>
      </w:r>
      <w:r w:rsidR="002A6178">
        <w:t xml:space="preserve">ally, </w:t>
      </w:r>
      <w:r w:rsidR="007F305D">
        <w:t xml:space="preserve">supply chains play a fundamental role in delivering materials </w:t>
      </w:r>
      <w:r w:rsidR="008233F8">
        <w:t>required for production</w:t>
      </w:r>
      <w:r w:rsidR="00F674F1">
        <w:t>.</w:t>
      </w:r>
      <w:r w:rsidR="002C2977">
        <w:t xml:space="preserve"> Artiron relies on components and </w:t>
      </w:r>
      <w:r w:rsidR="008233F8">
        <w:t>materials</w:t>
      </w:r>
      <w:r w:rsidR="002C2977">
        <w:t xml:space="preserve"> for </w:t>
      </w:r>
      <w:r w:rsidR="008233F8">
        <w:t>vehicle</w:t>
      </w:r>
      <w:r w:rsidR="002C2977">
        <w:t xml:space="preserve"> production</w:t>
      </w:r>
      <w:r w:rsidR="00214B12">
        <w:t>.</w:t>
      </w:r>
      <w:r w:rsidR="00166308">
        <w:t xml:space="preserve"> Meaning d</w:t>
      </w:r>
      <w:r w:rsidR="00214B12">
        <w:t xml:space="preserve">isruptions can delay production and potentially reduce </w:t>
      </w:r>
      <w:r w:rsidR="00166308">
        <w:t>manufacturing output</w:t>
      </w:r>
      <w:r w:rsidR="00482A01">
        <w:t xml:space="preserve"> subsequently affecting sales, revenue and customer </w:t>
      </w:r>
      <w:r w:rsidR="00A06C48">
        <w:t>satisfaction</w:t>
      </w:r>
      <w:r w:rsidR="00992868">
        <w:t>.</w:t>
      </w:r>
      <w:r w:rsidR="002E5507">
        <w:t xml:space="preserve"> </w:t>
      </w:r>
      <w:r w:rsidR="00B33DD6">
        <w:t>(</w:t>
      </w:r>
      <w:r w:rsidR="00482A01">
        <w:t>Burkacky et al. 2022)</w:t>
      </w:r>
    </w:p>
    <w:p w14:paraId="0FFAB52D" w14:textId="0108A19E" w:rsidR="007D3E9A" w:rsidRDefault="00677FDA" w:rsidP="00F90834">
      <w:r>
        <w:t>Ultimately Artiron must be mindful and implement more resilient supply chains as conflicts between countries will continue to occur and is an ever changing landscape to be navigated (</w:t>
      </w:r>
      <w:r w:rsidRPr="00FB052E">
        <w:t>Bednarski</w:t>
      </w:r>
      <w:r>
        <w:t xml:space="preserve"> et al ,2026).</w:t>
      </w:r>
      <w:r w:rsidR="00B8329E">
        <w:t xml:space="preserve"> </w:t>
      </w:r>
      <w:r w:rsidR="005279E6">
        <w:t>Although Artiron can not control tariffs or geopolitical conf</w:t>
      </w:r>
      <w:r w:rsidR="001A1F03">
        <w:t xml:space="preserve">lict it can reduce their impact through strategic decisions around sourcing and manufacturing. </w:t>
      </w:r>
    </w:p>
    <w:p w14:paraId="155D55FE" w14:textId="67EF170E" w:rsidR="00502A68" w:rsidRDefault="00DB00C9" w:rsidP="00174A90">
      <w:r>
        <w:t xml:space="preserve">Q4. </w:t>
      </w:r>
      <w:r w:rsidR="00D11F7C">
        <w:t>As outlined by Taylor &amp; Woodhams (2022</w:t>
      </w:r>
      <w:r w:rsidR="00612A14">
        <w:t>b,</w:t>
      </w:r>
      <w:r w:rsidR="00D11F7C">
        <w:t xml:space="preserve"> p29) </w:t>
      </w:r>
      <w:r w:rsidR="001520BA">
        <w:t xml:space="preserve">the </w:t>
      </w:r>
      <w:r w:rsidR="00D6528F">
        <w:t>c</w:t>
      </w:r>
      <w:r w:rsidR="00AB1C15">
        <w:t>ar production industr</w:t>
      </w:r>
      <w:r w:rsidR="00D31CAA">
        <w:t>y</w:t>
      </w:r>
      <w:r w:rsidR="00AB1C15">
        <w:t xml:space="preserve"> ha</w:t>
      </w:r>
      <w:r w:rsidR="00D31CAA">
        <w:t xml:space="preserve">s </w:t>
      </w:r>
      <w:r w:rsidR="00AB1C15">
        <w:t xml:space="preserve">survived the impacts of globalisation </w:t>
      </w:r>
      <w:r w:rsidR="00445E3C">
        <w:t>by embracing new technologies and expanding operations internationally. They have been able to</w:t>
      </w:r>
      <w:r w:rsidR="006072A2">
        <w:t xml:space="preserve"> sustain themselves by employing far less people and ultimately becoming more productive within their</w:t>
      </w:r>
      <w:r w:rsidR="00387E48">
        <w:t xml:space="preserve"> practice by implementing technology such as robotics.</w:t>
      </w:r>
      <w:r w:rsidR="00D31CAA">
        <w:t xml:space="preserve"> </w:t>
      </w:r>
    </w:p>
    <w:p w14:paraId="5E8B38E6" w14:textId="6D3A471B" w:rsidR="00365595" w:rsidRDefault="00C15B49" w:rsidP="00174A90">
      <w:r>
        <w:lastRenderedPageBreak/>
        <w:t xml:space="preserve">For Artiron, which already uses robotics for painting, welding, assembly, quality checking and material handling, automation can </w:t>
      </w:r>
      <w:r w:rsidR="00DD5CD4">
        <w:t>further improve efficiency although the impact on employees must be considered alongside these benefits</w:t>
      </w:r>
      <w:r w:rsidR="00670F3F">
        <w:t>.</w:t>
      </w:r>
    </w:p>
    <w:p w14:paraId="567ABCD5" w14:textId="6A2C2434" w:rsidR="00072F55" w:rsidRDefault="00670F3F" w:rsidP="00F7579A">
      <w:r>
        <w:t>Artiron is</w:t>
      </w:r>
      <w:r w:rsidR="00C41A45">
        <w:t xml:space="preserve"> looking forward with the introduction of cobots</w:t>
      </w:r>
      <w:r w:rsidR="00E16E1A">
        <w:t xml:space="preserve"> which focuses o</w:t>
      </w:r>
      <w:r w:rsidR="002640F6">
        <w:t xml:space="preserve">n human </w:t>
      </w:r>
      <w:r w:rsidR="00053292">
        <w:t>centred</w:t>
      </w:r>
      <w:r w:rsidR="002640F6">
        <w:t xml:space="preserve"> automation processes</w:t>
      </w:r>
      <w:r w:rsidR="00997368">
        <w:t xml:space="preserve"> by leveraging human cognitive skill</w:t>
      </w:r>
      <w:r>
        <w:t>s</w:t>
      </w:r>
      <w:r w:rsidR="00186FC6">
        <w:t xml:space="preserve"> and minimising physical labour. This is expected to </w:t>
      </w:r>
      <w:r w:rsidR="0031187E">
        <w:t>improve</w:t>
      </w:r>
      <w:r w:rsidR="00186FC6">
        <w:t xml:space="preserve"> working conditions</w:t>
      </w:r>
      <w:r w:rsidR="006B6E6A">
        <w:t xml:space="preserve"> and boost employee satisfaction alongside increased productivity </w:t>
      </w:r>
      <w:r w:rsidR="00383297">
        <w:t>in common operations such as assembly</w:t>
      </w:r>
      <w:r w:rsidR="00817E69">
        <w:t xml:space="preserve"> by alleviating the workload from employees (Polonara et al.,</w:t>
      </w:r>
      <w:r w:rsidR="00C600C3">
        <w:t xml:space="preserve"> 2024). </w:t>
      </w:r>
      <w:r w:rsidR="000168A3">
        <w:t xml:space="preserve">While automation </w:t>
      </w:r>
      <w:r w:rsidR="006C7D26">
        <w:t>can support employees in their roles, it can also replace some of the tasks they currently complete (CIPDg, 2026). This could create concerns around jo</w:t>
      </w:r>
      <w:r w:rsidR="008956A0">
        <w:t>b security particularly for those who carry out repetitive tasks as part of their role.</w:t>
      </w:r>
    </w:p>
    <w:p w14:paraId="2A9E19C6" w14:textId="2F20CA51" w:rsidR="008956A0" w:rsidRDefault="008956A0" w:rsidP="00F7579A">
      <w:r>
        <w:t xml:space="preserve">Automation also changes the skills required within manufacturing. Eddine and Darmawan (2026, p91) highlights that automation </w:t>
      </w:r>
      <w:r w:rsidR="0042726C">
        <w:t xml:space="preserve">shifts production roles from manual and physical </w:t>
      </w:r>
      <w:r w:rsidR="00857EE7">
        <w:t xml:space="preserve">skills towards more complex cognitive and technical capabilities. Artiron would need to invest in upskilling employees to work effectively alongside </w:t>
      </w:r>
      <w:r w:rsidR="0021523E">
        <w:t xml:space="preserve">the robotics it implements. Whilst this can create development opportunities, employees may adapt at different speeds and experience technical or </w:t>
      </w:r>
      <w:r w:rsidR="00876A23">
        <w:t>psychological</w:t>
      </w:r>
      <w:r w:rsidR="0021523E">
        <w:t xml:space="preserve"> barriers</w:t>
      </w:r>
      <w:r w:rsidR="00876A23">
        <w:t xml:space="preserve"> (Eddine and Darmawan, 2026, pp.91-21).</w:t>
      </w:r>
    </w:p>
    <w:p w14:paraId="6A785ABC" w14:textId="1C68F0EA" w:rsidR="00FF592E" w:rsidRDefault="00876A23" w:rsidP="00FF592E">
      <w:r>
        <w:t>Cyberattacks present a different risk as the automotive industry becomes increasing digit</w:t>
      </w:r>
      <w:r w:rsidR="00162299">
        <w:t xml:space="preserve">ally connected, Okomanyi, Sherwood and Shittu (2024) </w:t>
      </w:r>
      <w:r w:rsidR="00FF592E">
        <w:t>identify</w:t>
      </w:r>
      <w:r w:rsidR="00162299">
        <w:t xml:space="preserve"> that automotive cybersecurity requires more than technological </w:t>
      </w:r>
      <w:r w:rsidR="00053292">
        <w:t>safeguards</w:t>
      </w:r>
      <w:r w:rsidR="00162299">
        <w:t xml:space="preserve"> as attackers can exploit human vulnerabilities</w:t>
      </w:r>
      <w:r w:rsidR="00F54D3C">
        <w:t>.</w:t>
      </w:r>
      <w:r w:rsidR="00AB6B83">
        <w:t xml:space="preserve"> Cyberattacks could create operational, financial and data security risks for Artiron. </w:t>
      </w:r>
      <w:r w:rsidR="00DC5385">
        <w:t xml:space="preserve">The impact of cyberattacks on the automotive industry can be significant, </w:t>
      </w:r>
      <w:r w:rsidR="00FF592E">
        <w:t xml:space="preserve">as an example, a remote </w:t>
      </w:r>
      <w:r w:rsidR="00053292">
        <w:t>cyberattack</w:t>
      </w:r>
      <w:r w:rsidR="00FF592E">
        <w:t xml:space="preserve"> on a Jeep Cherokee resulted in the recall of 1.4 million vehicles.</w:t>
      </w:r>
    </w:p>
    <w:p w14:paraId="653B9F07" w14:textId="5B022871" w:rsidR="006842A7" w:rsidRDefault="00FF592E" w:rsidP="00AD1383">
      <w:r>
        <w:t>This also impacts ho</w:t>
      </w:r>
      <w:r w:rsidR="00135D9E">
        <w:t>w</w:t>
      </w:r>
      <w:r>
        <w:t xml:space="preserve"> employees work</w:t>
      </w:r>
      <w:r w:rsidR="00135D9E">
        <w:t>, Okomanyi, Sherwood and Shittu (2024) identify user errors an</w:t>
      </w:r>
      <w:r w:rsidR="00C93FB3">
        <w:t>d limited awareness of cybersecurity risks as an internal cyber threat</w:t>
      </w:r>
      <w:r w:rsidR="00A36A8C">
        <w:t>, meaning training and a deeper awareness for employees</w:t>
      </w:r>
      <w:r w:rsidR="009C17DD">
        <w:t xml:space="preserve"> is required for secure working practices. Overall robotics offers significant productivity and working condition benefits but requires Artiron to manage changes in skills and job security. </w:t>
      </w:r>
    </w:p>
    <w:p w14:paraId="0365FAFC" w14:textId="10263CF3" w:rsidR="00DE5950" w:rsidRDefault="00DB00C9" w:rsidP="00F55308">
      <w:r>
        <w:t xml:space="preserve">Q5. </w:t>
      </w:r>
      <w:r w:rsidR="00AB21D4">
        <w:t xml:space="preserve">Lynn (2023) defines culture as an organisations “why”, driven by </w:t>
      </w:r>
      <w:r w:rsidR="00593825">
        <w:t xml:space="preserve">its </w:t>
      </w:r>
      <w:r w:rsidR="00AB21D4">
        <w:t xml:space="preserve">values and beliefs and historically change resistant. </w:t>
      </w:r>
      <w:r w:rsidR="00DA4237">
        <w:t>According to the CIPD</w:t>
      </w:r>
      <w:r w:rsidR="00593825">
        <w:t>i</w:t>
      </w:r>
      <w:r w:rsidR="00DA4237">
        <w:t xml:space="preserve"> (2025)</w:t>
      </w:r>
      <w:r w:rsidR="00B839F4">
        <w:t>,</w:t>
      </w:r>
      <w:r w:rsidR="009C0A15">
        <w:t xml:space="preserve"> </w:t>
      </w:r>
      <w:r w:rsidR="00DA4237">
        <w:t xml:space="preserve">organisational culture can be a difficult </w:t>
      </w:r>
      <w:r w:rsidR="007C76CB">
        <w:t>to determine with varying viewpoint</w:t>
      </w:r>
      <w:r w:rsidR="00D5210F">
        <w:t>s</w:t>
      </w:r>
      <w:r w:rsidR="007C76CB">
        <w:t xml:space="preserve"> </w:t>
      </w:r>
      <w:r w:rsidR="009C0A15">
        <w:t>on its</w:t>
      </w:r>
      <w:r w:rsidR="00D5210F">
        <w:t xml:space="preserve"> definition</w:t>
      </w:r>
      <w:r w:rsidR="0083215E">
        <w:t>. A</w:t>
      </w:r>
      <w:r w:rsidR="00E02110">
        <w:t xml:space="preserve"> vie</w:t>
      </w:r>
      <w:r w:rsidR="00D273A3">
        <w:t>w</w:t>
      </w:r>
      <w:r w:rsidR="00E02110">
        <w:t xml:space="preserve"> shared by Schein (2017)</w:t>
      </w:r>
      <w:r w:rsidR="001F5C07">
        <w:t xml:space="preserve"> who developed a</w:t>
      </w:r>
      <w:r w:rsidR="00291E16">
        <w:t xml:space="preserve"> method of examining organisational culture</w:t>
      </w:r>
      <w:r w:rsidR="0083215E">
        <w:t xml:space="preserve"> at three levels, Artefacts, Espoused Beliefs and Values and Basic Underlying Assumptions.</w:t>
      </w:r>
    </w:p>
    <w:p w14:paraId="00E2624B" w14:textId="35949782" w:rsidR="008C4C7C" w:rsidRDefault="0066665F" w:rsidP="00564D98">
      <w:r>
        <w:t>Looking first at Art</w:t>
      </w:r>
      <w:r w:rsidR="0083215E">
        <w:t>efacts, these are the visible aspects of organisational culture.</w:t>
      </w:r>
      <w:r w:rsidR="00564D98">
        <w:t xml:space="preserve"> </w:t>
      </w:r>
      <w:r w:rsidR="00D13A8E">
        <w:t>At Artiron</w:t>
      </w:r>
      <w:r w:rsidR="00564D98">
        <w:t>,</w:t>
      </w:r>
      <w:r w:rsidR="00D13A8E">
        <w:t xml:space="preserve"> senior staff wear the same uniform as all other</w:t>
      </w:r>
      <w:r w:rsidR="00F55308">
        <w:t xml:space="preserve"> employees wh</w:t>
      </w:r>
      <w:r w:rsidR="00580901">
        <w:t xml:space="preserve">ich projects the </w:t>
      </w:r>
      <w:r w:rsidR="00580901">
        <w:lastRenderedPageBreak/>
        <w:t xml:space="preserve">idea it has a culture of equality by reducing visible separation with the hierarchy and </w:t>
      </w:r>
      <w:r w:rsidR="001A4850">
        <w:t>supporting</w:t>
      </w:r>
      <w:r w:rsidR="00580901">
        <w:t xml:space="preserve"> Artiron’s stated </w:t>
      </w:r>
      <w:r w:rsidR="001A4850">
        <w:t>v</w:t>
      </w:r>
      <w:r w:rsidR="00580901">
        <w:t>ision of inclusion.</w:t>
      </w:r>
      <w:r w:rsidR="00AB1ACE">
        <w:t xml:space="preserve"> </w:t>
      </w:r>
      <w:r w:rsidR="00580901">
        <w:t>Artefacts alone can not truly portray an organisations culture because individuals</w:t>
      </w:r>
      <w:r w:rsidR="00564D98">
        <w:t xml:space="preserve"> </w:t>
      </w:r>
      <w:r w:rsidR="009E1347">
        <w:t xml:space="preserve">perception </w:t>
      </w:r>
      <w:r w:rsidR="005924E9">
        <w:t>will be based on their own personal background and lived experiences</w:t>
      </w:r>
      <w:r w:rsidR="00564D98">
        <w:t xml:space="preserve"> (CIPDi, 2025)</w:t>
      </w:r>
      <w:r w:rsidR="005924E9">
        <w:t>.</w:t>
      </w:r>
    </w:p>
    <w:p w14:paraId="3741C9E7" w14:textId="03B2CDFA" w:rsidR="00317BEF" w:rsidRDefault="00987126" w:rsidP="001547B8">
      <w:r>
        <w:t xml:space="preserve">Espoused </w:t>
      </w:r>
      <w:r w:rsidR="00D23D3D">
        <w:t>Beliefs</w:t>
      </w:r>
      <w:r>
        <w:t xml:space="preserve"> and Values examin</w:t>
      </w:r>
      <w:r w:rsidR="00D23D3D">
        <w:t xml:space="preserve">e what an organisation states is important, which may differ from the values actually demonstrated </w:t>
      </w:r>
      <w:r w:rsidR="00DE76E0">
        <w:t xml:space="preserve">(CIPDi, 2025). </w:t>
      </w:r>
      <w:r w:rsidR="007A4789">
        <w:t xml:space="preserve">Artiron </w:t>
      </w:r>
      <w:r w:rsidR="0046356B">
        <w:t xml:space="preserve">identifies that </w:t>
      </w:r>
      <w:r w:rsidR="00AD7FAE">
        <w:t xml:space="preserve">quality, innovation, sustainability and inclusion are important </w:t>
      </w:r>
      <w:r w:rsidR="00AE70A9">
        <w:t xml:space="preserve">and </w:t>
      </w:r>
      <w:r w:rsidR="002138E4">
        <w:t>introduces this to new employees during induction. Using S</w:t>
      </w:r>
      <w:r w:rsidR="00B010C5">
        <w:t>chein’s model allows Artiron to examine whether these values are reflected in the employee experience.</w:t>
      </w:r>
      <w:r w:rsidR="009B64B9">
        <w:t xml:space="preserve"> For example, its commitment to inclusion could be considered against employee dissatisfaction with pay, long working hours and wellbeing, potentially highlighting a gap between stated values and employees actual experience</w:t>
      </w:r>
      <w:r w:rsidR="00A71741">
        <w:t xml:space="preserve">. Sustainability can be examined, the employee consultation undertaken when </w:t>
      </w:r>
      <w:r w:rsidR="0072623E">
        <w:t>developing</w:t>
      </w:r>
      <w:r w:rsidR="00A71741">
        <w:t xml:space="preserve"> Evolve could demonstrate that sustainability is genuinely shared across the organisation rather than simply being a stated belief.</w:t>
      </w:r>
    </w:p>
    <w:p w14:paraId="357F4C00" w14:textId="2937A392" w:rsidR="00D23D3D" w:rsidRDefault="00CA5A6C" w:rsidP="007C5C10">
      <w:r>
        <w:t xml:space="preserve"> As Artiron operates internation</w:t>
      </w:r>
      <w:r w:rsidR="00317BEF">
        <w:t>ally</w:t>
      </w:r>
      <w:r w:rsidR="00FC6C57">
        <w:t>, it should also consider that there will be cultural differences between countries which will influence how values are interpreted and adopted across the workforce.</w:t>
      </w:r>
      <w:r w:rsidR="00A71741">
        <w:t xml:space="preserve"> </w:t>
      </w:r>
    </w:p>
    <w:p w14:paraId="66C079F9" w14:textId="29B64A33" w:rsidR="003F24EE" w:rsidRDefault="007C5C10" w:rsidP="00B41A01">
      <w:r>
        <w:t xml:space="preserve">The third level, Basic </w:t>
      </w:r>
      <w:r w:rsidR="0072623E">
        <w:t>Underlying</w:t>
      </w:r>
      <w:r>
        <w:t xml:space="preserve"> Assumptions considers deeper beliefs that become learned over time and influence behaviour (Schein, 2017). These can become unspoken rules that teach employees “this is the way things are done” and influence how they believe they are expected to behave</w:t>
      </w:r>
      <w:r w:rsidR="00B41A01">
        <w:t xml:space="preserve">. </w:t>
      </w:r>
      <w:r w:rsidR="003F24EE">
        <w:t>For example, employees within support functions may work longer hours or skip breaks to manage workload. If this behaviour becomes normalised others may follow through f</w:t>
      </w:r>
      <w:r w:rsidR="00FC5B32">
        <w:t>ear of negative perceptions if they do not. Whilst not explicitly stated, this could be linked to the long working hours reported by support functions</w:t>
      </w:r>
      <w:r w:rsidR="00B41A01">
        <w:t>.</w:t>
      </w:r>
    </w:p>
    <w:p w14:paraId="7A39B9DB" w14:textId="0FF9F09A" w:rsidR="00593825" w:rsidRDefault="00B41A01" w:rsidP="00B41A01">
      <w:r>
        <w:t>Understanding these underlying assumptions gives Artiron a deeper understanding of its culture and allows it to identify where actual behaviours differ from the culture it visibly presents and the values it states are important</w:t>
      </w:r>
      <w:r w:rsidR="008222C7">
        <w:t>.</w:t>
      </w:r>
    </w:p>
    <w:p w14:paraId="58EF0622" w14:textId="120F378C" w:rsidR="00FC2AC5" w:rsidRDefault="00DB00C9" w:rsidP="00F06A0F">
      <w:r>
        <w:t xml:space="preserve">Q6. </w:t>
      </w:r>
      <w:r w:rsidR="009847E7">
        <w:t xml:space="preserve">Artiron holds innovation </w:t>
      </w:r>
      <w:r w:rsidR="00CB7711">
        <w:t xml:space="preserve">and </w:t>
      </w:r>
      <w:r w:rsidR="00703887">
        <w:t>inclusivity</w:t>
      </w:r>
      <w:r w:rsidR="00CB7711">
        <w:t xml:space="preserve"> </w:t>
      </w:r>
      <w:r w:rsidR="009847E7">
        <w:t xml:space="preserve">as </w:t>
      </w:r>
      <w:r w:rsidR="00CB7711">
        <w:t>part</w:t>
      </w:r>
      <w:r w:rsidR="009847E7">
        <w:t xml:space="preserve"> of the organisations core values</w:t>
      </w:r>
      <w:r w:rsidR="00703887">
        <w:t>. I</w:t>
      </w:r>
      <w:r w:rsidR="009847E7">
        <w:t>n</w:t>
      </w:r>
      <w:r w:rsidR="00CB7711">
        <w:t xml:space="preserve"> order for this to be genuine and truly reflect within the company</w:t>
      </w:r>
      <w:r w:rsidR="004128AD">
        <w:t xml:space="preserve"> its</w:t>
      </w:r>
      <w:r w:rsidR="00CB7711">
        <w:t xml:space="preserve"> </w:t>
      </w:r>
      <w:r w:rsidR="00FC2AC5">
        <w:t>people practice</w:t>
      </w:r>
      <w:r w:rsidR="004F6312">
        <w:t xml:space="preserve"> </w:t>
      </w:r>
      <w:r w:rsidR="004128AD">
        <w:t xml:space="preserve">must </w:t>
      </w:r>
      <w:r w:rsidR="007502E0">
        <w:t>embody</w:t>
      </w:r>
      <w:r w:rsidR="004F6312">
        <w:t xml:space="preserve"> these values.</w:t>
      </w:r>
      <w:r w:rsidR="001A6856">
        <w:t xml:space="preserve"> </w:t>
      </w:r>
      <w:r w:rsidR="004128AD">
        <w:t>CIPDa (no date) identifies areas of people practice including</w:t>
      </w:r>
      <w:r w:rsidR="00F06A0F">
        <w:t xml:space="preserve"> learning analysis and the development of people policies. </w:t>
      </w:r>
    </w:p>
    <w:p w14:paraId="654FBF3F" w14:textId="2EFCE2CC" w:rsidR="00F06A0F" w:rsidRDefault="007C0CA3" w:rsidP="006346B1">
      <w:r>
        <w:t xml:space="preserve">Individuals feel more involved when they have a say in the decisions being made </w:t>
      </w:r>
      <w:r w:rsidR="00F06A0F">
        <w:t>and employee voice can positively impact areas including innovation, motivation and job satisfaction (CIPDf, 2026).</w:t>
      </w:r>
      <w:r w:rsidR="00010175">
        <w:t xml:space="preserve"> Consultations such as the one held when considering the </w:t>
      </w:r>
      <w:r w:rsidR="0023700A">
        <w:t>strategy to reach net zero by 2036 are vital to ensure that the workforce is behind the goals the company want to reach.</w:t>
      </w:r>
      <w:r w:rsidR="00EA06CA">
        <w:t xml:space="preserve"> </w:t>
      </w:r>
      <w:r w:rsidR="000E4254">
        <w:t>Consultation however only hol</w:t>
      </w:r>
      <w:r w:rsidR="000B1805">
        <w:t>d</w:t>
      </w:r>
      <w:r w:rsidR="000E4254">
        <w:t xml:space="preserve">s merit when employees actually believe that </w:t>
      </w:r>
      <w:r w:rsidR="00224421">
        <w:t>their input influences decisions.</w:t>
      </w:r>
      <w:r w:rsidR="004051D2">
        <w:t xml:space="preserve"> Genuine two way </w:t>
      </w:r>
      <w:r w:rsidR="004051D2">
        <w:lastRenderedPageBreak/>
        <w:t xml:space="preserve">communication required managers to listen and </w:t>
      </w:r>
      <w:r w:rsidR="000A6518">
        <w:t>act</w:t>
      </w:r>
      <w:r w:rsidR="004051D2">
        <w:t xml:space="preserve"> on employee feedback (CIPDf, 2026)</w:t>
      </w:r>
      <w:r w:rsidR="006346B1">
        <w:t>.</w:t>
      </w:r>
      <w:r w:rsidR="00224421">
        <w:t xml:space="preserve"> If, post consultation, many inputs are not seen or heard then this </w:t>
      </w:r>
      <w:r w:rsidR="006346B1">
        <w:t>could reduce the value of the consultation and employees may be less willing to contribute in the future.</w:t>
      </w:r>
      <w:r w:rsidR="00224421">
        <w:t xml:space="preserve"> </w:t>
      </w:r>
    </w:p>
    <w:p w14:paraId="76215BF4" w14:textId="457AEE78" w:rsidR="00EC35BB" w:rsidRDefault="00EA06CA" w:rsidP="00186570">
      <w:r>
        <w:t>Allowing space for employees to be creative and bring ideas to the table in a collaborative setting, creating opportunity for ideas to flow and for an employee to be able to speak up without fear of ridicule or rebuke</w:t>
      </w:r>
      <w:r w:rsidR="00677CBD">
        <w:t xml:space="preserve"> can further support this</w:t>
      </w:r>
      <w:r w:rsidR="00391678">
        <w:t>. Induction and onboarding can support th</w:t>
      </w:r>
      <w:r w:rsidR="00BD4F78">
        <w:t>is, new employees should be shown that different perspectives and ideas are values within Arti</w:t>
      </w:r>
      <w:r w:rsidR="007B020C">
        <w:t>r</w:t>
      </w:r>
      <w:r w:rsidR="00BD4F78">
        <w:t xml:space="preserve">on. Induction can help new employees settle into their role and understand </w:t>
      </w:r>
      <w:r w:rsidR="000E5CAD">
        <w:t xml:space="preserve">the way an organisation works (CIPDe, 2026), meaning Artiron can establish these expectations from the </w:t>
      </w:r>
      <w:r w:rsidR="0066169D">
        <w:t>beginning.</w:t>
      </w:r>
    </w:p>
    <w:p w14:paraId="6125E658" w14:textId="4A456AC2" w:rsidR="00357BB9" w:rsidRDefault="005454D2" w:rsidP="00186570">
      <w:r>
        <w:t xml:space="preserve">Training and upskilling play a </w:t>
      </w:r>
      <w:r w:rsidR="001B66F7">
        <w:t>huge</w:t>
      </w:r>
      <w:r>
        <w:t xml:space="preserve"> part in </w:t>
      </w:r>
      <w:r w:rsidR="0066169D">
        <w:t>supporting an innovative</w:t>
      </w:r>
      <w:r>
        <w:t xml:space="preserve"> culture</w:t>
      </w:r>
      <w:r w:rsidR="00031B29">
        <w:t xml:space="preserve">. </w:t>
      </w:r>
      <w:r w:rsidR="00D25354">
        <w:t xml:space="preserve">Buckley and Castro Jorde (2024, p. 95) </w:t>
      </w:r>
      <w:r w:rsidR="00FA1693">
        <w:t>suggest that continuous development of employees skills can help organisations adapt and encourage innovation.</w:t>
      </w:r>
      <w:r w:rsidR="0095356A">
        <w:t xml:space="preserve"> </w:t>
      </w:r>
    </w:p>
    <w:p w14:paraId="36233B01" w14:textId="6BAAE1AA" w:rsidR="005454D2" w:rsidRDefault="00031B29" w:rsidP="00186570">
      <w:r>
        <w:t xml:space="preserve">Artiron should </w:t>
      </w:r>
      <w:r w:rsidR="0095356A">
        <w:t>utilise</w:t>
      </w:r>
      <w:r>
        <w:t xml:space="preserve"> learning needs analysis to understand where skill gaps are</w:t>
      </w:r>
      <w:r w:rsidR="0095356A">
        <w:t>,</w:t>
      </w:r>
      <w:r>
        <w:t xml:space="preserve"> how they can be expanded as well as buil</w:t>
      </w:r>
      <w:r w:rsidR="0095356A">
        <w:t>t</w:t>
      </w:r>
      <w:r>
        <w:t xml:space="preserve"> upon an</w:t>
      </w:r>
      <w:r w:rsidR="00A27FBB">
        <w:t>d invest in</w:t>
      </w:r>
      <w:r>
        <w:t xml:space="preserve"> individual employees </w:t>
      </w:r>
      <w:r w:rsidR="00A27FBB">
        <w:t>growth</w:t>
      </w:r>
      <w:r w:rsidR="006F6445">
        <w:t xml:space="preserve">. Understanding that each individual has their own strengths and </w:t>
      </w:r>
      <w:r w:rsidR="00617FC8">
        <w:t xml:space="preserve">ways of viewing challenges and </w:t>
      </w:r>
      <w:r w:rsidR="007B020C">
        <w:t>utilising</w:t>
      </w:r>
      <w:r w:rsidR="00617FC8">
        <w:t>, encouraging and building upon that will help feed into the culture they want to create.</w:t>
      </w:r>
      <w:r w:rsidR="00E1306A">
        <w:t xml:space="preserve"> This being said, training needs to be</w:t>
      </w:r>
      <w:r w:rsidR="0010787D">
        <w:t xml:space="preserve"> relevant </w:t>
      </w:r>
      <w:r w:rsidR="00D76586">
        <w:t>and accessible to employees as barriers such as time, engagement and a one size fits all approach can reduce its effectiveness (Buckley and Castro Jorge, 2024, p.95)</w:t>
      </w:r>
    </w:p>
    <w:p w14:paraId="07F49141" w14:textId="348A1285" w:rsidR="009F0A1E" w:rsidRDefault="009F0A1E" w:rsidP="00C53566">
      <w:r>
        <w:t xml:space="preserve">People policies should also create the idea that challenging current ways of working is encourages and promoted within the organisation. Policies that </w:t>
      </w:r>
      <w:r w:rsidR="00C40833">
        <w:t>a</w:t>
      </w:r>
      <w:r>
        <w:t xml:space="preserve">llow employees to express </w:t>
      </w:r>
      <w:r w:rsidR="00FA79B4">
        <w:t xml:space="preserve">interest in projects that </w:t>
      </w:r>
      <w:r w:rsidR="005025D0">
        <w:t>excite</w:t>
      </w:r>
      <w:r w:rsidR="00FA79B4">
        <w:t xml:space="preserve"> them could give them opportunities to use their individual skills and contribute different perspectives</w:t>
      </w:r>
      <w:r w:rsidR="002D4C99">
        <w:t xml:space="preserve">. Taylor and Woodhams (2022a, pp 218-220) highlights the importance of </w:t>
      </w:r>
      <w:r w:rsidR="005025D0">
        <w:t xml:space="preserve">inclusive access to learning and development opportunities. </w:t>
      </w:r>
      <w:r w:rsidR="00C00B00">
        <w:t xml:space="preserve">These opportunities must be made accessible across the workforce </w:t>
      </w:r>
      <w:r w:rsidR="00391BEE">
        <w:t>without discrimination, if the same employees are repeatedly given opportunities it could limit the range of ideas</w:t>
      </w:r>
      <w:r w:rsidR="00C53566">
        <w:t xml:space="preserve"> being brought forwards and work against Artiron’s goal of creating an inclusive culture.</w:t>
      </w:r>
    </w:p>
    <w:p w14:paraId="34162F83" w14:textId="77777777" w:rsidR="00992E7F" w:rsidRDefault="00992E7F" w:rsidP="00DB00C9">
      <w:pPr>
        <w:pStyle w:val="Body"/>
        <w:rPr>
          <w:rStyle w:val="None"/>
          <w:rFonts w:ascii="Trebuchet MS" w:hAnsi="Trebuchet MS"/>
        </w:rPr>
      </w:pPr>
    </w:p>
    <w:p w14:paraId="0DA51C5E" w14:textId="487B337B" w:rsidR="003A207A" w:rsidRDefault="00DB00C9" w:rsidP="00071774">
      <w:pPr>
        <w:pStyle w:val="Body"/>
        <w:rPr>
          <w:rStyle w:val="None"/>
          <w:rFonts w:asciiTheme="minorHAnsi" w:hAnsiTheme="minorHAnsi"/>
        </w:rPr>
      </w:pPr>
      <w:r>
        <w:rPr>
          <w:rStyle w:val="None"/>
          <w:rFonts w:asciiTheme="minorHAnsi" w:hAnsiTheme="minorHAnsi"/>
        </w:rPr>
        <w:t xml:space="preserve">Q7. </w:t>
      </w:r>
      <w:r w:rsidR="0093205B">
        <w:rPr>
          <w:rStyle w:val="None"/>
          <w:rFonts w:asciiTheme="minorHAnsi" w:hAnsiTheme="minorHAnsi"/>
        </w:rPr>
        <w:t xml:space="preserve">Kotter’s </w:t>
      </w:r>
      <w:r w:rsidR="001337AA">
        <w:rPr>
          <w:rStyle w:val="None"/>
          <w:rFonts w:asciiTheme="minorHAnsi" w:hAnsiTheme="minorHAnsi"/>
        </w:rPr>
        <w:t xml:space="preserve">eight step change </w:t>
      </w:r>
      <w:r w:rsidR="002B4BCE">
        <w:rPr>
          <w:rStyle w:val="None"/>
          <w:rFonts w:asciiTheme="minorHAnsi" w:hAnsiTheme="minorHAnsi"/>
        </w:rPr>
        <w:t>model provides a framework Artiron could use to manage its transition towards carbon net zero by 2036 (Kotter, 2012)</w:t>
      </w:r>
    </w:p>
    <w:p w14:paraId="07966216" w14:textId="36C1F643" w:rsidR="00F503C5" w:rsidRDefault="00F503C5" w:rsidP="00071774">
      <w:pPr>
        <w:pStyle w:val="Body"/>
        <w:rPr>
          <w:rStyle w:val="None"/>
          <w:rFonts w:asciiTheme="minorHAnsi" w:hAnsiTheme="minorHAnsi"/>
        </w:rPr>
      </w:pPr>
    </w:p>
    <w:p w14:paraId="13838C1E" w14:textId="4F8A28A2" w:rsidR="00F503C5" w:rsidRDefault="00F503C5" w:rsidP="00071774">
      <w:pPr>
        <w:pStyle w:val="Body"/>
        <w:rPr>
          <w:rStyle w:val="None"/>
          <w:rFonts w:asciiTheme="minorHAnsi" w:hAnsiTheme="minorHAnsi"/>
        </w:rPr>
      </w:pPr>
      <w:r>
        <w:rPr>
          <w:rStyle w:val="None"/>
          <w:rFonts w:asciiTheme="minorHAnsi" w:hAnsiTheme="minorHAnsi"/>
        </w:rPr>
        <w:t xml:space="preserve">Artiron has already </w:t>
      </w:r>
      <w:r w:rsidR="007B020C">
        <w:rPr>
          <w:rStyle w:val="None"/>
          <w:rFonts w:asciiTheme="minorHAnsi" w:hAnsiTheme="minorHAnsi"/>
        </w:rPr>
        <w:t>begun</w:t>
      </w:r>
      <w:r>
        <w:rPr>
          <w:rStyle w:val="None"/>
          <w:rFonts w:asciiTheme="minorHAnsi" w:hAnsiTheme="minorHAnsi"/>
        </w:rPr>
        <w:t xml:space="preserve"> by setting the Evolve strategy deadline however employees need to understand the reasoning behind</w:t>
      </w:r>
      <w:r w:rsidR="00D67787">
        <w:rPr>
          <w:rStyle w:val="None"/>
          <w:rFonts w:asciiTheme="minorHAnsi" w:hAnsiTheme="minorHAnsi"/>
        </w:rPr>
        <w:t xml:space="preserve"> Evolve. Environmental pressures from consumers and stakeholders mean Artiron must evolve to remain </w:t>
      </w:r>
      <w:r w:rsidR="00A66671">
        <w:rPr>
          <w:rStyle w:val="None"/>
          <w:rFonts w:asciiTheme="minorHAnsi" w:hAnsiTheme="minorHAnsi"/>
        </w:rPr>
        <w:t xml:space="preserve">competitive. </w:t>
      </w:r>
      <w:r w:rsidR="00A43CDE">
        <w:rPr>
          <w:rStyle w:val="None"/>
          <w:rFonts w:asciiTheme="minorHAnsi" w:hAnsiTheme="minorHAnsi"/>
        </w:rPr>
        <w:t>Kotter (2012, pp.4-6) warns that confusing urgency with anxiety can push employees further into their “foxholes” and create greater resistance to change.</w:t>
      </w:r>
    </w:p>
    <w:p w14:paraId="048211E5" w14:textId="77777777" w:rsidR="00295A65" w:rsidRDefault="00295A65" w:rsidP="00071774">
      <w:pPr>
        <w:pStyle w:val="Body"/>
        <w:rPr>
          <w:rStyle w:val="None"/>
          <w:rFonts w:asciiTheme="minorHAnsi" w:hAnsiTheme="minorHAnsi"/>
        </w:rPr>
      </w:pPr>
    </w:p>
    <w:p w14:paraId="41BB21BB" w14:textId="6C29A102" w:rsidR="00D50756" w:rsidRDefault="00C21151" w:rsidP="00071774">
      <w:pPr>
        <w:pStyle w:val="Body"/>
        <w:rPr>
          <w:rStyle w:val="None"/>
          <w:rFonts w:asciiTheme="minorHAnsi" w:hAnsiTheme="minorHAnsi"/>
          <w:color w:val="auto"/>
          <w:u w:color="004147"/>
        </w:rPr>
      </w:pPr>
      <w:r>
        <w:rPr>
          <w:rStyle w:val="None"/>
          <w:rFonts w:asciiTheme="minorHAnsi" w:hAnsiTheme="minorHAnsi"/>
          <w:color w:val="auto"/>
          <w:u w:color="004147"/>
        </w:rPr>
        <w:lastRenderedPageBreak/>
        <w:t xml:space="preserve">Artiron’s </w:t>
      </w:r>
      <w:r w:rsidR="00295A65">
        <w:rPr>
          <w:rStyle w:val="None"/>
          <w:rFonts w:asciiTheme="minorHAnsi" w:hAnsiTheme="minorHAnsi"/>
          <w:color w:val="auto"/>
          <w:u w:color="004147"/>
        </w:rPr>
        <w:t>mixture</w:t>
      </w:r>
      <w:r>
        <w:rPr>
          <w:rStyle w:val="None"/>
          <w:rFonts w:asciiTheme="minorHAnsi" w:hAnsiTheme="minorHAnsi"/>
          <w:color w:val="auto"/>
          <w:u w:color="004147"/>
        </w:rPr>
        <w:t xml:space="preserve"> of </w:t>
      </w:r>
      <w:r w:rsidR="00295A65">
        <w:rPr>
          <w:rStyle w:val="None"/>
          <w:rFonts w:asciiTheme="minorHAnsi" w:hAnsiTheme="minorHAnsi"/>
          <w:color w:val="auto"/>
          <w:u w:color="004147"/>
        </w:rPr>
        <w:t>divisional</w:t>
      </w:r>
      <w:r>
        <w:rPr>
          <w:rStyle w:val="None"/>
          <w:rFonts w:asciiTheme="minorHAnsi" w:hAnsiTheme="minorHAnsi"/>
          <w:color w:val="auto"/>
          <w:u w:color="004147"/>
        </w:rPr>
        <w:t xml:space="preserve"> and matrix structures provides a baseline to build a diverse guiding coalition. Bringing together employees from different functions, locations and levels could boost employee buy in as coalition members could drive the transition within their own teams. Kotter </w:t>
      </w:r>
      <w:r w:rsidR="008C3B9F">
        <w:rPr>
          <w:rStyle w:val="None"/>
          <w:rFonts w:asciiTheme="minorHAnsi" w:hAnsiTheme="minorHAnsi"/>
          <w:color w:val="auto"/>
          <w:u w:color="004147"/>
        </w:rPr>
        <w:t>(2012, pp.6-7) argues that major change requires a team with sufficient expertise, relationships and leadership capacity</w:t>
      </w:r>
      <w:r w:rsidR="00295A65">
        <w:rPr>
          <w:rStyle w:val="None"/>
          <w:rFonts w:asciiTheme="minorHAnsi" w:hAnsiTheme="minorHAnsi"/>
          <w:color w:val="auto"/>
          <w:u w:color="004147"/>
        </w:rPr>
        <w:t>.</w:t>
      </w:r>
    </w:p>
    <w:p w14:paraId="3517D91C" w14:textId="77777777" w:rsidR="00FC7263" w:rsidRDefault="00FC7263" w:rsidP="00071774">
      <w:pPr>
        <w:pStyle w:val="Body"/>
        <w:rPr>
          <w:rStyle w:val="None"/>
          <w:rFonts w:asciiTheme="minorHAnsi" w:hAnsiTheme="minorHAnsi"/>
          <w:color w:val="auto"/>
          <w:u w:color="004147"/>
        </w:rPr>
      </w:pPr>
    </w:p>
    <w:p w14:paraId="61121FFB" w14:textId="251FA98F" w:rsidR="001B3FFD" w:rsidRPr="00F2724C" w:rsidRDefault="00FC7263" w:rsidP="00037D19">
      <w:pPr>
        <w:pStyle w:val="Body"/>
        <w:rPr>
          <w:rStyle w:val="None"/>
          <w:rFonts w:asciiTheme="minorHAnsi" w:hAnsiTheme="minorHAnsi"/>
          <w:color w:val="auto"/>
          <w:u w:color="004147"/>
        </w:rPr>
      </w:pPr>
      <w:r>
        <w:rPr>
          <w:rStyle w:val="None"/>
          <w:rFonts w:asciiTheme="minorHAnsi" w:hAnsiTheme="minorHAnsi"/>
          <w:color w:val="auto"/>
          <w:u w:color="004147"/>
        </w:rPr>
        <w:t>According to Kotter (2012</w:t>
      </w:r>
      <w:r w:rsidR="00295A65">
        <w:rPr>
          <w:rStyle w:val="None"/>
          <w:rFonts w:asciiTheme="minorHAnsi" w:hAnsiTheme="minorHAnsi"/>
          <w:color w:val="auto"/>
          <w:u w:color="004147"/>
        </w:rPr>
        <w:t>, pp. 7-9</w:t>
      </w:r>
      <w:r>
        <w:rPr>
          <w:rStyle w:val="None"/>
          <w:rFonts w:asciiTheme="minorHAnsi" w:hAnsiTheme="minorHAnsi"/>
          <w:color w:val="auto"/>
          <w:u w:color="004147"/>
        </w:rPr>
        <w:t xml:space="preserve">) </w:t>
      </w:r>
      <w:r w:rsidR="00722E13">
        <w:rPr>
          <w:rStyle w:val="None"/>
          <w:rFonts w:asciiTheme="minorHAnsi" w:hAnsiTheme="minorHAnsi"/>
          <w:color w:val="auto"/>
          <w:u w:color="004147"/>
        </w:rPr>
        <w:t xml:space="preserve">urgency and a strong </w:t>
      </w:r>
      <w:r w:rsidR="00816030">
        <w:rPr>
          <w:rStyle w:val="None"/>
          <w:rFonts w:asciiTheme="minorHAnsi" w:hAnsiTheme="minorHAnsi"/>
          <w:color w:val="auto"/>
          <w:u w:color="004147"/>
        </w:rPr>
        <w:t>guiding</w:t>
      </w:r>
      <w:r w:rsidR="00722E13">
        <w:rPr>
          <w:rStyle w:val="None"/>
          <w:rFonts w:asciiTheme="minorHAnsi" w:hAnsiTheme="minorHAnsi"/>
          <w:color w:val="auto"/>
          <w:u w:color="004147"/>
        </w:rPr>
        <w:t xml:space="preserve"> team alone are not sufficien</w:t>
      </w:r>
      <w:r w:rsidR="00816030">
        <w:rPr>
          <w:rStyle w:val="None"/>
          <w:rFonts w:asciiTheme="minorHAnsi" w:hAnsiTheme="minorHAnsi"/>
          <w:color w:val="auto"/>
          <w:u w:color="004147"/>
        </w:rPr>
        <w:t>t for a successful change, a clear vision is also essential.</w:t>
      </w:r>
      <w:r w:rsidR="00FC4972">
        <w:rPr>
          <w:rStyle w:val="None"/>
          <w:rFonts w:asciiTheme="minorHAnsi" w:hAnsiTheme="minorHAnsi"/>
          <w:color w:val="auto"/>
          <w:u w:color="004147"/>
        </w:rPr>
        <w:t xml:space="preserve"> </w:t>
      </w:r>
      <w:r w:rsidR="00636373">
        <w:rPr>
          <w:rStyle w:val="None"/>
          <w:rFonts w:asciiTheme="minorHAnsi" w:hAnsiTheme="minorHAnsi"/>
          <w:color w:val="auto"/>
          <w:u w:color="004147"/>
        </w:rPr>
        <w:t xml:space="preserve">Evolve and the 2036 target already provide an overall strategic vision but this needs to be translated into </w:t>
      </w:r>
      <w:r w:rsidR="00656F6C">
        <w:rPr>
          <w:rStyle w:val="None"/>
          <w:rFonts w:asciiTheme="minorHAnsi" w:hAnsiTheme="minorHAnsi"/>
          <w:color w:val="auto"/>
          <w:u w:color="004147"/>
        </w:rPr>
        <w:t>achievable initiatives</w:t>
      </w:r>
      <w:r w:rsidR="0046189C">
        <w:rPr>
          <w:rStyle w:val="None"/>
          <w:rFonts w:asciiTheme="minorHAnsi" w:hAnsiTheme="minorHAnsi"/>
          <w:color w:val="auto"/>
          <w:u w:color="004147"/>
        </w:rPr>
        <w:t xml:space="preserve">. Breaking the vision into clear </w:t>
      </w:r>
      <w:r w:rsidR="00037D19">
        <w:rPr>
          <w:rStyle w:val="None"/>
          <w:rFonts w:asciiTheme="minorHAnsi" w:hAnsiTheme="minorHAnsi"/>
          <w:color w:val="auto"/>
          <w:u w:color="004147"/>
        </w:rPr>
        <w:t>initiatives</w:t>
      </w:r>
      <w:r w:rsidR="0046189C">
        <w:rPr>
          <w:rStyle w:val="None"/>
          <w:rFonts w:asciiTheme="minorHAnsi" w:hAnsiTheme="minorHAnsi"/>
          <w:color w:val="auto"/>
          <w:u w:color="004147"/>
        </w:rPr>
        <w:t xml:space="preserve"> would help ensure different areas are working towards the same outcome and </w:t>
      </w:r>
      <w:r w:rsidR="007107EB">
        <w:rPr>
          <w:rStyle w:val="None"/>
          <w:rFonts w:asciiTheme="minorHAnsi" w:hAnsiTheme="minorHAnsi"/>
          <w:color w:val="auto"/>
          <w:u w:color="004147"/>
        </w:rPr>
        <w:t>employees understand how their roles contribute.</w:t>
      </w:r>
    </w:p>
    <w:p w14:paraId="04D99C07" w14:textId="77777777" w:rsidR="00B9496E" w:rsidRDefault="00B9496E" w:rsidP="00071774">
      <w:pPr>
        <w:pStyle w:val="Body"/>
        <w:rPr>
          <w:rStyle w:val="None"/>
          <w:rFonts w:asciiTheme="minorHAnsi" w:hAnsiTheme="minorHAnsi"/>
          <w:color w:val="auto"/>
          <w:u w:color="004147"/>
        </w:rPr>
      </w:pPr>
    </w:p>
    <w:p w14:paraId="1D1E0EC3" w14:textId="582BD9B9" w:rsidR="007107EB" w:rsidRPr="00992E7F" w:rsidRDefault="002876FA" w:rsidP="001B6A92">
      <w:pPr>
        <w:pStyle w:val="Body"/>
        <w:rPr>
          <w:rStyle w:val="None"/>
          <w:rFonts w:asciiTheme="minorHAnsi" w:hAnsiTheme="minorHAnsi"/>
          <w:color w:val="auto"/>
          <w:u w:color="004147"/>
        </w:rPr>
      </w:pPr>
      <w:r>
        <w:rPr>
          <w:rStyle w:val="None"/>
          <w:rFonts w:asciiTheme="minorHAnsi" w:hAnsiTheme="minorHAnsi"/>
          <w:color w:val="auto"/>
          <w:u w:color="004147"/>
        </w:rPr>
        <w:t>Evolve needs to become an integral part of internal communications</w:t>
      </w:r>
      <w:r w:rsidR="00FC61EA">
        <w:rPr>
          <w:rStyle w:val="None"/>
          <w:rFonts w:asciiTheme="minorHAnsi" w:hAnsiTheme="minorHAnsi"/>
          <w:color w:val="auto"/>
          <w:u w:color="004147"/>
        </w:rPr>
        <w:t>.</w:t>
      </w:r>
      <w:r>
        <w:rPr>
          <w:rStyle w:val="None"/>
          <w:rFonts w:asciiTheme="minorHAnsi" w:hAnsiTheme="minorHAnsi"/>
          <w:color w:val="auto"/>
          <w:u w:color="004147"/>
        </w:rPr>
        <w:t xml:space="preserve"> Team meetings</w:t>
      </w:r>
      <w:r w:rsidR="00EE4E88">
        <w:rPr>
          <w:rStyle w:val="None"/>
          <w:rFonts w:asciiTheme="minorHAnsi" w:hAnsiTheme="minorHAnsi"/>
          <w:color w:val="auto"/>
          <w:u w:color="004147"/>
        </w:rPr>
        <w:t xml:space="preserve"> and townhalls </w:t>
      </w:r>
      <w:r w:rsidR="00FC61EA">
        <w:rPr>
          <w:rStyle w:val="None"/>
          <w:rFonts w:asciiTheme="minorHAnsi" w:hAnsiTheme="minorHAnsi"/>
          <w:color w:val="auto"/>
          <w:u w:color="004147"/>
        </w:rPr>
        <w:t>could provide consistent updates</w:t>
      </w:r>
      <w:r w:rsidR="00EC7F30">
        <w:rPr>
          <w:rStyle w:val="None"/>
          <w:rFonts w:asciiTheme="minorHAnsi" w:hAnsiTheme="minorHAnsi"/>
          <w:color w:val="auto"/>
          <w:u w:color="004147"/>
        </w:rPr>
        <w:t xml:space="preserve"> whilst giving employees </w:t>
      </w:r>
      <w:r w:rsidR="000E1CD3">
        <w:rPr>
          <w:rStyle w:val="None"/>
          <w:rFonts w:asciiTheme="minorHAnsi" w:hAnsiTheme="minorHAnsi"/>
          <w:color w:val="auto"/>
          <w:u w:color="004147"/>
        </w:rPr>
        <w:t>opportunities</w:t>
      </w:r>
      <w:r w:rsidR="00EC7F30">
        <w:rPr>
          <w:rStyle w:val="None"/>
          <w:rFonts w:asciiTheme="minorHAnsi" w:hAnsiTheme="minorHAnsi"/>
          <w:color w:val="auto"/>
          <w:u w:color="004147"/>
        </w:rPr>
        <w:t xml:space="preserve"> to contribute ideas and understand</w:t>
      </w:r>
      <w:r w:rsidR="00AD5964">
        <w:rPr>
          <w:rStyle w:val="None"/>
          <w:rFonts w:asciiTheme="minorHAnsi" w:hAnsiTheme="minorHAnsi"/>
          <w:color w:val="auto"/>
          <w:u w:color="004147"/>
        </w:rPr>
        <w:t xml:space="preserve"> </w:t>
      </w:r>
      <w:r w:rsidR="00EC7F30">
        <w:rPr>
          <w:rStyle w:val="None"/>
          <w:rFonts w:asciiTheme="minorHAnsi" w:hAnsiTheme="minorHAnsi"/>
          <w:color w:val="auto"/>
          <w:u w:color="004147"/>
        </w:rPr>
        <w:t>progress</w:t>
      </w:r>
      <w:r w:rsidR="009B6E17">
        <w:rPr>
          <w:rStyle w:val="None"/>
          <w:rFonts w:asciiTheme="minorHAnsi" w:hAnsiTheme="minorHAnsi"/>
          <w:color w:val="auto"/>
          <w:u w:color="004147"/>
        </w:rPr>
        <w:t xml:space="preserve">. Kotter (2012, pp 9-10) states communication must go beyond words, inconsistent behaviour can undermine the change message. </w:t>
      </w:r>
      <w:r w:rsidR="00EC7F30">
        <w:rPr>
          <w:rStyle w:val="None"/>
          <w:rFonts w:asciiTheme="minorHAnsi" w:hAnsiTheme="minorHAnsi"/>
          <w:color w:val="auto"/>
          <w:u w:color="004147"/>
        </w:rPr>
        <w:t xml:space="preserve">Communication </w:t>
      </w:r>
      <w:r w:rsidR="00B353B5">
        <w:rPr>
          <w:rStyle w:val="None"/>
          <w:rFonts w:asciiTheme="minorHAnsi" w:hAnsiTheme="minorHAnsi"/>
          <w:color w:val="auto"/>
          <w:u w:color="004147"/>
        </w:rPr>
        <w:t xml:space="preserve">should extend across Ariton’s various functions and multinational locations to ensure that the vision is understood throughout the entire organisation rather than </w:t>
      </w:r>
      <w:r w:rsidR="000E1CD3">
        <w:rPr>
          <w:rStyle w:val="None"/>
          <w:rFonts w:asciiTheme="minorHAnsi" w:hAnsiTheme="minorHAnsi"/>
          <w:color w:val="auto"/>
          <w:u w:color="004147"/>
        </w:rPr>
        <w:t>only those involved directly with the project.</w:t>
      </w:r>
    </w:p>
    <w:p w14:paraId="7FC61ECE" w14:textId="77777777" w:rsidR="001B6A92" w:rsidRDefault="001B6A92" w:rsidP="00EB4356">
      <w:pPr>
        <w:pStyle w:val="Body"/>
        <w:rPr>
          <w:rStyle w:val="None"/>
          <w:rFonts w:asciiTheme="minorHAnsi" w:hAnsiTheme="minorHAnsi"/>
          <w:color w:val="auto"/>
          <w:u w:color="004147"/>
        </w:rPr>
      </w:pPr>
    </w:p>
    <w:p w14:paraId="05416498" w14:textId="0FC9F995" w:rsidR="00452239" w:rsidRDefault="00452239" w:rsidP="00EB4356">
      <w:pPr>
        <w:pStyle w:val="Body"/>
        <w:rPr>
          <w:rStyle w:val="None"/>
          <w:rFonts w:asciiTheme="minorHAnsi" w:hAnsiTheme="minorHAnsi"/>
          <w:color w:val="auto"/>
          <w:u w:color="004147"/>
        </w:rPr>
      </w:pPr>
      <w:r>
        <w:rPr>
          <w:rStyle w:val="None"/>
          <w:rFonts w:asciiTheme="minorHAnsi" w:hAnsiTheme="minorHAnsi"/>
          <w:color w:val="auto"/>
          <w:u w:color="004147"/>
        </w:rPr>
        <w:t xml:space="preserve">Barriers may include employee </w:t>
      </w:r>
      <w:r w:rsidR="001B6A92">
        <w:rPr>
          <w:rStyle w:val="None"/>
          <w:rFonts w:asciiTheme="minorHAnsi" w:hAnsiTheme="minorHAnsi"/>
          <w:color w:val="auto"/>
          <w:u w:color="004147"/>
        </w:rPr>
        <w:t>concerns</w:t>
      </w:r>
      <w:r>
        <w:rPr>
          <w:rStyle w:val="None"/>
          <w:rFonts w:asciiTheme="minorHAnsi" w:hAnsiTheme="minorHAnsi"/>
          <w:color w:val="auto"/>
          <w:u w:color="004147"/>
        </w:rPr>
        <w:t>, skill gaps</w:t>
      </w:r>
      <w:r w:rsidR="008417CD">
        <w:rPr>
          <w:rStyle w:val="None"/>
          <w:rFonts w:asciiTheme="minorHAnsi" w:hAnsiTheme="minorHAnsi"/>
          <w:color w:val="auto"/>
          <w:u w:color="004147"/>
        </w:rPr>
        <w:t xml:space="preserve"> or lack of resources</w:t>
      </w:r>
      <w:r w:rsidR="00076BA4">
        <w:rPr>
          <w:rStyle w:val="None"/>
          <w:rFonts w:asciiTheme="minorHAnsi" w:hAnsiTheme="minorHAnsi"/>
          <w:color w:val="auto"/>
          <w:u w:color="004147"/>
        </w:rPr>
        <w:t xml:space="preserve">. </w:t>
      </w:r>
      <w:r w:rsidR="001B6A92">
        <w:rPr>
          <w:rStyle w:val="None"/>
          <w:rFonts w:asciiTheme="minorHAnsi" w:hAnsiTheme="minorHAnsi"/>
          <w:color w:val="auto"/>
          <w:u w:color="004147"/>
        </w:rPr>
        <w:t xml:space="preserve">Rather than simply treating concerns as resistance, Artiron should understand what is preventing employees from engaging </w:t>
      </w:r>
      <w:r w:rsidR="007B020C">
        <w:rPr>
          <w:rStyle w:val="None"/>
          <w:rFonts w:asciiTheme="minorHAnsi" w:hAnsiTheme="minorHAnsi"/>
          <w:color w:val="auto"/>
          <w:u w:color="004147"/>
        </w:rPr>
        <w:t>with</w:t>
      </w:r>
      <w:r w:rsidR="001B6A92">
        <w:rPr>
          <w:rStyle w:val="None"/>
          <w:rFonts w:asciiTheme="minorHAnsi" w:hAnsiTheme="minorHAnsi"/>
          <w:color w:val="auto"/>
          <w:u w:color="004147"/>
        </w:rPr>
        <w:t xml:space="preserve"> the change (Hughes, 2016)</w:t>
      </w:r>
      <w:r w:rsidR="00E55614">
        <w:rPr>
          <w:rStyle w:val="None"/>
          <w:rFonts w:asciiTheme="minorHAnsi" w:hAnsiTheme="minorHAnsi"/>
          <w:color w:val="auto"/>
          <w:u w:color="004147"/>
        </w:rPr>
        <w:t xml:space="preserve">. </w:t>
      </w:r>
      <w:r w:rsidR="00076BA4">
        <w:rPr>
          <w:rStyle w:val="None"/>
          <w:rFonts w:asciiTheme="minorHAnsi" w:hAnsiTheme="minorHAnsi"/>
          <w:color w:val="auto"/>
          <w:u w:color="004147"/>
        </w:rPr>
        <w:t xml:space="preserve">The </w:t>
      </w:r>
      <w:r w:rsidR="008417CD">
        <w:rPr>
          <w:rStyle w:val="None"/>
          <w:rFonts w:asciiTheme="minorHAnsi" w:hAnsiTheme="minorHAnsi"/>
          <w:color w:val="auto"/>
          <w:u w:color="004147"/>
        </w:rPr>
        <w:t>CIPDb</w:t>
      </w:r>
      <w:r w:rsidR="00076BA4">
        <w:rPr>
          <w:rStyle w:val="None"/>
          <w:rFonts w:asciiTheme="minorHAnsi" w:hAnsiTheme="minorHAnsi"/>
          <w:color w:val="auto"/>
          <w:u w:color="004147"/>
        </w:rPr>
        <w:t xml:space="preserve"> </w:t>
      </w:r>
      <w:r w:rsidR="008417CD">
        <w:rPr>
          <w:rStyle w:val="None"/>
          <w:rFonts w:asciiTheme="minorHAnsi" w:hAnsiTheme="minorHAnsi"/>
          <w:color w:val="auto"/>
          <w:u w:color="004147"/>
        </w:rPr>
        <w:t xml:space="preserve"> </w:t>
      </w:r>
      <w:r w:rsidR="00076BA4">
        <w:rPr>
          <w:rStyle w:val="None"/>
          <w:rFonts w:asciiTheme="minorHAnsi" w:hAnsiTheme="minorHAnsi"/>
          <w:color w:val="auto"/>
          <w:u w:color="004147"/>
        </w:rPr>
        <w:t>(</w:t>
      </w:r>
      <w:r w:rsidR="008417CD">
        <w:rPr>
          <w:rStyle w:val="None"/>
          <w:rFonts w:asciiTheme="minorHAnsi" w:hAnsiTheme="minorHAnsi"/>
          <w:color w:val="auto"/>
          <w:u w:color="004147"/>
        </w:rPr>
        <w:t>2025)</w:t>
      </w:r>
      <w:r w:rsidR="00076BA4">
        <w:rPr>
          <w:rStyle w:val="None"/>
          <w:rFonts w:asciiTheme="minorHAnsi" w:hAnsiTheme="minorHAnsi"/>
          <w:color w:val="auto"/>
          <w:u w:color="004147"/>
        </w:rPr>
        <w:t xml:space="preserve"> discusses the importance of </w:t>
      </w:r>
      <w:r w:rsidR="005A1291">
        <w:rPr>
          <w:rStyle w:val="None"/>
          <w:rFonts w:asciiTheme="minorHAnsi" w:hAnsiTheme="minorHAnsi"/>
          <w:color w:val="auto"/>
          <w:u w:color="004147"/>
        </w:rPr>
        <w:t>allowing</w:t>
      </w:r>
      <w:r w:rsidR="00076BA4">
        <w:rPr>
          <w:rStyle w:val="None"/>
          <w:rFonts w:asciiTheme="minorHAnsi" w:hAnsiTheme="minorHAnsi"/>
          <w:color w:val="auto"/>
          <w:u w:color="004147"/>
        </w:rPr>
        <w:t xml:space="preserve"> employees to have a voice</w:t>
      </w:r>
      <w:r w:rsidR="003D02C7">
        <w:rPr>
          <w:rStyle w:val="None"/>
          <w:rFonts w:asciiTheme="minorHAnsi" w:hAnsiTheme="minorHAnsi"/>
          <w:color w:val="auto"/>
          <w:u w:color="004147"/>
        </w:rPr>
        <w:t>, this will allow Artiron to build trust</w:t>
      </w:r>
      <w:r w:rsidR="003F181C">
        <w:rPr>
          <w:rStyle w:val="None"/>
          <w:rFonts w:asciiTheme="minorHAnsi" w:hAnsiTheme="minorHAnsi"/>
          <w:color w:val="auto"/>
          <w:u w:color="004147"/>
        </w:rPr>
        <w:t xml:space="preserve"> and understand employee concerns. Continued consultation</w:t>
      </w:r>
      <w:r w:rsidR="00946050">
        <w:rPr>
          <w:rStyle w:val="None"/>
          <w:rFonts w:asciiTheme="minorHAnsi" w:hAnsiTheme="minorHAnsi"/>
          <w:color w:val="auto"/>
          <w:u w:color="004147"/>
        </w:rPr>
        <w:t xml:space="preserve"> </w:t>
      </w:r>
      <w:r w:rsidR="0088782C">
        <w:rPr>
          <w:rStyle w:val="None"/>
          <w:rFonts w:asciiTheme="minorHAnsi" w:hAnsiTheme="minorHAnsi"/>
          <w:color w:val="auto"/>
          <w:u w:color="004147"/>
        </w:rPr>
        <w:t xml:space="preserve">along with </w:t>
      </w:r>
      <w:r w:rsidR="00946050">
        <w:rPr>
          <w:rStyle w:val="None"/>
          <w:rFonts w:asciiTheme="minorHAnsi" w:hAnsiTheme="minorHAnsi"/>
          <w:color w:val="auto"/>
          <w:u w:color="004147"/>
        </w:rPr>
        <w:t>a learning needs analysis can identify</w:t>
      </w:r>
      <w:r w:rsidR="0088782C">
        <w:rPr>
          <w:rStyle w:val="None"/>
          <w:rFonts w:asciiTheme="minorHAnsi" w:hAnsiTheme="minorHAnsi"/>
          <w:color w:val="auto"/>
          <w:u w:color="004147"/>
        </w:rPr>
        <w:t xml:space="preserve"> skills</w:t>
      </w:r>
      <w:r w:rsidR="00946050">
        <w:rPr>
          <w:rStyle w:val="None"/>
          <w:rFonts w:asciiTheme="minorHAnsi" w:hAnsiTheme="minorHAnsi"/>
          <w:color w:val="auto"/>
          <w:u w:color="004147"/>
        </w:rPr>
        <w:t xml:space="preserve"> gaps where Artiron can provide appropriate training and development. </w:t>
      </w:r>
    </w:p>
    <w:p w14:paraId="040572D1" w14:textId="77777777" w:rsidR="00ED0AA0" w:rsidRDefault="00ED0AA0" w:rsidP="00071774">
      <w:pPr>
        <w:pStyle w:val="Body"/>
        <w:rPr>
          <w:rStyle w:val="None"/>
          <w:rFonts w:asciiTheme="minorHAnsi" w:hAnsiTheme="minorHAnsi"/>
          <w:color w:val="auto"/>
          <w:u w:color="004147"/>
        </w:rPr>
      </w:pPr>
    </w:p>
    <w:p w14:paraId="7E8AA749" w14:textId="59B8D88B" w:rsidR="000509F6" w:rsidRDefault="00ED0AA0" w:rsidP="00EB4356">
      <w:pPr>
        <w:pStyle w:val="Body"/>
        <w:rPr>
          <w:rStyle w:val="None"/>
          <w:rFonts w:asciiTheme="minorHAnsi" w:hAnsiTheme="minorHAnsi"/>
          <w:color w:val="auto"/>
          <w:u w:color="004147"/>
        </w:rPr>
      </w:pPr>
      <w:r>
        <w:rPr>
          <w:rStyle w:val="None"/>
          <w:rFonts w:asciiTheme="minorHAnsi" w:hAnsiTheme="minorHAnsi"/>
          <w:color w:val="auto"/>
          <w:u w:color="004147"/>
        </w:rPr>
        <w:t>With</w:t>
      </w:r>
      <w:r w:rsidR="00B96CD9">
        <w:rPr>
          <w:rStyle w:val="None"/>
          <w:rFonts w:asciiTheme="minorHAnsi" w:hAnsiTheme="minorHAnsi"/>
          <w:color w:val="auto"/>
          <w:u w:color="004147"/>
        </w:rPr>
        <w:t xml:space="preserve"> 2036 being such a distance in the future</w:t>
      </w:r>
      <w:r w:rsidR="00EB4356">
        <w:rPr>
          <w:rStyle w:val="None"/>
          <w:rFonts w:asciiTheme="minorHAnsi" w:hAnsiTheme="minorHAnsi"/>
          <w:color w:val="auto"/>
          <w:u w:color="004147"/>
        </w:rPr>
        <w:t>,</w:t>
      </w:r>
      <w:r w:rsidR="00B96CD9">
        <w:rPr>
          <w:rStyle w:val="None"/>
          <w:rFonts w:asciiTheme="minorHAnsi" w:hAnsiTheme="minorHAnsi"/>
          <w:color w:val="auto"/>
          <w:u w:color="004147"/>
        </w:rPr>
        <w:t xml:space="preserve"> short term wins are essential </w:t>
      </w:r>
      <w:r w:rsidR="00723F67">
        <w:rPr>
          <w:rStyle w:val="None"/>
          <w:rFonts w:asciiTheme="minorHAnsi" w:hAnsiTheme="minorHAnsi"/>
          <w:color w:val="auto"/>
          <w:u w:color="004147"/>
        </w:rPr>
        <w:t>to maintain momentum. Artiron could establish smaller measurable target</w:t>
      </w:r>
      <w:r w:rsidR="00D4635C">
        <w:rPr>
          <w:rStyle w:val="None"/>
          <w:rFonts w:asciiTheme="minorHAnsi" w:hAnsiTheme="minorHAnsi"/>
          <w:color w:val="auto"/>
          <w:u w:color="004147"/>
        </w:rPr>
        <w:t xml:space="preserve">s such as emission reduction milestones or successful EV plant </w:t>
      </w:r>
      <w:r w:rsidR="007B020C">
        <w:rPr>
          <w:rStyle w:val="None"/>
          <w:rFonts w:asciiTheme="minorHAnsi" w:hAnsiTheme="minorHAnsi"/>
          <w:color w:val="auto"/>
          <w:u w:color="004147"/>
        </w:rPr>
        <w:t>upgrades</w:t>
      </w:r>
      <w:r w:rsidR="00D4635C">
        <w:rPr>
          <w:rStyle w:val="None"/>
          <w:rFonts w:asciiTheme="minorHAnsi" w:hAnsiTheme="minorHAnsi"/>
          <w:color w:val="auto"/>
          <w:u w:color="004147"/>
        </w:rPr>
        <w:t>. Kotter (2012, pp.11-13) argues that short term wins provide evidence of progress and can maintain commitment during lengthy transformations</w:t>
      </w:r>
      <w:r w:rsidR="00430435">
        <w:rPr>
          <w:rStyle w:val="None"/>
          <w:rFonts w:asciiTheme="minorHAnsi" w:hAnsiTheme="minorHAnsi"/>
          <w:color w:val="auto"/>
          <w:u w:color="004147"/>
        </w:rPr>
        <w:t xml:space="preserve">. </w:t>
      </w:r>
    </w:p>
    <w:p w14:paraId="15C60F92" w14:textId="77777777" w:rsidR="0088782C" w:rsidRDefault="0088782C" w:rsidP="00EB4356">
      <w:pPr>
        <w:pStyle w:val="Body"/>
        <w:rPr>
          <w:rStyle w:val="None"/>
          <w:rFonts w:asciiTheme="minorHAnsi" w:hAnsiTheme="minorHAnsi"/>
          <w:color w:val="auto"/>
          <w:u w:color="004147"/>
        </w:rPr>
      </w:pPr>
    </w:p>
    <w:p w14:paraId="66F5782A" w14:textId="089DF917" w:rsidR="00BE068E" w:rsidRDefault="000B612E" w:rsidP="00071774">
      <w:pPr>
        <w:pStyle w:val="Body"/>
        <w:rPr>
          <w:rStyle w:val="None"/>
          <w:rFonts w:asciiTheme="minorHAnsi" w:hAnsiTheme="minorHAnsi"/>
          <w:color w:val="auto"/>
          <w:u w:color="004147"/>
        </w:rPr>
      </w:pPr>
      <w:r>
        <w:rPr>
          <w:rStyle w:val="None"/>
          <w:rFonts w:asciiTheme="minorHAnsi" w:hAnsiTheme="minorHAnsi"/>
          <w:color w:val="auto"/>
          <w:u w:color="004147"/>
        </w:rPr>
        <w:t>Artiron needs to ensure</w:t>
      </w:r>
      <w:r w:rsidR="00F82832">
        <w:rPr>
          <w:rStyle w:val="None"/>
          <w:rFonts w:asciiTheme="minorHAnsi" w:hAnsiTheme="minorHAnsi"/>
          <w:color w:val="auto"/>
          <w:u w:color="004147"/>
        </w:rPr>
        <w:t xml:space="preserve"> early achievements do not result in momentum being lost. Kotter (2012, pp.13-14) warns against </w:t>
      </w:r>
      <w:r w:rsidR="004D5A2D">
        <w:rPr>
          <w:rStyle w:val="None"/>
          <w:rFonts w:asciiTheme="minorHAnsi" w:hAnsiTheme="minorHAnsi"/>
          <w:color w:val="auto"/>
          <w:u w:color="004147"/>
        </w:rPr>
        <w:t xml:space="preserve">“declaring victory too soon”. Progress should be continuously reviewed to understand what </w:t>
      </w:r>
      <w:r w:rsidR="003D2FB2">
        <w:rPr>
          <w:rStyle w:val="None"/>
          <w:rFonts w:asciiTheme="minorHAnsi" w:hAnsiTheme="minorHAnsi"/>
          <w:color w:val="auto"/>
          <w:u w:color="004147"/>
        </w:rPr>
        <w:t>has been successful</w:t>
      </w:r>
      <w:r w:rsidR="00BF061E">
        <w:rPr>
          <w:rStyle w:val="None"/>
          <w:rFonts w:asciiTheme="minorHAnsi" w:hAnsiTheme="minorHAnsi"/>
          <w:color w:val="auto"/>
          <w:u w:color="004147"/>
        </w:rPr>
        <w:t xml:space="preserve"> and where further changes are required. Successful initiatives could be expanded</w:t>
      </w:r>
      <w:r w:rsidR="004D5A2D">
        <w:rPr>
          <w:rStyle w:val="None"/>
          <w:rFonts w:asciiTheme="minorHAnsi" w:hAnsiTheme="minorHAnsi"/>
          <w:color w:val="auto"/>
          <w:u w:color="004147"/>
        </w:rPr>
        <w:t xml:space="preserve"> </w:t>
      </w:r>
      <w:r w:rsidR="007B020C">
        <w:rPr>
          <w:rStyle w:val="None"/>
          <w:rFonts w:asciiTheme="minorHAnsi" w:hAnsiTheme="minorHAnsi"/>
          <w:color w:val="auto"/>
          <w:u w:color="004147"/>
        </w:rPr>
        <w:t>across</w:t>
      </w:r>
      <w:r w:rsidR="00BF061E">
        <w:rPr>
          <w:rStyle w:val="None"/>
          <w:rFonts w:asciiTheme="minorHAnsi" w:hAnsiTheme="minorHAnsi"/>
          <w:color w:val="auto"/>
          <w:u w:color="004147"/>
        </w:rPr>
        <w:t xml:space="preserve"> different divisions </w:t>
      </w:r>
      <w:r w:rsidR="00642135">
        <w:rPr>
          <w:rStyle w:val="None"/>
          <w:rFonts w:asciiTheme="minorHAnsi" w:hAnsiTheme="minorHAnsi"/>
          <w:color w:val="auto"/>
          <w:u w:color="004147"/>
        </w:rPr>
        <w:t>whilst ongoing feedback allows Artiron to adapt its approach throughout the long term project.</w:t>
      </w:r>
    </w:p>
    <w:p w14:paraId="171AEC2E" w14:textId="77777777" w:rsidR="004D1540" w:rsidRPr="00992E7F" w:rsidRDefault="004D1540" w:rsidP="00071774">
      <w:pPr>
        <w:pStyle w:val="Body"/>
        <w:rPr>
          <w:rStyle w:val="None"/>
          <w:rFonts w:asciiTheme="minorHAnsi" w:hAnsiTheme="minorHAnsi"/>
          <w:color w:val="auto"/>
        </w:rPr>
      </w:pPr>
    </w:p>
    <w:p w14:paraId="563108F7" w14:textId="15736361" w:rsidR="00364648" w:rsidRPr="005E5D81" w:rsidRDefault="004D0714" w:rsidP="005E5D81">
      <w:pPr>
        <w:pStyle w:val="Body"/>
        <w:rPr>
          <w:rStyle w:val="None"/>
          <w:rFonts w:asciiTheme="minorHAnsi" w:hAnsiTheme="minorHAnsi"/>
          <w:color w:val="auto"/>
        </w:rPr>
      </w:pPr>
      <w:r>
        <w:rPr>
          <w:rStyle w:val="None"/>
          <w:rFonts w:asciiTheme="minorHAnsi" w:hAnsiTheme="minorHAnsi"/>
          <w:color w:val="auto"/>
        </w:rPr>
        <w:t xml:space="preserve">Kotter (2012, pp.12-15) argues that change becomes embedded when it becomes “the way we do things around here”. Embedding sustainability into induction, people practices, objectives and </w:t>
      </w:r>
      <w:r w:rsidR="009E7634">
        <w:rPr>
          <w:rStyle w:val="None"/>
          <w:rFonts w:asciiTheme="minorHAnsi" w:hAnsiTheme="minorHAnsi"/>
          <w:color w:val="auto"/>
        </w:rPr>
        <w:t>everyday</w:t>
      </w:r>
      <w:r>
        <w:rPr>
          <w:rStyle w:val="None"/>
          <w:rFonts w:asciiTheme="minorHAnsi" w:hAnsiTheme="minorHAnsi"/>
          <w:color w:val="auto"/>
        </w:rPr>
        <w:t xml:space="preserve"> decision making</w:t>
      </w:r>
      <w:r w:rsidR="00793711">
        <w:rPr>
          <w:rStyle w:val="None"/>
          <w:rFonts w:asciiTheme="minorHAnsi" w:hAnsiTheme="minorHAnsi"/>
          <w:color w:val="auto"/>
        </w:rPr>
        <w:t xml:space="preserve"> could allow the behaviours developed throughout the change to become part of Artiron</w:t>
      </w:r>
      <w:r w:rsidR="007B020C">
        <w:rPr>
          <w:rStyle w:val="None"/>
          <w:rFonts w:asciiTheme="minorHAnsi" w:hAnsiTheme="minorHAnsi"/>
          <w:color w:val="auto"/>
        </w:rPr>
        <w:t>’</w:t>
      </w:r>
      <w:r w:rsidR="00793711">
        <w:rPr>
          <w:rStyle w:val="None"/>
          <w:rFonts w:asciiTheme="minorHAnsi" w:hAnsiTheme="minorHAnsi"/>
          <w:color w:val="auto"/>
        </w:rPr>
        <w:t>s organisation</w:t>
      </w:r>
      <w:r w:rsidR="00695EC5">
        <w:rPr>
          <w:rStyle w:val="None"/>
          <w:rFonts w:asciiTheme="minorHAnsi" w:hAnsiTheme="minorHAnsi"/>
          <w:color w:val="auto"/>
        </w:rPr>
        <w:t>al culture and normal ways of working.</w:t>
      </w:r>
    </w:p>
    <w:p w14:paraId="174F8731" w14:textId="77777777" w:rsidR="00FA1127" w:rsidRPr="00992E7F" w:rsidRDefault="00FA1127" w:rsidP="00D07A6C">
      <w:pPr>
        <w:pStyle w:val="Body"/>
        <w:ind w:left="567" w:hanging="567"/>
        <w:rPr>
          <w:rStyle w:val="None"/>
          <w:rFonts w:asciiTheme="minorHAnsi" w:hAnsiTheme="minorHAnsi"/>
          <w:color w:val="auto"/>
          <w:u w:color="004147"/>
        </w:rPr>
      </w:pPr>
    </w:p>
    <w:p w14:paraId="3A6E94F8" w14:textId="038F6A66" w:rsidR="00313E5D" w:rsidRDefault="005E5D81" w:rsidP="003A0B7B">
      <w:r>
        <w:t xml:space="preserve">Q8. </w:t>
      </w:r>
      <w:r w:rsidR="00A86B91">
        <w:t>Using K</w:t>
      </w:r>
      <w:r w:rsidR="006333F9" w:rsidRPr="006333F9">
        <w:t>ü</w:t>
      </w:r>
      <w:r w:rsidR="00A86B91">
        <w:t xml:space="preserve">bler-Ross’s change curve it is possible to </w:t>
      </w:r>
      <w:r w:rsidR="00901DB0">
        <w:t>understand</w:t>
      </w:r>
      <w:r w:rsidR="00A86B91">
        <w:t xml:space="preserve"> how change could be experienced by employees at Artiron </w:t>
      </w:r>
      <w:r w:rsidR="000E0006">
        <w:t xml:space="preserve">during the introduction to cobots within the </w:t>
      </w:r>
      <w:r w:rsidR="000E0006">
        <w:lastRenderedPageBreak/>
        <w:t>workplace</w:t>
      </w:r>
      <w:r w:rsidR="001378D3">
        <w:t xml:space="preserve">. </w:t>
      </w:r>
      <w:r w:rsidR="00313E5D">
        <w:t>The model includes stages of shock and denial, anger, uncertainty</w:t>
      </w:r>
      <w:r w:rsidR="00852AB3">
        <w:t xml:space="preserve">, </w:t>
      </w:r>
      <w:r w:rsidR="0053736A">
        <w:t>withdrawal</w:t>
      </w:r>
      <w:r w:rsidR="00852AB3">
        <w:t xml:space="preserve">, acceptance and integration. </w:t>
      </w:r>
    </w:p>
    <w:p w14:paraId="77B6E24C" w14:textId="34EE7784" w:rsidR="006975E0" w:rsidRDefault="006975E0" w:rsidP="003A0B7B">
      <w:r>
        <w:t>Initially, employees may experience shock or denial</w:t>
      </w:r>
      <w:r w:rsidR="009557FA">
        <w:t>, especially if there is uncertainty around why cobots are being introduced of if they believe that the current workplace practice</w:t>
      </w:r>
      <w:r w:rsidR="00AF3347">
        <w:t>s</w:t>
      </w:r>
      <w:r w:rsidR="009557FA">
        <w:t xml:space="preserve"> are already sufficient.</w:t>
      </w:r>
      <w:r w:rsidR="009D6352">
        <w:t xml:space="preserve"> This could develop into anger, frustration and uncertainty with employees concerned about their ability to integrate new technology or their job security</w:t>
      </w:r>
      <w:r w:rsidR="00EB2A66">
        <w:t xml:space="preserve"> (CIPDc, 2024). BPP Learning Media (2010) </w:t>
      </w:r>
      <w:r w:rsidR="009F3433">
        <w:t>solidifies this, stating</w:t>
      </w:r>
      <w:r w:rsidR="00EB2A66">
        <w:t xml:space="preserve"> that individuals</w:t>
      </w:r>
      <w:r w:rsidR="009F3433">
        <w:t xml:space="preserve"> could resist change due to fears </w:t>
      </w:r>
      <w:r w:rsidR="0094444A">
        <w:t xml:space="preserve">surrounding their ability to adapt and learn, a loss of control or that changes may make their roles more difficult. </w:t>
      </w:r>
      <w:r w:rsidR="00141FA8">
        <w:t xml:space="preserve">Anxiety around robots replacing human workers is common however </w:t>
      </w:r>
      <w:r w:rsidR="003D0D17">
        <w:t>research into their actual impact is mixed. Both a displacement view, where robots replace employees and a positive view where robots work alongside and enhance human labour (Dahlin, 2019). Arti</w:t>
      </w:r>
      <w:r w:rsidR="007B020C">
        <w:t>r</w:t>
      </w:r>
      <w:r w:rsidR="003D0D17">
        <w:t>on employees may experience the introduction</w:t>
      </w:r>
      <w:r w:rsidR="00B07EE7">
        <w:t xml:space="preserve"> differently depending on where their perception levels are, whether technology is viewed as a threat or a support tool.</w:t>
      </w:r>
    </w:p>
    <w:p w14:paraId="15257882" w14:textId="2F5F70C7" w:rsidR="00A01052" w:rsidRDefault="00A01052" w:rsidP="003A0B7B">
      <w:r>
        <w:t xml:space="preserve">During uncertainty and withdrawal, employees may experience anxiety and reduced performance whilst </w:t>
      </w:r>
      <w:r w:rsidR="00EF26B1">
        <w:t>they</w:t>
      </w:r>
      <w:r>
        <w:t xml:space="preserve"> understand how their roles will be affected (CIPDc, 2024). Communication, reassurance and retraining may help with the adjustment period (BPP Learning Media, 2010). Employee involvement may also influence how they experience the changes.</w:t>
      </w:r>
      <w:r w:rsidR="00187289">
        <w:t xml:space="preserve"> Research by Cao et al (2024)</w:t>
      </w:r>
      <w:r w:rsidR="006960C9">
        <w:t xml:space="preserve"> on human-robot collaboration suggests that management and developers perceptions may not reflect the practical experience of employees</w:t>
      </w:r>
      <w:r w:rsidR="00D7044D">
        <w:t>, as such, involving those working with the cobot</w:t>
      </w:r>
      <w:r w:rsidR="009C367D">
        <w:t xml:space="preserve">s through feedback and input can help tailor systems to their needs and potentially increase acceptance. </w:t>
      </w:r>
      <w:r w:rsidR="00664264">
        <w:t xml:space="preserve">To support this, Artiron could involve </w:t>
      </w:r>
      <w:r w:rsidR="00A46F19">
        <w:t>front line employees in the cobot implementation and give them greater influence over how the technology impacts their current work.</w:t>
      </w:r>
      <w:r w:rsidR="00664264">
        <w:t xml:space="preserve"> </w:t>
      </w:r>
    </w:p>
    <w:p w14:paraId="79637977" w14:textId="1558875D" w:rsidR="00DD2760" w:rsidRDefault="00DD2760" w:rsidP="003A0B7B">
      <w:r>
        <w:t>As employees gain experience working alongside cobots they may</w:t>
      </w:r>
      <w:r w:rsidR="00CC61AD">
        <w:t xml:space="preserve"> test what that change means for their role before they</w:t>
      </w:r>
      <w:r>
        <w:t xml:space="preserve"> begin accepting the new way of working</w:t>
      </w:r>
      <w:r w:rsidR="00CC61AD">
        <w:t>,</w:t>
      </w:r>
      <w:r>
        <w:t xml:space="preserve"> eventually reaching integration (CIPDc, 2024)</w:t>
      </w:r>
      <w:r w:rsidR="00CC61AD">
        <w:t>.</w:t>
      </w:r>
      <w:r w:rsidR="005873E1">
        <w:t xml:space="preserve"> This could be supported by Dahlin (2019) who </w:t>
      </w:r>
      <w:r w:rsidR="00EC3351">
        <w:t xml:space="preserve">evidences </w:t>
      </w:r>
      <w:r w:rsidR="00AF31FA">
        <w:t>that robots can complement employees ways of working rather than replace human labour.</w:t>
      </w:r>
    </w:p>
    <w:p w14:paraId="283B55F8" w14:textId="3B6BC0C5" w:rsidR="005A4892" w:rsidRDefault="002A3220" w:rsidP="005E5D81">
      <w:r>
        <w:t xml:space="preserve">It is important to note that </w:t>
      </w:r>
      <w:r w:rsidR="004905D8">
        <w:t>when using th</w:t>
      </w:r>
      <w:r w:rsidR="000844BA">
        <w:t>e change curve</w:t>
      </w:r>
      <w:r w:rsidR="004905D8">
        <w:t>, an individuals experience of change is not linear, people will be at different stages of the curve at different times</w:t>
      </w:r>
      <w:r w:rsidR="00AF31FA">
        <w:t xml:space="preserve"> or experience emotions that are not highlighted within the model</w:t>
      </w:r>
      <w:r w:rsidR="000844BA">
        <w:t xml:space="preserve"> (CIPDc, 2024)</w:t>
      </w:r>
      <w:r w:rsidR="0065428A">
        <w:t xml:space="preserve">. </w:t>
      </w:r>
      <w:r w:rsidR="000844BA">
        <w:t>Some Arti</w:t>
      </w:r>
      <w:r w:rsidR="007B020C">
        <w:t>r</w:t>
      </w:r>
      <w:r w:rsidR="000844BA">
        <w:t xml:space="preserve">on employees may welcome cobots </w:t>
      </w:r>
      <w:r w:rsidR="007858FB">
        <w:t xml:space="preserve">immediately whilst others may remain resistant. </w:t>
      </w:r>
      <w:r w:rsidR="0065428A">
        <w:t xml:space="preserve">Khanna (2026) recommends not to assign the stages to employee and instead to </w:t>
      </w:r>
      <w:r w:rsidR="00EA1AD7">
        <w:t xml:space="preserve">respond to reactions </w:t>
      </w:r>
      <w:r w:rsidR="00B63DB3">
        <w:t>with ongoing involvement, support and redesign where required</w:t>
      </w:r>
      <w:r w:rsidR="00806BC9">
        <w:t xml:space="preserve"> instead of assuming it predicts how each individual will experience the change.</w:t>
      </w:r>
    </w:p>
    <w:p w14:paraId="2105E07D" w14:textId="6E79393E" w:rsidR="005A4892" w:rsidRDefault="005E5D81" w:rsidP="005A4892">
      <w:r>
        <w:t xml:space="preserve">Q9. </w:t>
      </w:r>
      <w:r w:rsidR="005A4892">
        <w:t xml:space="preserve">Two factors that may impact employee wellbeing at Artiron are dissatisfaction with PPE for production employees and long working hours within support functions, both of </w:t>
      </w:r>
      <w:r w:rsidR="005A4892">
        <w:lastRenderedPageBreak/>
        <w:t>which have been identif</w:t>
      </w:r>
      <w:r w:rsidR="00D278A6">
        <w:t xml:space="preserve">ied as wellbeing issues currently being </w:t>
      </w:r>
      <w:r w:rsidR="009E7634">
        <w:t>experienced</w:t>
      </w:r>
      <w:r w:rsidR="00D278A6">
        <w:t xml:space="preserve">. Wellbeing has many layers and includes </w:t>
      </w:r>
      <w:r w:rsidR="00172B2E">
        <w:t>psychological, emotional, social and physical aspects (Taylor and Woodhams, 2022, p</w:t>
      </w:r>
      <w:r w:rsidR="007E6D4C">
        <w:t xml:space="preserve">. </w:t>
      </w:r>
      <w:r w:rsidR="00172B2E">
        <w:t>248)</w:t>
      </w:r>
      <w:r w:rsidR="007E6D4C">
        <w:t>.</w:t>
      </w:r>
    </w:p>
    <w:p w14:paraId="04E1E105" w14:textId="08492C3B" w:rsidR="005A4892" w:rsidRDefault="006F359A" w:rsidP="005A4892">
      <w:r>
        <w:t>Looking at PPE, although employee dissatisfaction does not necessarily mean that PPE is unsafe, it indicates that it’s suitability, comfort or fit should be examined.</w:t>
      </w:r>
      <w:r w:rsidR="005D45D8">
        <w:t xml:space="preserve"> Janson (2024, </w:t>
      </w:r>
      <w:r w:rsidR="00274BCA">
        <w:t>p</w:t>
      </w:r>
      <w:r w:rsidR="005D45D8">
        <w:t xml:space="preserve">p. 6-7) highlights that inappropriate or poorly fitting PPE can have physical, behavioural and </w:t>
      </w:r>
      <w:r w:rsidR="007B020C">
        <w:t>emotional</w:t>
      </w:r>
      <w:r w:rsidR="005D45D8">
        <w:t xml:space="preserve"> impacts on wellbeing including discomfort, risks to safety and reduced morale. This is relevant for Art</w:t>
      </w:r>
      <w:r w:rsidR="007B020C">
        <w:t>i</w:t>
      </w:r>
      <w:r w:rsidR="005D45D8">
        <w:t>ron where production employee undertake phys</w:t>
      </w:r>
      <w:r w:rsidR="00E32E19">
        <w:t xml:space="preserve">ically demanding activities. </w:t>
      </w:r>
      <w:r w:rsidR="007B020C">
        <w:t>Inappropriate</w:t>
      </w:r>
      <w:r w:rsidR="00E32E19">
        <w:t xml:space="preserve"> PPE can contribute towards reduced </w:t>
      </w:r>
      <w:r w:rsidR="009F278E">
        <w:t xml:space="preserve">overall wellbeing, lower </w:t>
      </w:r>
      <w:r w:rsidR="00274BCA">
        <w:t>productivity</w:t>
      </w:r>
      <w:r w:rsidR="009F278E">
        <w:t>, turnover rates and absenteeism (Janson, 2024, pp. 25-26)</w:t>
      </w:r>
      <w:r w:rsidR="00274BCA">
        <w:t xml:space="preserve">. </w:t>
      </w:r>
    </w:p>
    <w:p w14:paraId="608590D4" w14:textId="5313BED2" w:rsidR="0011204A" w:rsidRDefault="0011204A" w:rsidP="005A4892">
      <w:r>
        <w:t>Secondly, long working hours within support functions can lead to</w:t>
      </w:r>
      <w:r w:rsidR="00F678D2">
        <w:t xml:space="preserve"> prolonged stress, negatively impacting physical and psychological health along with workplace productivity, performance and wellbeing</w:t>
      </w:r>
      <w:r w:rsidR="000E273E">
        <w:t xml:space="preserve"> (Hesketh and Cooper, 2019, pp.56-58). Research by Sinclair and Suff (2025, pp11-12)</w:t>
      </w:r>
      <w:r w:rsidR="00273DF4">
        <w:t xml:space="preserve"> supports this relationship with heavy workloads identified as the most common work related cause of stress</w:t>
      </w:r>
      <w:r w:rsidR="0026212C">
        <w:t xml:space="preserve"> and stress related absences in the UK- reported by 41% of organisations. If Artiron’s long hours result from excessive workload</w:t>
      </w:r>
      <w:r w:rsidR="00A85DA4">
        <w:t xml:space="preserve">, consistent </w:t>
      </w:r>
      <w:r w:rsidR="00A328F8">
        <w:t>exposure to this could therefor increase stress and negatively impact overall wellbeing of employees.</w:t>
      </w:r>
    </w:p>
    <w:p w14:paraId="25C7DEA8" w14:textId="50D5034D" w:rsidR="00443545" w:rsidRDefault="00A328F8" w:rsidP="007102BF">
      <w:r>
        <w:t xml:space="preserve">It is important for Artiron to address the underlying causes </w:t>
      </w:r>
      <w:r w:rsidR="00F503D6">
        <w:t xml:space="preserve">impacting wellbeing rather that relying </w:t>
      </w:r>
      <w:r w:rsidR="0081637A">
        <w:t xml:space="preserve">only </w:t>
      </w:r>
      <w:r w:rsidR="00F503D6">
        <w:t xml:space="preserve">on initiative. CIPDd (2023) </w:t>
      </w:r>
      <w:r w:rsidR="003255D0">
        <w:t>discusses reactive wellbeing provisions and how they may be ineffective where work itself is contributing to poor wellbeing</w:t>
      </w:r>
      <w:r w:rsidR="00161AEB">
        <w:t>. Factors such as workload, working hours and the working environment all have an impact. This is particularly important</w:t>
      </w:r>
      <w:r w:rsidR="00AB22A5">
        <w:t xml:space="preserve"> as wellbeing practices can support recruitment, retention, absence levels, employee engagement and performance (Taylor and Woodhams, 2022, p248)</w:t>
      </w:r>
      <w:r w:rsidR="00EE0F39">
        <w:t xml:space="preserve">. A point which Sinclair and Suff (2025, p.4) </w:t>
      </w:r>
      <w:r w:rsidR="002E42C7">
        <w:t xml:space="preserve">upholds, with research showing organisations </w:t>
      </w:r>
      <w:r w:rsidR="0060179D">
        <w:t xml:space="preserve">reported an investment in wellbeing resulting in enhanced </w:t>
      </w:r>
      <w:r w:rsidR="00FB789B">
        <w:t>eng</w:t>
      </w:r>
      <w:r w:rsidR="0060179D">
        <w:t xml:space="preserve">agement and </w:t>
      </w:r>
      <w:r w:rsidR="00DF4366">
        <w:t>performance</w:t>
      </w:r>
      <w:r w:rsidR="0060179D">
        <w:t xml:space="preserve"> and a reduction in sickness absence. As Artiron operates across several countries, it should also consider whether the causes and experiences of poor wellbeing differ between locations rather</w:t>
      </w:r>
      <w:r w:rsidR="00647FB2">
        <w:t xml:space="preserve"> than a blanket app</w:t>
      </w:r>
      <w:r w:rsidR="00632417">
        <w:t>roach</w:t>
      </w:r>
      <w:r w:rsidR="00647FB2">
        <w:t xml:space="preserve"> across the entire organisation. </w:t>
      </w:r>
    </w:p>
    <w:p w14:paraId="6F9BDD60" w14:textId="3A317108" w:rsidR="00115FA3" w:rsidRDefault="007102BF" w:rsidP="005A4892">
      <w:r>
        <w:t xml:space="preserve">Q10. </w:t>
      </w:r>
      <w:r w:rsidR="00443545">
        <w:t>Artiron’s People team can support employees on early careers programm</w:t>
      </w:r>
      <w:r w:rsidR="009A0AF8">
        <w:t>es through multiple stages of the employee lifecycle. Three particularly relevant</w:t>
      </w:r>
      <w:r w:rsidR="00E00182">
        <w:t xml:space="preserve"> stages</w:t>
      </w:r>
      <w:r w:rsidR="009A0AF8">
        <w:t xml:space="preserve"> are recruitment, onboarding and development</w:t>
      </w:r>
      <w:r w:rsidR="0019510D">
        <w:t xml:space="preserve"> due to Artiron’s apprenticeships, degree placements and post graduate co</w:t>
      </w:r>
      <w:r w:rsidR="001906DB">
        <w:t xml:space="preserve">ntracts ranging across multiple countries and </w:t>
      </w:r>
      <w:r w:rsidR="00C96821">
        <w:t>fields</w:t>
      </w:r>
      <w:r w:rsidR="00E00182">
        <w:t xml:space="preserve"> within the organisation.</w:t>
      </w:r>
    </w:p>
    <w:p w14:paraId="0E354C88" w14:textId="382C02F9" w:rsidR="00E00182" w:rsidRDefault="00E00182" w:rsidP="005A4892">
      <w:r>
        <w:t xml:space="preserve">During recruitment, the </w:t>
      </w:r>
      <w:r w:rsidR="00862A46">
        <w:t xml:space="preserve">resourcing team would play an important part in attracting and selecting suitable candidates for the early career programmes. Recruitment involves </w:t>
      </w:r>
      <w:r w:rsidR="00862A46">
        <w:lastRenderedPageBreak/>
        <w:t xml:space="preserve">advertising the vacancy in order to </w:t>
      </w:r>
      <w:r w:rsidR="003D7AA1">
        <w:t>source tal</w:t>
      </w:r>
      <w:r w:rsidR="000078A5">
        <w:t xml:space="preserve">ent followed by selection who will determine whom from the talent pipeline is the most appropriate candidate (Taylor and Woodhams, 2022, p. 41). Artiron recruits </w:t>
      </w:r>
      <w:r w:rsidR="0028146B">
        <w:t>early career employees into many different areas such as manufacturing, project management</w:t>
      </w:r>
      <w:r w:rsidR="001D194F">
        <w:t>, finance and engineering meaning the skills required and recruitment approach will differ</w:t>
      </w:r>
      <w:r w:rsidR="00631A30">
        <w:t xml:space="preserve"> based on the role. Its international operations also need to be considered. Allen and Vardaman (2017</w:t>
      </w:r>
      <w:r w:rsidR="0076009F">
        <w:t>, p. 157</w:t>
      </w:r>
      <w:r w:rsidR="00631A30">
        <w:t>)</w:t>
      </w:r>
      <w:r w:rsidR="00481378">
        <w:t xml:space="preserve"> </w:t>
      </w:r>
      <w:r w:rsidR="00423B68">
        <w:t>argue</w:t>
      </w:r>
      <w:r w:rsidR="00481378">
        <w:t xml:space="preserve"> that recruitment practices are often influenced by national culture and as such may not always transfer effectively between countries</w:t>
      </w:r>
      <w:r w:rsidR="008A0953">
        <w:t>. Arti</w:t>
      </w:r>
      <w:r w:rsidR="00A57806">
        <w:t xml:space="preserve">ron’s resourcing </w:t>
      </w:r>
      <w:r w:rsidR="0077020B">
        <w:t>te</w:t>
      </w:r>
      <w:r w:rsidR="009B30DD">
        <w:t>am</w:t>
      </w:r>
      <w:r w:rsidR="00D83E3E">
        <w:t xml:space="preserve"> </w:t>
      </w:r>
      <w:r w:rsidR="0088783E">
        <w:t xml:space="preserve">must </w:t>
      </w:r>
      <w:r w:rsidR="00D83E3E">
        <w:t>consider cultural differences when recruiting across different locations</w:t>
      </w:r>
      <w:r w:rsidR="0088783E">
        <w:t>.</w:t>
      </w:r>
    </w:p>
    <w:p w14:paraId="28420FE3" w14:textId="0B7AE31A" w:rsidR="00794DF9" w:rsidRDefault="001D707B" w:rsidP="005A4892">
      <w:r>
        <w:t xml:space="preserve">During onboarding, </w:t>
      </w:r>
      <w:r w:rsidR="00794DF9">
        <w:t xml:space="preserve">Artiron already provides a </w:t>
      </w:r>
      <w:r w:rsidR="00DE0951">
        <w:t>corporate induction which covers the mission, values and vision of the organisation which</w:t>
      </w:r>
      <w:r w:rsidR="00E6556F">
        <w:t xml:space="preserve"> the</w:t>
      </w:r>
      <w:r w:rsidR="00DE0951">
        <w:t xml:space="preserve"> </w:t>
      </w:r>
      <w:r w:rsidR="00F56A48">
        <w:t>learning and development</w:t>
      </w:r>
      <w:r w:rsidR="00494843">
        <w:t xml:space="preserve"> (L&amp;D) team</w:t>
      </w:r>
      <w:r w:rsidR="00DE0951">
        <w:t xml:space="preserve"> could use to help early career employees understand the organisation and </w:t>
      </w:r>
      <w:r w:rsidR="005C5117">
        <w:t xml:space="preserve">what is expected of them. CIPDe (2026) states that L&amp;D specialists are largely responsible for the design, development and evaluation of </w:t>
      </w:r>
      <w:r w:rsidR="00D40880">
        <w:t>induction</w:t>
      </w:r>
      <w:r w:rsidR="005C5117">
        <w:t xml:space="preserve"> programmes and identifies</w:t>
      </w:r>
      <w:r w:rsidR="006D5B60">
        <w:t xml:space="preserve"> those entering their first jobs as having specific induction needs.</w:t>
      </w:r>
      <w:r w:rsidR="00D9300F">
        <w:t xml:space="preserve"> </w:t>
      </w:r>
      <w:r w:rsidR="008F56D9">
        <w:t xml:space="preserve">Howlett (2020) </w:t>
      </w:r>
      <w:r w:rsidR="00FD271A">
        <w:t>states that different stakeholders involved in recruitment and onboarding need to work together</w:t>
      </w:r>
      <w:r w:rsidR="00C637E4">
        <w:t xml:space="preserve"> to ensure a smooth experience for new employees. </w:t>
      </w:r>
      <w:r w:rsidR="00836B5B">
        <w:t xml:space="preserve">For Artiron this could mean </w:t>
      </w:r>
      <w:r w:rsidR="00B3158A">
        <w:t>an effective handover between resourcing and L&amp;D team as an employee moves from recruitment into the onboarding stage.</w:t>
      </w:r>
    </w:p>
    <w:p w14:paraId="5123CABC" w14:textId="7DF5604E" w:rsidR="00FA158C" w:rsidRPr="007102BF" w:rsidRDefault="008538B1" w:rsidP="007102BF">
      <w:pPr>
        <w:rPr>
          <w:rStyle w:val="None"/>
        </w:rPr>
      </w:pPr>
      <w:r>
        <w:t xml:space="preserve">Looking at the development stage, the talent and L&amp;D teams could work together to support the skills and progression </w:t>
      </w:r>
      <w:r w:rsidR="00A36E9E">
        <w:t xml:space="preserve">of early career employees. Taylor and Woodhams 92022, pp40-41) </w:t>
      </w:r>
      <w:r w:rsidR="00F15A03">
        <w:t>advise methods such as training, coaching, mentoring and shadowing</w:t>
      </w:r>
      <w:r w:rsidR="00985E32">
        <w:t xml:space="preserve"> opportunities across different departments or projects </w:t>
      </w:r>
      <w:r w:rsidR="000C5718">
        <w:t>c</w:t>
      </w:r>
      <w:r w:rsidR="00F03FA4">
        <w:t xml:space="preserve">reating talent pools </w:t>
      </w:r>
      <w:r w:rsidR="000C5718">
        <w:t>and opportunities for future promotions.</w:t>
      </w:r>
      <w:r w:rsidR="00C64C64">
        <w:t xml:space="preserve"> L&amp;D could </w:t>
      </w:r>
      <w:r w:rsidR="00A0459C">
        <w:t>identify</w:t>
      </w:r>
      <w:r w:rsidR="00C64C64">
        <w:t xml:space="preserve"> development needs and provide the required training whilst talent can focus on creating career pathways and progression. As Artiron</w:t>
      </w:r>
      <w:r w:rsidR="0081637A">
        <w:t>’</w:t>
      </w:r>
      <w:r w:rsidR="00C64C64">
        <w:t xml:space="preserve">s early careers </w:t>
      </w:r>
      <w:r w:rsidR="00A0459C">
        <w:t>employees work across very different areas, their development needs are unlikely to be the same. Providing suitable and fair opportunities can help employees progress whilst also building the skills Artiron needs for the future.</w:t>
      </w:r>
    </w:p>
    <w:p w14:paraId="795DD479" w14:textId="0C1C6665" w:rsidR="0061175E" w:rsidRDefault="007102BF" w:rsidP="00A87F14">
      <w:r>
        <w:t xml:space="preserve">Q.11 </w:t>
      </w:r>
      <w:r w:rsidR="00296B30">
        <w:t xml:space="preserve">People practices could support Artiron in achieving the net zero by 2036 goal by ensuring it has </w:t>
      </w:r>
      <w:r w:rsidR="003878BA">
        <w:t xml:space="preserve">the right people and skills </w:t>
      </w:r>
      <w:r w:rsidR="00471F3A">
        <w:t>needed to deliver</w:t>
      </w:r>
      <w:r w:rsidR="00FE3C9B">
        <w:t xml:space="preserve"> the Evolve strategy. </w:t>
      </w:r>
      <w:r w:rsidR="0061175E">
        <w:t>Vertical integration</w:t>
      </w:r>
      <w:r w:rsidR="001A73E6">
        <w:t xml:space="preserve"> is where people practices align with the wider organisation strategy, in this case Evolve, whilst horizontal integration is the alignment of different people practices with each other (Taylor and Woodhams, 2022b, p.106)</w:t>
      </w:r>
      <w:r w:rsidR="00A87F14">
        <w:t xml:space="preserve">. </w:t>
      </w:r>
    </w:p>
    <w:p w14:paraId="59E7E6FD" w14:textId="40A14059" w:rsidR="00FE3C9B" w:rsidRDefault="00197F8E" w:rsidP="000C5718">
      <w:r>
        <w:t>Vertical integration can be applied through w</w:t>
      </w:r>
      <w:r w:rsidR="00FE3C9B">
        <w:t xml:space="preserve">orkforce planning </w:t>
      </w:r>
      <w:r>
        <w:t xml:space="preserve">which </w:t>
      </w:r>
      <w:r w:rsidR="00FE3C9B">
        <w:t>helps Artiron to</w:t>
      </w:r>
      <w:r w:rsidR="00651781">
        <w:t xml:space="preserve"> identify the skills it will require </w:t>
      </w:r>
      <w:r w:rsidR="00362753">
        <w:t>to support</w:t>
      </w:r>
      <w:r w:rsidR="006F0229">
        <w:t xml:space="preserve"> the plans for increased EV production and achieve net zero and compare these against the current workforce skillset.</w:t>
      </w:r>
      <w:r w:rsidR="007F2334">
        <w:t xml:space="preserve"> Taylor and Woodhams (2022, pp38-40) explain that workforce planning involves forecasting future </w:t>
      </w:r>
      <w:r w:rsidR="007F2334">
        <w:lastRenderedPageBreak/>
        <w:t xml:space="preserve">workforce requirements and identifying skill gaps, which can then be addressed through developing existing employees </w:t>
      </w:r>
      <w:r w:rsidR="004F0BF8">
        <w:t>or</w:t>
      </w:r>
      <w:r w:rsidR="007F2334">
        <w:t xml:space="preserve"> help guide recruitment </w:t>
      </w:r>
      <w:r w:rsidR="004F0BF8">
        <w:t xml:space="preserve">to fill </w:t>
      </w:r>
      <w:r w:rsidR="00E04DC9">
        <w:t>these gaps</w:t>
      </w:r>
      <w:r w:rsidR="007F2334">
        <w:t>.</w:t>
      </w:r>
    </w:p>
    <w:p w14:paraId="4505E988" w14:textId="2E55C9CE" w:rsidR="00E04DC9" w:rsidRDefault="00E04DC9" w:rsidP="000C5718">
      <w:r>
        <w:t xml:space="preserve">For Artiron, </w:t>
      </w:r>
      <w:r w:rsidR="00864158">
        <w:t>identifying</w:t>
      </w:r>
      <w:r>
        <w:t xml:space="preserve"> gaps early allows the People Team to establish whether specialist </w:t>
      </w:r>
      <w:r w:rsidR="00864158">
        <w:t xml:space="preserve">skills are needed for the planned manufacturing upgrades </w:t>
      </w:r>
      <w:r w:rsidR="00AB0D41">
        <w:t>and can be developed within the existing team or whether further recruitment is required. This would allow for the organisation to plan ahead</w:t>
      </w:r>
      <w:r w:rsidR="00844F55">
        <w:t xml:space="preserve"> for changes needed to achieve net zero rather than reacting to skill shortages as they appear.</w:t>
      </w:r>
      <w:r w:rsidR="004652F0">
        <w:t xml:space="preserve"> This creates vertical integration by linking Artiron’s workforce requirements directly to the Evolve strategy.</w:t>
      </w:r>
    </w:p>
    <w:p w14:paraId="75888ED5" w14:textId="2F2D5CB5" w:rsidR="00844F55" w:rsidRDefault="00E343CF" w:rsidP="00D570A1">
      <w:r>
        <w:t xml:space="preserve">Horizontal integration can then link workforce planning with the people practices used to address these gaps. </w:t>
      </w:r>
      <w:r w:rsidR="00844F55">
        <w:t>Learning and deve</w:t>
      </w:r>
      <w:r w:rsidR="005B2768">
        <w:t>lopment would then be brought in to execute upskilling and training as Artiron upgrades manufacturing plants. Patel et al. (2026</w:t>
      </w:r>
      <w:r w:rsidR="006C7FF2">
        <w:t>, pp. 23-27</w:t>
      </w:r>
      <w:r w:rsidR="005B2768">
        <w:t>)</w:t>
      </w:r>
      <w:r w:rsidR="00B40B3C">
        <w:t xml:space="preserve"> highlights that the transition within transport is expected to rely heavily on upskilling and reskilling existing workers with skills in electrical systems, battery technologies and digital diagnostics becoming increasingly important. </w:t>
      </w:r>
      <w:r w:rsidR="001110F3">
        <w:t xml:space="preserve">Artiron can identify </w:t>
      </w:r>
      <w:r w:rsidR="005A0A50">
        <w:t>where current manufacturing and engineering employees require additional training and fill that gap, reducing reliance on external recruitment while ensuring employees have the tool</w:t>
      </w:r>
      <w:r>
        <w:t>s</w:t>
      </w:r>
      <w:r w:rsidR="005A0A50">
        <w:t xml:space="preserve"> required to succeed in their roles.</w:t>
      </w:r>
      <w:r w:rsidR="008318D6">
        <w:t xml:space="preserve"> That being said, as technology continues to develop, training needs to be consistently reviewed to ensure skills remain relevant</w:t>
      </w:r>
      <w:r w:rsidR="00D570A1">
        <w:t>.</w:t>
      </w:r>
    </w:p>
    <w:p w14:paraId="08ACD659" w14:textId="55F684E9" w:rsidR="00E02132" w:rsidRDefault="00E02132" w:rsidP="000C5718">
      <w:r>
        <w:t>Performance management could</w:t>
      </w:r>
      <w:r w:rsidR="00E343CF">
        <w:t xml:space="preserve"> further support</w:t>
      </w:r>
      <w:r w:rsidR="005D1244">
        <w:t xml:space="preserve"> this horizontal integration and</w:t>
      </w:r>
      <w:r>
        <w:t xml:space="preserve"> help connect</w:t>
      </w:r>
      <w:r w:rsidR="0077415C">
        <w:t xml:space="preserve"> the net zero target to employees individual roles. Gupta and Pr</w:t>
      </w:r>
      <w:r w:rsidR="005D1244">
        <w:t>u</w:t>
      </w:r>
      <w:r w:rsidR="0077415C">
        <w:t>sty (2026, p. 52) state that integrating sustainability goals into performance management and reward systems can increase</w:t>
      </w:r>
      <w:r w:rsidR="00FC489F">
        <w:t xml:space="preserve"> employee engagement. Artiron could include relevant environmental objectives within individual or team</w:t>
      </w:r>
      <w:r w:rsidR="00587D89">
        <w:t xml:space="preserve"> performance goals such as reducing waste or energy usage. This could give employees clearer responsibility for contributing towards Evolve across different areas of the business</w:t>
      </w:r>
      <w:r w:rsidR="00927D39">
        <w:t xml:space="preserve">. Objectives here need to be relevant and achievable for different roles however </w:t>
      </w:r>
      <w:r w:rsidR="00166E62">
        <w:t>so they do not become a tick box exercise with little impact on the overall goal.</w:t>
      </w:r>
    </w:p>
    <w:p w14:paraId="1F3FA085" w14:textId="615253B3" w:rsidR="00166E62" w:rsidRDefault="00166E62" w:rsidP="000C5718">
      <w:r>
        <w:t xml:space="preserve">Ultimately, workforce planning identifies what Artiron needs, </w:t>
      </w:r>
      <w:r w:rsidR="005D1244">
        <w:t>l</w:t>
      </w:r>
      <w:r>
        <w:t>earning and development helps to develop those skills</w:t>
      </w:r>
      <w:r w:rsidR="00880C0D">
        <w:t xml:space="preserve"> and performance management helps to ensure that sustainability is considered within day to day work. </w:t>
      </w:r>
    </w:p>
    <w:p w14:paraId="1A814CE6" w14:textId="77777777" w:rsidR="00BC193F" w:rsidRPr="00805A19" w:rsidRDefault="00BC193F" w:rsidP="00BC193F">
      <w:pPr>
        <w:pStyle w:val="Body"/>
        <w:rPr>
          <w:rStyle w:val="None"/>
          <w:rFonts w:ascii="Trebuchet MS" w:eastAsia="Trebuchet MS" w:hAnsi="Trebuchet MS" w:cs="Trebuchet MS"/>
        </w:rPr>
      </w:pPr>
    </w:p>
    <w:p w14:paraId="724DB131" w14:textId="278C5D3C" w:rsidR="006D3C49" w:rsidRDefault="007102BF" w:rsidP="005A4892">
      <w:r>
        <w:t xml:space="preserve">Q12. </w:t>
      </w:r>
      <w:r w:rsidR="00BC193F">
        <w:t xml:space="preserve">Employee voice is the ability of employees to express their views, concerns and suggestions and for these to influence decisions at work (CIPDf, 2026). Artiron has already used an employee survey which identified concerns around PPE, long working hours and pay. These findings </w:t>
      </w:r>
      <w:r w:rsidR="005855AE">
        <w:t>provide a starting point but further consultation could help understand what is causing the issues and what employees feel would improve their wellbeing.</w:t>
      </w:r>
    </w:p>
    <w:p w14:paraId="4F613D4C" w14:textId="26219B67" w:rsidR="005855AE" w:rsidRDefault="005855AE" w:rsidP="005A4892">
      <w:r>
        <w:lastRenderedPageBreak/>
        <w:t xml:space="preserve">As Artiron employs over 50,000 people across multiple countries and </w:t>
      </w:r>
      <w:r w:rsidR="00DE3498">
        <w:t>functions, consulting everyone in the same way may not be effective. Taylor and Woodhams (2022b, p</w:t>
      </w:r>
      <w:r w:rsidR="00EA5889">
        <w:t>. 107)</w:t>
      </w:r>
      <w:r w:rsidR="00945A93">
        <w:t xml:space="preserve"> discuss using stakeholder analysis</w:t>
      </w:r>
      <w:r w:rsidR="008E01F6">
        <w:t xml:space="preserve"> to identify and prioritise different groups and their needs. Artiron could consider who is affected by each wellbeing issue before deciding how to consult. Organisation wide surveys could establish broader </w:t>
      </w:r>
      <w:r w:rsidR="003B4D5D">
        <w:t>priorities and identify differences between locations although they may provide limited detail about why employees feel a certain way.</w:t>
      </w:r>
    </w:p>
    <w:p w14:paraId="2800AF89" w14:textId="4008E194" w:rsidR="003B4D5D" w:rsidRDefault="003B4D5D" w:rsidP="005A4892">
      <w:r>
        <w:t xml:space="preserve">At a team level, group meetings or focus groups could explore identified issues in more depth. For example, production </w:t>
      </w:r>
      <w:r w:rsidR="00113E2E">
        <w:t>employees could discuss the reasons for dissatisfaction with PPE, while support teams could explore the causes of long working hours and suggest possible improvements. This directly involves those who are experiencing the issues in finding solutions. Some employees however may be reluctant to speak openly within a group. CIPDf (2026) highlights employee silence as a potential barrier to voice, particularly where employees may feel there is a risk in speaking up.</w:t>
      </w:r>
    </w:p>
    <w:p w14:paraId="50BFFF63" w14:textId="14BE604A" w:rsidR="00BC193F" w:rsidRDefault="00113E2E" w:rsidP="00113E2E">
      <w:r>
        <w:t xml:space="preserve">Individual discussions could also have a role, particularly for personal or sensitive wellbeing concerns that employees may not want to discuss with a wider group. Wile this provides more detailed and </w:t>
      </w:r>
      <w:r w:rsidR="006F4CF6">
        <w:t>confidential</w:t>
      </w:r>
      <w:r>
        <w:t xml:space="preserve"> feedback it would not be practical as a main method due to the scale of the organisation.</w:t>
      </w:r>
    </w:p>
    <w:p w14:paraId="6DC0BFCD" w14:textId="497C964F" w:rsidR="00113E2E" w:rsidRPr="00BC193F" w:rsidRDefault="00113E2E" w:rsidP="00113E2E">
      <w:r>
        <w:t xml:space="preserve">It is </w:t>
      </w:r>
      <w:r w:rsidR="001E20AC">
        <w:t>imperative</w:t>
      </w:r>
      <w:r>
        <w:t xml:space="preserve"> that Art</w:t>
      </w:r>
      <w:r w:rsidR="0081637A">
        <w:t>i</w:t>
      </w:r>
      <w:r>
        <w:t xml:space="preserve">ron is clear about the purpose of consultation and what employees can </w:t>
      </w:r>
      <w:r w:rsidR="000B494A">
        <w:t>realistically</w:t>
      </w:r>
      <w:r>
        <w:t xml:space="preserve"> influence. CIPDf (2026) states that genuine communication </w:t>
      </w:r>
      <w:r w:rsidR="000B494A">
        <w:t>requires</w:t>
      </w:r>
      <w:r>
        <w:t xml:space="preserve"> managers </w:t>
      </w:r>
      <w:r w:rsidR="00430383">
        <w:t>to listen and act upon the feedback they receive. Where something can not be changes, this should be communicated honestly rather than creating expectations that can not be met. Using different methods at individual, team and organisation level would allow Artiron to understand both wider wellbeing priorities and individual experiences while involving employees in realistic improvements.</w:t>
      </w:r>
    </w:p>
    <w:p w14:paraId="1BDBF9B4" w14:textId="77777777" w:rsidR="000651C0" w:rsidRDefault="000651C0" w:rsidP="005A4892"/>
    <w:p w14:paraId="6E17ABDD" w14:textId="77777777" w:rsidR="000651C0" w:rsidRDefault="000651C0" w:rsidP="005A4892"/>
    <w:p w14:paraId="526AD342" w14:textId="77777777" w:rsidR="000651C0" w:rsidRDefault="000651C0" w:rsidP="005A4892"/>
    <w:p w14:paraId="52741F7C" w14:textId="77777777" w:rsidR="000651C0" w:rsidRDefault="000651C0" w:rsidP="005A4892"/>
    <w:p w14:paraId="3C195F50" w14:textId="77777777" w:rsidR="000651C0" w:rsidRDefault="000651C0" w:rsidP="005A4892"/>
    <w:p w14:paraId="705DD533" w14:textId="77777777" w:rsidR="000651C0" w:rsidRDefault="000651C0" w:rsidP="005A4892"/>
    <w:p w14:paraId="685BBD3D" w14:textId="77777777" w:rsidR="000651C0" w:rsidRDefault="000651C0" w:rsidP="005A4892"/>
    <w:p w14:paraId="6BA64540" w14:textId="0830FA26" w:rsidR="00FA20F3" w:rsidRDefault="00FA20F3" w:rsidP="00C41A45"/>
    <w:p w14:paraId="5193E5A7" w14:textId="337BC4CF" w:rsidR="00F34175" w:rsidRDefault="0081637A">
      <w:pPr>
        <w:rPr>
          <w:b/>
          <w:bCs/>
        </w:rPr>
      </w:pPr>
      <w:r>
        <w:rPr>
          <w:b/>
          <w:bCs/>
        </w:rPr>
        <w:t>Bibliography</w:t>
      </w:r>
    </w:p>
    <w:p w14:paraId="1C661381" w14:textId="24FC3464" w:rsidR="00D15030" w:rsidRDefault="00D15030" w:rsidP="00D16B99">
      <w:r w:rsidRPr="00D15030">
        <w:lastRenderedPageBreak/>
        <w:t xml:space="preserve">Allen, D.G. and Vardaman, J.M. (2017) ‘Recruitment and retention across cultures’, </w:t>
      </w:r>
      <w:r w:rsidRPr="00D15030">
        <w:rPr>
          <w:i/>
          <w:iCs/>
        </w:rPr>
        <w:t>Annual Review of Organizational Psychology and Organizational Behavior</w:t>
      </w:r>
      <w:r w:rsidRPr="00D15030">
        <w:t>, 4, pp. 153–181.</w:t>
      </w:r>
      <w:r w:rsidR="00D16B99">
        <w:t xml:space="preserve"> DOI: </w:t>
      </w:r>
      <w:hyperlink r:id="rId5" w:history="1">
        <w:r w:rsidR="00D16B99" w:rsidRPr="00D16B99">
          <w:rPr>
            <w:rStyle w:val="Hyperlink"/>
            <w:b/>
            <w:bCs/>
          </w:rPr>
          <w:t>https://doi.org/10.1146/annurev-orgpsych-032516-113100</w:t>
        </w:r>
      </w:hyperlink>
    </w:p>
    <w:p w14:paraId="62E10B84" w14:textId="7BDE5B6B" w:rsidR="000724B0" w:rsidRDefault="000724B0" w:rsidP="000724B0">
      <w:r w:rsidRPr="000724B0">
        <w:t>Armstrong, M. (2016) </w:t>
      </w:r>
      <w:r w:rsidRPr="000724B0">
        <w:rPr>
          <w:i/>
          <w:iCs/>
        </w:rPr>
        <w:t>Armstrong’s handbook of management and leadership for HR</w:t>
      </w:r>
      <w:r w:rsidRPr="000724B0">
        <w:rPr>
          <w:rFonts w:ascii="Arial" w:hAnsi="Arial" w:cs="Arial"/>
          <w:i/>
          <w:iCs/>
        </w:rPr>
        <w:t> </w:t>
      </w:r>
      <w:r w:rsidRPr="000724B0">
        <w:rPr>
          <w:i/>
          <w:iCs/>
        </w:rPr>
        <w:t>: developing effective people skills for better leadership and management</w:t>
      </w:r>
      <w:r w:rsidRPr="000724B0">
        <w:t>. Fourth edition. Kogan Page.</w:t>
      </w:r>
    </w:p>
    <w:p w14:paraId="3BE3BE91" w14:textId="0ED6464D" w:rsidR="008550F6" w:rsidRDefault="008550F6" w:rsidP="008550F6">
      <w:r w:rsidRPr="008550F6">
        <w:t>BPP Learning Media</w:t>
      </w:r>
      <w:r>
        <w:t>.</w:t>
      </w:r>
      <w:r w:rsidRPr="008550F6">
        <w:t xml:space="preserve"> (2010)</w:t>
      </w:r>
      <w:r w:rsidRPr="008550F6">
        <w:t>,</w:t>
      </w:r>
      <w:r w:rsidRPr="008550F6">
        <w:t xml:space="preserve"> </w:t>
      </w:r>
      <w:r w:rsidRPr="008550F6">
        <w:rPr>
          <w:i/>
          <w:iCs/>
        </w:rPr>
        <w:t>Business Essentials: Organisations and Behaviour</w:t>
      </w:r>
      <w:r w:rsidRPr="008550F6">
        <w:t>. 2nd edn. London: BPP Learning Media Ltd.</w:t>
      </w:r>
    </w:p>
    <w:p w14:paraId="58BEFA5C" w14:textId="3935E00C" w:rsidR="00E932C4" w:rsidRDefault="002C0255">
      <w:r w:rsidRPr="00FB052E">
        <w:t>Bednarski</w:t>
      </w:r>
      <w:r w:rsidR="00FB052E">
        <w:t xml:space="preserve"> L. et al. (2026) “Geopolitical disruptions and global supply chains: laying theoretical foundations and building conceptual framework” International Journal of Operations &amp; Production Management, Vol 46 No 13</w:t>
      </w:r>
      <w:r w:rsidR="009E4738">
        <w:t xml:space="preserve">. Pp129-160. DOI: </w:t>
      </w:r>
      <w:hyperlink r:id="rId6" w:history="1">
        <w:r w:rsidR="004D677D" w:rsidRPr="00FF0B6B">
          <w:rPr>
            <w:rStyle w:val="Hyperlink"/>
          </w:rPr>
          <w:t>https://doi.org/10.1108/IJOPM-01-2025-0040</w:t>
        </w:r>
      </w:hyperlink>
    </w:p>
    <w:p w14:paraId="25CD0DC1" w14:textId="582EA148" w:rsidR="007B6581" w:rsidRDefault="007B6581" w:rsidP="007B6581">
      <w:r w:rsidRPr="007B6581">
        <w:t xml:space="preserve">Belenzon, S., Hashai, N. and Patacconi, A. (2019) ‘The architecture of attention: Group structure and subsidiary autonomy’, </w:t>
      </w:r>
      <w:r w:rsidRPr="007B6581">
        <w:rPr>
          <w:i/>
          <w:iCs/>
        </w:rPr>
        <w:t>Strategic Management Journal</w:t>
      </w:r>
      <w:r w:rsidRPr="007B6581">
        <w:t>, 40, pp. 1610–1643</w:t>
      </w:r>
      <w:r>
        <w:t>. DOI</w:t>
      </w:r>
      <w:r w:rsidRPr="007B6581">
        <w:t>:10.1002/smj.3059.</w:t>
      </w:r>
    </w:p>
    <w:p w14:paraId="3CAD0154" w14:textId="3731C55C" w:rsidR="00E745E3" w:rsidRDefault="00E745E3" w:rsidP="00E745E3">
      <w:r w:rsidRPr="00E745E3">
        <w:t>Buckley, C. and Castro Jorge, M.F. (2024</w:t>
      </w:r>
      <w:r w:rsidRPr="00E745E3">
        <w:rPr>
          <w:b/>
          <w:bCs/>
        </w:rPr>
        <w:t>)</w:t>
      </w:r>
      <w:r w:rsidRPr="00E745E3">
        <w:t xml:space="preserve"> ‘Upskilling for the Modern Workplace: A Case Study on the Most Effective Training Methods and Tools for Bridging the Skills Gap’, </w:t>
      </w:r>
      <w:r w:rsidRPr="00E745E3">
        <w:rPr>
          <w:i/>
          <w:iCs/>
        </w:rPr>
        <w:t>International Journal of Advanced Corporate Learning (iJAC)</w:t>
      </w:r>
      <w:r w:rsidRPr="00E745E3">
        <w:t>, 17(4), pp. 94–108. doi:10.3991/ijac.v17i4.51277.</w:t>
      </w:r>
    </w:p>
    <w:p w14:paraId="4224D818" w14:textId="7DEE7D81" w:rsidR="00825FC0" w:rsidRDefault="00825FC0" w:rsidP="00825FC0">
      <w:r w:rsidRPr="00825FC0">
        <w:t xml:space="preserve">Burkacky, O., Deichmann, J., Pfingstag, P. and Werra, J. (2022) </w:t>
      </w:r>
      <w:r w:rsidRPr="00825FC0">
        <w:rPr>
          <w:i/>
          <w:iCs/>
        </w:rPr>
        <w:t>Semiconductor shortage: How the automotive industry can succeed</w:t>
      </w:r>
      <w:r w:rsidRPr="00825FC0">
        <w:t xml:space="preserve">. McKinsey &amp; Company, </w:t>
      </w:r>
      <w:r w:rsidR="008338B0">
        <w:t xml:space="preserve">Available at: </w:t>
      </w:r>
      <w:hyperlink r:id="rId7" w:history="1">
        <w:r w:rsidR="008338B0" w:rsidRPr="00870A5C">
          <w:rPr>
            <w:rStyle w:val="Hyperlink"/>
          </w:rPr>
          <w:t>https://www.mckinsey.com/~/media/mckinsey/industries/semiconductors/our%20insights/semiconductor%20shortage%20how%20the%20automotive%20industry%20can%20succeed/semiconductor-shortage-how-the-automotive-industry-can-succeed.pdf</w:t>
        </w:r>
      </w:hyperlink>
      <w:r w:rsidR="008338B0">
        <w:t xml:space="preserve"> Accessed on </w:t>
      </w:r>
    </w:p>
    <w:p w14:paraId="05EA04FF" w14:textId="0CB691D1" w:rsidR="00535A4F" w:rsidRDefault="00535A4F" w:rsidP="00535A4F">
      <w:r w:rsidRPr="00535A4F">
        <w:t xml:space="preserve">Cao, H-L. et al. (2024) ‘Designing interaction interface for supportive human-robot collaboration: A co-creation study involving factory employees’, </w:t>
      </w:r>
      <w:r w:rsidRPr="00535A4F">
        <w:rPr>
          <w:i/>
          <w:iCs/>
        </w:rPr>
        <w:t>Computers &amp; Industrial Engineering</w:t>
      </w:r>
      <w:r w:rsidRPr="00535A4F">
        <w:t xml:space="preserve">. </w:t>
      </w:r>
      <w:r w:rsidR="0081637A">
        <w:t>DOI</w:t>
      </w:r>
      <w:r w:rsidRPr="00535A4F">
        <w:t>: 10.1016/j.cie.2024.110208.</w:t>
      </w:r>
    </w:p>
    <w:p w14:paraId="31971678" w14:textId="2EA0564C" w:rsidR="004D677D" w:rsidRDefault="004D677D">
      <w:r>
        <w:t>CIPD</w:t>
      </w:r>
      <w:r w:rsidR="00F807D5">
        <w:t>a</w:t>
      </w:r>
      <w:r>
        <w:t xml:space="preserve">, (no Date), People Practices, Available at: </w:t>
      </w:r>
      <w:hyperlink r:id="rId8" w:history="1">
        <w:r w:rsidRPr="00FF0B6B">
          <w:rPr>
            <w:rStyle w:val="Hyperlink"/>
          </w:rPr>
          <w:t>https://www.cipd.org/uk/the-people-profession/the-profession-map/explore-the-profession-map/core-knowledge/people-practice/</w:t>
        </w:r>
      </w:hyperlink>
      <w:r>
        <w:t xml:space="preserve"> Accessed on: </w:t>
      </w:r>
      <w:r w:rsidR="00A61CD5">
        <w:t>01/09/2026</w:t>
      </w:r>
    </w:p>
    <w:p w14:paraId="794E0605" w14:textId="301CD989" w:rsidR="00946050" w:rsidRDefault="00946050">
      <w:r>
        <w:t xml:space="preserve">CIPDb, (2025), </w:t>
      </w:r>
      <w:r w:rsidR="008268A1">
        <w:t xml:space="preserve">Change Management, Available at: </w:t>
      </w:r>
      <w:hyperlink r:id="rId9" w:history="1">
        <w:r w:rsidR="008268A1" w:rsidRPr="00870A5C">
          <w:rPr>
            <w:rStyle w:val="Hyperlink"/>
          </w:rPr>
          <w:t>https://www.cipd.org/en/knowledge/factsheets/change-management-factsheet/?utm_source=chatgpt.com</w:t>
        </w:r>
      </w:hyperlink>
      <w:r w:rsidR="008268A1">
        <w:t xml:space="preserve"> Accessed on: 02/09/2026</w:t>
      </w:r>
    </w:p>
    <w:p w14:paraId="5937D139" w14:textId="6DB65898" w:rsidR="00D456D9" w:rsidRDefault="00D456D9" w:rsidP="00D456D9">
      <w:r w:rsidRPr="00D456D9">
        <w:lastRenderedPageBreak/>
        <w:t>CIPDc (2024)</w:t>
      </w:r>
      <w:r>
        <w:t>,</w:t>
      </w:r>
      <w:r w:rsidR="00467B11">
        <w:t>Change Management: A guide for People Professionals,</w:t>
      </w:r>
      <w:r w:rsidR="00467B11">
        <w:rPr>
          <w:i/>
          <w:iCs/>
        </w:rPr>
        <w:t xml:space="preserve"> </w:t>
      </w:r>
      <w:r w:rsidRPr="00D456D9">
        <w:t>Available at:</w:t>
      </w:r>
      <w:r w:rsidR="00664EDC">
        <w:t xml:space="preserve"> </w:t>
      </w:r>
      <w:r w:rsidR="00664EDC" w:rsidRPr="00664EDC">
        <w:t>https://www.cipd.org/uk/knowledge/guides/change-management/#models-for-change</w:t>
      </w:r>
      <w:r w:rsidR="00664EDC" w:rsidRPr="00664EDC">
        <w:t xml:space="preserve"> </w:t>
      </w:r>
      <w:r w:rsidRPr="00D456D9">
        <w:t xml:space="preserve">(Accessed: </w:t>
      </w:r>
      <w:r w:rsidR="00664EDC">
        <w:t>4th</w:t>
      </w:r>
      <w:r w:rsidRPr="00D456D9">
        <w:t xml:space="preserve"> September 2026).</w:t>
      </w:r>
    </w:p>
    <w:p w14:paraId="16462538" w14:textId="1AEB2602" w:rsidR="00A71A59" w:rsidRDefault="00A71A59" w:rsidP="00A71A59">
      <w:r w:rsidRPr="00A71A59">
        <w:t xml:space="preserve">CIPDd (2023) </w:t>
      </w:r>
      <w:r w:rsidRPr="00A71A59">
        <w:rPr>
          <w:i/>
          <w:iCs/>
        </w:rPr>
        <w:t>Embedding a principles-based wellbeing strategy</w:t>
      </w:r>
      <w:r w:rsidRPr="00A71A59">
        <w:t xml:space="preserve">. Podcast 201, 7 November 2023. Chartered Institute of Personnel and Development. Available at: </w:t>
      </w:r>
      <w:r w:rsidR="00684DB8" w:rsidRPr="00684DB8">
        <w:t>https://www.cipd.org/uk/knowledge/podcasts/principles-based-wellbeing/?utm_source=chatgpt.com</w:t>
      </w:r>
      <w:r w:rsidR="00684DB8" w:rsidRPr="00684DB8">
        <w:t xml:space="preserve"> </w:t>
      </w:r>
      <w:r w:rsidRPr="00A71A59">
        <w:t>(Accessed: 0</w:t>
      </w:r>
      <w:r>
        <w:t>4</w:t>
      </w:r>
      <w:r w:rsidRPr="00A71A59">
        <w:t xml:space="preserve"> September 2026).</w:t>
      </w:r>
    </w:p>
    <w:p w14:paraId="5E5DBDF3" w14:textId="6356DA10" w:rsidR="00F22CC9" w:rsidRDefault="00F22CC9" w:rsidP="00F22CC9">
      <w:r w:rsidRPr="00F22CC9">
        <w:t xml:space="preserve">CIPDe (2026) </w:t>
      </w:r>
      <w:r w:rsidRPr="00F22CC9">
        <w:rPr>
          <w:i/>
          <w:iCs/>
        </w:rPr>
        <w:t>Induction</w:t>
      </w:r>
      <w:r w:rsidRPr="00F22CC9">
        <w:t>. CIPD, 21 July. Available at:</w:t>
      </w:r>
      <w:r w:rsidRPr="00F22CC9">
        <w:t xml:space="preserve"> </w:t>
      </w:r>
      <w:r w:rsidRPr="00F22CC9">
        <w:t xml:space="preserve">https://www.cipd.org/uk/knowledge/factsheets/induction-factsheet/ (Accessed: </w:t>
      </w:r>
      <w:r>
        <w:t xml:space="preserve">5 </w:t>
      </w:r>
      <w:r w:rsidRPr="00F22CC9">
        <w:t>September 2026).</w:t>
      </w:r>
    </w:p>
    <w:p w14:paraId="535EA2F8" w14:textId="59A950DB" w:rsidR="00072E3C" w:rsidRDefault="00072E3C" w:rsidP="00072E3C">
      <w:r w:rsidRPr="00072E3C">
        <w:t>CIPD</w:t>
      </w:r>
      <w:r w:rsidR="00B845E6">
        <w:t>f</w:t>
      </w:r>
      <w:r w:rsidRPr="00072E3C">
        <w:t xml:space="preserve"> (2026) </w:t>
      </w:r>
      <w:r w:rsidRPr="00072E3C">
        <w:rPr>
          <w:i/>
          <w:iCs/>
        </w:rPr>
        <w:t>Employee voice</w:t>
      </w:r>
      <w:r w:rsidRPr="00072E3C">
        <w:rPr>
          <w:b/>
          <w:bCs/>
        </w:rPr>
        <w:t xml:space="preserve">. </w:t>
      </w:r>
      <w:r w:rsidR="006F4CF6">
        <w:t>CIPD</w:t>
      </w:r>
      <w:r w:rsidRPr="00072E3C">
        <w:t>. 6 April. Available at:</w:t>
      </w:r>
      <w:r w:rsidR="00EC4A49" w:rsidRPr="00EC4A49">
        <w:t xml:space="preserve"> </w:t>
      </w:r>
      <w:r w:rsidR="00EC4A49" w:rsidRPr="00EC4A49">
        <w:t>https://www.cipd.org/uk/knowledge/factsheets/voice-factsheet/</w:t>
      </w:r>
      <w:r w:rsidRPr="00072E3C">
        <w:t xml:space="preserve"> (Accessed: </w:t>
      </w:r>
      <w:r w:rsidR="00EC4A49">
        <w:t>7th</w:t>
      </w:r>
      <w:r w:rsidRPr="00072E3C">
        <w:t xml:space="preserve"> September 2026).</w:t>
      </w:r>
    </w:p>
    <w:p w14:paraId="22380E67" w14:textId="63309C46" w:rsidR="008E4F34" w:rsidRDefault="008E4F34" w:rsidP="008E4F34">
      <w:r w:rsidRPr="008E4F34">
        <w:t>CIPD</w:t>
      </w:r>
      <w:r w:rsidRPr="008E4F34">
        <w:t>g</w:t>
      </w:r>
      <w:r w:rsidRPr="008E4F34">
        <w:t xml:space="preserve"> (2026) </w:t>
      </w:r>
      <w:r w:rsidRPr="008E4F34">
        <w:rPr>
          <w:i/>
          <w:iCs/>
        </w:rPr>
        <w:t>AI and technology</w:t>
      </w:r>
      <w:r w:rsidRPr="008E4F34">
        <w:t>. Factsheet. 18 June. Available at:</w:t>
      </w:r>
      <w:r w:rsidR="00481D3C" w:rsidRPr="00481D3C">
        <w:t xml:space="preserve"> </w:t>
      </w:r>
      <w:hyperlink r:id="rId10" w:history="1">
        <w:r w:rsidR="00481D3C" w:rsidRPr="00870A5C">
          <w:rPr>
            <w:rStyle w:val="Hyperlink"/>
          </w:rPr>
          <w:t>https://www.cipd.org/uk/knowledge/factsheets/ai-technology/</w:t>
        </w:r>
      </w:hyperlink>
      <w:r w:rsidR="00481D3C">
        <w:t xml:space="preserve"> </w:t>
      </w:r>
      <w:r w:rsidRPr="008E4F34">
        <w:t xml:space="preserve"> (Accessed: </w:t>
      </w:r>
      <w:r>
        <w:t>14</w:t>
      </w:r>
      <w:r w:rsidRPr="008E4F34">
        <w:t xml:space="preserve"> September 2026).</w:t>
      </w:r>
    </w:p>
    <w:p w14:paraId="6DCB5429" w14:textId="22473ABA" w:rsidR="002A247C" w:rsidRDefault="002A247C" w:rsidP="002A247C">
      <w:r w:rsidRPr="00257A55">
        <w:t>CIPD</w:t>
      </w:r>
      <w:r w:rsidRPr="00257A55">
        <w:t>h</w:t>
      </w:r>
      <w:r w:rsidRPr="00257A55">
        <w:t xml:space="preserve"> (2026) </w:t>
      </w:r>
      <w:r w:rsidRPr="00257A55">
        <w:rPr>
          <w:i/>
          <w:iCs/>
        </w:rPr>
        <w:t>SWOT analysis</w:t>
      </w:r>
      <w:r w:rsidRPr="00257A55">
        <w:t>. 20 May. Available at:</w:t>
      </w:r>
      <w:r w:rsidR="00257A55" w:rsidRPr="00257A55">
        <w:t xml:space="preserve"> </w:t>
      </w:r>
      <w:r w:rsidR="00257A55" w:rsidRPr="00257A55">
        <w:t>https://prod.cipd.org/uk/knowledge/factsheets/swot-analysis-factsheet/?utm_source=chatgpt.com#what-is-a-swot-analysis</w:t>
      </w:r>
      <w:r w:rsidRPr="00257A55">
        <w:t xml:space="preserve"> </w:t>
      </w:r>
      <w:r w:rsidR="00257A55" w:rsidRPr="00257A55">
        <w:t xml:space="preserve"> </w:t>
      </w:r>
      <w:r w:rsidRPr="00257A55">
        <w:t xml:space="preserve">(Accessed: </w:t>
      </w:r>
      <w:r w:rsidR="00257A55" w:rsidRPr="00257A55">
        <w:t>14</w:t>
      </w:r>
      <w:r w:rsidR="00257A55" w:rsidRPr="00257A55">
        <w:rPr>
          <w:vertAlign w:val="superscript"/>
        </w:rPr>
        <w:t>th</w:t>
      </w:r>
      <w:r w:rsidR="00257A55" w:rsidRPr="00257A55">
        <w:t xml:space="preserve"> </w:t>
      </w:r>
      <w:r w:rsidRPr="00257A55">
        <w:t>September 2026).</w:t>
      </w:r>
    </w:p>
    <w:p w14:paraId="37DC34A4" w14:textId="31BA2CF8" w:rsidR="0002783C" w:rsidRPr="00257A55" w:rsidRDefault="0002783C" w:rsidP="002A247C">
      <w:r>
        <w:t>CIPDi</w:t>
      </w:r>
      <w:r w:rsidR="003A1F1D">
        <w:t xml:space="preserve"> (2025), Organisational Climate and Culture</w:t>
      </w:r>
      <w:r w:rsidR="001B6AAF">
        <w:t xml:space="preserve">. 27 October. Available at: </w:t>
      </w:r>
      <w:hyperlink r:id="rId11" w:history="1">
        <w:r w:rsidR="001B6AAF" w:rsidRPr="00870A5C">
          <w:rPr>
            <w:rStyle w:val="Hyperlink"/>
          </w:rPr>
          <w:t>https://www.cipd.org/en/knowledge/factsheets/organisation-culture-change-factsheet/</w:t>
        </w:r>
      </w:hyperlink>
      <w:r w:rsidR="001B6AAF">
        <w:t xml:space="preserve"> Accessed 15</w:t>
      </w:r>
      <w:r w:rsidR="001B6AAF" w:rsidRPr="001B6AAF">
        <w:rPr>
          <w:vertAlign w:val="superscript"/>
        </w:rPr>
        <w:t>th</w:t>
      </w:r>
      <w:r w:rsidR="001B6AAF">
        <w:t xml:space="preserve"> September 2026)</w:t>
      </w:r>
    </w:p>
    <w:p w14:paraId="2F9BBD12" w14:textId="061FF468" w:rsidR="00664EDC" w:rsidRDefault="00664EDC" w:rsidP="00664EDC">
      <w:r w:rsidRPr="00664EDC">
        <w:t xml:space="preserve">Dahlin, E. (2019) ‘Are robots stealing our jobs?’, </w:t>
      </w:r>
      <w:r w:rsidRPr="00664EDC">
        <w:rPr>
          <w:i/>
          <w:iCs/>
        </w:rPr>
        <w:t>Socius: Sociological Research for a Dynamic World</w:t>
      </w:r>
      <w:r w:rsidRPr="00664EDC">
        <w:t xml:space="preserve">, 5. </w:t>
      </w:r>
      <w:r w:rsidR="0081637A">
        <w:t>DOI</w:t>
      </w:r>
      <w:r w:rsidRPr="00664EDC">
        <w:t>: 10.1177/2378023119846249.</w:t>
      </w:r>
    </w:p>
    <w:p w14:paraId="146F6E4B" w14:textId="7C4CD52E" w:rsidR="00AE5955" w:rsidRDefault="00AE5955" w:rsidP="00AE5955">
      <w:r w:rsidRPr="00AE5955">
        <w:t xml:space="preserve">Eddine, B.A.S. and Darmawan, D. (2026) ‘Industry 4.0 Automation Adoption and HR Upskilling Strategies with Social Reskilling for Manufacturing Workforce’, </w:t>
      </w:r>
      <w:r w:rsidRPr="00AE5955">
        <w:rPr>
          <w:i/>
          <w:iCs/>
        </w:rPr>
        <w:t>Bulletin of Science, Technology and Society</w:t>
      </w:r>
      <w:r w:rsidRPr="00AE5955">
        <w:t>, 5(2), pp. 89–100. Available at:</w:t>
      </w:r>
      <w:r w:rsidR="00C14544" w:rsidRPr="00C14544">
        <w:t xml:space="preserve"> </w:t>
      </w:r>
      <w:hyperlink r:id="rId12" w:history="1">
        <w:r w:rsidR="00257A55" w:rsidRPr="00870A5C">
          <w:rPr>
            <w:rStyle w:val="Hyperlink"/>
          </w:rPr>
          <w:t>https://inti.ejournalmeta.com/index.php/inti/article/view/162</w:t>
        </w:r>
      </w:hyperlink>
      <w:r w:rsidR="00C14544">
        <w:t xml:space="preserve"> </w:t>
      </w:r>
      <w:r w:rsidRPr="00AE5955">
        <w:t xml:space="preserve"> (Accessed: 9 September 2026).</w:t>
      </w:r>
    </w:p>
    <w:p w14:paraId="7E6974D0" w14:textId="41793989" w:rsidR="008E7F82" w:rsidRPr="00AE5955" w:rsidRDefault="008E7F82" w:rsidP="008E7F82">
      <w:r w:rsidRPr="008E7F82">
        <w:t xml:space="preserve">Gnocato, N., Montes-Galdón, C. and Stamato, G. (2025) </w:t>
      </w:r>
      <w:r w:rsidRPr="008E7F82">
        <w:rPr>
          <w:i/>
          <w:iCs/>
        </w:rPr>
        <w:t>Tariffs across the supply chain</w:t>
      </w:r>
      <w:r w:rsidRPr="008E7F82">
        <w:t xml:space="preserve">. ECB Working Paper Series, No. 3081. Frankfurt am Main: European Central Bank. </w:t>
      </w:r>
      <w:r>
        <w:t xml:space="preserve">DOI: </w:t>
      </w:r>
      <w:r w:rsidRPr="008E7F82">
        <w:t>10.2866/8048766</w:t>
      </w:r>
    </w:p>
    <w:p w14:paraId="3121FCB8" w14:textId="5C7C4AAD" w:rsidR="00FA158C" w:rsidRDefault="00FA158C" w:rsidP="00FA158C">
      <w:r w:rsidRPr="00FA158C">
        <w:t xml:space="preserve">Gupta, R. and Prusty, A.K. (2026) ‘Sustainable workforce management through Green HRM: Practices, outcomes, and challenges’, </w:t>
      </w:r>
      <w:r w:rsidRPr="00FA158C">
        <w:rPr>
          <w:i/>
          <w:iCs/>
        </w:rPr>
        <w:t>NLDIMSR Innovision Journal of Management Research</w:t>
      </w:r>
      <w:r w:rsidRPr="00FA158C">
        <w:t>, 8(2), pp. 47–61. doi:10.31794/NLDIMSR.8.2.2024.47-61.</w:t>
      </w:r>
    </w:p>
    <w:p w14:paraId="4ECEF1BD" w14:textId="42829654" w:rsidR="00535B97" w:rsidRPr="00FB052E" w:rsidRDefault="00535B97" w:rsidP="00535B97">
      <w:r w:rsidRPr="00535B97">
        <w:lastRenderedPageBreak/>
        <w:t>Hesketh, I. and Cooper, C.L. (2019) </w:t>
      </w:r>
      <w:r w:rsidRPr="00535B97">
        <w:rPr>
          <w:i/>
          <w:iCs/>
        </w:rPr>
        <w:t>Wellbeing at work</w:t>
      </w:r>
      <w:r w:rsidRPr="00535B97">
        <w:rPr>
          <w:rFonts w:ascii="Arial" w:hAnsi="Arial" w:cs="Arial"/>
          <w:i/>
          <w:iCs/>
        </w:rPr>
        <w:t> </w:t>
      </w:r>
      <w:r w:rsidRPr="00535B97">
        <w:rPr>
          <w:i/>
          <w:iCs/>
        </w:rPr>
        <w:t>: how to design, implement and evaluate an effective strategy</w:t>
      </w:r>
      <w:r w:rsidRPr="00535B97">
        <w:t>. London, England.</w:t>
      </w:r>
    </w:p>
    <w:p w14:paraId="1B1E35A5" w14:textId="01007341" w:rsidR="00E932C4" w:rsidRDefault="00E932C4">
      <w:r>
        <w:t>Hosen, M. (2017)</w:t>
      </w:r>
      <w:r w:rsidR="00B94A0F">
        <w:t xml:space="preserve"> SWOT analysis: Atheoretical review. Journal of International</w:t>
      </w:r>
      <w:r w:rsidR="00BF09AD">
        <w:t xml:space="preserve"> Social Research, Volume 10 Issue 51 DOI</w:t>
      </w:r>
      <w:r w:rsidR="003D2EE6">
        <w:t xml:space="preserve">: </w:t>
      </w:r>
      <w:hyperlink r:id="rId13" w:history="1">
        <w:r w:rsidR="00201B9A" w:rsidRPr="00870A5C">
          <w:rPr>
            <w:rStyle w:val="Hyperlink"/>
          </w:rPr>
          <w:t>http://dx.doi.org/10.17719/jisr.2017.1832</w:t>
        </w:r>
      </w:hyperlink>
    </w:p>
    <w:p w14:paraId="71595560" w14:textId="26BAD61A" w:rsidR="007C1390" w:rsidRDefault="007C1390" w:rsidP="007C1390">
      <w:r w:rsidRPr="007C1390">
        <w:t xml:space="preserve">Howlett, E. (2020) ‘How to get onboarding right’, </w:t>
      </w:r>
      <w:r w:rsidRPr="007C1390">
        <w:rPr>
          <w:i/>
          <w:iCs/>
        </w:rPr>
        <w:t>People Management</w:t>
      </w:r>
      <w:r w:rsidRPr="007C1390">
        <w:t xml:space="preserve">, 23 January. Available at: </w:t>
      </w:r>
      <w:r w:rsidR="00777BC5" w:rsidRPr="00777BC5">
        <w:t>https://www.peoplemanagement.co.uk/article/1742140/how-get-onboarding-right</w:t>
      </w:r>
      <w:r w:rsidRPr="007C1390">
        <w:t xml:space="preserve"> (Accessed: </w:t>
      </w:r>
      <w:r w:rsidR="00777BC5">
        <w:t>5th</w:t>
      </w:r>
      <w:r w:rsidRPr="007C1390">
        <w:t xml:space="preserve"> September 2026)</w:t>
      </w:r>
    </w:p>
    <w:p w14:paraId="195BE5C9" w14:textId="58167A29" w:rsidR="00333343" w:rsidRDefault="00333343" w:rsidP="00333343">
      <w:r w:rsidRPr="00333343">
        <w:t xml:space="preserve">Janson, D. (2024) </w:t>
      </w:r>
      <w:r w:rsidRPr="00333343">
        <w:rPr>
          <w:i/>
          <w:iCs/>
        </w:rPr>
        <w:t>Putting the ‘Personal’ into PPE: A Practical Guide to Implementing Inclusive PPE in the Workplace</w:t>
      </w:r>
      <w:r w:rsidRPr="00333343">
        <w:t>. UK: SHP.</w:t>
      </w:r>
    </w:p>
    <w:p w14:paraId="13F5D289" w14:textId="547BBFC3" w:rsidR="00951D9C" w:rsidRPr="00951D9C" w:rsidRDefault="00951D9C" w:rsidP="00844A76">
      <w:r w:rsidRPr="00951D9C">
        <w:t xml:space="preserve">Jordanow, S. (2026) ‘If you want help, you'd better be green! Investigating the effects of sustainability perceptions on customer co-creation in new product development’, </w:t>
      </w:r>
      <w:r w:rsidRPr="00951D9C">
        <w:rPr>
          <w:i/>
          <w:iCs/>
        </w:rPr>
        <w:t>Journal of Product Innovation Management</w:t>
      </w:r>
      <w:r w:rsidRPr="00951D9C">
        <w:t xml:space="preserve">. </w:t>
      </w:r>
      <w:r w:rsidR="00844A76">
        <w:t xml:space="preserve">DOI: </w:t>
      </w:r>
      <w:hyperlink r:id="rId14" w:history="1">
        <w:r w:rsidR="00844A76" w:rsidRPr="00844A76">
          <w:rPr>
            <w:rStyle w:val="Hyperlink"/>
            <w:b/>
            <w:bCs/>
          </w:rPr>
          <w:t>https://doi.org/10.1111/jpim.70019</w:t>
        </w:r>
      </w:hyperlink>
      <w:r w:rsidRPr="00951D9C">
        <w:t xml:space="preserve"> (Accessed: 20 September 2026)</w:t>
      </w:r>
    </w:p>
    <w:p w14:paraId="425362EC" w14:textId="6C19CBB5" w:rsidR="00201B9A" w:rsidRPr="00E932C4" w:rsidRDefault="00201B9A">
      <w:r>
        <w:t xml:space="preserve">Khanna, S. (2026), The Change Curve: A Critical Practical Guide, Available at: </w:t>
      </w:r>
      <w:hyperlink r:id="rId15" w:history="1">
        <w:r w:rsidR="000E30D9" w:rsidRPr="00870A5C">
          <w:rPr>
            <w:rStyle w:val="Hyperlink"/>
          </w:rPr>
          <w:t>https://indieseducation.com/the-change-curve/</w:t>
        </w:r>
      </w:hyperlink>
      <w:r w:rsidR="000E30D9">
        <w:t xml:space="preserve"> Accessed on 03/06/2026</w:t>
      </w:r>
    </w:p>
    <w:p w14:paraId="370B3991" w14:textId="77777777" w:rsidR="00365E66" w:rsidRDefault="00F34175" w:rsidP="004E3125">
      <w:r w:rsidRPr="00F34175">
        <w:t>Ketchen, D. (2023, March 30). Creating an effective organizational structure [Video file]. In </w:t>
      </w:r>
      <w:r w:rsidRPr="00F34175">
        <w:rPr>
          <w:i/>
          <w:iCs/>
        </w:rPr>
        <w:t>The Business &amp; Management Collection, Henry Stewart Talks</w:t>
      </w:r>
      <w:r w:rsidRPr="00F34175">
        <w:t>. Retrieved August 27, 2026, from </w:t>
      </w:r>
      <w:hyperlink r:id="rId16" w:history="1">
        <w:r w:rsidRPr="00F34175">
          <w:rPr>
            <w:rStyle w:val="Hyperlink"/>
          </w:rPr>
          <w:t>https://doi-org.uwtsd.idm.oclc.org/10.69645/DIZE2985</w:t>
        </w:r>
      </w:hyperlink>
      <w:r w:rsidRPr="00F34175">
        <w:t>.</w:t>
      </w:r>
      <w:r w:rsidR="004E3125">
        <w:br/>
      </w:r>
    </w:p>
    <w:p w14:paraId="11358279" w14:textId="73502DFA" w:rsidR="00FC7263" w:rsidRDefault="00FC7263" w:rsidP="00FC7263">
      <w:r w:rsidRPr="00FC7263">
        <w:t>Kotter, J. P. (2012). </w:t>
      </w:r>
      <w:r w:rsidRPr="00FC7263">
        <w:rPr>
          <w:i/>
          <w:iCs/>
        </w:rPr>
        <w:t>Leading change</w:t>
      </w:r>
      <w:r w:rsidRPr="00FC7263">
        <w:t>. Harvard business press.</w:t>
      </w:r>
    </w:p>
    <w:p w14:paraId="1AF0F0B3" w14:textId="77777777" w:rsidR="00DF3501" w:rsidRDefault="00365E66" w:rsidP="004E3125">
      <w:r>
        <w:t>Liao, F., Molin, E. and</w:t>
      </w:r>
      <w:r w:rsidR="00F66E4D">
        <w:t xml:space="preserve"> van Wee, B. (2017) ‘Consumer preferences for electric vehicles: a literature review</w:t>
      </w:r>
      <w:r w:rsidR="00CD20CA">
        <w:t>’, Transport Reviews, 37(3), pp 252-275. DOI: 10.1080</w:t>
      </w:r>
      <w:r w:rsidR="00DF3501">
        <w:t>/01441647.2016.1230794</w:t>
      </w:r>
    </w:p>
    <w:p w14:paraId="749212CA" w14:textId="5BAB71D3" w:rsidR="00E07504" w:rsidRDefault="00E07504" w:rsidP="00B4293E">
      <w:r w:rsidRPr="00E07504">
        <w:t>Lynn, B. (2023) </w:t>
      </w:r>
      <w:hyperlink r:id="rId17" w:tgtFrame="_blank" w:history="1">
        <w:r w:rsidRPr="00E07504">
          <w:rPr>
            <w:rStyle w:val="Hyperlink"/>
            <w:b/>
            <w:bCs/>
          </w:rPr>
          <w:t>Are you talking about organizational culture or climate?</w:t>
        </w:r>
      </w:hyperlink>
      <w:r w:rsidRPr="00E07504">
        <w:t> NeuroLeadership Institute Latest from the Lab Blog [blog] 16th February</w:t>
      </w:r>
      <w:r>
        <w:t xml:space="preserve">, Available at : </w:t>
      </w:r>
      <w:hyperlink r:id="rId18" w:history="1">
        <w:r w:rsidR="00B4293E" w:rsidRPr="00B4293E">
          <w:rPr>
            <w:rStyle w:val="Hyperlink"/>
          </w:rPr>
          <w:t>Latest From the Lab: Are You Talking About Organizational Culture or Climate?</w:t>
        </w:r>
      </w:hyperlink>
      <w:r w:rsidR="00B4293E">
        <w:t xml:space="preserve"> (Accessed on 23/08/2026)</w:t>
      </w:r>
    </w:p>
    <w:p w14:paraId="693B3A0E" w14:textId="60408F1E" w:rsidR="00C25966" w:rsidRDefault="00401D57" w:rsidP="004E3125">
      <w:r>
        <w:t>Milenkovic, A. and Milovanovic, G</w:t>
      </w:r>
      <w:r w:rsidR="00A01482">
        <w:t>.,</w:t>
      </w:r>
      <w:r>
        <w:t xml:space="preserve"> 2024</w:t>
      </w:r>
      <w:r w:rsidR="00A01482">
        <w:t>, AUTOMOTIVE SUPPLY CHAIN DISRUPTIONS CAUSED BY CRISIS IN UKRAINE</w:t>
      </w:r>
      <w:r w:rsidR="001C2C3D">
        <w:t>. Ekonomika, 70(1), p.95</w:t>
      </w:r>
      <w:r w:rsidR="00FD08DF">
        <w:t xml:space="preserve"> DOI:</w:t>
      </w:r>
    </w:p>
    <w:p w14:paraId="523857D4" w14:textId="16CE7CD2" w:rsidR="0006357B" w:rsidRDefault="0006357B" w:rsidP="00CE372E">
      <w:r w:rsidRPr="0006357B">
        <w:t xml:space="preserve">Okomanyi, A.O., Sherwood, A.R. and Shittu, E. (2024) ‘Exploring effective strategies against cyberattacks: the case of the automotive industry’, </w:t>
      </w:r>
      <w:r w:rsidRPr="0006357B">
        <w:rPr>
          <w:i/>
          <w:iCs/>
        </w:rPr>
        <w:t>Environment Systems and Decisions</w:t>
      </w:r>
      <w:r w:rsidRPr="0006357B">
        <w:t>, 44, pp. 779–809.</w:t>
      </w:r>
      <w:r>
        <w:t xml:space="preserve"> DOI: </w:t>
      </w:r>
      <w:r w:rsidR="00CE372E" w:rsidRPr="00CE372E">
        <w:t>https://doi.org/10.1007/s10669-024-09971-0</w:t>
      </w:r>
    </w:p>
    <w:p w14:paraId="1344456E" w14:textId="0000F895" w:rsidR="00016C25" w:rsidRDefault="00016C25" w:rsidP="005B25D2">
      <w:r w:rsidRPr="00016C25">
        <w:t xml:space="preserve">Patel, S., Frost, A., Cardenas, J., Alexandri, E. and Koretska, D. (2026) </w:t>
      </w:r>
      <w:r w:rsidRPr="00016C25">
        <w:rPr>
          <w:i/>
          <w:iCs/>
        </w:rPr>
        <w:t>Workforce requirements for net zero: Transport and construction</w:t>
      </w:r>
      <w:r w:rsidRPr="00016C25">
        <w:t>. Cambridge Econometrics/ClimateXChange</w:t>
      </w:r>
      <w:r w:rsidR="005B25D2">
        <w:t xml:space="preserve"> </w:t>
      </w:r>
      <w:r w:rsidR="005B25D2" w:rsidRPr="005B25D2">
        <w:t>DOI: https://doi.org/10.7488/era/7189</w:t>
      </w:r>
    </w:p>
    <w:p w14:paraId="67F0287D" w14:textId="3C144F5F" w:rsidR="007417F3" w:rsidRDefault="007417F3" w:rsidP="004E3125">
      <w:r>
        <w:lastRenderedPageBreak/>
        <w:t>Pol</w:t>
      </w:r>
      <w:r w:rsidR="00CA5038">
        <w:t>onara, M at al (2024). Introduction</w:t>
      </w:r>
      <w:r w:rsidR="00995DF7">
        <w:t xml:space="preserve"> of Collaborative Robotics in the Production of Automotive Parts: A Case Study. Machines, 12(3)</w:t>
      </w:r>
      <w:r w:rsidR="00A4579F">
        <w:t xml:space="preserve">, pp 196. DOI: </w:t>
      </w:r>
      <w:hyperlink r:id="rId19" w:history="1">
        <w:r w:rsidR="00DB7B1A" w:rsidRPr="00E76710">
          <w:rPr>
            <w:rStyle w:val="Hyperlink"/>
          </w:rPr>
          <w:t>https://doi.org/10.3390/machines12030196</w:t>
        </w:r>
      </w:hyperlink>
      <w:r w:rsidR="00DB7B1A">
        <w:t xml:space="preserve"> </w:t>
      </w:r>
    </w:p>
    <w:p w14:paraId="36A4E0D0" w14:textId="2946EE08" w:rsidR="00DB790E" w:rsidRDefault="00DB790E" w:rsidP="00DB790E">
      <w:r w:rsidRPr="00DB790E">
        <w:t xml:space="preserve">San Cristóbal, J.R., Fernández, V. and Diaz, E. (2018) ‘An analysis of the main project organizational structures: Advantages, disadvantages, and factors affecting their selection’, </w:t>
      </w:r>
      <w:r w:rsidRPr="00DB790E">
        <w:rPr>
          <w:i/>
          <w:iCs/>
        </w:rPr>
        <w:t>Procedia Computer Science</w:t>
      </w:r>
      <w:r w:rsidRPr="00DB790E">
        <w:t>, 138, pp. 791–798. doi:10.1016/j.procs.2018.10.103.</w:t>
      </w:r>
    </w:p>
    <w:p w14:paraId="4A99086F" w14:textId="01305261" w:rsidR="00D8283D" w:rsidRPr="00E671D2" w:rsidRDefault="00D8283D" w:rsidP="00D8283D">
      <w:pPr>
        <w:rPr>
          <w:b/>
          <w:bCs/>
        </w:rPr>
      </w:pPr>
      <w:r w:rsidRPr="00E671D2">
        <w:rPr>
          <w:b/>
          <w:bCs/>
        </w:rPr>
        <w:t xml:space="preserve">Schein, E.H. and Schein, P.A. (2017) </w:t>
      </w:r>
      <w:r w:rsidRPr="00E671D2">
        <w:rPr>
          <w:b/>
          <w:bCs/>
          <w:i/>
          <w:iCs/>
        </w:rPr>
        <w:t>Organizational culture and leadership</w:t>
      </w:r>
      <w:r w:rsidRPr="00E671D2">
        <w:rPr>
          <w:b/>
          <w:bCs/>
        </w:rPr>
        <w:t>. 5th ed. Wiley.</w:t>
      </w:r>
    </w:p>
    <w:p w14:paraId="5E878D22" w14:textId="632A63CE" w:rsidR="00E671D2" w:rsidRPr="00E671D2" w:rsidRDefault="00E671D2" w:rsidP="00E671D2">
      <w:pPr>
        <w:rPr>
          <w:b/>
          <w:bCs/>
        </w:rPr>
      </w:pPr>
      <w:r w:rsidRPr="00E671D2">
        <w:rPr>
          <w:b/>
          <w:bCs/>
        </w:rPr>
        <w:t>Schein, E.H. and Schein, P. (2016) </w:t>
      </w:r>
      <w:hyperlink r:id="rId20" w:tgtFrame="_blank" w:history="1">
        <w:r w:rsidRPr="00E671D2">
          <w:rPr>
            <w:rStyle w:val="Hyperlink"/>
            <w:b/>
            <w:bCs/>
          </w:rPr>
          <w:t>Organizational culture and leadership</w:t>
        </w:r>
      </w:hyperlink>
      <w:r w:rsidRPr="00E671D2">
        <w:rPr>
          <w:b/>
          <w:bCs/>
        </w:rPr>
        <w:t>. 5th ed. Hoboken, New Jersey: John Wiley &amp; Sons. </w:t>
      </w:r>
    </w:p>
    <w:p w14:paraId="4F922B59" w14:textId="58BFA13A" w:rsidR="00F34175" w:rsidRDefault="004E3125" w:rsidP="004E3125">
      <w:r w:rsidRPr="004E3125">
        <w:t>Schmidt, S. </w:t>
      </w:r>
      <w:r w:rsidRPr="004E3125">
        <w:rPr>
          <w:i/>
          <w:iCs/>
        </w:rPr>
        <w:t>et al.</w:t>
      </w:r>
      <w:r w:rsidRPr="004E3125">
        <w:t> (2014) “Uncertainty in the workplace: Examining role ambiguity and role conflict, and their link to depression-a meta-analysis,” </w:t>
      </w:r>
      <w:r w:rsidRPr="004E3125">
        <w:rPr>
          <w:i/>
          <w:iCs/>
        </w:rPr>
        <w:t>European journal of work and organizational psychology</w:t>
      </w:r>
      <w:r w:rsidRPr="004E3125">
        <w:t xml:space="preserve">, 23(1), pp. 91–106. Available at: </w:t>
      </w:r>
      <w:hyperlink r:id="rId21" w:history="1">
        <w:r w:rsidR="00A9045A" w:rsidRPr="00E76710">
          <w:rPr>
            <w:rStyle w:val="Hyperlink"/>
          </w:rPr>
          <w:t>https://doi.org/10.1080/1359432X.2012.711523</w:t>
        </w:r>
      </w:hyperlink>
      <w:r w:rsidRPr="004E3125">
        <w:t>.</w:t>
      </w:r>
    </w:p>
    <w:p w14:paraId="01322113" w14:textId="4952FFA8" w:rsidR="009905DE" w:rsidRPr="00F051F1" w:rsidRDefault="009905DE" w:rsidP="00F051F1">
      <w:pPr>
        <w:rPr>
          <w:b/>
          <w:bCs/>
        </w:rPr>
      </w:pPr>
      <w:r w:rsidRPr="009905DE">
        <w:t xml:space="preserve">Shah, A., Tarannum, T., Al Mahmood, A. and Kabir, S. (2026) ‘Customer expectations on electric vehicles in the USA market: A comprehensive analysis of shifting preferences and purchase intentions’, </w:t>
      </w:r>
      <w:r w:rsidRPr="009905DE">
        <w:rPr>
          <w:i/>
          <w:iCs/>
        </w:rPr>
        <w:t>Journal of Business and Management Studies</w:t>
      </w:r>
      <w:r w:rsidRPr="009905DE">
        <w:t>, 8(1), pp. 20–27. DOI</w:t>
      </w:r>
      <w:r w:rsidR="00F051F1">
        <w:t xml:space="preserve">: </w:t>
      </w:r>
      <w:hyperlink r:id="rId22" w:history="1">
        <w:r w:rsidR="00A1618F" w:rsidRPr="00870A5C">
          <w:rPr>
            <w:rStyle w:val="Hyperlink"/>
          </w:rPr>
          <w:t>https://doi.org/10.32996/jbms.2026.8.1.2</w:t>
        </w:r>
      </w:hyperlink>
      <w:r w:rsidRPr="009905DE">
        <w:t xml:space="preserve"> (Accessed: 20 September 2026).</w:t>
      </w:r>
    </w:p>
    <w:p w14:paraId="17D497AA" w14:textId="68BA824C" w:rsidR="00A9045A" w:rsidRDefault="00A9045A" w:rsidP="004E3125">
      <w:r>
        <w:t>Shaffer, G. (2021) ‘Governing the Interface of U.S.-China Trade Relations’, American Journal of International Law, 115(4), pp.622-670</w:t>
      </w:r>
      <w:r w:rsidR="00886228">
        <w:t>. DOI: 10.1017/ajil.2021.36</w:t>
      </w:r>
    </w:p>
    <w:p w14:paraId="66F1BD1E" w14:textId="410AA007" w:rsidR="00406B48" w:rsidRDefault="00406B48" w:rsidP="00406B48">
      <w:r w:rsidRPr="00406B48">
        <w:t xml:space="preserve">Sinclair, A. and Suff, R. (2025) </w:t>
      </w:r>
      <w:r w:rsidRPr="00406B48">
        <w:rPr>
          <w:i/>
          <w:iCs/>
        </w:rPr>
        <w:t>Health and Wellbeing at Work</w:t>
      </w:r>
      <w:r w:rsidRPr="00406B48">
        <w:t>. London: Chartered Institute of Personnel and Development.</w:t>
      </w:r>
      <w:r>
        <w:t xml:space="preserve"> </w:t>
      </w:r>
      <w:r w:rsidRPr="00406B48">
        <w:rPr>
          <w:b/>
          <w:bCs/>
        </w:rPr>
        <w:t>(REPORT)</w:t>
      </w:r>
    </w:p>
    <w:p w14:paraId="097848E1" w14:textId="08FDD4B6" w:rsidR="00B3274F" w:rsidRDefault="00B3274F" w:rsidP="003366FA">
      <w:r>
        <w:t>Taylor, S. and Woodhams, C. (2022</w:t>
      </w:r>
      <w:r w:rsidR="00FA0423">
        <w:t>b</w:t>
      </w:r>
      <w:r>
        <w:t>) Studying Human Resource Management</w:t>
      </w:r>
      <w:r w:rsidR="00631552">
        <w:t>. 3</w:t>
      </w:r>
      <w:r w:rsidR="00631552" w:rsidRPr="00631552">
        <w:rPr>
          <w:vertAlign w:val="superscript"/>
        </w:rPr>
        <w:t>rd</w:t>
      </w:r>
      <w:r w:rsidR="00631552">
        <w:t xml:space="preserve"> edn. London: </w:t>
      </w:r>
      <w:r w:rsidR="003366FA" w:rsidRPr="003366FA">
        <w:t>Chartered Institute of Personnel and Development.</w:t>
      </w:r>
    </w:p>
    <w:p w14:paraId="6E8F74A9" w14:textId="2F09AC01" w:rsidR="00A1618F" w:rsidRPr="00A1618F" w:rsidRDefault="00A1618F" w:rsidP="00D12AC3">
      <w:r w:rsidRPr="00A1618F">
        <w:t xml:space="preserve">Xue, Y., Zhang, X., Zhang, Y. and Luo, E. (2024) ‘Understanding the barriers to consumer purchasing of electric vehicles: The innovation resistance theory’, </w:t>
      </w:r>
      <w:r w:rsidRPr="00A1618F">
        <w:rPr>
          <w:i/>
          <w:iCs/>
        </w:rPr>
        <w:t>Sustainability</w:t>
      </w:r>
      <w:r w:rsidRPr="00A1618F">
        <w:t xml:space="preserve">, 16(6), 2420. </w:t>
      </w:r>
      <w:r w:rsidR="00D12AC3">
        <w:t>DOI:</w:t>
      </w:r>
      <w:r w:rsidR="00D12AC3" w:rsidRPr="00D12AC3">
        <w:t> https://doi.org/10.3390/su16062420.</w:t>
      </w:r>
      <w:r w:rsidRPr="00A1618F">
        <w:t xml:space="preserve"> </w:t>
      </w:r>
    </w:p>
    <w:sectPr w:rsidR="00A1618F" w:rsidRPr="00A161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26925"/>
    <w:multiLevelType w:val="hybridMultilevel"/>
    <w:tmpl w:val="E9A4D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81FA4"/>
    <w:multiLevelType w:val="multilevel"/>
    <w:tmpl w:val="2D128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846635">
    <w:abstractNumId w:val="1"/>
  </w:num>
  <w:num w:numId="2" w16cid:durableId="943683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0CD"/>
    <w:rsid w:val="00000011"/>
    <w:rsid w:val="00004448"/>
    <w:rsid w:val="000078A5"/>
    <w:rsid w:val="00010175"/>
    <w:rsid w:val="0001045D"/>
    <w:rsid w:val="0001047E"/>
    <w:rsid w:val="00012E12"/>
    <w:rsid w:val="000168A3"/>
    <w:rsid w:val="00016B3B"/>
    <w:rsid w:val="00016C25"/>
    <w:rsid w:val="000176D0"/>
    <w:rsid w:val="00020F93"/>
    <w:rsid w:val="0002783C"/>
    <w:rsid w:val="00031B29"/>
    <w:rsid w:val="000320AD"/>
    <w:rsid w:val="00037D19"/>
    <w:rsid w:val="000509F6"/>
    <w:rsid w:val="00052904"/>
    <w:rsid w:val="00053292"/>
    <w:rsid w:val="000615FE"/>
    <w:rsid w:val="0006357B"/>
    <w:rsid w:val="000651C0"/>
    <w:rsid w:val="00065BD8"/>
    <w:rsid w:val="00071774"/>
    <w:rsid w:val="000724B0"/>
    <w:rsid w:val="00072E3C"/>
    <w:rsid w:val="00072F55"/>
    <w:rsid w:val="00075BE6"/>
    <w:rsid w:val="00076BA4"/>
    <w:rsid w:val="00077D47"/>
    <w:rsid w:val="00081D5B"/>
    <w:rsid w:val="000844BA"/>
    <w:rsid w:val="0009382C"/>
    <w:rsid w:val="000979C3"/>
    <w:rsid w:val="000A4881"/>
    <w:rsid w:val="000A6518"/>
    <w:rsid w:val="000B1805"/>
    <w:rsid w:val="000B494A"/>
    <w:rsid w:val="000B612E"/>
    <w:rsid w:val="000B7375"/>
    <w:rsid w:val="000C26FE"/>
    <w:rsid w:val="000C5718"/>
    <w:rsid w:val="000D2301"/>
    <w:rsid w:val="000D421E"/>
    <w:rsid w:val="000D4DE8"/>
    <w:rsid w:val="000E0006"/>
    <w:rsid w:val="000E1CD3"/>
    <w:rsid w:val="000E26E2"/>
    <w:rsid w:val="000E273E"/>
    <w:rsid w:val="000E30D9"/>
    <w:rsid w:val="000E32B3"/>
    <w:rsid w:val="000E4254"/>
    <w:rsid w:val="000E5CAD"/>
    <w:rsid w:val="000E7E91"/>
    <w:rsid w:val="000F1943"/>
    <w:rsid w:val="00101EB5"/>
    <w:rsid w:val="00102B64"/>
    <w:rsid w:val="0010332E"/>
    <w:rsid w:val="00107268"/>
    <w:rsid w:val="0010787D"/>
    <w:rsid w:val="0011039C"/>
    <w:rsid w:val="001110F3"/>
    <w:rsid w:val="00111E2C"/>
    <w:rsid w:val="0011204A"/>
    <w:rsid w:val="001127EB"/>
    <w:rsid w:val="00113E2E"/>
    <w:rsid w:val="00115FA3"/>
    <w:rsid w:val="00116998"/>
    <w:rsid w:val="001219B0"/>
    <w:rsid w:val="00123DDC"/>
    <w:rsid w:val="001260AF"/>
    <w:rsid w:val="001337AA"/>
    <w:rsid w:val="00134D1D"/>
    <w:rsid w:val="00134D28"/>
    <w:rsid w:val="00135D9E"/>
    <w:rsid w:val="001372B9"/>
    <w:rsid w:val="001378D3"/>
    <w:rsid w:val="00140F7F"/>
    <w:rsid w:val="00141FA8"/>
    <w:rsid w:val="00150B16"/>
    <w:rsid w:val="00150D99"/>
    <w:rsid w:val="001520BA"/>
    <w:rsid w:val="00152458"/>
    <w:rsid w:val="001547B8"/>
    <w:rsid w:val="001604E0"/>
    <w:rsid w:val="00161AEB"/>
    <w:rsid w:val="00162299"/>
    <w:rsid w:val="00166308"/>
    <w:rsid w:val="00166E62"/>
    <w:rsid w:val="0017064F"/>
    <w:rsid w:val="00171B95"/>
    <w:rsid w:val="00172B2E"/>
    <w:rsid w:val="00174A90"/>
    <w:rsid w:val="00186570"/>
    <w:rsid w:val="00186FC6"/>
    <w:rsid w:val="00187289"/>
    <w:rsid w:val="00187955"/>
    <w:rsid w:val="001906DB"/>
    <w:rsid w:val="0019510D"/>
    <w:rsid w:val="001959FA"/>
    <w:rsid w:val="00197F8E"/>
    <w:rsid w:val="001A1F03"/>
    <w:rsid w:val="001A2C20"/>
    <w:rsid w:val="001A4850"/>
    <w:rsid w:val="001A6856"/>
    <w:rsid w:val="001A73E6"/>
    <w:rsid w:val="001B3E2F"/>
    <w:rsid w:val="001B3FFD"/>
    <w:rsid w:val="001B66F7"/>
    <w:rsid w:val="001B6A92"/>
    <w:rsid w:val="001B6AAF"/>
    <w:rsid w:val="001C2C3D"/>
    <w:rsid w:val="001C37E6"/>
    <w:rsid w:val="001C50BD"/>
    <w:rsid w:val="001D194F"/>
    <w:rsid w:val="001D707B"/>
    <w:rsid w:val="001E20AC"/>
    <w:rsid w:val="001E734E"/>
    <w:rsid w:val="001E7AE3"/>
    <w:rsid w:val="001E7BE0"/>
    <w:rsid w:val="001F102D"/>
    <w:rsid w:val="001F2EB7"/>
    <w:rsid w:val="001F5279"/>
    <w:rsid w:val="001F5C07"/>
    <w:rsid w:val="002008C5"/>
    <w:rsid w:val="00201B9A"/>
    <w:rsid w:val="00210C35"/>
    <w:rsid w:val="002112DB"/>
    <w:rsid w:val="002138E4"/>
    <w:rsid w:val="0021493F"/>
    <w:rsid w:val="00214B12"/>
    <w:rsid w:val="0021523E"/>
    <w:rsid w:val="0021669F"/>
    <w:rsid w:val="00223F5C"/>
    <w:rsid w:val="00224421"/>
    <w:rsid w:val="002318A7"/>
    <w:rsid w:val="0023700A"/>
    <w:rsid w:val="0024370F"/>
    <w:rsid w:val="00247AB1"/>
    <w:rsid w:val="0025275D"/>
    <w:rsid w:val="0025503D"/>
    <w:rsid w:val="0025779E"/>
    <w:rsid w:val="00257A55"/>
    <w:rsid w:val="00261CEF"/>
    <w:rsid w:val="0026212C"/>
    <w:rsid w:val="00263B0D"/>
    <w:rsid w:val="002640F6"/>
    <w:rsid w:val="00270FDD"/>
    <w:rsid w:val="00273DF4"/>
    <w:rsid w:val="00274AD6"/>
    <w:rsid w:val="00274BCA"/>
    <w:rsid w:val="0028146B"/>
    <w:rsid w:val="002876FA"/>
    <w:rsid w:val="00290A0B"/>
    <w:rsid w:val="00291E16"/>
    <w:rsid w:val="00295A65"/>
    <w:rsid w:val="00296B30"/>
    <w:rsid w:val="00297919"/>
    <w:rsid w:val="002A09CE"/>
    <w:rsid w:val="002A121E"/>
    <w:rsid w:val="002A247C"/>
    <w:rsid w:val="002A3220"/>
    <w:rsid w:val="002A6178"/>
    <w:rsid w:val="002B20C9"/>
    <w:rsid w:val="002B4BCE"/>
    <w:rsid w:val="002B5E3C"/>
    <w:rsid w:val="002B717F"/>
    <w:rsid w:val="002C0255"/>
    <w:rsid w:val="002C1EEF"/>
    <w:rsid w:val="002C2977"/>
    <w:rsid w:val="002C5DA5"/>
    <w:rsid w:val="002D4C99"/>
    <w:rsid w:val="002E0F38"/>
    <w:rsid w:val="002E102D"/>
    <w:rsid w:val="002E42C7"/>
    <w:rsid w:val="002E539D"/>
    <w:rsid w:val="002E5507"/>
    <w:rsid w:val="002E5AC1"/>
    <w:rsid w:val="00307582"/>
    <w:rsid w:val="0031187E"/>
    <w:rsid w:val="00313E5D"/>
    <w:rsid w:val="00315D39"/>
    <w:rsid w:val="003173F2"/>
    <w:rsid w:val="00317BEF"/>
    <w:rsid w:val="00325153"/>
    <w:rsid w:val="003255D0"/>
    <w:rsid w:val="00327548"/>
    <w:rsid w:val="00333343"/>
    <w:rsid w:val="0033338E"/>
    <w:rsid w:val="003366FA"/>
    <w:rsid w:val="003462F6"/>
    <w:rsid w:val="00357BB9"/>
    <w:rsid w:val="00361842"/>
    <w:rsid w:val="00362753"/>
    <w:rsid w:val="00364648"/>
    <w:rsid w:val="00365595"/>
    <w:rsid w:val="00365E66"/>
    <w:rsid w:val="003738A4"/>
    <w:rsid w:val="00383297"/>
    <w:rsid w:val="00385677"/>
    <w:rsid w:val="003878BA"/>
    <w:rsid w:val="00387E48"/>
    <w:rsid w:val="00391678"/>
    <w:rsid w:val="00391BEE"/>
    <w:rsid w:val="0039633E"/>
    <w:rsid w:val="00397870"/>
    <w:rsid w:val="003A0B7B"/>
    <w:rsid w:val="003A1F1D"/>
    <w:rsid w:val="003A207A"/>
    <w:rsid w:val="003B1759"/>
    <w:rsid w:val="003B208F"/>
    <w:rsid w:val="003B4D5D"/>
    <w:rsid w:val="003C246A"/>
    <w:rsid w:val="003C26F7"/>
    <w:rsid w:val="003C78E8"/>
    <w:rsid w:val="003D02C7"/>
    <w:rsid w:val="003D0348"/>
    <w:rsid w:val="003D0D17"/>
    <w:rsid w:val="003D18A6"/>
    <w:rsid w:val="003D2345"/>
    <w:rsid w:val="003D2EE6"/>
    <w:rsid w:val="003D2FB2"/>
    <w:rsid w:val="003D312F"/>
    <w:rsid w:val="003D7AA1"/>
    <w:rsid w:val="003E1974"/>
    <w:rsid w:val="003E3354"/>
    <w:rsid w:val="003E512F"/>
    <w:rsid w:val="003F181C"/>
    <w:rsid w:val="003F24EE"/>
    <w:rsid w:val="00400A1F"/>
    <w:rsid w:val="00401D57"/>
    <w:rsid w:val="004051D2"/>
    <w:rsid w:val="00406B48"/>
    <w:rsid w:val="0040726A"/>
    <w:rsid w:val="004128AD"/>
    <w:rsid w:val="004165B4"/>
    <w:rsid w:val="00416F77"/>
    <w:rsid w:val="00417BE2"/>
    <w:rsid w:val="004224C1"/>
    <w:rsid w:val="00423B68"/>
    <w:rsid w:val="0042726C"/>
    <w:rsid w:val="00430383"/>
    <w:rsid w:val="00430435"/>
    <w:rsid w:val="004317DC"/>
    <w:rsid w:val="0043404C"/>
    <w:rsid w:val="00435E0B"/>
    <w:rsid w:val="00443545"/>
    <w:rsid w:val="00445E3C"/>
    <w:rsid w:val="004477FB"/>
    <w:rsid w:val="00452239"/>
    <w:rsid w:val="00454208"/>
    <w:rsid w:val="0046189C"/>
    <w:rsid w:val="0046356B"/>
    <w:rsid w:val="004641A2"/>
    <w:rsid w:val="004652F0"/>
    <w:rsid w:val="004675F3"/>
    <w:rsid w:val="00467B11"/>
    <w:rsid w:val="00471F3A"/>
    <w:rsid w:val="00473061"/>
    <w:rsid w:val="00475A5E"/>
    <w:rsid w:val="00475C39"/>
    <w:rsid w:val="00476BFC"/>
    <w:rsid w:val="00481378"/>
    <w:rsid w:val="00481D3C"/>
    <w:rsid w:val="00482A01"/>
    <w:rsid w:val="00483D51"/>
    <w:rsid w:val="004904F9"/>
    <w:rsid w:val="004905D8"/>
    <w:rsid w:val="0049373D"/>
    <w:rsid w:val="00494843"/>
    <w:rsid w:val="004B332D"/>
    <w:rsid w:val="004D0714"/>
    <w:rsid w:val="004D1540"/>
    <w:rsid w:val="004D1904"/>
    <w:rsid w:val="004D5A2D"/>
    <w:rsid w:val="004D677D"/>
    <w:rsid w:val="004E241C"/>
    <w:rsid w:val="004E2DF3"/>
    <w:rsid w:val="004E3125"/>
    <w:rsid w:val="004E537B"/>
    <w:rsid w:val="004E5601"/>
    <w:rsid w:val="004E5AD4"/>
    <w:rsid w:val="004F0BF8"/>
    <w:rsid w:val="004F6312"/>
    <w:rsid w:val="005025D0"/>
    <w:rsid w:val="00502A68"/>
    <w:rsid w:val="00503589"/>
    <w:rsid w:val="0051257C"/>
    <w:rsid w:val="00522C91"/>
    <w:rsid w:val="005279E6"/>
    <w:rsid w:val="00530915"/>
    <w:rsid w:val="00535A4F"/>
    <w:rsid w:val="00535B97"/>
    <w:rsid w:val="0053736A"/>
    <w:rsid w:val="005454D2"/>
    <w:rsid w:val="005516E1"/>
    <w:rsid w:val="005579A2"/>
    <w:rsid w:val="005647AF"/>
    <w:rsid w:val="00564D98"/>
    <w:rsid w:val="005725A9"/>
    <w:rsid w:val="00580901"/>
    <w:rsid w:val="005842F7"/>
    <w:rsid w:val="005855AE"/>
    <w:rsid w:val="005873E1"/>
    <w:rsid w:val="00587D89"/>
    <w:rsid w:val="0059006B"/>
    <w:rsid w:val="005924E9"/>
    <w:rsid w:val="00593825"/>
    <w:rsid w:val="005975DD"/>
    <w:rsid w:val="005978C8"/>
    <w:rsid w:val="005A0A50"/>
    <w:rsid w:val="005A1291"/>
    <w:rsid w:val="005A330C"/>
    <w:rsid w:val="005A35D6"/>
    <w:rsid w:val="005A4892"/>
    <w:rsid w:val="005B08DC"/>
    <w:rsid w:val="005B25D2"/>
    <w:rsid w:val="005B2768"/>
    <w:rsid w:val="005B47F6"/>
    <w:rsid w:val="005B62DC"/>
    <w:rsid w:val="005B6966"/>
    <w:rsid w:val="005C0DF6"/>
    <w:rsid w:val="005C5117"/>
    <w:rsid w:val="005C59BA"/>
    <w:rsid w:val="005D1244"/>
    <w:rsid w:val="005D2B2A"/>
    <w:rsid w:val="005D45D8"/>
    <w:rsid w:val="005D4982"/>
    <w:rsid w:val="005D71C3"/>
    <w:rsid w:val="005D7770"/>
    <w:rsid w:val="005E44BF"/>
    <w:rsid w:val="005E5D81"/>
    <w:rsid w:val="005E74B4"/>
    <w:rsid w:val="005F1F90"/>
    <w:rsid w:val="005F443F"/>
    <w:rsid w:val="0060179D"/>
    <w:rsid w:val="00603E05"/>
    <w:rsid w:val="00604C89"/>
    <w:rsid w:val="006072A2"/>
    <w:rsid w:val="0061175E"/>
    <w:rsid w:val="00611EFC"/>
    <w:rsid w:val="00612A14"/>
    <w:rsid w:val="00617FC8"/>
    <w:rsid w:val="00622473"/>
    <w:rsid w:val="00622C27"/>
    <w:rsid w:val="00627F81"/>
    <w:rsid w:val="00630E37"/>
    <w:rsid w:val="00631552"/>
    <w:rsid w:val="00631A30"/>
    <w:rsid w:val="00632417"/>
    <w:rsid w:val="006329D8"/>
    <w:rsid w:val="006333F9"/>
    <w:rsid w:val="006346B1"/>
    <w:rsid w:val="00636373"/>
    <w:rsid w:val="00636612"/>
    <w:rsid w:val="00637732"/>
    <w:rsid w:val="00642135"/>
    <w:rsid w:val="00644341"/>
    <w:rsid w:val="00645594"/>
    <w:rsid w:val="00647FB2"/>
    <w:rsid w:val="00651355"/>
    <w:rsid w:val="00651781"/>
    <w:rsid w:val="0065428A"/>
    <w:rsid w:val="00656D92"/>
    <w:rsid w:val="00656F6C"/>
    <w:rsid w:val="0066169D"/>
    <w:rsid w:val="00664264"/>
    <w:rsid w:val="00664266"/>
    <w:rsid w:val="00664EDC"/>
    <w:rsid w:val="0066665F"/>
    <w:rsid w:val="00670F3F"/>
    <w:rsid w:val="00672A30"/>
    <w:rsid w:val="00673419"/>
    <w:rsid w:val="00674D82"/>
    <w:rsid w:val="00674F3E"/>
    <w:rsid w:val="00677CBD"/>
    <w:rsid w:val="00677FDA"/>
    <w:rsid w:val="00680618"/>
    <w:rsid w:val="006842A7"/>
    <w:rsid w:val="00684DB8"/>
    <w:rsid w:val="00686A1D"/>
    <w:rsid w:val="00691529"/>
    <w:rsid w:val="0069225A"/>
    <w:rsid w:val="00695EC5"/>
    <w:rsid w:val="006960C9"/>
    <w:rsid w:val="006975E0"/>
    <w:rsid w:val="006A6234"/>
    <w:rsid w:val="006B23F3"/>
    <w:rsid w:val="006B46F6"/>
    <w:rsid w:val="006B6E6A"/>
    <w:rsid w:val="006C7A8F"/>
    <w:rsid w:val="006C7D26"/>
    <w:rsid w:val="006C7ECE"/>
    <w:rsid w:val="006C7FF2"/>
    <w:rsid w:val="006D188C"/>
    <w:rsid w:val="006D3C49"/>
    <w:rsid w:val="006D5B60"/>
    <w:rsid w:val="006F0229"/>
    <w:rsid w:val="006F239D"/>
    <w:rsid w:val="006F32AD"/>
    <w:rsid w:val="006F3439"/>
    <w:rsid w:val="006F359A"/>
    <w:rsid w:val="006F4CF6"/>
    <w:rsid w:val="006F6445"/>
    <w:rsid w:val="00703887"/>
    <w:rsid w:val="00703A6D"/>
    <w:rsid w:val="00707906"/>
    <w:rsid w:val="007102BF"/>
    <w:rsid w:val="007107EB"/>
    <w:rsid w:val="0071149F"/>
    <w:rsid w:val="007114B5"/>
    <w:rsid w:val="00717687"/>
    <w:rsid w:val="00722A26"/>
    <w:rsid w:val="00722E13"/>
    <w:rsid w:val="00723F67"/>
    <w:rsid w:val="0072623E"/>
    <w:rsid w:val="00727D46"/>
    <w:rsid w:val="007318DE"/>
    <w:rsid w:val="00734B5B"/>
    <w:rsid w:val="00740367"/>
    <w:rsid w:val="007417F3"/>
    <w:rsid w:val="00741F2A"/>
    <w:rsid w:val="00742D3E"/>
    <w:rsid w:val="007457F5"/>
    <w:rsid w:val="007502E0"/>
    <w:rsid w:val="007567C0"/>
    <w:rsid w:val="0076009F"/>
    <w:rsid w:val="00760734"/>
    <w:rsid w:val="0077020B"/>
    <w:rsid w:val="0077415C"/>
    <w:rsid w:val="00777BC5"/>
    <w:rsid w:val="0078539E"/>
    <w:rsid w:val="007858FB"/>
    <w:rsid w:val="00790C0A"/>
    <w:rsid w:val="00793711"/>
    <w:rsid w:val="007937EB"/>
    <w:rsid w:val="00794DF9"/>
    <w:rsid w:val="007A4789"/>
    <w:rsid w:val="007B020C"/>
    <w:rsid w:val="007B6581"/>
    <w:rsid w:val="007C0094"/>
    <w:rsid w:val="007C0CA3"/>
    <w:rsid w:val="007C1390"/>
    <w:rsid w:val="007C5C10"/>
    <w:rsid w:val="007C76CB"/>
    <w:rsid w:val="007D3E9A"/>
    <w:rsid w:val="007D732D"/>
    <w:rsid w:val="007E4792"/>
    <w:rsid w:val="007E484A"/>
    <w:rsid w:val="007E5E21"/>
    <w:rsid w:val="007E617A"/>
    <w:rsid w:val="007E6D4C"/>
    <w:rsid w:val="007E7626"/>
    <w:rsid w:val="007F18C8"/>
    <w:rsid w:val="007F2334"/>
    <w:rsid w:val="007F305D"/>
    <w:rsid w:val="007F6F6F"/>
    <w:rsid w:val="00806BC9"/>
    <w:rsid w:val="00811EFD"/>
    <w:rsid w:val="00812309"/>
    <w:rsid w:val="00816030"/>
    <w:rsid w:val="0081637A"/>
    <w:rsid w:val="00816C8E"/>
    <w:rsid w:val="00817E69"/>
    <w:rsid w:val="00821F88"/>
    <w:rsid w:val="008222C7"/>
    <w:rsid w:val="008233F8"/>
    <w:rsid w:val="00825FC0"/>
    <w:rsid w:val="008268A1"/>
    <w:rsid w:val="008313EB"/>
    <w:rsid w:val="008318D6"/>
    <w:rsid w:val="0083215E"/>
    <w:rsid w:val="008338B0"/>
    <w:rsid w:val="00836B5B"/>
    <w:rsid w:val="008417CD"/>
    <w:rsid w:val="00844A76"/>
    <w:rsid w:val="00844F55"/>
    <w:rsid w:val="008516EB"/>
    <w:rsid w:val="00852AB3"/>
    <w:rsid w:val="008538B1"/>
    <w:rsid w:val="008550F6"/>
    <w:rsid w:val="00857EE7"/>
    <w:rsid w:val="0086169C"/>
    <w:rsid w:val="00862A46"/>
    <w:rsid w:val="00864158"/>
    <w:rsid w:val="00872690"/>
    <w:rsid w:val="00873651"/>
    <w:rsid w:val="00876A23"/>
    <w:rsid w:val="00880C0D"/>
    <w:rsid w:val="008813E8"/>
    <w:rsid w:val="0088340B"/>
    <w:rsid w:val="00886228"/>
    <w:rsid w:val="0088782C"/>
    <w:rsid w:val="0088783E"/>
    <w:rsid w:val="00894FE6"/>
    <w:rsid w:val="008956A0"/>
    <w:rsid w:val="008A0953"/>
    <w:rsid w:val="008A5835"/>
    <w:rsid w:val="008A6101"/>
    <w:rsid w:val="008B4AAD"/>
    <w:rsid w:val="008C0B05"/>
    <w:rsid w:val="008C18EE"/>
    <w:rsid w:val="008C3B9F"/>
    <w:rsid w:val="008C4C7C"/>
    <w:rsid w:val="008C64F4"/>
    <w:rsid w:val="008D2072"/>
    <w:rsid w:val="008D21D4"/>
    <w:rsid w:val="008E01F6"/>
    <w:rsid w:val="008E4F34"/>
    <w:rsid w:val="008E7F82"/>
    <w:rsid w:val="008F56D9"/>
    <w:rsid w:val="00901DB0"/>
    <w:rsid w:val="009047F8"/>
    <w:rsid w:val="009131A8"/>
    <w:rsid w:val="00913DAA"/>
    <w:rsid w:val="00922843"/>
    <w:rsid w:val="0092353E"/>
    <w:rsid w:val="009244B0"/>
    <w:rsid w:val="00926A36"/>
    <w:rsid w:val="00927D39"/>
    <w:rsid w:val="00931A75"/>
    <w:rsid w:val="0093205B"/>
    <w:rsid w:val="009329EB"/>
    <w:rsid w:val="0094444A"/>
    <w:rsid w:val="00945A93"/>
    <w:rsid w:val="00946050"/>
    <w:rsid w:val="009502CD"/>
    <w:rsid w:val="0095113C"/>
    <w:rsid w:val="009513DB"/>
    <w:rsid w:val="00951D9C"/>
    <w:rsid w:val="0095356A"/>
    <w:rsid w:val="009557FA"/>
    <w:rsid w:val="00960ACF"/>
    <w:rsid w:val="0096196F"/>
    <w:rsid w:val="00963C28"/>
    <w:rsid w:val="00964D04"/>
    <w:rsid w:val="0097095E"/>
    <w:rsid w:val="00972940"/>
    <w:rsid w:val="00980FAC"/>
    <w:rsid w:val="00982CB3"/>
    <w:rsid w:val="009847E7"/>
    <w:rsid w:val="00984FC3"/>
    <w:rsid w:val="00985E32"/>
    <w:rsid w:val="00987126"/>
    <w:rsid w:val="009905DE"/>
    <w:rsid w:val="00992868"/>
    <w:rsid w:val="00992E7F"/>
    <w:rsid w:val="00995DF7"/>
    <w:rsid w:val="00996166"/>
    <w:rsid w:val="00997368"/>
    <w:rsid w:val="009A075C"/>
    <w:rsid w:val="009A0AF8"/>
    <w:rsid w:val="009A17B1"/>
    <w:rsid w:val="009A2C87"/>
    <w:rsid w:val="009A30CD"/>
    <w:rsid w:val="009A622B"/>
    <w:rsid w:val="009B30DD"/>
    <w:rsid w:val="009B64B9"/>
    <w:rsid w:val="009B6E17"/>
    <w:rsid w:val="009C00CC"/>
    <w:rsid w:val="009C0A15"/>
    <w:rsid w:val="009C17DD"/>
    <w:rsid w:val="009C367D"/>
    <w:rsid w:val="009C3F9A"/>
    <w:rsid w:val="009D5385"/>
    <w:rsid w:val="009D5FCF"/>
    <w:rsid w:val="009D6352"/>
    <w:rsid w:val="009E10CD"/>
    <w:rsid w:val="009E1347"/>
    <w:rsid w:val="009E4738"/>
    <w:rsid w:val="009E7634"/>
    <w:rsid w:val="009F0A1E"/>
    <w:rsid w:val="009F278E"/>
    <w:rsid w:val="009F3433"/>
    <w:rsid w:val="009F5326"/>
    <w:rsid w:val="00A01052"/>
    <w:rsid w:val="00A01482"/>
    <w:rsid w:val="00A021ED"/>
    <w:rsid w:val="00A0459C"/>
    <w:rsid w:val="00A06C48"/>
    <w:rsid w:val="00A13F34"/>
    <w:rsid w:val="00A1476D"/>
    <w:rsid w:val="00A1618F"/>
    <w:rsid w:val="00A22ACD"/>
    <w:rsid w:val="00A27FBB"/>
    <w:rsid w:val="00A328F8"/>
    <w:rsid w:val="00A350A2"/>
    <w:rsid w:val="00A351A9"/>
    <w:rsid w:val="00A36009"/>
    <w:rsid w:val="00A36A8C"/>
    <w:rsid w:val="00A36E9E"/>
    <w:rsid w:val="00A42D91"/>
    <w:rsid w:val="00A43CDE"/>
    <w:rsid w:val="00A44782"/>
    <w:rsid w:val="00A4579F"/>
    <w:rsid w:val="00A46F19"/>
    <w:rsid w:val="00A477DC"/>
    <w:rsid w:val="00A515F0"/>
    <w:rsid w:val="00A555EC"/>
    <w:rsid w:val="00A57806"/>
    <w:rsid w:val="00A60CCC"/>
    <w:rsid w:val="00A61CD5"/>
    <w:rsid w:val="00A64A29"/>
    <w:rsid w:val="00A6555B"/>
    <w:rsid w:val="00A66671"/>
    <w:rsid w:val="00A71741"/>
    <w:rsid w:val="00A71A59"/>
    <w:rsid w:val="00A7441C"/>
    <w:rsid w:val="00A85DA4"/>
    <w:rsid w:val="00A86A2A"/>
    <w:rsid w:val="00A86B91"/>
    <w:rsid w:val="00A86D75"/>
    <w:rsid w:val="00A87F14"/>
    <w:rsid w:val="00A90172"/>
    <w:rsid w:val="00A9045A"/>
    <w:rsid w:val="00A950FB"/>
    <w:rsid w:val="00AA09FA"/>
    <w:rsid w:val="00AA47FA"/>
    <w:rsid w:val="00AB0D41"/>
    <w:rsid w:val="00AB0FF0"/>
    <w:rsid w:val="00AB19A0"/>
    <w:rsid w:val="00AB1ACE"/>
    <w:rsid w:val="00AB1C15"/>
    <w:rsid w:val="00AB21D4"/>
    <w:rsid w:val="00AB22A5"/>
    <w:rsid w:val="00AB6B83"/>
    <w:rsid w:val="00AC04DD"/>
    <w:rsid w:val="00AC300E"/>
    <w:rsid w:val="00AC4767"/>
    <w:rsid w:val="00AD1383"/>
    <w:rsid w:val="00AD5964"/>
    <w:rsid w:val="00AD5F38"/>
    <w:rsid w:val="00AD7FAE"/>
    <w:rsid w:val="00AE0497"/>
    <w:rsid w:val="00AE14C3"/>
    <w:rsid w:val="00AE536E"/>
    <w:rsid w:val="00AE5955"/>
    <w:rsid w:val="00AE70A9"/>
    <w:rsid w:val="00AF2439"/>
    <w:rsid w:val="00AF31FA"/>
    <w:rsid w:val="00AF3347"/>
    <w:rsid w:val="00B010C5"/>
    <w:rsid w:val="00B07EE7"/>
    <w:rsid w:val="00B21AA1"/>
    <w:rsid w:val="00B21F5D"/>
    <w:rsid w:val="00B26E0A"/>
    <w:rsid w:val="00B27212"/>
    <w:rsid w:val="00B3158A"/>
    <w:rsid w:val="00B31837"/>
    <w:rsid w:val="00B3274F"/>
    <w:rsid w:val="00B3321D"/>
    <w:rsid w:val="00B33DD6"/>
    <w:rsid w:val="00B353B5"/>
    <w:rsid w:val="00B3584C"/>
    <w:rsid w:val="00B40B3C"/>
    <w:rsid w:val="00B41A01"/>
    <w:rsid w:val="00B4293E"/>
    <w:rsid w:val="00B43A07"/>
    <w:rsid w:val="00B44C7A"/>
    <w:rsid w:val="00B44F6E"/>
    <w:rsid w:val="00B46F89"/>
    <w:rsid w:val="00B501E4"/>
    <w:rsid w:val="00B51B38"/>
    <w:rsid w:val="00B53605"/>
    <w:rsid w:val="00B536DA"/>
    <w:rsid w:val="00B575F4"/>
    <w:rsid w:val="00B63DB3"/>
    <w:rsid w:val="00B75F82"/>
    <w:rsid w:val="00B8269B"/>
    <w:rsid w:val="00B8329E"/>
    <w:rsid w:val="00B839F4"/>
    <w:rsid w:val="00B845E6"/>
    <w:rsid w:val="00B875ED"/>
    <w:rsid w:val="00B9496E"/>
    <w:rsid w:val="00B94A0F"/>
    <w:rsid w:val="00B960EC"/>
    <w:rsid w:val="00B96CD9"/>
    <w:rsid w:val="00BB4178"/>
    <w:rsid w:val="00BB5AF5"/>
    <w:rsid w:val="00BC023D"/>
    <w:rsid w:val="00BC09D5"/>
    <w:rsid w:val="00BC193F"/>
    <w:rsid w:val="00BC30C8"/>
    <w:rsid w:val="00BD05E2"/>
    <w:rsid w:val="00BD0ADA"/>
    <w:rsid w:val="00BD4F78"/>
    <w:rsid w:val="00BE068E"/>
    <w:rsid w:val="00BE7BF6"/>
    <w:rsid w:val="00BF061E"/>
    <w:rsid w:val="00BF09AD"/>
    <w:rsid w:val="00BF0C7D"/>
    <w:rsid w:val="00BF171D"/>
    <w:rsid w:val="00BF5250"/>
    <w:rsid w:val="00C00B00"/>
    <w:rsid w:val="00C02426"/>
    <w:rsid w:val="00C0386B"/>
    <w:rsid w:val="00C101C8"/>
    <w:rsid w:val="00C14544"/>
    <w:rsid w:val="00C15B49"/>
    <w:rsid w:val="00C170E2"/>
    <w:rsid w:val="00C174F0"/>
    <w:rsid w:val="00C205EC"/>
    <w:rsid w:val="00C21151"/>
    <w:rsid w:val="00C25966"/>
    <w:rsid w:val="00C33515"/>
    <w:rsid w:val="00C33D4A"/>
    <w:rsid w:val="00C40833"/>
    <w:rsid w:val="00C41A45"/>
    <w:rsid w:val="00C43877"/>
    <w:rsid w:val="00C44DAC"/>
    <w:rsid w:val="00C52698"/>
    <w:rsid w:val="00C53566"/>
    <w:rsid w:val="00C56BDC"/>
    <w:rsid w:val="00C600C3"/>
    <w:rsid w:val="00C637E4"/>
    <w:rsid w:val="00C6387C"/>
    <w:rsid w:val="00C6412F"/>
    <w:rsid w:val="00C64B97"/>
    <w:rsid w:val="00C64C64"/>
    <w:rsid w:val="00C70795"/>
    <w:rsid w:val="00C7557C"/>
    <w:rsid w:val="00C82628"/>
    <w:rsid w:val="00C90837"/>
    <w:rsid w:val="00C91116"/>
    <w:rsid w:val="00C924F5"/>
    <w:rsid w:val="00C93FB3"/>
    <w:rsid w:val="00C96821"/>
    <w:rsid w:val="00CA5038"/>
    <w:rsid w:val="00CA5A6C"/>
    <w:rsid w:val="00CB0BED"/>
    <w:rsid w:val="00CB7711"/>
    <w:rsid w:val="00CC4E03"/>
    <w:rsid w:val="00CC5329"/>
    <w:rsid w:val="00CC61AD"/>
    <w:rsid w:val="00CC6F89"/>
    <w:rsid w:val="00CD20CA"/>
    <w:rsid w:val="00CD2256"/>
    <w:rsid w:val="00CE2EF9"/>
    <w:rsid w:val="00CE372E"/>
    <w:rsid w:val="00CF0E7C"/>
    <w:rsid w:val="00CF28E3"/>
    <w:rsid w:val="00CF2A0E"/>
    <w:rsid w:val="00D02FCB"/>
    <w:rsid w:val="00D07A6C"/>
    <w:rsid w:val="00D11F7C"/>
    <w:rsid w:val="00D12AC3"/>
    <w:rsid w:val="00D13A8E"/>
    <w:rsid w:val="00D15030"/>
    <w:rsid w:val="00D16B99"/>
    <w:rsid w:val="00D22F2A"/>
    <w:rsid w:val="00D23D3D"/>
    <w:rsid w:val="00D25354"/>
    <w:rsid w:val="00D273A3"/>
    <w:rsid w:val="00D278A6"/>
    <w:rsid w:val="00D300E3"/>
    <w:rsid w:val="00D31CAA"/>
    <w:rsid w:val="00D40880"/>
    <w:rsid w:val="00D43ED5"/>
    <w:rsid w:val="00D452A4"/>
    <w:rsid w:val="00D456D9"/>
    <w:rsid w:val="00D45DC8"/>
    <w:rsid w:val="00D4635C"/>
    <w:rsid w:val="00D46B5B"/>
    <w:rsid w:val="00D500F0"/>
    <w:rsid w:val="00D50756"/>
    <w:rsid w:val="00D5210F"/>
    <w:rsid w:val="00D570A1"/>
    <w:rsid w:val="00D6528F"/>
    <w:rsid w:val="00D67787"/>
    <w:rsid w:val="00D7044D"/>
    <w:rsid w:val="00D76586"/>
    <w:rsid w:val="00D76EE4"/>
    <w:rsid w:val="00D8283D"/>
    <w:rsid w:val="00D83E3E"/>
    <w:rsid w:val="00D8751E"/>
    <w:rsid w:val="00D9300F"/>
    <w:rsid w:val="00D96EAF"/>
    <w:rsid w:val="00DA4237"/>
    <w:rsid w:val="00DA7BB9"/>
    <w:rsid w:val="00DB00C9"/>
    <w:rsid w:val="00DB067A"/>
    <w:rsid w:val="00DB32F2"/>
    <w:rsid w:val="00DB4CB1"/>
    <w:rsid w:val="00DB790E"/>
    <w:rsid w:val="00DB7B1A"/>
    <w:rsid w:val="00DC5385"/>
    <w:rsid w:val="00DD2760"/>
    <w:rsid w:val="00DD5CD4"/>
    <w:rsid w:val="00DE0951"/>
    <w:rsid w:val="00DE0DA7"/>
    <w:rsid w:val="00DE13CB"/>
    <w:rsid w:val="00DE3498"/>
    <w:rsid w:val="00DE3FF0"/>
    <w:rsid w:val="00DE5950"/>
    <w:rsid w:val="00DE616F"/>
    <w:rsid w:val="00DE76E0"/>
    <w:rsid w:val="00DF00EA"/>
    <w:rsid w:val="00DF22B7"/>
    <w:rsid w:val="00DF3232"/>
    <w:rsid w:val="00DF3501"/>
    <w:rsid w:val="00DF4366"/>
    <w:rsid w:val="00E00182"/>
    <w:rsid w:val="00E00900"/>
    <w:rsid w:val="00E02110"/>
    <w:rsid w:val="00E02132"/>
    <w:rsid w:val="00E04DC9"/>
    <w:rsid w:val="00E07504"/>
    <w:rsid w:val="00E11893"/>
    <w:rsid w:val="00E123EB"/>
    <w:rsid w:val="00E1306A"/>
    <w:rsid w:val="00E13285"/>
    <w:rsid w:val="00E15643"/>
    <w:rsid w:val="00E16E1A"/>
    <w:rsid w:val="00E20D56"/>
    <w:rsid w:val="00E24179"/>
    <w:rsid w:val="00E25002"/>
    <w:rsid w:val="00E30005"/>
    <w:rsid w:val="00E323D8"/>
    <w:rsid w:val="00E32E19"/>
    <w:rsid w:val="00E343CF"/>
    <w:rsid w:val="00E35698"/>
    <w:rsid w:val="00E40E40"/>
    <w:rsid w:val="00E40F68"/>
    <w:rsid w:val="00E4462A"/>
    <w:rsid w:val="00E4488E"/>
    <w:rsid w:val="00E555D1"/>
    <w:rsid w:val="00E55614"/>
    <w:rsid w:val="00E60E06"/>
    <w:rsid w:val="00E62562"/>
    <w:rsid w:val="00E63A09"/>
    <w:rsid w:val="00E6556F"/>
    <w:rsid w:val="00E671D2"/>
    <w:rsid w:val="00E7009E"/>
    <w:rsid w:val="00E745E3"/>
    <w:rsid w:val="00E763C1"/>
    <w:rsid w:val="00E77C51"/>
    <w:rsid w:val="00E84D72"/>
    <w:rsid w:val="00E85ADC"/>
    <w:rsid w:val="00E932C4"/>
    <w:rsid w:val="00E94C8A"/>
    <w:rsid w:val="00E955B5"/>
    <w:rsid w:val="00EA03C6"/>
    <w:rsid w:val="00EA06CA"/>
    <w:rsid w:val="00EA1AD7"/>
    <w:rsid w:val="00EA4FFA"/>
    <w:rsid w:val="00EA5889"/>
    <w:rsid w:val="00EB20CD"/>
    <w:rsid w:val="00EB2A66"/>
    <w:rsid w:val="00EB3A97"/>
    <w:rsid w:val="00EB4356"/>
    <w:rsid w:val="00EC3351"/>
    <w:rsid w:val="00EC35BB"/>
    <w:rsid w:val="00EC4A49"/>
    <w:rsid w:val="00EC67E8"/>
    <w:rsid w:val="00EC7F30"/>
    <w:rsid w:val="00ED008F"/>
    <w:rsid w:val="00ED0262"/>
    <w:rsid w:val="00ED0AA0"/>
    <w:rsid w:val="00ED0E39"/>
    <w:rsid w:val="00ED1B82"/>
    <w:rsid w:val="00EE0239"/>
    <w:rsid w:val="00EE0F39"/>
    <w:rsid w:val="00EE4E88"/>
    <w:rsid w:val="00EF26B1"/>
    <w:rsid w:val="00EF47D6"/>
    <w:rsid w:val="00F03AA9"/>
    <w:rsid w:val="00F03FA4"/>
    <w:rsid w:val="00F051F1"/>
    <w:rsid w:val="00F06A0F"/>
    <w:rsid w:val="00F129EF"/>
    <w:rsid w:val="00F15A03"/>
    <w:rsid w:val="00F15E16"/>
    <w:rsid w:val="00F168B0"/>
    <w:rsid w:val="00F22CC9"/>
    <w:rsid w:val="00F25C92"/>
    <w:rsid w:val="00F2724C"/>
    <w:rsid w:val="00F34175"/>
    <w:rsid w:val="00F43B36"/>
    <w:rsid w:val="00F45F79"/>
    <w:rsid w:val="00F4625F"/>
    <w:rsid w:val="00F47A26"/>
    <w:rsid w:val="00F47B3C"/>
    <w:rsid w:val="00F503C5"/>
    <w:rsid w:val="00F503D6"/>
    <w:rsid w:val="00F52FD0"/>
    <w:rsid w:val="00F54D3C"/>
    <w:rsid w:val="00F55308"/>
    <w:rsid w:val="00F56A48"/>
    <w:rsid w:val="00F56D40"/>
    <w:rsid w:val="00F62023"/>
    <w:rsid w:val="00F66E4D"/>
    <w:rsid w:val="00F66E9D"/>
    <w:rsid w:val="00F66EF3"/>
    <w:rsid w:val="00F674F1"/>
    <w:rsid w:val="00F678D2"/>
    <w:rsid w:val="00F67C87"/>
    <w:rsid w:val="00F707D4"/>
    <w:rsid w:val="00F7196A"/>
    <w:rsid w:val="00F74DAB"/>
    <w:rsid w:val="00F756BE"/>
    <w:rsid w:val="00F7579A"/>
    <w:rsid w:val="00F76537"/>
    <w:rsid w:val="00F807D5"/>
    <w:rsid w:val="00F812D5"/>
    <w:rsid w:val="00F82832"/>
    <w:rsid w:val="00F90152"/>
    <w:rsid w:val="00F90834"/>
    <w:rsid w:val="00F91028"/>
    <w:rsid w:val="00FA0423"/>
    <w:rsid w:val="00FA1127"/>
    <w:rsid w:val="00FA158C"/>
    <w:rsid w:val="00FA1693"/>
    <w:rsid w:val="00FA20F3"/>
    <w:rsid w:val="00FA79B4"/>
    <w:rsid w:val="00FB052E"/>
    <w:rsid w:val="00FB2F8E"/>
    <w:rsid w:val="00FB789B"/>
    <w:rsid w:val="00FC2AC5"/>
    <w:rsid w:val="00FC489F"/>
    <w:rsid w:val="00FC4972"/>
    <w:rsid w:val="00FC5B32"/>
    <w:rsid w:val="00FC61EA"/>
    <w:rsid w:val="00FC6C57"/>
    <w:rsid w:val="00FC7263"/>
    <w:rsid w:val="00FD08DF"/>
    <w:rsid w:val="00FD271A"/>
    <w:rsid w:val="00FD6198"/>
    <w:rsid w:val="00FE372F"/>
    <w:rsid w:val="00FE3C9B"/>
    <w:rsid w:val="00FE4551"/>
    <w:rsid w:val="00FF2735"/>
    <w:rsid w:val="00FF592E"/>
    <w:rsid w:val="00FF685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71411"/>
  <w15:chartTrackingRefBased/>
  <w15:docId w15:val="{15D2CE18-E272-4712-99C5-807DD5F2E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0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0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0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0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0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0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0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0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0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0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0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0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0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0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0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0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0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0CD"/>
    <w:rPr>
      <w:rFonts w:eastAsiaTheme="majorEastAsia" w:cstheme="majorBidi"/>
      <w:color w:val="272727" w:themeColor="text1" w:themeTint="D8"/>
    </w:rPr>
  </w:style>
  <w:style w:type="paragraph" w:styleId="Title">
    <w:name w:val="Title"/>
    <w:basedOn w:val="Normal"/>
    <w:next w:val="Normal"/>
    <w:link w:val="TitleChar"/>
    <w:uiPriority w:val="10"/>
    <w:qFormat/>
    <w:rsid w:val="009A30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0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0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0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0CD"/>
    <w:pPr>
      <w:spacing w:before="160"/>
      <w:jc w:val="center"/>
    </w:pPr>
    <w:rPr>
      <w:i/>
      <w:iCs/>
      <w:color w:val="404040" w:themeColor="text1" w:themeTint="BF"/>
    </w:rPr>
  </w:style>
  <w:style w:type="character" w:customStyle="1" w:styleId="QuoteChar">
    <w:name w:val="Quote Char"/>
    <w:basedOn w:val="DefaultParagraphFont"/>
    <w:link w:val="Quote"/>
    <w:uiPriority w:val="29"/>
    <w:rsid w:val="009A30CD"/>
    <w:rPr>
      <w:i/>
      <w:iCs/>
      <w:color w:val="404040" w:themeColor="text1" w:themeTint="BF"/>
    </w:rPr>
  </w:style>
  <w:style w:type="paragraph" w:styleId="ListParagraph">
    <w:name w:val="List Paragraph"/>
    <w:basedOn w:val="Normal"/>
    <w:uiPriority w:val="34"/>
    <w:qFormat/>
    <w:rsid w:val="009A30CD"/>
    <w:pPr>
      <w:ind w:left="720"/>
      <w:contextualSpacing/>
    </w:pPr>
  </w:style>
  <w:style w:type="character" w:styleId="IntenseEmphasis">
    <w:name w:val="Intense Emphasis"/>
    <w:basedOn w:val="DefaultParagraphFont"/>
    <w:uiPriority w:val="21"/>
    <w:qFormat/>
    <w:rsid w:val="009A30CD"/>
    <w:rPr>
      <w:i/>
      <w:iCs/>
      <w:color w:val="0F4761" w:themeColor="accent1" w:themeShade="BF"/>
    </w:rPr>
  </w:style>
  <w:style w:type="paragraph" w:styleId="IntenseQuote">
    <w:name w:val="Intense Quote"/>
    <w:basedOn w:val="Normal"/>
    <w:next w:val="Normal"/>
    <w:link w:val="IntenseQuoteChar"/>
    <w:uiPriority w:val="30"/>
    <w:qFormat/>
    <w:rsid w:val="009A30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0CD"/>
    <w:rPr>
      <w:i/>
      <w:iCs/>
      <w:color w:val="0F4761" w:themeColor="accent1" w:themeShade="BF"/>
    </w:rPr>
  </w:style>
  <w:style w:type="character" w:styleId="IntenseReference">
    <w:name w:val="Intense Reference"/>
    <w:basedOn w:val="DefaultParagraphFont"/>
    <w:uiPriority w:val="32"/>
    <w:qFormat/>
    <w:rsid w:val="009A30CD"/>
    <w:rPr>
      <w:b/>
      <w:bCs/>
      <w:smallCaps/>
      <w:color w:val="0F4761" w:themeColor="accent1" w:themeShade="BF"/>
      <w:spacing w:val="5"/>
    </w:rPr>
  </w:style>
  <w:style w:type="paragraph" w:customStyle="1" w:styleId="Body">
    <w:name w:val="Body"/>
    <w:rsid w:val="00FB2F8E"/>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en-GB"/>
      <w14:textOutline w14:w="0" w14:cap="flat" w14:cmpd="sng" w14:algn="ctr">
        <w14:noFill/>
        <w14:prstDash w14:val="solid"/>
        <w14:bevel/>
      </w14:textOutline>
      <w14:ligatures w14:val="none"/>
    </w:rPr>
  </w:style>
  <w:style w:type="character" w:customStyle="1" w:styleId="None">
    <w:name w:val="None"/>
    <w:rsid w:val="00FB2F8E"/>
  </w:style>
  <w:style w:type="character" w:styleId="Hyperlink">
    <w:name w:val="Hyperlink"/>
    <w:basedOn w:val="DefaultParagraphFont"/>
    <w:uiPriority w:val="99"/>
    <w:unhideWhenUsed/>
    <w:rsid w:val="00F34175"/>
    <w:rPr>
      <w:color w:val="467886" w:themeColor="hyperlink"/>
      <w:u w:val="single"/>
    </w:rPr>
  </w:style>
  <w:style w:type="character" w:styleId="UnresolvedMention">
    <w:name w:val="Unresolved Mention"/>
    <w:basedOn w:val="DefaultParagraphFont"/>
    <w:uiPriority w:val="99"/>
    <w:semiHidden/>
    <w:unhideWhenUsed/>
    <w:rsid w:val="00F34175"/>
    <w:rPr>
      <w:color w:val="605E5C"/>
      <w:shd w:val="clear" w:color="auto" w:fill="E1DFDD"/>
    </w:rPr>
  </w:style>
  <w:style w:type="character" w:styleId="FollowedHyperlink">
    <w:name w:val="FollowedHyperlink"/>
    <w:basedOn w:val="DefaultParagraphFont"/>
    <w:uiPriority w:val="99"/>
    <w:semiHidden/>
    <w:unhideWhenUsed/>
    <w:rsid w:val="00CB0BE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the-people-profession/the-profession-map/explore-the-profession-map/core-knowledge/people-practice/" TargetMode="External"/><Relationship Id="rId13" Type="http://schemas.openxmlformats.org/officeDocument/2006/relationships/hyperlink" Target="http://dx.doi.org/10.17719/jisr.2017.1832" TargetMode="External"/><Relationship Id="rId18" Type="http://schemas.openxmlformats.org/officeDocument/2006/relationships/hyperlink" Target="https://www.neuroleadership.com/articles/latest-from-the-lab-are-you-talking-about-organizational-culture-or-climate" TargetMode="External"/><Relationship Id="rId3" Type="http://schemas.openxmlformats.org/officeDocument/2006/relationships/settings" Target="settings.xml"/><Relationship Id="rId21" Type="http://schemas.openxmlformats.org/officeDocument/2006/relationships/hyperlink" Target="https://doi.org/10.1080/1359432X.2012.711523" TargetMode="External"/><Relationship Id="rId7" Type="http://schemas.openxmlformats.org/officeDocument/2006/relationships/hyperlink" Target="https://www.mckinsey.com/~/media/mckinsey/industries/semiconductors/our%20insights/semiconductor%20shortage%20how%20the%20automotive%20industry%20can%20succeed/semiconductor-shortage-how-the-automotive-industry-can-succeed.pdf" TargetMode="External"/><Relationship Id="rId12" Type="http://schemas.openxmlformats.org/officeDocument/2006/relationships/hyperlink" Target="https://inti.ejournalmeta.com/index.php/inti/article/view/162" TargetMode="External"/><Relationship Id="rId17" Type="http://schemas.openxmlformats.org/officeDocument/2006/relationships/hyperlink" Target="https://neuroleadership.com/your-brain-at-work/latest-from-the-lab-organizational-culture-or-climate" TargetMode="External"/><Relationship Id="rId2" Type="http://schemas.openxmlformats.org/officeDocument/2006/relationships/styles" Target="styles.xml"/><Relationship Id="rId16" Type="http://schemas.openxmlformats.org/officeDocument/2006/relationships/hyperlink" Target="https://doi-org.uwtsd.idm.oclc.org/10.69645/DIZE2985" TargetMode="External"/><Relationship Id="rId20" Type="http://schemas.openxmlformats.org/officeDocument/2006/relationships/hyperlink" Target="https://www.amazon.co.uk/Organizational-Leadership-Jossey-Bass-Business-Management/dp/1119212049" TargetMode="External"/><Relationship Id="rId1" Type="http://schemas.openxmlformats.org/officeDocument/2006/relationships/numbering" Target="numbering.xml"/><Relationship Id="rId6" Type="http://schemas.openxmlformats.org/officeDocument/2006/relationships/hyperlink" Target="https://doi.org/10.1108/IJOPM-01-2025-0040" TargetMode="External"/><Relationship Id="rId11" Type="http://schemas.openxmlformats.org/officeDocument/2006/relationships/hyperlink" Target="https://www.cipd.org/en/knowledge/factsheets/organisation-culture-change-factsheet/" TargetMode="External"/><Relationship Id="rId24" Type="http://schemas.openxmlformats.org/officeDocument/2006/relationships/theme" Target="theme/theme1.xml"/><Relationship Id="rId5" Type="http://schemas.openxmlformats.org/officeDocument/2006/relationships/hyperlink" Target="https://doi.org/10.1146/annurev-orgpsych-032516-113100" TargetMode="External"/><Relationship Id="rId15" Type="http://schemas.openxmlformats.org/officeDocument/2006/relationships/hyperlink" Target="https://indieseducation.com/the-change-curve/" TargetMode="External"/><Relationship Id="rId23" Type="http://schemas.openxmlformats.org/officeDocument/2006/relationships/fontTable" Target="fontTable.xml"/><Relationship Id="rId10" Type="http://schemas.openxmlformats.org/officeDocument/2006/relationships/hyperlink" Target="https://www.cipd.org/uk/knowledge/factsheets/ai-technology/" TargetMode="External"/><Relationship Id="rId19" Type="http://schemas.openxmlformats.org/officeDocument/2006/relationships/hyperlink" Target="https://doi.org/10.3390/machines12030196" TargetMode="External"/><Relationship Id="rId4" Type="http://schemas.openxmlformats.org/officeDocument/2006/relationships/webSettings" Target="webSettings.xml"/><Relationship Id="rId9" Type="http://schemas.openxmlformats.org/officeDocument/2006/relationships/hyperlink" Target="https://www.cipd.org/en/knowledge/factsheets/change-management-factsheet/?utm_source=chatgpt.com" TargetMode="External"/><Relationship Id="rId14" Type="http://schemas.openxmlformats.org/officeDocument/2006/relationships/hyperlink" Target="https://doi.org/10.1111/jpim.70019" TargetMode="External"/><Relationship Id="rId22" Type="http://schemas.openxmlformats.org/officeDocument/2006/relationships/hyperlink" Target="https://doi.org/10.32996/jbms.2026.8.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6711</Words>
  <Characters>38257</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Catrianna Di Muzio (2021889)</dc:creator>
  <cp:keywords/>
  <dc:description/>
  <cp:lastModifiedBy>Catrianna Di Muzio (2021889)</cp:lastModifiedBy>
  <cp:revision>927</cp:revision>
  <dcterms:created xsi:type="dcterms:W3CDTF">2026-08-06T13:32:00Z</dcterms:created>
  <dcterms:modified xsi:type="dcterms:W3CDTF">2026-09-21T19:01:00Z</dcterms:modified>
</cp:coreProperties>
</file>